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B9D6CB">
      <w:pPr>
        <w:keepNext w:val="0"/>
        <w:keepLines w:val="0"/>
        <w:pageBreakBefore w:val="0"/>
        <w:widowControl w:val="0"/>
        <w:kinsoku/>
        <w:wordWrap/>
        <w:overflowPunct/>
        <w:topLinePunct w:val="0"/>
        <w:autoSpaceDE/>
        <w:autoSpaceDN/>
        <w:bidi w:val="0"/>
        <w:adjustRightInd w:val="0"/>
        <w:snapToGrid w:val="0"/>
        <w:ind w:firstLine="5160" w:firstLineChars="2150"/>
        <w:jc w:val="right"/>
        <w:textAlignment w:val="auto"/>
        <w:rPr>
          <w:rFonts w:cs="Times New Roman"/>
          <w:snapToGrid w:val="0"/>
          <w:color w:val="auto"/>
          <w:kern w:val="0"/>
          <w:highlight w:val="none"/>
        </w:rPr>
      </w:pPr>
      <w:r>
        <w:rPr>
          <w:color w:val="auto"/>
          <w:highlight w:val="none"/>
        </w:rPr>
        <w:drawing>
          <wp:anchor distT="0" distB="0" distL="114300" distR="114300" simplePos="0" relativeHeight="251760640" behindDoc="0" locked="0" layoutInCell="1" allowOverlap="1">
            <wp:simplePos x="0" y="0"/>
            <wp:positionH relativeFrom="column">
              <wp:posOffset>-165100</wp:posOffset>
            </wp:positionH>
            <wp:positionV relativeFrom="paragraph">
              <wp:posOffset>213995</wp:posOffset>
            </wp:positionV>
            <wp:extent cx="5463540" cy="7533005"/>
            <wp:effectExtent l="0" t="0" r="3810" b="10795"/>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8"/>
                    <a:stretch>
                      <a:fillRect/>
                    </a:stretch>
                  </pic:blipFill>
                  <pic:spPr>
                    <a:xfrm>
                      <a:off x="0" y="0"/>
                      <a:ext cx="5463540" cy="7533005"/>
                    </a:xfrm>
                    <a:prstGeom prst="rect">
                      <a:avLst/>
                    </a:prstGeom>
                    <a:noFill/>
                    <a:ln>
                      <a:noFill/>
                    </a:ln>
                  </pic:spPr>
                </pic:pic>
              </a:graphicData>
            </a:graphic>
          </wp:anchor>
        </w:drawing>
      </w:r>
    </w:p>
    <w:p w14:paraId="792C7F06">
      <w:pPr>
        <w:keepNext w:val="0"/>
        <w:keepLines w:val="0"/>
        <w:pageBreakBefore w:val="0"/>
        <w:widowControl w:val="0"/>
        <w:kinsoku/>
        <w:wordWrap/>
        <w:overflowPunct/>
        <w:topLinePunct w:val="0"/>
        <w:autoSpaceDE/>
        <w:autoSpaceDN/>
        <w:bidi w:val="0"/>
        <w:adjustRightInd w:val="0"/>
        <w:snapToGrid w:val="0"/>
        <w:spacing w:line="480" w:lineRule="auto"/>
        <w:ind w:firstLine="0" w:firstLineChars="0"/>
        <w:jc w:val="center"/>
        <w:textAlignment w:val="auto"/>
        <w:rPr>
          <w:rFonts w:hint="eastAsia" w:eastAsia="黑体" w:cs="Times New Roman"/>
          <w:b/>
          <w:snapToGrid w:val="0"/>
          <w:color w:val="auto"/>
          <w:kern w:val="0"/>
          <w:sz w:val="52"/>
          <w:szCs w:val="44"/>
          <w:highlight w:val="none"/>
          <w:lang w:val="en-US" w:eastAsia="zh-CN"/>
        </w:rPr>
      </w:pPr>
      <w:bookmarkStart w:id="0" w:name="_Hlk515109029"/>
      <w:r>
        <w:rPr>
          <w:rFonts w:hint="eastAsia" w:eastAsia="黑体" w:cs="Times New Roman"/>
          <w:b/>
          <w:snapToGrid w:val="0"/>
          <w:color w:val="auto"/>
          <w:kern w:val="0"/>
          <w:sz w:val="52"/>
          <w:szCs w:val="44"/>
          <w:highlight w:val="none"/>
          <w:lang w:val="en-US" w:eastAsia="zh-CN"/>
        </w:rPr>
        <w:t>双鸭山市兴昌屠宰有限公司</w:t>
      </w:r>
    </w:p>
    <w:p w14:paraId="1A138773">
      <w:pPr>
        <w:keepNext w:val="0"/>
        <w:keepLines w:val="0"/>
        <w:pageBreakBefore w:val="0"/>
        <w:widowControl w:val="0"/>
        <w:kinsoku/>
        <w:wordWrap/>
        <w:overflowPunct/>
        <w:topLinePunct w:val="0"/>
        <w:autoSpaceDE/>
        <w:autoSpaceDN/>
        <w:bidi w:val="0"/>
        <w:adjustRightInd w:val="0"/>
        <w:snapToGrid w:val="0"/>
        <w:spacing w:line="480" w:lineRule="auto"/>
        <w:ind w:firstLine="0" w:firstLineChars="0"/>
        <w:jc w:val="center"/>
        <w:textAlignment w:val="auto"/>
        <w:rPr>
          <w:rFonts w:eastAsia="黑体" w:cs="Times New Roman"/>
          <w:b/>
          <w:snapToGrid w:val="0"/>
          <w:color w:val="auto"/>
          <w:kern w:val="0"/>
          <w:sz w:val="52"/>
          <w:szCs w:val="44"/>
          <w:highlight w:val="none"/>
        </w:rPr>
      </w:pPr>
      <w:r>
        <w:rPr>
          <w:rFonts w:eastAsia="黑体" w:cs="Times New Roman"/>
          <w:b/>
          <w:snapToGrid w:val="0"/>
          <w:color w:val="auto"/>
          <w:kern w:val="0"/>
          <w:sz w:val="52"/>
          <w:szCs w:val="44"/>
          <w:highlight w:val="none"/>
        </w:rPr>
        <w:t>建设项目环境影响报告书</w:t>
      </w:r>
    </w:p>
    <w:bookmarkEnd w:id="0"/>
    <w:p w14:paraId="402325D5">
      <w:pPr>
        <w:keepNext w:val="0"/>
        <w:keepLines w:val="0"/>
        <w:pageBreakBefore w:val="0"/>
        <w:widowControl w:val="0"/>
        <w:kinsoku/>
        <w:wordWrap/>
        <w:overflowPunct/>
        <w:topLinePunct w:val="0"/>
        <w:autoSpaceDE/>
        <w:autoSpaceDN/>
        <w:bidi w:val="0"/>
        <w:adjustRightInd w:val="0"/>
        <w:snapToGrid w:val="0"/>
        <w:ind w:firstLine="560"/>
        <w:textAlignment w:val="auto"/>
        <w:rPr>
          <w:rFonts w:cs="Times New Roman"/>
          <w:snapToGrid w:val="0"/>
          <w:color w:val="auto"/>
          <w:kern w:val="0"/>
          <w:sz w:val="28"/>
          <w:highlight w:val="none"/>
        </w:rPr>
      </w:pPr>
    </w:p>
    <w:p w14:paraId="65CFAE2B">
      <w:pPr>
        <w:keepNext w:val="0"/>
        <w:keepLines w:val="0"/>
        <w:pageBreakBefore w:val="0"/>
        <w:widowControl w:val="0"/>
        <w:kinsoku/>
        <w:wordWrap/>
        <w:overflowPunct/>
        <w:topLinePunct w:val="0"/>
        <w:autoSpaceDE/>
        <w:autoSpaceDN/>
        <w:bidi w:val="0"/>
        <w:adjustRightInd w:val="0"/>
        <w:snapToGrid w:val="0"/>
        <w:ind w:firstLine="560"/>
        <w:textAlignment w:val="auto"/>
        <w:rPr>
          <w:rFonts w:cs="Times New Roman"/>
          <w:snapToGrid w:val="0"/>
          <w:color w:val="auto"/>
          <w:kern w:val="0"/>
          <w:sz w:val="28"/>
          <w:highlight w:val="none"/>
        </w:rPr>
      </w:pPr>
    </w:p>
    <w:p w14:paraId="1ACC5DCA">
      <w:pPr>
        <w:keepNext w:val="0"/>
        <w:keepLines w:val="0"/>
        <w:pageBreakBefore w:val="0"/>
        <w:widowControl w:val="0"/>
        <w:kinsoku/>
        <w:wordWrap/>
        <w:overflowPunct/>
        <w:topLinePunct w:val="0"/>
        <w:autoSpaceDE/>
        <w:autoSpaceDN/>
        <w:bidi w:val="0"/>
        <w:adjustRightInd w:val="0"/>
        <w:snapToGrid w:val="0"/>
        <w:ind w:firstLine="560"/>
        <w:textAlignment w:val="auto"/>
        <w:rPr>
          <w:rFonts w:hint="eastAsia" w:eastAsia="宋体" w:cs="Times New Roman"/>
          <w:snapToGrid w:val="0"/>
          <w:color w:val="auto"/>
          <w:kern w:val="0"/>
          <w:sz w:val="28"/>
          <w:highlight w:val="none"/>
          <w:lang w:eastAsia="zh-CN"/>
        </w:rPr>
      </w:pPr>
    </w:p>
    <w:p w14:paraId="1173E3FE">
      <w:pPr>
        <w:keepNext w:val="0"/>
        <w:keepLines w:val="0"/>
        <w:pageBreakBefore w:val="0"/>
        <w:widowControl w:val="0"/>
        <w:kinsoku/>
        <w:wordWrap/>
        <w:overflowPunct/>
        <w:topLinePunct w:val="0"/>
        <w:autoSpaceDE/>
        <w:autoSpaceDN/>
        <w:bidi w:val="0"/>
        <w:adjustRightInd w:val="0"/>
        <w:snapToGrid w:val="0"/>
        <w:ind w:firstLine="560"/>
        <w:textAlignment w:val="auto"/>
        <w:rPr>
          <w:rFonts w:hint="eastAsia" w:eastAsia="宋体" w:cs="Times New Roman"/>
          <w:snapToGrid w:val="0"/>
          <w:color w:val="auto"/>
          <w:kern w:val="0"/>
          <w:sz w:val="28"/>
          <w:highlight w:val="none"/>
          <w:lang w:eastAsia="zh-CN"/>
        </w:rPr>
      </w:pPr>
    </w:p>
    <w:p w14:paraId="38346BF4">
      <w:pPr>
        <w:keepNext w:val="0"/>
        <w:keepLines w:val="0"/>
        <w:pageBreakBefore w:val="0"/>
        <w:widowControl w:val="0"/>
        <w:kinsoku/>
        <w:wordWrap/>
        <w:overflowPunct/>
        <w:topLinePunct w:val="0"/>
        <w:autoSpaceDE/>
        <w:autoSpaceDN/>
        <w:bidi w:val="0"/>
        <w:adjustRightInd w:val="0"/>
        <w:snapToGrid w:val="0"/>
        <w:ind w:firstLine="560"/>
        <w:textAlignment w:val="auto"/>
        <w:rPr>
          <w:rFonts w:hint="eastAsia" w:eastAsia="宋体" w:cs="Times New Roman"/>
          <w:snapToGrid w:val="0"/>
          <w:color w:val="auto"/>
          <w:kern w:val="0"/>
          <w:sz w:val="28"/>
          <w:highlight w:val="none"/>
          <w:lang w:eastAsia="zh-CN"/>
        </w:rPr>
      </w:pPr>
    </w:p>
    <w:p w14:paraId="1C79B2DD">
      <w:pPr>
        <w:keepNext w:val="0"/>
        <w:keepLines w:val="0"/>
        <w:pageBreakBefore w:val="0"/>
        <w:widowControl w:val="0"/>
        <w:kinsoku/>
        <w:wordWrap/>
        <w:overflowPunct/>
        <w:topLinePunct w:val="0"/>
        <w:autoSpaceDE/>
        <w:autoSpaceDN/>
        <w:bidi w:val="0"/>
        <w:adjustRightInd w:val="0"/>
        <w:snapToGrid w:val="0"/>
        <w:ind w:firstLine="560"/>
        <w:textAlignment w:val="auto"/>
        <w:rPr>
          <w:rFonts w:cs="Times New Roman"/>
          <w:snapToGrid w:val="0"/>
          <w:color w:val="auto"/>
          <w:kern w:val="0"/>
          <w:sz w:val="28"/>
          <w:highlight w:val="none"/>
        </w:rPr>
      </w:pPr>
    </w:p>
    <w:p w14:paraId="4A6AA2DE">
      <w:pPr>
        <w:keepNext w:val="0"/>
        <w:keepLines w:val="0"/>
        <w:pageBreakBefore w:val="0"/>
        <w:widowControl w:val="0"/>
        <w:kinsoku/>
        <w:wordWrap/>
        <w:overflowPunct/>
        <w:topLinePunct w:val="0"/>
        <w:autoSpaceDE/>
        <w:autoSpaceDN/>
        <w:bidi w:val="0"/>
        <w:adjustRightInd w:val="0"/>
        <w:snapToGrid w:val="0"/>
        <w:ind w:firstLine="560"/>
        <w:textAlignment w:val="auto"/>
        <w:rPr>
          <w:rFonts w:cs="Times New Roman"/>
          <w:snapToGrid w:val="0"/>
          <w:color w:val="auto"/>
          <w:kern w:val="0"/>
          <w:sz w:val="28"/>
          <w:highlight w:val="none"/>
        </w:rPr>
      </w:pPr>
    </w:p>
    <w:p w14:paraId="36A1B69F">
      <w:pPr>
        <w:keepNext w:val="0"/>
        <w:keepLines w:val="0"/>
        <w:pageBreakBefore w:val="0"/>
        <w:widowControl w:val="0"/>
        <w:kinsoku/>
        <w:wordWrap/>
        <w:overflowPunct/>
        <w:topLinePunct w:val="0"/>
        <w:autoSpaceDE/>
        <w:autoSpaceDN/>
        <w:bidi w:val="0"/>
        <w:adjustRightInd w:val="0"/>
        <w:snapToGrid w:val="0"/>
        <w:ind w:firstLine="560"/>
        <w:textAlignment w:val="auto"/>
        <w:rPr>
          <w:rFonts w:cs="Times New Roman"/>
          <w:snapToGrid w:val="0"/>
          <w:color w:val="auto"/>
          <w:kern w:val="0"/>
          <w:sz w:val="28"/>
          <w:highlight w:val="none"/>
        </w:rPr>
      </w:pPr>
      <w:r>
        <w:rPr>
          <w:rFonts w:cs="Times New Roman"/>
          <w:snapToGrid w:val="0"/>
          <w:color w:val="auto"/>
          <w:kern w:val="0"/>
          <w:sz w:val="28"/>
          <w:highlight w:val="none"/>
        </w:rPr>
        <w:t xml:space="preserve"> </w:t>
      </w:r>
    </w:p>
    <w:p w14:paraId="515D87CC">
      <w:pPr>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cs="Times New Roman"/>
          <w:snapToGrid w:val="0"/>
          <w:color w:val="auto"/>
          <w:kern w:val="0"/>
          <w:sz w:val="28"/>
          <w:highlight w:val="none"/>
        </w:rPr>
      </w:pPr>
    </w:p>
    <w:p w14:paraId="66C0CC74">
      <w:pPr>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cs="Times New Roman"/>
          <w:snapToGrid w:val="0"/>
          <w:color w:val="auto"/>
          <w:kern w:val="0"/>
          <w:sz w:val="28"/>
          <w:highlight w:val="none"/>
        </w:rPr>
      </w:pPr>
    </w:p>
    <w:p w14:paraId="4AF1C507">
      <w:pPr>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eastAsia="黑体" w:cs="Times New Roman"/>
          <w:snapToGrid w:val="0"/>
          <w:color w:val="auto"/>
          <w:kern w:val="0"/>
          <w:sz w:val="32"/>
          <w:szCs w:val="32"/>
          <w:highlight w:val="none"/>
        </w:rPr>
      </w:pPr>
    </w:p>
    <w:p w14:paraId="6F6E47CE">
      <w:pPr>
        <w:keepNext w:val="0"/>
        <w:keepLines w:val="0"/>
        <w:pageBreakBefore w:val="0"/>
        <w:widowControl w:val="0"/>
        <w:kinsoku/>
        <w:wordWrap/>
        <w:overflowPunct/>
        <w:topLinePunct w:val="0"/>
        <w:autoSpaceDE/>
        <w:autoSpaceDN/>
        <w:bidi w:val="0"/>
        <w:adjustRightInd w:val="0"/>
        <w:snapToGrid w:val="0"/>
        <w:ind w:firstLine="321" w:firstLineChars="100"/>
        <w:jc w:val="center"/>
        <w:textAlignment w:val="auto"/>
        <w:rPr>
          <w:rFonts w:hint="default" w:eastAsia="黑体" w:cs="Times New Roman"/>
          <w:b/>
          <w:snapToGrid w:val="0"/>
          <w:color w:val="auto"/>
          <w:kern w:val="0"/>
          <w:sz w:val="32"/>
          <w:szCs w:val="32"/>
          <w:highlight w:val="none"/>
          <w:lang w:val="en-US" w:eastAsia="zh-CN"/>
        </w:rPr>
      </w:pPr>
      <w:r>
        <w:rPr>
          <w:rFonts w:eastAsia="黑体" w:cs="Times New Roman"/>
          <w:b/>
          <w:snapToGrid w:val="0"/>
          <w:color w:val="auto"/>
          <w:kern w:val="0"/>
          <w:sz w:val="32"/>
          <w:szCs w:val="32"/>
          <w:highlight w:val="none"/>
        </w:rPr>
        <w:t>建设单位（盖章）：</w:t>
      </w:r>
      <w:r>
        <w:rPr>
          <w:rFonts w:hint="eastAsia" w:eastAsia="黑体" w:cs="Times New Roman"/>
          <w:b/>
          <w:snapToGrid w:val="0"/>
          <w:color w:val="auto"/>
          <w:kern w:val="0"/>
          <w:sz w:val="32"/>
          <w:szCs w:val="32"/>
          <w:highlight w:val="none"/>
          <w:lang w:val="en-US" w:eastAsia="zh-CN"/>
        </w:rPr>
        <w:t>双鸭山市兴昌屠宰有限公司</w:t>
      </w:r>
    </w:p>
    <w:p w14:paraId="1369CA73">
      <w:pPr>
        <w:keepNext w:val="0"/>
        <w:keepLines w:val="0"/>
        <w:pageBreakBefore w:val="0"/>
        <w:widowControl w:val="0"/>
        <w:kinsoku/>
        <w:wordWrap/>
        <w:overflowPunct/>
        <w:topLinePunct w:val="0"/>
        <w:autoSpaceDE/>
        <w:autoSpaceDN/>
        <w:bidi w:val="0"/>
        <w:adjustRightInd w:val="0"/>
        <w:snapToGrid w:val="0"/>
        <w:ind w:firstLine="321" w:firstLineChars="100"/>
        <w:jc w:val="center"/>
        <w:textAlignment w:val="auto"/>
        <w:rPr>
          <w:rFonts w:hint="eastAsia" w:ascii="Times New Roman" w:hAnsi="Times New Roman" w:eastAsia="黑体" w:cs="Times New Roman"/>
          <w:b/>
          <w:snapToGrid w:val="0"/>
          <w:color w:val="auto"/>
          <w:kern w:val="0"/>
          <w:sz w:val="32"/>
          <w:szCs w:val="32"/>
          <w:highlight w:val="none"/>
          <w:lang w:val="en-US" w:eastAsia="zh-CN"/>
        </w:rPr>
      </w:pPr>
      <w:r>
        <w:rPr>
          <w:rFonts w:eastAsia="黑体" w:cs="Times New Roman"/>
          <w:b/>
          <w:snapToGrid w:val="0"/>
          <w:color w:val="auto"/>
          <w:kern w:val="0"/>
          <w:sz w:val="32"/>
          <w:szCs w:val="32"/>
          <w:highlight w:val="none"/>
        </w:rPr>
        <w:t>编</w:t>
      </w:r>
      <w:r>
        <w:rPr>
          <w:rFonts w:hint="eastAsia" w:ascii="Times New Roman" w:hAnsi="Times New Roman" w:eastAsia="黑体" w:cs="Times New Roman"/>
          <w:b/>
          <w:snapToGrid w:val="0"/>
          <w:color w:val="auto"/>
          <w:kern w:val="0"/>
          <w:sz w:val="32"/>
          <w:szCs w:val="32"/>
          <w:highlight w:val="none"/>
          <w:lang w:val="en-US" w:eastAsia="zh-CN"/>
        </w:rPr>
        <w:t>制单位：</w:t>
      </w:r>
      <w:r>
        <w:rPr>
          <w:rFonts w:hint="default" w:ascii="Times New Roman" w:hAnsi="Times New Roman" w:eastAsia="黑体" w:cs="Times New Roman"/>
          <w:b/>
          <w:snapToGrid w:val="0"/>
          <w:color w:val="auto"/>
          <w:kern w:val="0"/>
          <w:sz w:val="32"/>
          <w:szCs w:val="32"/>
          <w:highlight w:val="none"/>
          <w:lang w:val="en-US" w:eastAsia="zh-CN"/>
        </w:rPr>
        <w:t>黑龙江泽文生态环境科技有限公司</w:t>
      </w:r>
    </w:p>
    <w:p w14:paraId="09C33488">
      <w:pPr>
        <w:keepNext w:val="0"/>
        <w:keepLines w:val="0"/>
        <w:pageBreakBefore w:val="0"/>
        <w:widowControl w:val="0"/>
        <w:kinsoku/>
        <w:wordWrap/>
        <w:overflowPunct/>
        <w:topLinePunct w:val="0"/>
        <w:autoSpaceDE/>
        <w:autoSpaceDN/>
        <w:bidi w:val="0"/>
        <w:adjustRightInd w:val="0"/>
        <w:snapToGrid w:val="0"/>
        <w:ind w:firstLine="321" w:firstLineChars="100"/>
        <w:jc w:val="left"/>
        <w:textAlignment w:val="auto"/>
        <w:rPr>
          <w:rFonts w:hint="eastAsia" w:ascii="Times New Roman" w:hAnsi="Times New Roman" w:eastAsia="黑体" w:cs="Times New Roman"/>
          <w:b/>
          <w:snapToGrid w:val="0"/>
          <w:color w:val="auto"/>
          <w:kern w:val="0"/>
          <w:sz w:val="32"/>
          <w:szCs w:val="32"/>
          <w:highlight w:val="none"/>
          <w:lang w:val="en-US" w:eastAsia="zh-CN"/>
        </w:rPr>
      </w:pPr>
    </w:p>
    <w:p w14:paraId="6F680D94">
      <w:pPr>
        <w:keepNext w:val="0"/>
        <w:keepLines w:val="0"/>
        <w:pageBreakBefore w:val="0"/>
        <w:widowControl w:val="0"/>
        <w:kinsoku/>
        <w:wordWrap/>
        <w:overflowPunct/>
        <w:topLinePunct w:val="0"/>
        <w:autoSpaceDE/>
        <w:autoSpaceDN/>
        <w:bidi w:val="0"/>
        <w:adjustRightInd w:val="0"/>
        <w:snapToGrid w:val="0"/>
        <w:ind w:firstLine="643"/>
        <w:jc w:val="center"/>
        <w:textAlignment w:val="auto"/>
        <w:rPr>
          <w:rFonts w:eastAsia="黑体" w:cs="Times New Roman"/>
          <w:b/>
          <w:bCs/>
          <w:color w:val="auto"/>
          <w:sz w:val="32"/>
          <w:szCs w:val="32"/>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eastAsia="黑体" w:cs="Times New Roman"/>
          <w:b/>
          <w:bCs/>
          <w:color w:val="auto"/>
          <w:sz w:val="32"/>
          <w:szCs w:val="32"/>
          <w:highlight w:val="none"/>
        </w:rPr>
        <w:t>二〇二</w:t>
      </w:r>
      <w:r>
        <w:rPr>
          <w:rFonts w:hint="eastAsia" w:eastAsia="黑体" w:cs="Times New Roman"/>
          <w:b/>
          <w:bCs/>
          <w:color w:val="auto"/>
          <w:sz w:val="32"/>
          <w:szCs w:val="32"/>
          <w:highlight w:val="none"/>
          <w:lang w:val="en-US" w:eastAsia="zh-CN"/>
        </w:rPr>
        <w:t>五</w:t>
      </w:r>
      <w:r>
        <w:rPr>
          <w:rFonts w:eastAsia="黑体" w:cs="Times New Roman"/>
          <w:b/>
          <w:bCs/>
          <w:color w:val="auto"/>
          <w:sz w:val="32"/>
          <w:szCs w:val="32"/>
          <w:highlight w:val="none"/>
        </w:rPr>
        <w:t>年</w:t>
      </w:r>
      <w:r>
        <w:rPr>
          <w:rFonts w:hint="eastAsia" w:eastAsia="黑体" w:cs="Times New Roman"/>
          <w:b/>
          <w:bCs/>
          <w:color w:val="auto"/>
          <w:sz w:val="32"/>
          <w:szCs w:val="32"/>
          <w:highlight w:val="none"/>
          <w:lang w:val="en-US" w:eastAsia="zh-CN"/>
        </w:rPr>
        <w:t>九</w:t>
      </w:r>
      <w:r>
        <w:rPr>
          <w:rFonts w:eastAsia="黑体" w:cs="Times New Roman"/>
          <w:b/>
          <w:bCs/>
          <w:color w:val="auto"/>
          <w:sz w:val="32"/>
          <w:szCs w:val="32"/>
          <w:highlight w:val="none"/>
        </w:rPr>
        <w:t>月</w:t>
      </w:r>
    </w:p>
    <w:p w14:paraId="269116AA">
      <w:pPr>
        <w:pStyle w:val="2"/>
        <w:spacing w:line="360" w:lineRule="auto"/>
        <w:jc w:val="both"/>
        <w:rPr>
          <w:rFonts w:hint="eastAsia" w:eastAsia="黑体" w:cs="Times New Roman"/>
          <w:color w:val="auto"/>
          <w:highlight w:val="none"/>
          <w:lang w:eastAsia="zh-CN"/>
        </w:rPr>
        <w:sectPr>
          <w:headerReference r:id="rId6" w:type="default"/>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bookmarkStart w:id="1" w:name="_Toc633"/>
      <w:r>
        <w:rPr>
          <w:color w:val="auto"/>
          <w:highlight w:val="none"/>
        </w:rPr>
        <w:drawing>
          <wp:inline distT="0" distB="0" distL="114300" distR="114300">
            <wp:extent cx="5172075" cy="7086600"/>
            <wp:effectExtent l="0" t="0" r="9525" b="0"/>
            <wp:docPr id="1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5"/>
                    <pic:cNvPicPr>
                      <a:picLocks noChangeAspect="1"/>
                    </pic:cNvPicPr>
                  </pic:nvPicPr>
                  <pic:blipFill>
                    <a:blip r:embed="rId19"/>
                    <a:stretch>
                      <a:fillRect/>
                    </a:stretch>
                  </pic:blipFill>
                  <pic:spPr>
                    <a:xfrm>
                      <a:off x="0" y="0"/>
                      <a:ext cx="5172075" cy="7086600"/>
                    </a:xfrm>
                    <a:prstGeom prst="rect">
                      <a:avLst/>
                    </a:prstGeom>
                    <a:noFill/>
                    <a:ln>
                      <a:noFill/>
                    </a:ln>
                  </pic:spPr>
                </pic:pic>
              </a:graphicData>
            </a:graphic>
          </wp:inline>
        </w:drawing>
      </w:r>
      <w:bookmarkEnd w:id="1"/>
    </w:p>
    <w:p w14:paraId="13A016AE">
      <w:pPr>
        <w:adjustRightInd/>
        <w:snapToGrid/>
        <w:spacing w:line="240" w:lineRule="auto"/>
        <w:ind w:firstLine="0" w:firstLineChars="0"/>
        <w:jc w:val="center"/>
        <w:rPr>
          <w:rFonts w:eastAsia="黑体" w:cs="Times New Roman"/>
          <w:b/>
          <w:snapToGrid w:val="0"/>
          <w:color w:val="auto"/>
          <w:kern w:val="0"/>
          <w:szCs w:val="24"/>
          <w:highlight w:val="none"/>
        </w:rPr>
      </w:pPr>
      <w:r>
        <w:rPr>
          <w:rFonts w:eastAsia="黑体" w:cs="Times New Roman"/>
          <w:b/>
          <w:snapToGrid w:val="0"/>
          <w:color w:val="auto"/>
          <w:kern w:val="0"/>
          <w:sz w:val="36"/>
          <w:szCs w:val="36"/>
          <w:highlight w:val="none"/>
        </w:rPr>
        <w:t>目  录</w:t>
      </w:r>
    </w:p>
    <w:p w14:paraId="0FA6BD53">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b w:val="0"/>
          <w:snapToGrid w:val="0"/>
          <w:color w:val="auto"/>
          <w:sz w:val="24"/>
          <w:szCs w:val="24"/>
          <w:highlight w:val="none"/>
        </w:rPr>
        <w:fldChar w:fldCharType="begin"/>
      </w:r>
      <w:r>
        <w:rPr>
          <w:rFonts w:hint="eastAsia" w:ascii="黑体" w:hAnsi="黑体" w:eastAsia="黑体" w:cs="黑体"/>
          <w:snapToGrid w:val="0"/>
          <w:color w:val="auto"/>
          <w:sz w:val="24"/>
          <w:szCs w:val="24"/>
          <w:highlight w:val="none"/>
        </w:rPr>
        <w:instrText xml:space="preserve"> TOC \o "1-3" \h \z \u </w:instrText>
      </w:r>
      <w:r>
        <w:rPr>
          <w:rFonts w:hint="eastAsia" w:ascii="黑体" w:hAnsi="黑体" w:eastAsia="黑体" w:cs="黑体"/>
          <w:b w:val="0"/>
          <w:snapToGrid w:val="0"/>
          <w:color w:val="auto"/>
          <w:sz w:val="24"/>
          <w:szCs w:val="24"/>
          <w:highlight w:val="none"/>
        </w:rPr>
        <w:fldChar w:fldCharType="separate"/>
      </w: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_Toc15636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snapToGrid w:val="0"/>
          <w:color w:val="auto"/>
          <w:highlight w:val="none"/>
        </w:rPr>
        <w:t>1概述</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_Toc15636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4A628CC">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_Toc1962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1.1项目由来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_Toc1962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5847EF4">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_Toc28009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1.2项目特点</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_Toc28009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284D3BD">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_Toc3484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szCs w:val="32"/>
          <w:highlight w:val="none"/>
        </w:rPr>
        <w:t>1.3环境影响评价工作过程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_Toc3484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9556E22">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_Toc4832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1.4分析判定相关情况</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_Toc4832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6045222">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_Toc748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1.4.1产业政策符合性分析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_Toc748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7D9F35C">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_Toc24307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1.4.2与相关规划符合性分析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_Toc24307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98A8819">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_Toc845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1.4.3与相关政策符合性分析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_Toc845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7E849F4">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_Toc30237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1.4.4选址合理性分析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_Toc30237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D7260E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_Toc8835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1.4.5项目平面布置合理性分析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_Toc8835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D3DAAF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_Toc24961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en-US" w:eastAsia="zh-CN"/>
        </w:rPr>
        <w:t>1.4.6</w:t>
      </w:r>
      <w:r>
        <w:rPr>
          <w:rFonts w:hint="eastAsia" w:ascii="黑体" w:hAnsi="黑体" w:eastAsia="黑体" w:cs="黑体"/>
          <w:i w:val="0"/>
          <w:iCs w:val="0"/>
          <w:color w:val="auto"/>
          <w:highlight w:val="none"/>
        </w:rPr>
        <w:t>相关污染防治政策的符合性分析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_Toc24961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3DD67C5">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_Toc8164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1.5关注的主要环境问题及环境影响</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_Toc8164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7E8A1DB">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_Toc23254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1.6环境影响评价主要结论</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_Toc23254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9F80BA0">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_Toc20256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2总则</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_Toc20256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2244D14">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_Toc11413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2.1编制依据</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_Toc11413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1A63D0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_Toc10281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2.1.1相关环境保护法律、法规</w:t>
      </w:r>
      <w:r>
        <w:rPr>
          <w:rFonts w:hint="eastAsia" w:ascii="黑体" w:hAnsi="黑体" w:eastAsia="黑体" w:cs="黑体"/>
          <w:i w:val="0"/>
          <w:iCs w:val="0"/>
          <w:color w:val="auto"/>
          <w:highlight w:val="none"/>
          <w:lang w:eastAsia="zh-CN"/>
        </w:rPr>
        <w:t>、</w:t>
      </w:r>
      <w:r>
        <w:rPr>
          <w:rFonts w:hint="eastAsia" w:ascii="黑体" w:hAnsi="黑体" w:eastAsia="黑体" w:cs="黑体"/>
          <w:i w:val="0"/>
          <w:iCs w:val="0"/>
          <w:color w:val="auto"/>
          <w:highlight w:val="none"/>
          <w:lang w:val="en-US" w:eastAsia="zh-CN"/>
        </w:rPr>
        <w:t>条例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_Toc10281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4C7D69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_Toc28866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2.1.</w:t>
      </w:r>
      <w:r>
        <w:rPr>
          <w:rFonts w:hint="eastAsia" w:ascii="黑体" w:hAnsi="黑体" w:eastAsia="黑体" w:cs="黑体"/>
          <w:i w:val="0"/>
          <w:iCs w:val="0"/>
          <w:color w:val="auto"/>
          <w:highlight w:val="none"/>
          <w:lang w:val="en-US" w:eastAsia="zh-CN"/>
        </w:rPr>
        <w:t>2</w:t>
      </w:r>
      <w:r>
        <w:rPr>
          <w:rFonts w:hint="eastAsia" w:ascii="黑体" w:hAnsi="黑体" w:eastAsia="黑体" w:cs="黑体"/>
          <w:i w:val="0"/>
          <w:iCs w:val="0"/>
          <w:color w:val="auto"/>
          <w:highlight w:val="none"/>
        </w:rPr>
        <w:t>技术导则与规范</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_Toc28866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30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996F16A">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_Toc16236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2.1.</w:t>
      </w:r>
      <w:r>
        <w:rPr>
          <w:rFonts w:hint="eastAsia" w:ascii="黑体" w:hAnsi="黑体" w:eastAsia="黑体" w:cs="黑体"/>
          <w:i w:val="0"/>
          <w:iCs w:val="0"/>
          <w:color w:val="auto"/>
          <w:highlight w:val="none"/>
          <w:lang w:val="en-US" w:eastAsia="zh-CN"/>
        </w:rPr>
        <w:t>3</w:t>
      </w:r>
      <w:r>
        <w:rPr>
          <w:rFonts w:hint="eastAsia" w:ascii="黑体" w:hAnsi="黑体" w:eastAsia="黑体" w:cs="黑体"/>
          <w:i w:val="0"/>
          <w:iCs w:val="0"/>
          <w:color w:val="auto"/>
          <w:highlight w:val="none"/>
        </w:rPr>
        <w:t>建设项目有关文件</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_Toc16236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31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F87239F">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_Toc2753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2.2 评价因子与评价标准</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_Toc2753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32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54B087E">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_Toc12473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2.2.1 评价因子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_Toc12473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32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6C6309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_Toc23833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2.2.2 评价标准</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_Toc23833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35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681BC72">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_Toc6800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2.3评价工作等级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_Toc6800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91A323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_Toc535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2.3.1大气环境影响评价工作等级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_Toc535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17C06FF">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_Toc29868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2.3.2地表水环境评价等级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_Toc29868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4C332B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_Toc18086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2.3.3地下水环境评价等级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_Toc18086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B003FC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_Toc9211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2.3.4声环境</w:t>
      </w:r>
      <w:r>
        <w:rPr>
          <w:rFonts w:hint="eastAsia" w:ascii="黑体" w:hAnsi="黑体" w:eastAsia="黑体" w:cs="黑体"/>
          <w:i w:val="0"/>
          <w:iCs w:val="0"/>
          <w:snapToGrid w:val="0"/>
          <w:color w:val="auto"/>
          <w:szCs w:val="24"/>
          <w:highlight w:val="none"/>
        </w:rPr>
        <w:t>评价等级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_Toc9211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AC16B3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_Toc24800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2.3.5生态环境</w:t>
      </w:r>
      <w:r>
        <w:rPr>
          <w:rFonts w:hint="eastAsia" w:ascii="黑体" w:hAnsi="黑体" w:eastAsia="黑体" w:cs="黑体"/>
          <w:i w:val="0"/>
          <w:iCs w:val="0"/>
          <w:snapToGrid w:val="0"/>
          <w:color w:val="auto"/>
          <w:szCs w:val="24"/>
          <w:highlight w:val="none"/>
        </w:rPr>
        <w:t>评价等级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_Toc24800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1E3516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_Toc32628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2.3.6土壤评价等级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_Toc32628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14DE00E">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_Toc26654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2.3.7风险评价等级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_Toc26654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312047D">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_Toc21599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2.4 评价范围</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_Toc21599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DC3756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_Toc657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2.4.1 大气评价范围</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_Toc657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133DBFC">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_Toc11784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2.4.2 水环境评价范围</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_Toc11784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49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5C3ADE4">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_Toc7344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2.4.3 声环境评价范围</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_Toc7344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871944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_Toc1021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2.4.4 风险评价范围</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_Toc1021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5EECD06">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_Toc24826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2.5 评价重点与环境保护目标</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_Toc24826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568D724">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_Toc19267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2.5.1 评价重点</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_Toc19267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DB9E68A">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_Toc6877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2.5.2 环境保护目标</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_Toc6877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6800027">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_Toc2595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3工程分析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_Toc2595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7E34B11">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_Toc17857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3.1项目概况</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_Toc17857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8EDA19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_Toc19334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3.1.1项目名称及基本组成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_Toc19334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D70C11C">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_Toc20874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3.1.2建设内容及规模</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_Toc20874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54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38F2DA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_Toc30195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3.1.3主要设备</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_Toc30195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1949F4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_Toc12303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3.1.4主要原辅材料</w:t>
      </w:r>
      <w:r>
        <w:rPr>
          <w:rFonts w:hint="eastAsia" w:ascii="黑体" w:hAnsi="黑体" w:eastAsia="黑体" w:cs="黑体"/>
          <w:i w:val="0"/>
          <w:iCs w:val="0"/>
          <w:color w:val="auto"/>
          <w:highlight w:val="none"/>
          <w:lang w:eastAsia="zh-CN"/>
        </w:rPr>
        <w:t>、</w:t>
      </w:r>
      <w:r>
        <w:rPr>
          <w:rFonts w:hint="eastAsia" w:ascii="黑体" w:hAnsi="黑体" w:eastAsia="黑体" w:cs="黑体"/>
          <w:i w:val="0"/>
          <w:iCs w:val="0"/>
          <w:color w:val="auto"/>
          <w:highlight w:val="none"/>
          <w:lang w:val="en-US" w:eastAsia="zh-CN"/>
        </w:rPr>
        <w:t>燃料</w:t>
      </w:r>
      <w:r>
        <w:rPr>
          <w:rFonts w:hint="eastAsia" w:ascii="黑体" w:hAnsi="黑体" w:eastAsia="黑体" w:cs="黑体"/>
          <w:i w:val="0"/>
          <w:iCs w:val="0"/>
          <w:color w:val="auto"/>
          <w:highlight w:val="none"/>
        </w:rPr>
        <w:t>消耗</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_Toc12303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B3BFDB5">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_Toc27557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3.1.5产品方案</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_Toc27557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EC9306C">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_Toc6995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3.1.6生产班制及劳动定员</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_Toc6995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8D1E113">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_Toc17509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3.2公用及辅助工程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_Toc17509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6258BD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_Toc17033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3.2.1给水工程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_Toc17033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D9526C2">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_Toc14081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3.2.2排水工程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_Toc14081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8356B8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_Toc15395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3.2.3供电工程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_Toc15395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6122E6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_Toc14224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3.2.4供热工程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_Toc14224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D8F8A7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_Toc19842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3.2.5制冷工程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_Toc19842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784BD52">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_Toc14577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3.2.</w:t>
      </w:r>
      <w:r>
        <w:rPr>
          <w:rFonts w:hint="eastAsia" w:ascii="黑体" w:hAnsi="黑体" w:eastAsia="黑体" w:cs="黑体"/>
          <w:i w:val="0"/>
          <w:iCs w:val="0"/>
          <w:color w:val="auto"/>
          <w:highlight w:val="none"/>
          <w:lang w:val="en-US" w:eastAsia="zh-CN"/>
        </w:rPr>
        <w:t>6车辆及人员消毒方式</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_Toc14577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69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BAB52D4">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_Toc23809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3.3项目生产工艺及产污环节</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_Toc23809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CE0D128">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_Toc13093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3.3.1牛、羊屠宰加工工艺流程</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_Toc13093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26F868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_Toc18798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snapToGrid w:val="0"/>
          <w:color w:val="auto"/>
          <w:highlight w:val="none"/>
        </w:rPr>
        <w:t>3.3.2物料平衡</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_Toc18798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FB656D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_Toc23911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lang w:val="en-US" w:eastAsia="zh-CN"/>
        </w:rPr>
        <w:t>3.3.3牲畜及屠体检疫</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_Toc23911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A278F22">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_Toc31277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3.4工程污染源强分析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_Toc31277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FEBE91E">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_Toc16956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3.4.1施工期污染源及源强分析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_Toc16956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56D86C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_Toc21914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3.4.2运营期污染源及源强分析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_Toc21914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79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C404422">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_Toc17616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 xml:space="preserve">3.5 </w:t>
      </w:r>
      <w:r>
        <w:rPr>
          <w:rFonts w:hint="eastAsia" w:ascii="黑体" w:hAnsi="黑体" w:eastAsia="黑体" w:cs="黑体"/>
          <w:i w:val="0"/>
          <w:iCs w:val="0"/>
          <w:color w:val="auto"/>
          <w:highlight w:val="none"/>
          <w:lang w:val="en-US" w:eastAsia="zh-CN"/>
        </w:rPr>
        <w:t>非正常工况（急宰）</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_Toc17616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101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1B40B42">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_Toc30572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en-US" w:eastAsia="zh-CN"/>
        </w:rPr>
        <w:t>3.6</w:t>
      </w:r>
      <w:r>
        <w:rPr>
          <w:rFonts w:hint="eastAsia" w:ascii="黑体" w:hAnsi="黑体" w:eastAsia="黑体" w:cs="黑体"/>
          <w:i w:val="0"/>
          <w:iCs w:val="0"/>
          <w:color w:val="auto"/>
          <w:highlight w:val="none"/>
        </w:rPr>
        <w:t>清洁生产分析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_Toc30572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102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1A6DFC9">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_Toc10835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4环境现状调查与评价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_Toc10835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- 107 -</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DF485AE">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_Toc3867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4.1 自然环境现状调查与评价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_Toc3867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- 107 -</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9F4209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_Toc3899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4.1.1 地理位置</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_Toc3899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- 107 -</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3EDF929">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_Toc20128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4.1.2 地形地貌</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_Toc20128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- 107 -</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A7B7206">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_Toc12179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4.1.3 气候、气象</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_Toc12179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- 107 -</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008897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_Toc21509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4.1.4 水文地质</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_Toc21509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114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152D887">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_Toc25278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4.1.6土壤</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_Toc25278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121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4DE9E6A">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_Toc3227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4.1.5自然资源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_Toc3227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121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2EF1E0C">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_Toc28246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4.2 环境质量现状调查与评价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_Toc28246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122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D755AFF">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_Toc18141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4.2.1 环境空气质量现状评价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_Toc18141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122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FC9F5A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_Toc12565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4.2.</w:t>
      </w:r>
      <w:r>
        <w:rPr>
          <w:rFonts w:hint="eastAsia" w:ascii="黑体" w:hAnsi="黑体" w:eastAsia="黑体" w:cs="黑体"/>
          <w:i w:val="0"/>
          <w:iCs w:val="0"/>
          <w:color w:val="auto"/>
          <w:highlight w:val="none"/>
        </w:rPr>
        <w:t>2</w:t>
      </w:r>
      <w:r>
        <w:rPr>
          <w:rFonts w:hint="eastAsia" w:ascii="黑体" w:hAnsi="黑体" w:eastAsia="黑体" w:cs="黑体"/>
          <w:i w:val="0"/>
          <w:iCs w:val="0"/>
          <w:color w:val="auto"/>
          <w:highlight w:val="none"/>
          <w:lang w:val="zh-CN"/>
        </w:rPr>
        <w:t xml:space="preserve"> 地表水环境质量现状评价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_Toc12565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125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DF80876">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_Toc4149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4.2.3 地下水环境质量现状评价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_Toc4149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126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8BC64A9">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_Toc28135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lang w:val="zh-CN"/>
        </w:rPr>
        <w:t>4.2.</w:t>
      </w:r>
      <w:r>
        <w:rPr>
          <w:rFonts w:hint="eastAsia" w:ascii="黑体" w:hAnsi="黑体" w:eastAsia="黑体" w:cs="黑体"/>
          <w:i w:val="0"/>
          <w:iCs w:val="0"/>
          <w:color w:val="auto"/>
          <w:highlight w:val="none"/>
        </w:rPr>
        <w:t>4</w:t>
      </w:r>
      <w:r>
        <w:rPr>
          <w:rFonts w:hint="eastAsia" w:ascii="黑体" w:hAnsi="黑体" w:eastAsia="黑体" w:cs="黑体"/>
          <w:i w:val="0"/>
          <w:iCs w:val="0"/>
          <w:color w:val="auto"/>
          <w:highlight w:val="none"/>
          <w:lang w:val="zh-CN"/>
        </w:rPr>
        <w:t xml:space="preserve"> 声环境质量现状监测与评价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_Toc28135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88B57A6">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_Toc9808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4.3环境保护目标调查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_Toc9808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7474D17">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_Toc141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w:t>
      </w:r>
      <w:r>
        <w:rPr>
          <w:rFonts w:hint="eastAsia" w:ascii="黑体" w:hAnsi="黑体" w:eastAsia="黑体" w:cs="黑体"/>
          <w:i w:val="0"/>
          <w:iCs w:val="0"/>
          <w:color w:val="auto"/>
          <w:highlight w:val="none"/>
          <w:lang w:val="en-US" w:eastAsia="zh-CN"/>
        </w:rPr>
        <w:t>3</w:t>
      </w:r>
      <w:r>
        <w:rPr>
          <w:rFonts w:hint="eastAsia" w:ascii="黑体" w:hAnsi="黑体" w:eastAsia="黑体" w:cs="黑体"/>
          <w:i w:val="0"/>
          <w:iCs w:val="0"/>
          <w:color w:val="auto"/>
          <w:highlight w:val="none"/>
        </w:rPr>
        <w:t>.1</w:t>
      </w:r>
      <w:r>
        <w:rPr>
          <w:rFonts w:hint="eastAsia" w:ascii="黑体" w:hAnsi="黑体" w:eastAsia="黑体" w:cs="黑体"/>
          <w:i w:val="0"/>
          <w:iCs w:val="0"/>
          <w:color w:val="auto"/>
          <w:highlight w:val="none"/>
          <w:lang w:val="en-US" w:eastAsia="zh-CN"/>
        </w:rPr>
        <w:t>羊鼻山森林公园</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_Toc141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03A622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_Toc16284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w:t>
      </w:r>
      <w:r>
        <w:rPr>
          <w:rFonts w:hint="eastAsia" w:ascii="黑体" w:hAnsi="黑体" w:eastAsia="黑体" w:cs="黑体"/>
          <w:i w:val="0"/>
          <w:iCs w:val="0"/>
          <w:color w:val="auto"/>
          <w:highlight w:val="none"/>
          <w:lang w:val="en-US" w:eastAsia="zh-CN"/>
        </w:rPr>
        <w:t>3</w:t>
      </w:r>
      <w:r>
        <w:rPr>
          <w:rFonts w:hint="eastAsia" w:ascii="黑体" w:hAnsi="黑体" w:eastAsia="黑体" w:cs="黑体"/>
          <w:i w:val="0"/>
          <w:iCs w:val="0"/>
          <w:color w:val="auto"/>
          <w:highlight w:val="none"/>
        </w:rPr>
        <w:t>.2青山国家森林公园</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_Toc16284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18E646F">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_Toc20616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4.4区域污染源调查内容</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_Toc20616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FE3C6D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_Toc19748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4.4.1大气污染源调查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_Toc19748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3D0DAC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_Toc15393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4.4.2地表水污染源调查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_Toc15393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D45960E">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_Toc10220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4.4.3地下水污染源调查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_Toc10220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811081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_Toc17594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4.4.4噪声污染源调查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_Toc17594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139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4D4BDD3">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_Toc28272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snapToGrid w:val="0"/>
          <w:color w:val="auto"/>
          <w:kern w:val="0"/>
          <w:highlight w:val="none"/>
        </w:rPr>
        <w:t>5环境影响预测评价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_Toc28272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3840C96">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_Toc20194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5.1施工期环境影响分析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_Toc20194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BBFDC95">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_Toc15104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5.1.1施工期大气环境影响分析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_Toc15104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51BC607">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_Toc7096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5.1.2施工期水环境影响分析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_Toc7096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E125C7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_Toc25096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5.1.3施工期噪声影响分析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_Toc25096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81CC4C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_Toc3740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5.1.4施工期固体废物影响分析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_Toc3740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A2D4FF4">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_Toc8071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5.1.5施工期生态环境影响分析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_Toc8071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C2B2376">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_Toc10565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5.2运营期环境影响分析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_Toc10565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905DD6E">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_Toc5436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5.2.1大气环境影响预测评价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_Toc5436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2981BA5">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_Toc14774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5.2.2地表水环境影响分析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_Toc14774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146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503C7C9">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_Toc18266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5.2.3地下水环境影响评价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_Toc18266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152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F73E6C7">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_Toc20647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5.2.4声环境影响预测评价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_Toc20647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157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AC7206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_Toc29634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5.2.5固体废物环境影响评价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_Toc29634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159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D4C1059">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_Toc3162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5.2.6生态环境影响分析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_Toc3162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263D4CC">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_Toc16397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5.2.7风险环境影响分析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_Toc16397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3D431A2">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_Toc25332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snapToGrid w:val="0"/>
          <w:color w:val="auto"/>
          <w:highlight w:val="none"/>
        </w:rPr>
        <w:t>6环境保护措施及其可行性分析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_Toc25332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96FF083">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_Toc23792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6.1施工期环境保护措施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_Toc23792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2140B8A">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_Toc12502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6.1.1大气环境保护措施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_Toc12502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2D1DCA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_Toc29123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6.1.2废水环境保护措施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_Toc29123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9EEB193">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_Toc12940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6.1.3噪声环境保护措施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_Toc12940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0F74FEE">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_Toc31022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6.1.4固体废物环境保护措施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_Toc31022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A066A8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_Toc3906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6.1.5生态环境保护措施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_Toc3906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B047C2B">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_Toc16455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6.2运营期污染防治措施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_Toc16455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C9D257D">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_Toc32743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6.2.1大气环境保护措施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_Toc32743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169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2D852CA">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_Toc940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6.2.2地表水环境保护措施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_Toc940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172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060219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_Toc16483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6.2.3地下水环境保护措施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_Toc16483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175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9E894F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_Toc16985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6.2.4噪声环境保护措施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_Toc16985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33E9205">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_Toc9105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6.2.5固体废物环境保护措施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_Toc9105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1E0282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_Toc23632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6.2.6环境风险防范措施</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_Toc23632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AB1831B">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_Toc10192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6.3环境保护投资估算</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_Toc10192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1607CB3">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_Toc838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 环境影响经济损益分析</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_Toc838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5B2E413">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_Toc6514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7.1 社会效益</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_Toc6514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2970EE9">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_Toc31059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7.2 经济效益</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_Toc31059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0E93176">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_Toc700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7.2.1环境代价</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_Toc700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189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801795A">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_Toc20819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7.2.2环境成本</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_Toc20819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357D5F1">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_Toc29900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7.3 环境效益</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_Toc29900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F5A0F49">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_Toc11666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7.4 分析结论</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_Toc11666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47F540E">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_Toc26331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 环境管理及监测计划</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_Toc26331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2510887">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_Toc26782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8.1环境管理</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_Toc26782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42C2080">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_Toc4396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8.1.1环境管理体系</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_Toc4396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16C67A4">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_Toc10735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8.1.2环境管理内容</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_Toc10735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D82A9EF">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_Toc5263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8.1.3污染物排放管理要求</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_Toc5263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4194B468">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_Toc12645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8.1.4排污口管理信息</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_Toc12645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119D5A4">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_Toc4716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8.1.5企业信息公开</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_Toc4716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C5D4B94">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_Toc8108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8.2环境监测计划</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_Toc8108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2294DF5">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_Toc8734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8.2.1环境监测机构职责</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_Toc8734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188894B">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_Toc10918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8.2.2环境监测计划</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_Toc10918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B5F5027">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_Toc30244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8.2.3监测资料管理</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_Toc30244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8DC088C">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_Toc26195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8.3竣工环境保护验收管理</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_Toc26195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199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034852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_Toc22525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8.3.1环境保护验收条件</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_Toc22525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8DF6481">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_Toc19918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8.3.2竣工环境保护验收内容</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_Toc19918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3552B3B">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_Toc6046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8.4 总量控制</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_Toc6046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E6E36B6">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_Toc21845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32"/>
          <w:highlight w:val="none"/>
        </w:rPr>
        <w:t>8.4.1 总量控制的原则</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_Toc21845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F1C8ACF">
      <w:pPr>
        <w:pStyle w:val="22"/>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_Toc13288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32"/>
          <w:highlight w:val="none"/>
        </w:rPr>
        <w:t>8.4.2 实施总量控制的项目</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_Toc13288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D5B34BE">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_Toc21883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snapToGrid w:val="0"/>
          <w:color w:val="auto"/>
          <w:kern w:val="0"/>
          <w:szCs w:val="32"/>
          <w:highlight w:val="none"/>
        </w:rPr>
        <w:t>8.5 排污许可证制度衔接</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_Toc21883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482D0C9">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_Toc27531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snapToGrid w:val="0"/>
          <w:color w:val="auto"/>
          <w:kern w:val="0"/>
          <w:highlight w:val="none"/>
        </w:rPr>
        <w:t>9结论与建议</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_Toc27531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DA11DCF">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_Toc24817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9.1项目概况</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_Toc24817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5593ADB">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_Toc8753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9.2建设项目与相关产业政策相符性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_Toc8753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C99E441">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_Toc24966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9.3环境质量现状评价结论</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_Toc24966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82B3362">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_Toc9204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9.4环境影响评价结论</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_Toc9204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31E86DE">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_Toc32343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9.5 环境保护措施及其可行性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_Toc32343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208</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4DEA6A7">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_Toc24921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9.6 污染物排放总量控制</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_Toc24921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383D504">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_Toc7233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9.7 环境经济损益分析结论</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_Toc7233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FBD2557">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_Toc20595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9.8公众参与采纳情况</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_Toc20595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7BFFE1D">
      <w:pPr>
        <w:pStyle w:val="36"/>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_Toc4878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highlight w:val="none"/>
        </w:rPr>
        <w:t>9.9环境影响评价综合结论</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_Toc4878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209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F683BBB">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_Toc17373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24"/>
          <w:highlight w:val="none"/>
        </w:rPr>
        <w:t>附图1  项目地理位置图</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_Toc17373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87022C0">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_Toc17661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24"/>
          <w:highlight w:val="none"/>
          <w:lang w:val="en-US" w:eastAsia="zh-CN"/>
        </w:rPr>
        <w:t>附图2：现场照片</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_Toc17661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223441E">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_Toc20130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24"/>
          <w:highlight w:val="none"/>
        </w:rPr>
        <w:t>附图</w:t>
      </w:r>
      <w:r>
        <w:rPr>
          <w:rFonts w:hint="eastAsia" w:ascii="黑体" w:hAnsi="黑体" w:eastAsia="黑体" w:cs="黑体"/>
          <w:bCs/>
          <w:i w:val="0"/>
          <w:iCs w:val="0"/>
          <w:color w:val="auto"/>
          <w:szCs w:val="24"/>
          <w:highlight w:val="none"/>
          <w:lang w:val="en-US" w:eastAsia="zh-CN"/>
        </w:rPr>
        <w:t>3</w:t>
      </w:r>
      <w:r>
        <w:rPr>
          <w:rFonts w:hint="eastAsia" w:ascii="黑体" w:hAnsi="黑体" w:eastAsia="黑体" w:cs="黑体"/>
          <w:bCs/>
          <w:i w:val="0"/>
          <w:iCs w:val="0"/>
          <w:color w:val="auto"/>
          <w:szCs w:val="24"/>
          <w:highlight w:val="none"/>
        </w:rPr>
        <w:t xml:space="preserve">  厂区平面布置图</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_Toc20130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E19808F">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_Toc29587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24"/>
          <w:highlight w:val="none"/>
        </w:rPr>
        <w:t>附图</w:t>
      </w:r>
      <w:r>
        <w:rPr>
          <w:rFonts w:hint="eastAsia" w:ascii="黑体" w:hAnsi="黑体" w:eastAsia="黑体" w:cs="黑体"/>
          <w:bCs/>
          <w:i w:val="0"/>
          <w:iCs w:val="0"/>
          <w:color w:val="auto"/>
          <w:szCs w:val="24"/>
          <w:highlight w:val="none"/>
          <w:lang w:val="en-US" w:eastAsia="zh-CN"/>
        </w:rPr>
        <w:t>4</w:t>
      </w:r>
      <w:r>
        <w:rPr>
          <w:rFonts w:hint="eastAsia" w:ascii="黑体" w:hAnsi="黑体" w:eastAsia="黑体" w:cs="黑体"/>
          <w:bCs/>
          <w:i w:val="0"/>
          <w:iCs w:val="0"/>
          <w:color w:val="auto"/>
          <w:szCs w:val="24"/>
          <w:highlight w:val="none"/>
        </w:rPr>
        <w:t xml:space="preserve">  </w:t>
      </w:r>
      <w:r>
        <w:rPr>
          <w:rFonts w:hint="eastAsia" w:ascii="黑体" w:hAnsi="黑体" w:eastAsia="黑体" w:cs="黑体"/>
          <w:bCs/>
          <w:i w:val="0"/>
          <w:iCs w:val="0"/>
          <w:color w:val="auto"/>
          <w:szCs w:val="24"/>
          <w:highlight w:val="none"/>
          <w:lang w:val="en-US" w:eastAsia="zh-CN"/>
        </w:rPr>
        <w:t>生产车间</w:t>
      </w:r>
      <w:r>
        <w:rPr>
          <w:rFonts w:hint="eastAsia" w:ascii="黑体" w:hAnsi="黑体" w:eastAsia="黑体" w:cs="黑体"/>
          <w:bCs/>
          <w:i w:val="0"/>
          <w:iCs w:val="0"/>
          <w:color w:val="auto"/>
          <w:szCs w:val="24"/>
          <w:highlight w:val="none"/>
        </w:rPr>
        <w:t>布置图</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_Toc29587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5F97938">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_Toc17490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bCs/>
          <w:i w:val="0"/>
          <w:iCs w:val="0"/>
          <w:color w:val="auto"/>
          <w:szCs w:val="24"/>
          <w:highlight w:val="none"/>
          <w:lang w:val="en-US" w:eastAsia="zh-CN"/>
        </w:rPr>
        <w:t>附图5：土地利用现状图</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_Toc17490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214</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F2A678C">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_Toc7892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附件1：</w:t>
      </w:r>
      <w:r>
        <w:rPr>
          <w:rFonts w:hint="eastAsia" w:ascii="黑体" w:hAnsi="黑体" w:eastAsia="黑体" w:cs="黑体"/>
          <w:i w:val="0"/>
          <w:iCs w:val="0"/>
          <w:color w:val="auto"/>
          <w:szCs w:val="24"/>
          <w:highlight w:val="none"/>
          <w:lang w:val="en-US" w:eastAsia="zh-CN"/>
        </w:rPr>
        <w:t>企业投资项目备案承诺书</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_Toc7892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512FA97">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_Toc13635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附件2：</w:t>
      </w:r>
      <w:r>
        <w:rPr>
          <w:rFonts w:hint="eastAsia" w:ascii="黑体" w:hAnsi="黑体" w:eastAsia="黑体" w:cs="黑体"/>
          <w:i w:val="0"/>
          <w:iCs w:val="0"/>
          <w:color w:val="auto"/>
          <w:szCs w:val="24"/>
          <w:highlight w:val="none"/>
          <w:lang w:val="en-US" w:eastAsia="zh-CN"/>
        </w:rPr>
        <w:t>选址报告</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_Toc13635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216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556DF6FB">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_Toc8116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附件3：用水情况说明</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_Toc8116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220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36BD2C0">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_Toc28931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附件</w:t>
      </w:r>
      <w:r>
        <w:rPr>
          <w:rFonts w:hint="eastAsia" w:ascii="黑体" w:hAnsi="黑体" w:eastAsia="黑体" w:cs="黑体"/>
          <w:i w:val="0"/>
          <w:iCs w:val="0"/>
          <w:color w:val="auto"/>
          <w:szCs w:val="24"/>
          <w:highlight w:val="none"/>
          <w:lang w:val="en-US" w:eastAsia="zh-CN"/>
        </w:rPr>
        <w:t>4</w:t>
      </w:r>
      <w:r>
        <w:rPr>
          <w:rFonts w:hint="eastAsia" w:ascii="黑体" w:hAnsi="黑体" w:eastAsia="黑体" w:cs="黑体"/>
          <w:i w:val="0"/>
          <w:iCs w:val="0"/>
          <w:color w:val="auto"/>
          <w:szCs w:val="24"/>
          <w:highlight w:val="none"/>
        </w:rPr>
        <w:t>：监测报告</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_Toc28931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226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1B98A306">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_Toc22394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附件5：无害化处理协议</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_Toc22394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236</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3EF84D4">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_Toc27132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附件6：用地情况说明</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_Toc27132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240</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C64258F">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_Toc18227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附件7：竞价确认书</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_Toc18227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243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A800AF9">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_Toc32266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附件8：营业执照</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_Toc32266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251</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CAD6A09">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_Toc2045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附件9：分区管控情况说明</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_Toc2045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252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674BF545">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_Toc20720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lang w:val="en-US" w:eastAsia="zh-CN"/>
        </w:rPr>
        <w:t>附件10：卫生防护距离计算说明：</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_Toc20720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265</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DAA662B">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_Toc11043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附表1  建设项目大气环境影响评价自查表</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_Toc11043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267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E5B2A25">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_Toc276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附表2  建设项目地表水环境影响评价自查表</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_Toc276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269</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3F352EC2">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_Toc1685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附表3  声环境影响评价自查表</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_Toc1685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272</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7C4C8FBE">
      <w:pPr>
        <w:pStyle w:val="31"/>
        <w:tabs>
          <w:tab w:val="right" w:leader="dot" w:pos="8306"/>
        </w:tabs>
        <w:spacing w:line="240" w:lineRule="auto"/>
        <w:rPr>
          <w:rFonts w:hint="eastAsia" w:ascii="黑体" w:hAnsi="黑体" w:eastAsia="黑体" w:cs="黑体"/>
          <w:i w:val="0"/>
          <w:iCs w:val="0"/>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_Toc319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附表4  环境风险自查表</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_Toc319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273</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024065D5">
      <w:pPr>
        <w:pStyle w:val="31"/>
        <w:tabs>
          <w:tab w:val="right" w:leader="dot" w:pos="8306"/>
        </w:tabs>
        <w:spacing w:line="240" w:lineRule="auto"/>
        <w:rPr>
          <w:color w:val="auto"/>
          <w:highlight w:val="none"/>
        </w:rPr>
      </w:pPr>
      <w:r>
        <w:rPr>
          <w:rFonts w:hint="eastAsia" w:ascii="黑体" w:hAnsi="黑体" w:eastAsia="黑体" w:cs="黑体"/>
          <w:i w:val="0"/>
          <w:iCs w:val="0"/>
          <w:snapToGrid w:val="0"/>
          <w:color w:val="auto"/>
          <w:kern w:val="0"/>
          <w:szCs w:val="24"/>
          <w:highlight w:val="none"/>
        </w:rPr>
        <w:fldChar w:fldCharType="begin"/>
      </w:r>
      <w:r>
        <w:rPr>
          <w:rFonts w:hint="eastAsia" w:ascii="黑体" w:hAnsi="黑体" w:eastAsia="黑体" w:cs="黑体"/>
          <w:i w:val="0"/>
          <w:iCs w:val="0"/>
          <w:snapToGrid w:val="0"/>
          <w:color w:val="auto"/>
          <w:kern w:val="0"/>
          <w:szCs w:val="24"/>
          <w:highlight w:val="none"/>
        </w:rPr>
        <w:instrText xml:space="preserve"> HYPERLINK \l _Toc19500 </w:instrText>
      </w:r>
      <w:r>
        <w:rPr>
          <w:rFonts w:hint="eastAsia" w:ascii="黑体" w:hAnsi="黑体" w:eastAsia="黑体" w:cs="黑体"/>
          <w:i w:val="0"/>
          <w:iCs w:val="0"/>
          <w:snapToGrid w:val="0"/>
          <w:color w:val="auto"/>
          <w:kern w:val="0"/>
          <w:szCs w:val="24"/>
          <w:highlight w:val="none"/>
        </w:rPr>
        <w:fldChar w:fldCharType="separate"/>
      </w:r>
      <w:r>
        <w:rPr>
          <w:rFonts w:hint="eastAsia" w:ascii="黑体" w:hAnsi="黑体" w:eastAsia="黑体" w:cs="黑体"/>
          <w:i w:val="0"/>
          <w:iCs w:val="0"/>
          <w:color w:val="auto"/>
          <w:szCs w:val="24"/>
          <w:highlight w:val="none"/>
        </w:rPr>
        <w:t>附表5  生态影响评价自查表</w:t>
      </w:r>
      <w:r>
        <w:rPr>
          <w:rFonts w:hint="eastAsia" w:ascii="黑体" w:hAnsi="黑体" w:eastAsia="黑体" w:cs="黑体"/>
          <w:i w:val="0"/>
          <w:iCs w:val="0"/>
          <w:color w:val="auto"/>
          <w:highlight w:val="none"/>
        </w:rPr>
        <w:tab/>
      </w:r>
      <w:r>
        <w:rPr>
          <w:rFonts w:hint="eastAsia" w:ascii="黑体" w:hAnsi="黑体" w:eastAsia="黑体" w:cs="黑体"/>
          <w:i w:val="0"/>
          <w:iCs w:val="0"/>
          <w:color w:val="auto"/>
          <w:highlight w:val="none"/>
        </w:rPr>
        <w:fldChar w:fldCharType="begin"/>
      </w:r>
      <w:r>
        <w:rPr>
          <w:rFonts w:hint="eastAsia" w:ascii="黑体" w:hAnsi="黑体" w:eastAsia="黑体" w:cs="黑体"/>
          <w:i w:val="0"/>
          <w:iCs w:val="0"/>
          <w:color w:val="auto"/>
          <w:highlight w:val="none"/>
        </w:rPr>
        <w:instrText xml:space="preserve"> PAGEREF _Toc19500 \h </w:instrText>
      </w:r>
      <w:r>
        <w:rPr>
          <w:rFonts w:hint="eastAsia" w:ascii="黑体" w:hAnsi="黑体" w:eastAsia="黑体" w:cs="黑体"/>
          <w:i w:val="0"/>
          <w:iCs w:val="0"/>
          <w:color w:val="auto"/>
          <w:highlight w:val="none"/>
        </w:rPr>
        <w:fldChar w:fldCharType="separate"/>
      </w:r>
      <w:r>
        <w:rPr>
          <w:rFonts w:hint="eastAsia" w:ascii="黑体" w:hAnsi="黑体" w:eastAsia="黑体" w:cs="黑体"/>
          <w:i w:val="0"/>
          <w:iCs w:val="0"/>
          <w:color w:val="auto"/>
          <w:highlight w:val="none"/>
        </w:rPr>
        <w:t>277</w:t>
      </w:r>
      <w:r>
        <w:rPr>
          <w:rFonts w:hint="eastAsia" w:ascii="黑体" w:hAnsi="黑体" w:eastAsia="黑体" w:cs="黑体"/>
          <w:i w:val="0"/>
          <w:iCs w:val="0"/>
          <w:color w:val="auto"/>
          <w:highlight w:val="none"/>
        </w:rPr>
        <w:fldChar w:fldCharType="end"/>
      </w:r>
      <w:r>
        <w:rPr>
          <w:rFonts w:hint="eastAsia" w:ascii="黑体" w:hAnsi="黑体" w:eastAsia="黑体" w:cs="黑体"/>
          <w:i w:val="0"/>
          <w:iCs w:val="0"/>
          <w:snapToGrid w:val="0"/>
          <w:color w:val="auto"/>
          <w:kern w:val="0"/>
          <w:szCs w:val="24"/>
          <w:highlight w:val="none"/>
        </w:rPr>
        <w:fldChar w:fldCharType="end"/>
      </w:r>
    </w:p>
    <w:p w14:paraId="2801E951">
      <w:pPr>
        <w:spacing w:line="440" w:lineRule="exact"/>
        <w:ind w:firstLine="0" w:firstLineChars="0"/>
        <w:rPr>
          <w:rFonts w:hint="eastAsia" w:ascii="黑体" w:hAnsi="黑体" w:eastAsia="黑体" w:cs="黑体"/>
          <w:snapToGrid w:val="0"/>
          <w:color w:val="auto"/>
          <w:kern w:val="0"/>
          <w:szCs w:val="24"/>
          <w:highlight w:val="none"/>
          <w:lang w:val="zh-CN"/>
        </w:rPr>
      </w:pPr>
      <w:r>
        <w:rPr>
          <w:rFonts w:hint="eastAsia" w:ascii="黑体" w:hAnsi="黑体" w:eastAsia="黑体" w:cs="黑体"/>
          <w:snapToGrid w:val="0"/>
          <w:color w:val="auto"/>
          <w:kern w:val="0"/>
          <w:szCs w:val="24"/>
          <w:highlight w:val="none"/>
        </w:rPr>
        <w:fldChar w:fldCharType="end"/>
      </w:r>
    </w:p>
    <w:p w14:paraId="50E6BF97">
      <w:pPr>
        <w:spacing w:line="440" w:lineRule="exact"/>
        <w:ind w:firstLine="0" w:firstLineChars="0"/>
        <w:rPr>
          <w:rFonts w:hint="eastAsia" w:ascii="黑体" w:hAnsi="黑体" w:eastAsia="黑体" w:cs="黑体"/>
          <w:snapToGrid w:val="0"/>
          <w:color w:val="auto"/>
          <w:kern w:val="0"/>
          <w:szCs w:val="24"/>
          <w:highlight w:val="none"/>
          <w:lang w:val="zh-CN"/>
        </w:rPr>
        <w:sectPr>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720" w:num="1"/>
          <w:docGrid w:type="lines" w:linePitch="312" w:charSpace="0"/>
        </w:sectPr>
      </w:pPr>
    </w:p>
    <w:p w14:paraId="34C04F67">
      <w:pPr>
        <w:pStyle w:val="2"/>
        <w:spacing w:line="360" w:lineRule="auto"/>
        <w:rPr>
          <w:rFonts w:cs="Times New Roman"/>
          <w:snapToGrid w:val="0"/>
          <w:color w:val="auto"/>
          <w:highlight w:val="none"/>
        </w:rPr>
      </w:pPr>
      <w:bookmarkStart w:id="2" w:name="_Toc439236473"/>
      <w:bookmarkStart w:id="3" w:name="_Toc477190959"/>
      <w:bookmarkStart w:id="4" w:name="_Toc472585611"/>
      <w:bookmarkStart w:id="5" w:name="_Toc15636"/>
      <w:bookmarkStart w:id="6" w:name="_Toc475378597"/>
      <w:r>
        <w:rPr>
          <w:rFonts w:cs="Times New Roman"/>
          <w:snapToGrid w:val="0"/>
          <w:color w:val="auto"/>
          <w:highlight w:val="none"/>
        </w:rPr>
        <w:t>1概述</w:t>
      </w:r>
      <w:bookmarkEnd w:id="2"/>
      <w:bookmarkEnd w:id="3"/>
      <w:bookmarkEnd w:id="4"/>
      <w:bookmarkEnd w:id="5"/>
    </w:p>
    <w:p w14:paraId="714321F8">
      <w:pPr>
        <w:pStyle w:val="3"/>
        <w:spacing w:before="156" w:after="156"/>
        <w:rPr>
          <w:rFonts w:cs="Times New Roman"/>
          <w:color w:val="auto"/>
          <w:highlight w:val="none"/>
        </w:rPr>
      </w:pPr>
      <w:bookmarkStart w:id="7" w:name="_Toc1962"/>
      <w:r>
        <w:rPr>
          <w:rFonts w:cs="Times New Roman"/>
          <w:color w:val="auto"/>
          <w:highlight w:val="none"/>
        </w:rPr>
        <w:t>1.1项目由来</w:t>
      </w:r>
      <w:bookmarkEnd w:id="7"/>
    </w:p>
    <w:p w14:paraId="4E42A564">
      <w:pPr>
        <w:widowControl/>
        <w:spacing w:line="500" w:lineRule="exact"/>
        <w:jc w:val="left"/>
        <w:rPr>
          <w:rFonts w:hint="eastAsia" w:ascii="Times New Roman" w:hAnsi="Times New Roman" w:cs="Times New Roman"/>
          <w:snapToGrid w:val="0"/>
          <w:color w:val="auto"/>
          <w:kern w:val="0"/>
          <w:highlight w:val="none"/>
          <w:lang w:val="en-US" w:eastAsia="zh-CN"/>
        </w:rPr>
      </w:pPr>
      <w:bookmarkStart w:id="8" w:name="_Hlk519695717"/>
      <w:r>
        <w:rPr>
          <w:rFonts w:hint="eastAsia" w:ascii="Times New Roman" w:hAnsi="Times New Roman" w:cs="Times New Roman"/>
          <w:snapToGrid w:val="0"/>
          <w:color w:val="auto"/>
          <w:kern w:val="0"/>
          <w:highlight w:val="none"/>
          <w:lang w:val="en-US" w:eastAsia="zh-CN"/>
        </w:rPr>
        <w:t xml:space="preserve">近年来，随着居民生活水平的不断提升，大众对优质肉类产品的需求日益增长。在此背景下，黑龙江省双鸭山市的畜牧产业也迎来了新的发展机遇，当地政府积极推动畜牧产业转型升级，力求将其打造成为农业经济增长的新引擎。              </w:t>
      </w:r>
    </w:p>
    <w:p w14:paraId="46E62EDD">
      <w:pPr>
        <w:widowControl/>
        <w:spacing w:line="500" w:lineRule="exact"/>
        <w:jc w:val="left"/>
        <w:rPr>
          <w:rFonts w:ascii="Times New Roman" w:hAnsi="Times New Roman" w:cs="Times New Roman"/>
          <w:snapToGrid w:val="0"/>
          <w:color w:val="auto"/>
          <w:kern w:val="0"/>
          <w:highlight w:val="none"/>
        </w:rPr>
      </w:pPr>
      <w:r>
        <w:rPr>
          <w:rFonts w:hint="eastAsia" w:ascii="Times New Roman" w:hAnsi="Times New Roman" w:cs="Times New Roman"/>
          <w:snapToGrid w:val="0"/>
          <w:color w:val="auto"/>
          <w:kern w:val="0"/>
          <w:highlight w:val="none"/>
          <w:lang w:val="en-US" w:eastAsia="zh-CN"/>
        </w:rPr>
        <w:t>双鸭山市岭东区在这一浪潮中积极作为，大力培育扶持民营企业，深入挖掘畜牧经济的增长潜力。</w:t>
      </w:r>
      <w:r>
        <w:rPr>
          <w:rFonts w:hint="default" w:ascii="Times New Roman" w:hAnsi="Times New Roman" w:cs="Times New Roman"/>
          <w:snapToGrid w:val="0"/>
          <w:color w:val="auto"/>
          <w:kern w:val="0"/>
          <w:highlight w:val="none"/>
          <w:lang w:val="en-US" w:eastAsia="zh-CN"/>
        </w:rPr>
        <w:t>2024</w:t>
      </w:r>
      <w:r>
        <w:rPr>
          <w:rFonts w:hint="eastAsia" w:ascii="Times New Roman" w:hAnsi="Times New Roman" w:cs="Times New Roman"/>
          <w:snapToGrid w:val="0"/>
          <w:color w:val="auto"/>
          <w:kern w:val="0"/>
          <w:highlight w:val="none"/>
          <w:lang w:val="en-US" w:eastAsia="zh-CN"/>
        </w:rPr>
        <w:t>年，岭东区的畜牧业产值成功突破</w:t>
      </w:r>
      <w:r>
        <w:rPr>
          <w:rFonts w:hint="default" w:ascii="Times New Roman" w:hAnsi="Times New Roman" w:cs="Times New Roman"/>
          <w:snapToGrid w:val="0"/>
          <w:color w:val="auto"/>
          <w:kern w:val="0"/>
          <w:highlight w:val="none"/>
          <w:lang w:val="en-US" w:eastAsia="zh-CN"/>
        </w:rPr>
        <w:t>5000</w:t>
      </w:r>
      <w:r>
        <w:rPr>
          <w:rFonts w:hint="eastAsia" w:ascii="Times New Roman" w:hAnsi="Times New Roman" w:cs="Times New Roman"/>
          <w:snapToGrid w:val="0"/>
          <w:color w:val="auto"/>
          <w:kern w:val="0"/>
          <w:highlight w:val="none"/>
          <w:lang w:val="en-US" w:eastAsia="zh-CN"/>
        </w:rPr>
        <w:t>万元，同比增长</w:t>
      </w:r>
      <w:r>
        <w:rPr>
          <w:rFonts w:hint="default" w:ascii="Times New Roman" w:hAnsi="Times New Roman" w:cs="Times New Roman"/>
          <w:snapToGrid w:val="0"/>
          <w:color w:val="auto"/>
          <w:kern w:val="0"/>
          <w:highlight w:val="none"/>
          <w:lang w:val="en-US" w:eastAsia="zh-CN"/>
        </w:rPr>
        <w:t>5.5%</w:t>
      </w:r>
      <w:r>
        <w:rPr>
          <w:rFonts w:hint="eastAsia" w:ascii="Times New Roman" w:hAnsi="Times New Roman" w:cs="Times New Roman"/>
          <w:snapToGrid w:val="0"/>
          <w:color w:val="auto"/>
          <w:kern w:val="0"/>
          <w:highlight w:val="none"/>
          <w:lang w:val="en-US" w:eastAsia="zh-CN"/>
        </w:rPr>
        <w:t xml:space="preserve">，呈现出良好的发展态势。同时，构建起区、乡、村三级全覆盖的畜牧兽医公共服务体系，配备专业技术人员推广先进养殖技术，以秀丽养殖场的无公害养殖模式为标杆，推动全区生态健康养殖模式的广泛应用。在产业发展过程中，岭东区持续强化畜牧产业保障服务体系建设。  </w:t>
      </w:r>
    </w:p>
    <w:p w14:paraId="62D8EF7D">
      <w:pPr>
        <w:widowControl/>
        <w:spacing w:line="500" w:lineRule="exact"/>
        <w:jc w:val="left"/>
        <w:rPr>
          <w:rFonts w:cs="Times New Roman"/>
          <w:color w:val="auto"/>
          <w:highlight w:val="none"/>
        </w:rPr>
      </w:pPr>
      <w:r>
        <w:rPr>
          <w:rFonts w:hint="eastAsia" w:cs="Times New Roman"/>
          <w:snapToGrid w:val="0"/>
          <w:color w:val="auto"/>
          <w:kern w:val="0"/>
          <w:highlight w:val="none"/>
          <w:lang w:val="en-US" w:eastAsia="zh-CN"/>
        </w:rPr>
        <w:t>然而，随着</w:t>
      </w:r>
      <w:r>
        <w:rPr>
          <w:rFonts w:hint="eastAsia" w:ascii="Times New Roman" w:hAnsi="Times New Roman" w:cs="Times New Roman"/>
          <w:snapToGrid w:val="0"/>
          <w:color w:val="auto"/>
          <w:kern w:val="0"/>
          <w:highlight w:val="none"/>
          <w:lang w:val="en-US" w:eastAsia="zh-CN"/>
        </w:rPr>
        <w:t>当地畜牧养殖规模不断扩大，但屠宰加工环节相对薄弱的问题逐渐凸显。现有的屠宰加工能力已难以匹配日益增长的养殖规模，导致部分畜禽产品需运往外地进行屠宰加工，这不仅增加了运输成本，还可能影响产品的新鲜度和品质。为了有效解决这一产业发展瓶颈，完善畜牧产业链条，提升区域内畜禽产品的附加值和市场竞争力，双鸭山市兴昌屠宰有限公司建设项目应运而生。项目建成后，将</w:t>
      </w:r>
      <w:r>
        <w:rPr>
          <w:rFonts w:hint="eastAsia" w:cs="Times New Roman"/>
          <w:snapToGrid w:val="0"/>
          <w:color w:val="auto"/>
          <w:kern w:val="0"/>
          <w:highlight w:val="none"/>
          <w:lang w:val="en-US" w:eastAsia="zh-CN"/>
        </w:rPr>
        <w:t>显著</w:t>
      </w:r>
      <w:r>
        <w:rPr>
          <w:rFonts w:hint="eastAsia" w:ascii="Times New Roman" w:hAnsi="Times New Roman" w:cs="Times New Roman"/>
          <w:snapToGrid w:val="0"/>
          <w:color w:val="auto"/>
          <w:kern w:val="0"/>
          <w:highlight w:val="none"/>
          <w:lang w:val="en-US" w:eastAsia="zh-CN"/>
        </w:rPr>
        <w:t>提升岭东区乃至双鸭山市的畜禽屠宰加工水平，实现养殖与 屠宰加工的协同发展，为当地畜牧产业的全链条升级提供有力支撑。</w:t>
      </w:r>
      <w:bookmarkEnd w:id="8"/>
    </w:p>
    <w:p w14:paraId="7DF7E385">
      <w:pPr>
        <w:spacing w:line="500" w:lineRule="exact"/>
        <w:rPr>
          <w:rFonts w:ascii="Times New Roman" w:hAnsi="Times New Roman" w:cs="Times New Roman"/>
          <w:snapToGrid w:val="0"/>
          <w:color w:val="auto"/>
          <w:kern w:val="0"/>
          <w:highlight w:val="none"/>
        </w:rPr>
      </w:pPr>
      <w:r>
        <w:rPr>
          <w:rFonts w:cs="Times New Roman"/>
          <w:color w:val="auto"/>
          <w:highlight w:val="none"/>
        </w:rPr>
        <w:t>根据《中华人民共和国环境影响评价法》及《建设项目环境保护管理条例》（国务院第682号令）的规定，本项目应进</w:t>
      </w:r>
      <w:r>
        <w:rPr>
          <w:rFonts w:ascii="Times New Roman" w:hAnsi="Times New Roman" w:cs="Times New Roman"/>
          <w:snapToGrid w:val="0"/>
          <w:color w:val="auto"/>
          <w:kern w:val="0"/>
          <w:highlight w:val="none"/>
        </w:rPr>
        <w:t>行环境影响评价。为此，</w:t>
      </w:r>
      <w:r>
        <w:rPr>
          <w:rFonts w:hint="eastAsia" w:ascii="Times New Roman" w:hAnsi="Times New Roman" w:cs="Times New Roman"/>
          <w:snapToGrid w:val="0"/>
          <w:color w:val="auto"/>
          <w:kern w:val="0"/>
          <w:highlight w:val="none"/>
          <w:lang w:val="en-US" w:eastAsia="zh-CN"/>
        </w:rPr>
        <w:t>双鸭山市兴昌屠宰有限公司</w:t>
      </w:r>
      <w:r>
        <w:rPr>
          <w:rFonts w:ascii="Times New Roman" w:hAnsi="Times New Roman" w:cs="Times New Roman"/>
          <w:snapToGrid w:val="0"/>
          <w:color w:val="auto"/>
          <w:kern w:val="0"/>
          <w:highlight w:val="none"/>
        </w:rPr>
        <w:t>委托</w:t>
      </w:r>
      <w:r>
        <w:rPr>
          <w:rFonts w:hint="default" w:ascii="Times New Roman" w:hAnsi="Times New Roman" w:cs="Times New Roman"/>
          <w:snapToGrid w:val="0"/>
          <w:color w:val="auto"/>
          <w:kern w:val="0"/>
          <w:highlight w:val="none"/>
          <w:lang w:val="en-US" w:eastAsia="zh-CN"/>
        </w:rPr>
        <w:t>黑龙江泽文生态环境科技有限公司</w:t>
      </w:r>
      <w:r>
        <w:rPr>
          <w:rFonts w:ascii="Times New Roman" w:hAnsi="Times New Roman" w:cs="Times New Roman"/>
          <w:snapToGrid w:val="0"/>
          <w:color w:val="auto"/>
          <w:kern w:val="0"/>
          <w:highlight w:val="none"/>
        </w:rPr>
        <w:t>承担“</w:t>
      </w:r>
      <w:r>
        <w:rPr>
          <w:rFonts w:hint="eastAsia" w:ascii="Times New Roman" w:hAnsi="Times New Roman" w:cs="Times New Roman"/>
          <w:snapToGrid w:val="0"/>
          <w:color w:val="auto"/>
          <w:kern w:val="0"/>
          <w:highlight w:val="none"/>
          <w:lang w:val="en-US" w:eastAsia="zh-CN"/>
        </w:rPr>
        <w:t>双鸭山市兴昌屠宰有限公司</w:t>
      </w:r>
      <w:r>
        <w:rPr>
          <w:rFonts w:ascii="Times New Roman" w:hAnsi="Times New Roman" w:cs="Times New Roman"/>
          <w:snapToGrid w:val="0"/>
          <w:color w:val="auto"/>
          <w:kern w:val="0"/>
          <w:highlight w:val="none"/>
        </w:rPr>
        <w:t>建设项目”的环境影响评价工作，接受委托后，本项目编制人员在项目现场调查的基础上，按照建设项目环境影响评价法律法规及技术导则的要求，编制完成了《</w:t>
      </w:r>
      <w:r>
        <w:rPr>
          <w:rFonts w:hint="eastAsia" w:ascii="Times New Roman" w:hAnsi="Times New Roman" w:cs="Times New Roman"/>
          <w:snapToGrid w:val="0"/>
          <w:color w:val="auto"/>
          <w:kern w:val="0"/>
          <w:highlight w:val="none"/>
          <w:lang w:val="en-US" w:eastAsia="zh-CN"/>
        </w:rPr>
        <w:t>双鸭山市兴昌屠宰有限公司</w:t>
      </w:r>
      <w:r>
        <w:rPr>
          <w:rFonts w:ascii="Times New Roman" w:hAnsi="Times New Roman" w:cs="Times New Roman"/>
          <w:snapToGrid w:val="0"/>
          <w:color w:val="auto"/>
          <w:kern w:val="0"/>
          <w:highlight w:val="none"/>
        </w:rPr>
        <w:t>建设项目》环境影响报告书，现提交生态环境主管部门审查。</w:t>
      </w:r>
    </w:p>
    <w:p w14:paraId="63BA92DA">
      <w:pPr>
        <w:pStyle w:val="3"/>
        <w:spacing w:before="156" w:after="156"/>
        <w:rPr>
          <w:rFonts w:cs="Times New Roman"/>
          <w:color w:val="auto"/>
          <w:highlight w:val="none"/>
        </w:rPr>
      </w:pPr>
      <w:bookmarkStart w:id="9" w:name="_Toc28009"/>
      <w:r>
        <w:rPr>
          <w:rFonts w:cs="Times New Roman"/>
          <w:color w:val="auto"/>
          <w:highlight w:val="none"/>
        </w:rPr>
        <w:t>1.2项目特点</w:t>
      </w:r>
      <w:bookmarkEnd w:id="9"/>
      <w:bookmarkStart w:id="10" w:name="_Hlk525388477"/>
    </w:p>
    <w:bookmarkEnd w:id="10"/>
    <w:p w14:paraId="6298F0AD">
      <w:pPr>
        <w:keepNext w:val="0"/>
        <w:keepLines w:val="0"/>
        <w:widowControl/>
        <w:suppressLineNumbers w:val="0"/>
        <w:tabs>
          <w:tab w:val="left" w:pos="3120"/>
        </w:tabs>
        <w:jc w:val="left"/>
        <w:rPr>
          <w:rFonts w:hint="eastAsia" w:eastAsia="宋体" w:cs="Times New Roman"/>
          <w:snapToGrid w:val="0"/>
          <w:color w:val="auto"/>
          <w:kern w:val="0"/>
          <w:szCs w:val="24"/>
          <w:highlight w:val="none"/>
          <w:lang w:eastAsia="zh-CN"/>
        </w:rPr>
      </w:pPr>
      <w:bookmarkStart w:id="11" w:name="_Hlk520816258"/>
      <w:r>
        <w:rPr>
          <w:rFonts w:cs="Times New Roman"/>
          <w:snapToGrid w:val="0"/>
          <w:color w:val="auto"/>
          <w:kern w:val="0"/>
          <w:szCs w:val="24"/>
          <w:highlight w:val="none"/>
        </w:rPr>
        <w:t>本项目拟建</w:t>
      </w:r>
      <w:r>
        <w:rPr>
          <w:rFonts w:ascii="Times New Roman" w:hAnsi="Times New Roman" w:cs="Times New Roman"/>
          <w:snapToGrid w:val="0"/>
          <w:color w:val="auto"/>
          <w:kern w:val="0"/>
          <w:szCs w:val="24"/>
          <w:highlight w:val="none"/>
        </w:rPr>
        <w:t>地点</w:t>
      </w:r>
      <w:r>
        <w:rPr>
          <w:rFonts w:ascii="Times New Roman" w:hAnsi="Times New Roman" w:cs="Times New Roman"/>
          <w:snapToGrid w:val="0"/>
          <w:color w:val="auto"/>
          <w:kern w:val="0"/>
          <w:szCs w:val="24"/>
          <w:highlight w:val="none"/>
        </w:rPr>
        <w:t>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ascii="Times New Roman" w:hAnsi="Times New Roman" w:cs="Times New Roman"/>
          <w:snapToGrid w:val="0"/>
          <w:color w:val="auto"/>
          <w:kern w:val="0"/>
          <w:szCs w:val="24"/>
          <w:highlight w:val="none"/>
        </w:rPr>
        <w:t>，项目东</w:t>
      </w:r>
      <w:r>
        <w:rPr>
          <w:rFonts w:hint="eastAsia" w:ascii="Times New Roman" w:hAnsi="Times New Roman" w:cs="Times New Roman"/>
          <w:snapToGrid w:val="0"/>
          <w:color w:val="auto"/>
          <w:kern w:val="0"/>
          <w:szCs w:val="24"/>
          <w:highlight w:val="none"/>
          <w:lang w:val="en-US" w:eastAsia="zh-CN"/>
        </w:rPr>
        <w:t>侧、南侧均为空地，北侧隔路为废弃平房</w:t>
      </w:r>
      <w:r>
        <w:rPr>
          <w:rFonts w:ascii="Times New Roman" w:hAnsi="Times New Roman" w:cs="Times New Roman"/>
          <w:snapToGrid w:val="0"/>
          <w:color w:val="auto"/>
          <w:kern w:val="0"/>
          <w:szCs w:val="24"/>
          <w:highlight w:val="none"/>
        </w:rPr>
        <w:t>，西侧</w:t>
      </w:r>
      <w:r>
        <w:rPr>
          <w:rFonts w:hint="eastAsia" w:ascii="Times New Roman" w:hAnsi="Times New Roman" w:cs="Times New Roman"/>
          <w:snapToGrid w:val="0"/>
          <w:color w:val="auto"/>
          <w:kern w:val="0"/>
          <w:szCs w:val="24"/>
          <w:highlight w:val="none"/>
          <w:lang w:val="en-US" w:eastAsia="zh-CN"/>
        </w:rPr>
        <w:t>隔路为金诺恒业机械制造有限公司</w:t>
      </w:r>
      <w:r>
        <w:rPr>
          <w:rFonts w:hint="eastAsia" w:cs="Times New Roman"/>
          <w:snapToGrid w:val="0"/>
          <w:color w:val="auto"/>
          <w:kern w:val="0"/>
          <w:szCs w:val="24"/>
          <w:highlight w:val="none"/>
          <w:lang w:val="en-US" w:eastAsia="zh-CN"/>
        </w:rPr>
        <w:t>，距离本项目直线距离50米</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lang w:val="en-US" w:eastAsia="zh-CN"/>
        </w:rPr>
        <w:t>见附图2</w:t>
      </w:r>
      <w:r>
        <w:rPr>
          <w:rFonts w:hint="eastAsia" w:cs="Times New Roman"/>
          <w:snapToGrid w:val="0"/>
          <w:color w:val="auto"/>
          <w:kern w:val="0"/>
          <w:szCs w:val="24"/>
          <w:highlight w:val="none"/>
          <w:lang w:eastAsia="zh-CN"/>
        </w:rPr>
        <w:t>）。</w:t>
      </w:r>
      <w:r>
        <w:rPr>
          <w:rFonts w:ascii="Times New Roman" w:hAnsi="Times New Roman" w:cs="Times New Roman"/>
          <w:snapToGrid w:val="0"/>
          <w:color w:val="auto"/>
          <w:kern w:val="0"/>
          <w:szCs w:val="24"/>
          <w:highlight w:val="none"/>
        </w:rPr>
        <w:t>占地面积为</w:t>
      </w:r>
      <w:r>
        <w:rPr>
          <w:rFonts w:hint="eastAsia" w:ascii="Times New Roman" w:hAnsi="Times New Roman" w:cs="Times New Roman"/>
          <w:snapToGrid w:val="0"/>
          <w:color w:val="auto"/>
          <w:kern w:val="0"/>
          <w:szCs w:val="24"/>
          <w:highlight w:val="none"/>
          <w:lang w:val="en-US" w:eastAsia="zh-CN"/>
        </w:rPr>
        <w:t>36031</w:t>
      </w:r>
      <w:r>
        <w:rPr>
          <w:rFonts w:ascii="Times New Roman" w:hAnsi="Times New Roman" w:cs="Times New Roman"/>
          <w:snapToGrid w:val="0"/>
          <w:color w:val="auto"/>
          <w:kern w:val="0"/>
          <w:szCs w:val="24"/>
          <w:highlight w:val="none"/>
        </w:rPr>
        <w:t>m</w:t>
      </w:r>
      <w:r>
        <w:rPr>
          <w:rFonts w:ascii="Times New Roman" w:hAnsi="Times New Roman" w:cs="Times New Roman"/>
          <w:snapToGrid w:val="0"/>
          <w:color w:val="auto"/>
          <w:kern w:val="0"/>
          <w:szCs w:val="24"/>
          <w:highlight w:val="none"/>
          <w:vertAlign w:val="superscript"/>
        </w:rPr>
        <w:t>2</w:t>
      </w:r>
      <w:r>
        <w:rPr>
          <w:rFonts w:ascii="Times New Roman" w:hAnsi="Times New Roman" w:cs="Times New Roman"/>
          <w:snapToGrid w:val="0"/>
          <w:color w:val="auto"/>
          <w:kern w:val="0"/>
          <w:szCs w:val="24"/>
          <w:highlight w:val="none"/>
        </w:rPr>
        <w:t>，</w:t>
      </w:r>
      <w:r>
        <w:rPr>
          <w:rFonts w:cs="Times New Roman"/>
          <w:snapToGrid w:val="0"/>
          <w:color w:val="auto"/>
          <w:kern w:val="0"/>
          <w:highlight w:val="none"/>
        </w:rPr>
        <w:t>总建筑面积为</w:t>
      </w:r>
      <w:r>
        <w:rPr>
          <w:rFonts w:hint="eastAsia" w:cs="Times New Roman"/>
          <w:snapToGrid w:val="0"/>
          <w:color w:val="auto"/>
          <w:kern w:val="0"/>
          <w:highlight w:val="none"/>
          <w:lang w:val="en-US" w:eastAsia="zh-CN"/>
        </w:rPr>
        <w:t>5789</w:t>
      </w:r>
      <w:r>
        <w:rPr>
          <w:rFonts w:cs="Times New Roman"/>
          <w:snapToGrid w:val="0"/>
          <w:color w:val="auto"/>
          <w:kern w:val="0"/>
          <w:highlight w:val="none"/>
        </w:rPr>
        <w:t>m</w:t>
      </w:r>
      <w:r>
        <w:rPr>
          <w:rFonts w:cs="Times New Roman"/>
          <w:snapToGrid w:val="0"/>
          <w:color w:val="auto"/>
          <w:kern w:val="0"/>
          <w:highlight w:val="none"/>
          <w:vertAlign w:val="superscript"/>
        </w:rPr>
        <w:t>2</w:t>
      </w:r>
      <w:r>
        <w:rPr>
          <w:rFonts w:cs="Times New Roman"/>
          <w:snapToGrid w:val="0"/>
          <w:color w:val="auto"/>
          <w:kern w:val="0"/>
          <w:highlight w:val="none"/>
        </w:rPr>
        <w:t>。</w:t>
      </w:r>
      <w:r>
        <w:rPr>
          <w:rFonts w:ascii="Times New Roman" w:hAnsi="Times New Roman" w:cs="Times New Roman"/>
          <w:snapToGrid w:val="0"/>
          <w:color w:val="auto"/>
          <w:kern w:val="0"/>
          <w:szCs w:val="24"/>
          <w:highlight w:val="none"/>
        </w:rPr>
        <w:t>拟建设</w:t>
      </w:r>
      <w:r>
        <w:rPr>
          <w:rFonts w:hint="eastAsia" w:cs="Times New Roman"/>
          <w:snapToGrid w:val="0"/>
          <w:color w:val="auto"/>
          <w:kern w:val="0"/>
          <w:szCs w:val="24"/>
          <w:highlight w:val="none"/>
          <w:lang w:val="en-US" w:eastAsia="zh-CN"/>
        </w:rPr>
        <w:t>待宰圈</w:t>
      </w:r>
      <w:r>
        <w:rPr>
          <w:rFonts w:hint="eastAsia" w:ascii="Times New Roman" w:hAnsi="Times New Roman" w:cs="Times New Roman"/>
          <w:snapToGrid w:val="0"/>
          <w:color w:val="auto"/>
          <w:kern w:val="0"/>
          <w:szCs w:val="24"/>
          <w:highlight w:val="none"/>
          <w:lang w:val="en-US" w:eastAsia="zh-CN"/>
        </w:rPr>
        <w:t>、屠宰车间、急宰间、污水处理设施、检疫检验室、冷库等</w:t>
      </w:r>
      <w:r>
        <w:rPr>
          <w:rFonts w:ascii="Times New Roman" w:hAnsi="Times New Roman" w:cs="Times New Roman"/>
          <w:snapToGrid w:val="0"/>
          <w:color w:val="auto"/>
          <w:kern w:val="0"/>
          <w:szCs w:val="24"/>
          <w:highlight w:val="none"/>
        </w:rPr>
        <w:t>。运营期主要是进行牛、羊的屠宰，</w:t>
      </w:r>
      <w:r>
        <w:rPr>
          <w:rFonts w:hint="eastAsia" w:ascii="Times New Roman" w:hAnsi="Times New Roman" w:cs="Times New Roman"/>
          <w:snapToGrid w:val="0"/>
          <w:color w:val="auto"/>
          <w:kern w:val="0"/>
          <w:szCs w:val="24"/>
          <w:highlight w:val="none"/>
        </w:rPr>
        <w:t>屠宰量为肉牛</w:t>
      </w:r>
      <w:r>
        <w:rPr>
          <w:rFonts w:hint="eastAsia" w:ascii="Times New Roman" w:hAnsi="Times New Roman" w:cs="Times New Roman"/>
          <w:snapToGrid w:val="0"/>
          <w:color w:val="auto"/>
          <w:kern w:val="0"/>
          <w:szCs w:val="24"/>
          <w:highlight w:val="none"/>
          <w:lang w:val="en-US" w:eastAsia="zh-CN"/>
        </w:rPr>
        <w:t>10</w:t>
      </w:r>
      <w:r>
        <w:rPr>
          <w:rFonts w:hint="eastAsia" w:ascii="Times New Roman" w:hAnsi="Times New Roman" w:cs="Times New Roman"/>
          <w:snapToGrid w:val="0"/>
          <w:color w:val="auto"/>
          <w:kern w:val="0"/>
          <w:szCs w:val="24"/>
          <w:highlight w:val="none"/>
        </w:rPr>
        <w:t>0头/d，肉羊</w:t>
      </w:r>
      <w:r>
        <w:rPr>
          <w:rFonts w:hint="eastAsia" w:ascii="Times New Roman" w:hAnsi="Times New Roman" w:cs="Times New Roman"/>
          <w:snapToGrid w:val="0"/>
          <w:color w:val="auto"/>
          <w:kern w:val="0"/>
          <w:szCs w:val="24"/>
          <w:highlight w:val="none"/>
          <w:lang w:val="en-US" w:eastAsia="zh-CN"/>
        </w:rPr>
        <w:t>500</w:t>
      </w:r>
      <w:r>
        <w:rPr>
          <w:rFonts w:hint="eastAsia" w:ascii="Times New Roman" w:hAnsi="Times New Roman" w:cs="Times New Roman"/>
          <w:snapToGrid w:val="0"/>
          <w:color w:val="auto"/>
          <w:kern w:val="0"/>
          <w:szCs w:val="24"/>
          <w:highlight w:val="none"/>
        </w:rPr>
        <w:t>只/d</w:t>
      </w:r>
      <w:r>
        <w:rPr>
          <w:rFonts w:hint="eastAsia" w:cs="Times New Roman"/>
          <w:snapToGrid w:val="0"/>
          <w:color w:val="auto"/>
          <w:kern w:val="0"/>
          <w:szCs w:val="24"/>
          <w:highlight w:val="none"/>
          <w:lang w:eastAsia="zh-CN"/>
        </w:rPr>
        <w:t>，</w:t>
      </w:r>
      <w:r>
        <w:rPr>
          <w:rFonts w:hint="eastAsia" w:cs="Times New Roman"/>
          <w:color w:val="auto"/>
          <w:highlight w:val="none"/>
        </w:rPr>
        <w:t>按设计3</w:t>
      </w:r>
      <w:r>
        <w:rPr>
          <w:rFonts w:hint="eastAsia" w:cs="Times New Roman"/>
          <w:color w:val="auto"/>
          <w:highlight w:val="none"/>
          <w:lang w:val="en-US" w:eastAsia="zh-CN"/>
        </w:rPr>
        <w:t>10</w:t>
      </w:r>
      <w:r>
        <w:rPr>
          <w:rFonts w:hint="eastAsia" w:cs="Times New Roman"/>
          <w:color w:val="auto"/>
          <w:highlight w:val="none"/>
        </w:rPr>
        <w:t>天工作计算，</w:t>
      </w:r>
      <w:r>
        <w:rPr>
          <w:rFonts w:hint="eastAsia" w:cs="Times New Roman"/>
          <w:color w:val="auto"/>
          <w:highlight w:val="none"/>
          <w:lang w:eastAsia="zh-CN"/>
        </w:rPr>
        <w:t>年屠宰肉牛</w:t>
      </w:r>
      <w:r>
        <w:rPr>
          <w:rFonts w:hint="eastAsia" w:cs="Times New Roman"/>
          <w:color w:val="auto"/>
          <w:highlight w:val="none"/>
          <w:lang w:val="en-US" w:eastAsia="zh-CN"/>
        </w:rPr>
        <w:t>31000</w:t>
      </w:r>
      <w:r>
        <w:rPr>
          <w:rFonts w:hint="eastAsia" w:cs="Times New Roman"/>
          <w:color w:val="auto"/>
          <w:highlight w:val="none"/>
          <w:lang w:eastAsia="zh-CN"/>
        </w:rPr>
        <w:t>头、肉羊</w:t>
      </w:r>
      <w:r>
        <w:rPr>
          <w:rFonts w:hint="eastAsia" w:cs="Times New Roman"/>
          <w:color w:val="auto"/>
          <w:highlight w:val="none"/>
          <w:lang w:val="en-US" w:eastAsia="zh-CN"/>
        </w:rPr>
        <w:t>155000</w:t>
      </w:r>
      <w:r>
        <w:rPr>
          <w:rFonts w:hint="eastAsia" w:cs="Times New Roman"/>
          <w:color w:val="auto"/>
          <w:highlight w:val="none"/>
          <w:lang w:eastAsia="zh-CN"/>
        </w:rPr>
        <w:t>只。</w:t>
      </w:r>
    </w:p>
    <w:p w14:paraId="46E666D1">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项目的屠宰牛、羊来自周边养殖场，饲养规范，并经当地动物防疫监督机构检验合格，符合清洁生产要求。</w:t>
      </w:r>
      <w:r>
        <w:rPr>
          <w:rFonts w:cs="Times New Roman"/>
          <w:color w:val="auto"/>
          <w:spacing w:val="12"/>
          <w:szCs w:val="24"/>
          <w:highlight w:val="none"/>
        </w:rPr>
        <w:t>牛、羊屠宰项目对环境的影响主要是</w:t>
      </w:r>
      <w:r>
        <w:rPr>
          <w:rFonts w:hint="eastAsia" w:cs="Times New Roman"/>
          <w:color w:val="auto"/>
          <w:spacing w:val="12"/>
          <w:szCs w:val="24"/>
          <w:highlight w:val="none"/>
          <w:lang w:val="en-US" w:eastAsia="zh-CN"/>
        </w:rPr>
        <w:t>以下</w:t>
      </w:r>
      <w:r>
        <w:rPr>
          <w:rFonts w:cs="Times New Roman"/>
          <w:color w:val="auto"/>
          <w:spacing w:val="12"/>
          <w:szCs w:val="24"/>
          <w:highlight w:val="none"/>
        </w:rPr>
        <w:t>几个方面：</w:t>
      </w:r>
    </w:p>
    <w:p w14:paraId="25320996">
      <w:pPr>
        <w:widowControl/>
        <w:spacing w:line="500" w:lineRule="exact"/>
        <w:ind w:firstLine="482"/>
        <w:jc w:val="left"/>
        <w:rPr>
          <w:rFonts w:cs="Times New Roman"/>
          <w:b/>
          <w:bCs/>
          <w:snapToGrid w:val="0"/>
          <w:color w:val="auto"/>
          <w:kern w:val="0"/>
          <w:szCs w:val="24"/>
          <w:highlight w:val="none"/>
        </w:rPr>
      </w:pPr>
      <w:r>
        <w:rPr>
          <w:rFonts w:cs="Times New Roman"/>
          <w:b/>
          <w:bCs/>
          <w:snapToGrid w:val="0"/>
          <w:color w:val="auto"/>
          <w:kern w:val="0"/>
          <w:szCs w:val="24"/>
          <w:highlight w:val="none"/>
        </w:rPr>
        <w:t>1、废气</w:t>
      </w:r>
    </w:p>
    <w:p w14:paraId="5E6118F8">
      <w:pPr>
        <w:widowControl/>
        <w:spacing w:line="500" w:lineRule="exact"/>
        <w:jc w:val="left"/>
        <w:rPr>
          <w:rFonts w:cs="Times New Roman"/>
          <w:snapToGrid w:val="0"/>
          <w:color w:val="auto"/>
          <w:kern w:val="0"/>
          <w:szCs w:val="24"/>
          <w:highlight w:val="none"/>
        </w:rPr>
      </w:pPr>
      <w:r>
        <w:rPr>
          <w:rFonts w:cs="Times New Roman"/>
          <w:color w:val="auto"/>
          <w:spacing w:val="-3"/>
          <w:szCs w:val="24"/>
          <w:highlight w:val="none"/>
        </w:rPr>
        <w:t>本项目运营期废气主要为</w:t>
      </w:r>
      <w:r>
        <w:rPr>
          <w:rFonts w:hint="eastAsia" w:cs="Times New Roman"/>
          <w:snapToGrid w:val="0"/>
          <w:color w:val="auto"/>
          <w:highlight w:val="none"/>
          <w:lang w:val="zh-CN"/>
        </w:rPr>
        <w:t>待宰圈</w:t>
      </w:r>
      <w:r>
        <w:rPr>
          <w:rFonts w:cs="Times New Roman"/>
          <w:snapToGrid w:val="0"/>
          <w:color w:val="auto"/>
          <w:highlight w:val="none"/>
          <w:lang w:val="zh-CN"/>
        </w:rPr>
        <w:t>、</w:t>
      </w:r>
      <w:r>
        <w:rPr>
          <w:rFonts w:hint="eastAsia" w:cs="Times New Roman"/>
          <w:snapToGrid w:val="0"/>
          <w:color w:val="auto"/>
          <w:highlight w:val="none"/>
          <w:lang w:val="en-US" w:eastAsia="zh-CN"/>
        </w:rPr>
        <w:t>急宰间、</w:t>
      </w:r>
      <w:r>
        <w:rPr>
          <w:rFonts w:cs="Times New Roman"/>
          <w:snapToGrid w:val="0"/>
          <w:color w:val="auto"/>
          <w:highlight w:val="none"/>
          <w:lang w:val="zh-CN"/>
        </w:rPr>
        <w:t>屠宰车间</w:t>
      </w:r>
      <w:r>
        <w:rPr>
          <w:rFonts w:hint="eastAsia" w:cs="Times New Roman"/>
          <w:snapToGrid w:val="0"/>
          <w:color w:val="auto"/>
          <w:highlight w:val="none"/>
          <w:lang w:val="en-US" w:eastAsia="zh-CN"/>
        </w:rPr>
        <w:t>、</w:t>
      </w:r>
      <w:r>
        <w:rPr>
          <w:rFonts w:cs="Times New Roman"/>
          <w:snapToGrid w:val="0"/>
          <w:color w:val="auto"/>
          <w:highlight w:val="none"/>
          <w:lang w:val="zh-CN"/>
        </w:rPr>
        <w:t>污水处理站</w:t>
      </w:r>
      <w:r>
        <w:rPr>
          <w:rFonts w:cs="Times New Roman"/>
          <w:color w:val="auto"/>
          <w:spacing w:val="12"/>
          <w:szCs w:val="24"/>
          <w:highlight w:val="none"/>
        </w:rPr>
        <w:t>、隔离</w:t>
      </w:r>
      <w:r>
        <w:rPr>
          <w:rFonts w:hint="eastAsia" w:cs="Times New Roman"/>
          <w:color w:val="auto"/>
          <w:spacing w:val="12"/>
          <w:szCs w:val="24"/>
          <w:highlight w:val="none"/>
          <w:lang w:val="en-US" w:eastAsia="zh-CN"/>
        </w:rPr>
        <w:t>间</w:t>
      </w:r>
      <w:r>
        <w:rPr>
          <w:rFonts w:cs="Times New Roman"/>
          <w:color w:val="auto"/>
          <w:spacing w:val="12"/>
          <w:szCs w:val="24"/>
          <w:highlight w:val="none"/>
        </w:rPr>
        <w:t>及</w:t>
      </w:r>
      <w:r>
        <w:rPr>
          <w:rFonts w:hint="eastAsia" w:cs="Times New Roman"/>
          <w:color w:val="auto"/>
          <w:spacing w:val="12"/>
          <w:szCs w:val="24"/>
          <w:highlight w:val="none"/>
          <w:lang w:val="en-US" w:eastAsia="zh-CN"/>
        </w:rPr>
        <w:t>固体废物</w:t>
      </w:r>
      <w:r>
        <w:rPr>
          <w:rFonts w:cs="Times New Roman"/>
          <w:snapToGrid w:val="0"/>
          <w:color w:val="auto"/>
          <w:highlight w:val="none"/>
        </w:rPr>
        <w:t>暂存间</w:t>
      </w:r>
      <w:r>
        <w:rPr>
          <w:rFonts w:cs="Times New Roman"/>
          <w:snapToGrid w:val="0"/>
          <w:color w:val="auto"/>
          <w:highlight w:val="none"/>
          <w:lang w:val="zh-CN"/>
        </w:rPr>
        <w:t>产生的恶臭废气。</w:t>
      </w:r>
    </w:p>
    <w:p w14:paraId="4DA49E49">
      <w:pPr>
        <w:widowControl/>
        <w:spacing w:line="500" w:lineRule="exact"/>
        <w:jc w:val="both"/>
        <w:rPr>
          <w:rFonts w:cs="Times New Roman"/>
          <w:snapToGrid w:val="0"/>
          <w:color w:val="auto"/>
          <w:highlight w:val="none"/>
          <w:lang w:val="zh-CN"/>
        </w:rPr>
      </w:pPr>
      <w:r>
        <w:rPr>
          <w:rFonts w:cs="Times New Roman"/>
          <w:color w:val="auto"/>
          <w:highlight w:val="none"/>
        </w:rPr>
        <w:t>屠宰车间产生的废气</w:t>
      </w:r>
      <w:r>
        <w:rPr>
          <w:rFonts w:hint="eastAsia" w:cs="Times New Roman"/>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color w:val="auto"/>
          <w:highlight w:val="none"/>
          <w:lang w:eastAsia="zh-CN"/>
        </w:rPr>
        <w:t>集中收集后</w:t>
      </w:r>
      <w:r>
        <w:rPr>
          <w:rFonts w:cs="Times New Roman"/>
          <w:color w:val="auto"/>
          <w:highlight w:val="none"/>
        </w:rPr>
        <w:t>（收集率约90%左右），通过</w:t>
      </w:r>
      <w:r>
        <w:rPr>
          <w:rFonts w:hint="eastAsia" w:cs="Times New Roman"/>
          <w:color w:val="auto"/>
          <w:highlight w:val="none"/>
          <w:lang w:val="en-US" w:eastAsia="zh-CN"/>
        </w:rPr>
        <w:t>冷凝除湿器+</w:t>
      </w:r>
      <w:r>
        <w:rPr>
          <w:rFonts w:cs="Times New Roman"/>
          <w:color w:val="auto"/>
          <w:highlight w:val="none"/>
        </w:rPr>
        <w:t>活性炭净化装置（</w:t>
      </w:r>
      <w:r>
        <w:rPr>
          <w:rFonts w:hint="eastAsia" w:cs="Times New Roman"/>
          <w:color w:val="auto"/>
          <w:highlight w:val="none"/>
          <w:lang w:eastAsia="zh-CN"/>
        </w:rPr>
        <w:t>净化效率80%</w:t>
      </w:r>
      <w:r>
        <w:rPr>
          <w:rFonts w:cs="Times New Roman"/>
          <w:color w:val="auto"/>
          <w:highlight w:val="none"/>
        </w:rPr>
        <w:t>）处理后，经15m高的排气筒DA001排放；</w:t>
      </w:r>
      <w:r>
        <w:rPr>
          <w:rFonts w:hint="eastAsia" w:cs="Times New Roman"/>
          <w:color w:val="auto"/>
          <w:highlight w:val="none"/>
          <w:lang w:val="en-US" w:eastAsia="zh-CN"/>
        </w:rPr>
        <w:t>急宰间、隔离间及固体废物暂存间</w:t>
      </w:r>
      <w:r>
        <w:rPr>
          <w:rFonts w:cs="Times New Roman"/>
          <w:color w:val="auto"/>
          <w:highlight w:val="none"/>
        </w:rPr>
        <w:t>废气</w:t>
      </w:r>
      <w:r>
        <w:rPr>
          <w:rFonts w:hint="eastAsia" w:cs="Times New Roman"/>
          <w:color w:val="auto"/>
          <w:highlight w:val="none"/>
          <w:lang w:eastAsia="zh-CN"/>
        </w:rPr>
        <w:t>采用微负压集中收集后</w:t>
      </w:r>
      <w:r>
        <w:rPr>
          <w:rFonts w:cs="Times New Roman"/>
          <w:color w:val="auto"/>
          <w:highlight w:val="none"/>
        </w:rPr>
        <w:t>（收集率约90%左右），通过一套活性炭净化装置（</w:t>
      </w:r>
      <w:r>
        <w:rPr>
          <w:rFonts w:hint="eastAsia" w:cs="Times New Roman"/>
          <w:color w:val="auto"/>
          <w:highlight w:val="none"/>
          <w:lang w:eastAsia="zh-CN"/>
        </w:rPr>
        <w:t>净化效率80%</w:t>
      </w:r>
      <w:r>
        <w:rPr>
          <w:rFonts w:cs="Times New Roman"/>
          <w:color w:val="auto"/>
          <w:highlight w:val="none"/>
        </w:rPr>
        <w:t>），净化后的废气</w:t>
      </w:r>
      <w:r>
        <w:rPr>
          <w:rFonts w:hint="eastAsia" w:cs="Times New Roman"/>
          <w:color w:val="auto"/>
          <w:highlight w:val="none"/>
          <w:lang w:val="en-US" w:eastAsia="zh-CN"/>
        </w:rPr>
        <w:t>与屠宰车间废气一同</w:t>
      </w:r>
      <w:r>
        <w:rPr>
          <w:rFonts w:cs="Times New Roman"/>
          <w:color w:val="auto"/>
          <w:highlight w:val="none"/>
        </w:rPr>
        <w:t>通过15m排气筒DA00</w:t>
      </w:r>
      <w:r>
        <w:rPr>
          <w:rFonts w:hint="eastAsia" w:cs="Times New Roman"/>
          <w:color w:val="auto"/>
          <w:highlight w:val="none"/>
          <w:lang w:val="en-US" w:eastAsia="zh-CN"/>
        </w:rPr>
        <w:t>1</w:t>
      </w:r>
      <w:r>
        <w:rPr>
          <w:rFonts w:cs="Times New Roman"/>
          <w:color w:val="auto"/>
          <w:highlight w:val="none"/>
        </w:rPr>
        <w:t>排放；</w:t>
      </w:r>
      <w:r>
        <w:rPr>
          <w:rFonts w:cs="Times New Roman"/>
          <w:color w:val="auto"/>
          <w:szCs w:val="24"/>
          <w:highlight w:val="none"/>
        </w:rPr>
        <w:t>污水处理站产生的废气，经负压收集</w:t>
      </w:r>
      <w:r>
        <w:rPr>
          <w:rFonts w:cs="Times New Roman"/>
          <w:color w:val="auto"/>
          <w:highlight w:val="none"/>
        </w:rPr>
        <w:t>（收集率约90%左右）</w:t>
      </w:r>
      <w:r>
        <w:rPr>
          <w:rFonts w:cs="Times New Roman"/>
          <w:color w:val="auto"/>
          <w:szCs w:val="24"/>
          <w:highlight w:val="none"/>
        </w:rPr>
        <w:t>至活性炭吸附装置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color w:val="auto"/>
          <w:szCs w:val="24"/>
          <w:highlight w:val="none"/>
        </w:rPr>
        <w:t>进行处理，处理后经15m高的排气筒DA00</w:t>
      </w:r>
      <w:r>
        <w:rPr>
          <w:rFonts w:hint="eastAsia" w:cs="Times New Roman"/>
          <w:color w:val="auto"/>
          <w:szCs w:val="24"/>
          <w:highlight w:val="none"/>
          <w:lang w:val="en-US" w:eastAsia="zh-CN"/>
        </w:rPr>
        <w:t>2</w:t>
      </w:r>
      <w:r>
        <w:rPr>
          <w:rFonts w:cs="Times New Roman"/>
          <w:color w:val="auto"/>
          <w:szCs w:val="24"/>
          <w:highlight w:val="none"/>
        </w:rPr>
        <w:t>排放</w:t>
      </w:r>
      <w:r>
        <w:rPr>
          <w:rFonts w:cs="Times New Roman"/>
          <w:snapToGrid w:val="0"/>
          <w:color w:val="auto"/>
          <w:highlight w:val="none"/>
        </w:rPr>
        <w:t>。</w:t>
      </w:r>
    </w:p>
    <w:p w14:paraId="08D16DDF">
      <w:pPr>
        <w:widowControl/>
        <w:spacing w:line="500" w:lineRule="exact"/>
        <w:jc w:val="left"/>
        <w:rPr>
          <w:rFonts w:cs="Times New Roman"/>
          <w:snapToGrid w:val="0"/>
          <w:color w:val="auto"/>
          <w:highlight w:val="none"/>
          <w:lang w:val="zh-CN"/>
        </w:rPr>
      </w:pPr>
      <w:r>
        <w:rPr>
          <w:rFonts w:cs="Times New Roman"/>
          <w:snapToGrid w:val="0"/>
          <w:color w:val="auto"/>
          <w:highlight w:val="none"/>
          <w:lang w:val="zh-CN"/>
        </w:rPr>
        <w:t>同时</w:t>
      </w:r>
      <w:r>
        <w:rPr>
          <w:rFonts w:cs="Times New Roman"/>
          <w:color w:val="auto"/>
          <w:highlight w:val="none"/>
        </w:rPr>
        <w:t>屠宰车间及时清洗清运，</w:t>
      </w:r>
      <w:r>
        <w:rPr>
          <w:rFonts w:cs="Times New Roman"/>
          <w:color w:val="auto"/>
          <w:highlight w:val="none"/>
        </w:rPr>
        <w:t>定期喷洒除臭剂</w:t>
      </w:r>
      <w:r>
        <w:rPr>
          <w:rFonts w:hint="eastAsia" w:cs="Times New Roman"/>
          <w:color w:val="auto"/>
          <w:highlight w:val="none"/>
          <w:lang w:val="en-US" w:eastAsia="zh-CN"/>
        </w:rPr>
        <w:t>作来为控制恶臭的辅助性手段</w:t>
      </w:r>
      <w:r>
        <w:rPr>
          <w:rFonts w:cs="Times New Roman"/>
          <w:snapToGrid w:val="0"/>
          <w:color w:val="auto"/>
          <w:highlight w:val="none"/>
          <w:lang w:val="zh-CN"/>
        </w:rPr>
        <w:t>；</w:t>
      </w:r>
      <w:r>
        <w:rPr>
          <w:rFonts w:hint="eastAsia" w:cs="Times New Roman"/>
          <w:snapToGrid w:val="0"/>
          <w:color w:val="auto"/>
          <w:highlight w:val="none"/>
          <w:lang w:eastAsia="zh-CN"/>
        </w:rPr>
        <w:t>待宰圈</w:t>
      </w:r>
      <w:r>
        <w:rPr>
          <w:rFonts w:hint="eastAsia" w:cs="Times New Roman"/>
          <w:snapToGrid w:val="0"/>
          <w:color w:val="auto"/>
          <w:highlight w:val="none"/>
        </w:rPr>
        <w:t>设置专人管理</w:t>
      </w:r>
      <w:r>
        <w:rPr>
          <w:rFonts w:cs="Times New Roman"/>
          <w:snapToGrid w:val="0"/>
          <w:color w:val="auto"/>
          <w:highlight w:val="none"/>
        </w:rPr>
        <w:t>，及时清理地面上的粪便及尿液，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rPr>
        <w:t>定期冲洗待地面</w:t>
      </w:r>
      <w:r>
        <w:rPr>
          <w:rFonts w:cs="Times New Roman"/>
          <w:snapToGrid w:val="0"/>
          <w:color w:val="auto"/>
          <w:highlight w:val="none"/>
        </w:rPr>
        <w:t>，同时定期喷洒</w:t>
      </w:r>
      <w:r>
        <w:rPr>
          <w:rFonts w:hint="eastAsia" w:cs="Times New Roman"/>
          <w:snapToGrid w:val="0"/>
          <w:color w:val="auto"/>
          <w:highlight w:val="none"/>
          <w:lang w:val="en-US" w:eastAsia="zh-CN"/>
        </w:rPr>
        <w:t>环保型</w:t>
      </w:r>
      <w:r>
        <w:rPr>
          <w:rFonts w:cs="Times New Roman"/>
          <w:snapToGrid w:val="0"/>
          <w:color w:val="auto"/>
          <w:highlight w:val="none"/>
        </w:rPr>
        <w:t>除臭剂，减少恶臭源的散发；屠宰车间及时清洗清运</w:t>
      </w:r>
      <w:r>
        <w:rPr>
          <w:rFonts w:hint="eastAsia" w:cs="Times New Roman"/>
          <w:snapToGrid w:val="0"/>
          <w:color w:val="auto"/>
          <w:highlight w:val="none"/>
        </w:rPr>
        <w:t>，</w:t>
      </w:r>
      <w:r>
        <w:rPr>
          <w:rFonts w:cs="Times New Roman"/>
          <w:snapToGrid w:val="0"/>
          <w:color w:val="auto"/>
          <w:highlight w:val="none"/>
        </w:rPr>
        <w:t>定期喷洒</w:t>
      </w:r>
      <w:r>
        <w:rPr>
          <w:rFonts w:hint="eastAsia" w:cs="Times New Roman"/>
          <w:snapToGrid w:val="0"/>
          <w:color w:val="auto"/>
          <w:highlight w:val="none"/>
          <w:lang w:val="en-US" w:eastAsia="zh-CN"/>
        </w:rPr>
        <w:t>环保型</w:t>
      </w:r>
      <w:r>
        <w:rPr>
          <w:rFonts w:cs="Times New Roman"/>
          <w:snapToGrid w:val="0"/>
          <w:color w:val="auto"/>
          <w:highlight w:val="none"/>
        </w:rPr>
        <w:t>除臭剂；对于污水处理站产生恶臭区域加盖、喷洒</w:t>
      </w:r>
      <w:r>
        <w:rPr>
          <w:rFonts w:hint="eastAsia" w:cs="Times New Roman"/>
          <w:snapToGrid w:val="0"/>
          <w:color w:val="auto"/>
          <w:highlight w:val="none"/>
          <w:lang w:val="en-US" w:eastAsia="zh-CN"/>
        </w:rPr>
        <w:t>环保型</w:t>
      </w:r>
      <w:r>
        <w:rPr>
          <w:rFonts w:cs="Times New Roman"/>
          <w:snapToGrid w:val="0"/>
          <w:color w:val="auto"/>
          <w:highlight w:val="none"/>
        </w:rPr>
        <w:t>除臭剂，来降低污水处理站恶臭对厂区内外的影响；固废暂存间内废物暂存于加盖的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内，正常情况下为密封，仅输送生产废物时，将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rPr>
        <w:t>，</w:t>
      </w:r>
      <w:r>
        <w:rPr>
          <w:rFonts w:hint="eastAsia" w:cs="Times New Roman"/>
          <w:snapToGrid w:val="0"/>
          <w:color w:val="auto"/>
          <w:highlight w:val="none"/>
          <w:lang w:val="en-US" w:eastAsia="zh-CN"/>
        </w:rPr>
        <w:t>并放置新的转运桶用于存放下一个周期的固体废物，定期喷洒环保型除臭剂，</w:t>
      </w:r>
      <w:r>
        <w:rPr>
          <w:rFonts w:hint="eastAsia" w:cs="Times New Roman"/>
          <w:snapToGrid w:val="0"/>
          <w:color w:val="auto"/>
          <w:highlight w:val="none"/>
          <w:lang w:val="en-US"/>
        </w:rPr>
        <w:t>减少恶臭的释放</w:t>
      </w:r>
      <w:r>
        <w:rPr>
          <w:rFonts w:hint="eastAsia" w:cs="Times New Roman"/>
          <w:snapToGrid w:val="0"/>
          <w:color w:val="auto"/>
          <w:highlight w:val="none"/>
          <w:lang w:val="en-US" w:eastAsia="zh-CN"/>
        </w:rPr>
        <w:t>。</w:t>
      </w:r>
    </w:p>
    <w:p w14:paraId="659C8E58">
      <w:pPr>
        <w:widowControl/>
        <w:spacing w:line="500" w:lineRule="exact"/>
        <w:jc w:val="left"/>
        <w:rPr>
          <w:rFonts w:cs="Times New Roman"/>
          <w:snapToGrid w:val="0"/>
          <w:color w:val="auto"/>
          <w:highlight w:val="none"/>
          <w:lang w:val="zh-CN"/>
        </w:rPr>
      </w:pPr>
      <w:r>
        <w:rPr>
          <w:rFonts w:cs="Times New Roman"/>
          <w:snapToGrid w:val="0"/>
          <w:color w:val="auto"/>
          <w:highlight w:val="none"/>
          <w:lang w:val="zh-CN"/>
        </w:rPr>
        <w:t>经上述措施处理后，本项目运营期产生的废气污染可满足《恶臭污染物排放标准》（GB14554-93）。对周围大气环境影响较小。</w:t>
      </w:r>
    </w:p>
    <w:p w14:paraId="58B03B97">
      <w:pPr>
        <w:widowControl/>
        <w:spacing w:line="500" w:lineRule="exact"/>
        <w:ind w:firstLine="482"/>
        <w:jc w:val="left"/>
        <w:rPr>
          <w:rFonts w:cs="Times New Roman"/>
          <w:b/>
          <w:bCs/>
          <w:snapToGrid w:val="0"/>
          <w:color w:val="auto"/>
          <w:kern w:val="0"/>
          <w:szCs w:val="24"/>
          <w:highlight w:val="none"/>
        </w:rPr>
      </w:pPr>
      <w:r>
        <w:rPr>
          <w:rFonts w:cs="Times New Roman"/>
          <w:b/>
          <w:bCs/>
          <w:snapToGrid w:val="0"/>
          <w:color w:val="auto"/>
          <w:kern w:val="0"/>
          <w:szCs w:val="24"/>
          <w:highlight w:val="none"/>
        </w:rPr>
        <w:t>2、废水</w:t>
      </w:r>
    </w:p>
    <w:p w14:paraId="25AABF16">
      <w:pPr>
        <w:spacing w:line="500" w:lineRule="exact"/>
        <w:rPr>
          <w:rFonts w:cs="Times New Roman"/>
          <w:snapToGrid w:val="0"/>
          <w:color w:val="auto"/>
          <w:highlight w:val="none"/>
        </w:rPr>
      </w:pPr>
      <w:r>
        <w:rPr>
          <w:rFonts w:cs="Times New Roman"/>
          <w:color w:val="auto"/>
          <w:highlight w:val="none"/>
        </w:rPr>
        <w:t>本项目运营期产生的废水包括生产废水和生活污水。</w:t>
      </w:r>
      <w:r>
        <w:rPr>
          <w:rFonts w:cs="Times New Roman"/>
          <w:bCs/>
          <w:color w:val="auto"/>
          <w:szCs w:val="24"/>
          <w:highlight w:val="none"/>
        </w:rPr>
        <w:t>其中，生产废水</w:t>
      </w:r>
      <w:r>
        <w:rPr>
          <w:rFonts w:hint="eastAsia" w:cs="Times New Roman"/>
          <w:bCs/>
          <w:color w:val="auto"/>
          <w:szCs w:val="24"/>
          <w:highlight w:val="none"/>
          <w:lang w:val="en-US" w:eastAsia="zh-CN"/>
        </w:rPr>
        <w:t>为</w:t>
      </w:r>
      <w:r>
        <w:rPr>
          <w:rFonts w:cs="Times New Roman"/>
          <w:bCs/>
          <w:color w:val="auto"/>
          <w:szCs w:val="24"/>
          <w:highlight w:val="none"/>
        </w:rPr>
        <w:t>屠宰废水</w:t>
      </w:r>
      <w:r>
        <w:rPr>
          <w:rFonts w:hint="eastAsia" w:cs="Times New Roman"/>
          <w:bCs/>
          <w:color w:val="auto"/>
          <w:szCs w:val="24"/>
          <w:highlight w:val="none"/>
          <w:lang w:val="en-US" w:eastAsia="zh-CN"/>
        </w:rPr>
        <w:t>、车辆冲洗废水</w:t>
      </w:r>
      <w:r>
        <w:rPr>
          <w:rFonts w:hint="eastAsia" w:cs="Times New Roman"/>
          <w:bCs/>
          <w:color w:val="auto"/>
          <w:szCs w:val="24"/>
          <w:highlight w:val="none"/>
          <w:lang w:eastAsia="zh-CN"/>
        </w:rPr>
        <w:t>。</w:t>
      </w:r>
      <w:r>
        <w:rPr>
          <w:rFonts w:cs="Times New Roman"/>
          <w:color w:val="auto"/>
          <w:highlight w:val="none"/>
        </w:rPr>
        <w:t>生活污水为</w:t>
      </w:r>
      <w:r>
        <w:rPr>
          <w:rFonts w:cs="Times New Roman"/>
          <w:bCs/>
          <w:color w:val="auto"/>
          <w:szCs w:val="24"/>
          <w:highlight w:val="none"/>
        </w:rPr>
        <w:t>员工日常生活污水。</w:t>
      </w:r>
      <w:r>
        <w:rPr>
          <w:rFonts w:hint="eastAsia" w:cs="Times New Roman"/>
          <w:bCs/>
          <w:color w:val="auto"/>
          <w:szCs w:val="24"/>
          <w:highlight w:val="none"/>
          <w:lang w:val="en-US" w:eastAsia="zh-CN"/>
        </w:rPr>
        <w:t>生产</w:t>
      </w:r>
      <w:r>
        <w:rPr>
          <w:rFonts w:cs="Times New Roman"/>
          <w:bCs/>
          <w:color w:val="auto"/>
          <w:szCs w:val="24"/>
          <w:highlight w:val="none"/>
        </w:rPr>
        <w:t>废水经厂区自建的污水处理站进行处理，污水处理站</w:t>
      </w:r>
      <w:r>
        <w:rPr>
          <w:rFonts w:cs="Times New Roman"/>
          <w:bCs/>
          <w:color w:val="auto"/>
          <w:szCs w:val="24"/>
          <w:highlight w:val="none"/>
        </w:rPr>
        <w:t>采用“格栅</w:t>
      </w:r>
      <w:r>
        <w:rPr>
          <w:rFonts w:hint="eastAsia" w:cs="Times New Roman"/>
          <w:bCs/>
          <w:color w:val="auto"/>
          <w:szCs w:val="24"/>
          <w:highlight w:val="none"/>
          <w:lang w:val="en-US" w:eastAsia="zh-CN"/>
        </w:rPr>
        <w:t>+隔油池</w:t>
      </w:r>
      <w:r>
        <w:rPr>
          <w:rFonts w:cs="Times New Roman"/>
          <w:bCs/>
          <w:color w:val="auto"/>
          <w:szCs w:val="24"/>
          <w:highlight w:val="none"/>
        </w:rPr>
        <w:t>+</w:t>
      </w:r>
      <w:r>
        <w:rPr>
          <w:rFonts w:hint="eastAsia" w:cs="Times New Roman"/>
          <w:bCs/>
          <w:color w:val="auto"/>
          <w:szCs w:val="24"/>
          <w:highlight w:val="none"/>
          <w:lang w:val="en-US" w:eastAsia="zh-CN"/>
        </w:rPr>
        <w:t>调节池</w:t>
      </w:r>
      <w:r>
        <w:rPr>
          <w:rFonts w:cs="Times New Roman"/>
          <w:bCs/>
          <w:color w:val="auto"/>
          <w:szCs w:val="24"/>
          <w:highlight w:val="none"/>
        </w:rPr>
        <w:t>+气浮+水解酸化+</w:t>
      </w:r>
      <w:r>
        <w:rPr>
          <w:rFonts w:hint="eastAsia" w:cs="Times New Roman"/>
          <w:bCs/>
          <w:color w:val="auto"/>
          <w:szCs w:val="24"/>
          <w:highlight w:val="none"/>
          <w:lang w:val="en-US" w:eastAsia="zh-CN"/>
        </w:rPr>
        <w:t>反硝化缺氧+好氧</w:t>
      </w:r>
      <w:r>
        <w:rPr>
          <w:rFonts w:cs="Times New Roman"/>
          <w:bCs/>
          <w:color w:val="auto"/>
          <w:szCs w:val="24"/>
          <w:highlight w:val="none"/>
        </w:rPr>
        <w:t>+沉淀+消毒（</w:t>
      </w:r>
      <w:r>
        <w:rPr>
          <w:rFonts w:hint="eastAsia" w:cs="Times New Roman"/>
          <w:bCs/>
          <w:color w:val="auto"/>
          <w:szCs w:val="24"/>
          <w:highlight w:val="none"/>
          <w:lang w:val="en-US" w:eastAsia="zh-CN"/>
        </w:rPr>
        <w:t>次氯酸钠</w:t>
      </w:r>
      <w:r>
        <w:rPr>
          <w:rFonts w:cs="Times New Roman"/>
          <w:bCs/>
          <w:color w:val="auto"/>
          <w:szCs w:val="24"/>
          <w:highlight w:val="none"/>
        </w:rPr>
        <w:t>）”工艺，</w:t>
      </w:r>
      <w:r>
        <w:rPr>
          <w:rFonts w:cs="Times New Roman"/>
          <w:bCs/>
          <w:color w:val="auto"/>
          <w:szCs w:val="24"/>
          <w:highlight w:val="none"/>
        </w:rPr>
        <w:t>处理后满足《肉类加工工业水污染物排放标准》（GB13457-92）表3标准限值</w:t>
      </w:r>
      <w:r>
        <w:rPr>
          <w:rFonts w:cs="Times New Roman"/>
          <w:snapToGrid w:val="0"/>
          <w:color w:val="auto"/>
          <w:highlight w:val="none"/>
        </w:rPr>
        <w:t>同生活污水</w:t>
      </w:r>
      <w:r>
        <w:rPr>
          <w:rFonts w:cs="Times New Roman"/>
          <w:snapToGrid w:val="0"/>
          <w:color w:val="auto"/>
          <w:highlight w:val="none"/>
          <w:lang w:val="en-GB"/>
        </w:rPr>
        <w:t>经污水管网排入</w:t>
      </w:r>
      <w:r>
        <w:rPr>
          <w:rFonts w:hint="eastAsia" w:cs="Times New Roman"/>
          <w:snapToGrid w:val="0"/>
          <w:color w:val="auto"/>
          <w:highlight w:val="none"/>
          <w:lang w:eastAsia="zh-CN"/>
        </w:rPr>
        <w:t>双鸭山市畅源排水有限公司</w:t>
      </w:r>
      <w:r>
        <w:rPr>
          <w:rFonts w:cs="Times New Roman"/>
          <w:snapToGrid w:val="0"/>
          <w:color w:val="auto"/>
          <w:highlight w:val="none"/>
        </w:rPr>
        <w:t>处理，处理</w:t>
      </w:r>
      <w:r>
        <w:rPr>
          <w:rFonts w:cs="Times New Roman"/>
          <w:snapToGrid w:val="0"/>
          <w:color w:val="auto"/>
          <w:highlight w:val="none"/>
          <w:lang w:val="en-GB"/>
        </w:rPr>
        <w:t>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p>
    <w:p w14:paraId="4B553A8A">
      <w:pPr>
        <w:widowControl/>
        <w:spacing w:line="500" w:lineRule="exact"/>
        <w:rPr>
          <w:rFonts w:cs="Times New Roman"/>
          <w:snapToGrid w:val="0"/>
          <w:color w:val="auto"/>
          <w:highlight w:val="none"/>
          <w:lang w:val="en-GB"/>
        </w:rPr>
      </w:pPr>
      <w:r>
        <w:rPr>
          <w:rStyle w:val="220"/>
          <w:rFonts w:cs="Times New Roman"/>
          <w:color w:val="auto"/>
          <w:sz w:val="24"/>
          <w:szCs w:val="24"/>
          <w:highlight w:val="none"/>
        </w:rPr>
        <w:t>为了在污水处理设备故障、检修等非正常情况下有效避免事故排水对外环境的影响，项目</w:t>
      </w:r>
      <w:r>
        <w:rPr>
          <w:rStyle w:val="220"/>
          <w:rFonts w:hint="eastAsia" w:cs="Times New Roman"/>
          <w:color w:val="auto"/>
          <w:sz w:val="24"/>
          <w:szCs w:val="24"/>
          <w:highlight w:val="none"/>
          <w:lang w:val="en-US" w:eastAsia="zh-CN"/>
        </w:rPr>
        <w:t>通过</w:t>
      </w:r>
      <w:r>
        <w:rPr>
          <w:rStyle w:val="220"/>
          <w:rFonts w:cs="Times New Roman"/>
          <w:color w:val="auto"/>
          <w:sz w:val="24"/>
          <w:szCs w:val="24"/>
          <w:highlight w:val="none"/>
        </w:rPr>
        <w:t>容积为</w:t>
      </w:r>
      <w:r>
        <w:rPr>
          <w:rStyle w:val="220"/>
          <w:rFonts w:hint="eastAsia" w:cs="Times New Roman"/>
          <w:color w:val="auto"/>
          <w:sz w:val="24"/>
          <w:szCs w:val="24"/>
          <w:highlight w:val="none"/>
          <w:lang w:val="en-US" w:eastAsia="zh-CN"/>
        </w:rPr>
        <w:t>300</w:t>
      </w:r>
      <w:r>
        <w:rPr>
          <w:rStyle w:val="220"/>
          <w:rFonts w:cs="Times New Roman"/>
          <w:color w:val="auto"/>
          <w:sz w:val="24"/>
          <w:szCs w:val="24"/>
          <w:highlight w:val="none"/>
        </w:rPr>
        <w:t>m</w:t>
      </w:r>
      <w:r>
        <w:rPr>
          <w:rStyle w:val="220"/>
          <w:rFonts w:cs="Times New Roman"/>
          <w:color w:val="auto"/>
          <w:sz w:val="24"/>
          <w:szCs w:val="24"/>
          <w:highlight w:val="none"/>
          <w:vertAlign w:val="superscript"/>
        </w:rPr>
        <w:t>3</w:t>
      </w:r>
      <w:r>
        <w:rPr>
          <w:rStyle w:val="220"/>
          <w:rFonts w:cs="Times New Roman"/>
          <w:color w:val="auto"/>
          <w:sz w:val="24"/>
          <w:szCs w:val="24"/>
          <w:highlight w:val="none"/>
        </w:rPr>
        <w:t>的</w:t>
      </w:r>
      <w:r>
        <w:rPr>
          <w:rStyle w:val="220"/>
          <w:rFonts w:hint="eastAsia" w:cs="Times New Roman"/>
          <w:color w:val="auto"/>
          <w:sz w:val="24"/>
          <w:szCs w:val="24"/>
          <w:highlight w:val="none"/>
          <w:lang w:val="en-US" w:eastAsia="zh-CN"/>
        </w:rPr>
        <w:t>调节池隔离出来一个事故池，容积为50</w:t>
      </w:r>
      <w:r>
        <w:rPr>
          <w:rStyle w:val="220"/>
          <w:rFonts w:cs="Times New Roman"/>
          <w:color w:val="auto"/>
          <w:sz w:val="24"/>
          <w:szCs w:val="24"/>
          <w:highlight w:val="none"/>
        </w:rPr>
        <w:t>m</w:t>
      </w:r>
      <w:r>
        <w:rPr>
          <w:rStyle w:val="220"/>
          <w:rFonts w:cs="Times New Roman"/>
          <w:color w:val="auto"/>
          <w:sz w:val="24"/>
          <w:szCs w:val="24"/>
          <w:highlight w:val="none"/>
          <w:vertAlign w:val="superscript"/>
        </w:rPr>
        <w:t>3</w:t>
      </w:r>
      <w:r>
        <w:rPr>
          <w:rStyle w:val="220"/>
          <w:rFonts w:hint="eastAsia" w:cs="Times New Roman"/>
          <w:color w:val="auto"/>
          <w:sz w:val="24"/>
          <w:szCs w:val="24"/>
          <w:highlight w:val="none"/>
          <w:lang w:val="en-US" w:eastAsia="zh-CN"/>
        </w:rPr>
        <w:t>，用于</w:t>
      </w:r>
      <w:r>
        <w:rPr>
          <w:rStyle w:val="220"/>
          <w:rFonts w:cs="Times New Roman"/>
          <w:color w:val="auto"/>
          <w:sz w:val="24"/>
          <w:szCs w:val="24"/>
          <w:highlight w:val="none"/>
        </w:rPr>
        <w:t>事故</w:t>
      </w:r>
      <w:r>
        <w:rPr>
          <w:rStyle w:val="220"/>
          <w:rFonts w:hint="eastAsia" w:cs="Times New Roman"/>
          <w:color w:val="auto"/>
          <w:sz w:val="24"/>
          <w:szCs w:val="24"/>
          <w:highlight w:val="none"/>
          <w:lang w:val="en-US" w:eastAsia="zh-CN"/>
        </w:rPr>
        <w:t>状态下存放生产废水及生活污水，钢混结构</w:t>
      </w:r>
      <w:r>
        <w:rPr>
          <w:rStyle w:val="220"/>
          <w:rFonts w:cs="Times New Roman"/>
          <w:color w:val="auto"/>
          <w:sz w:val="24"/>
          <w:szCs w:val="24"/>
          <w:highlight w:val="none"/>
        </w:rPr>
        <w:t>，能容纳</w:t>
      </w:r>
      <w:r>
        <w:rPr>
          <w:rStyle w:val="220"/>
          <w:rFonts w:hint="eastAsia" w:cs="Times New Roman"/>
          <w:color w:val="auto"/>
          <w:sz w:val="24"/>
          <w:szCs w:val="24"/>
          <w:highlight w:val="none"/>
          <w:lang w:val="en-US" w:eastAsia="zh-CN"/>
        </w:rPr>
        <w:t>5h</w:t>
      </w:r>
      <w:r>
        <w:rPr>
          <w:rStyle w:val="220"/>
          <w:rFonts w:cs="Times New Roman"/>
          <w:color w:val="auto"/>
          <w:sz w:val="24"/>
          <w:szCs w:val="24"/>
          <w:highlight w:val="none"/>
        </w:rPr>
        <w:t>污水量，事故池做防渗处理，在污水处理系统检修或出现故障时存放废水，检修正常后将事故池存水引入厂区内污水处理站处理达标后，排入市政污水管网。</w:t>
      </w:r>
    </w:p>
    <w:p w14:paraId="5DF4DD78">
      <w:pPr>
        <w:widowControl/>
        <w:spacing w:line="500" w:lineRule="exact"/>
        <w:rPr>
          <w:rFonts w:cs="Times New Roman"/>
          <w:snapToGrid w:val="0"/>
          <w:color w:val="auto"/>
          <w:highlight w:val="none"/>
          <w:lang w:val="zh-CN"/>
        </w:rPr>
      </w:pPr>
      <w:r>
        <w:rPr>
          <w:rFonts w:cs="Times New Roman"/>
          <w:snapToGrid w:val="0"/>
          <w:color w:val="auto"/>
          <w:highlight w:val="none"/>
          <w:lang w:val="zh-CN"/>
        </w:rPr>
        <w:t>经上述措施处理后，</w:t>
      </w:r>
      <w:r>
        <w:rPr>
          <w:rFonts w:cs="Times New Roman"/>
          <w:bCs/>
          <w:color w:val="auto"/>
          <w:szCs w:val="24"/>
          <w:highlight w:val="none"/>
        </w:rPr>
        <w:t>本项目废水对周围水环境影响较小。</w:t>
      </w:r>
    </w:p>
    <w:p w14:paraId="1F8CF9A6">
      <w:pPr>
        <w:widowControl/>
        <w:spacing w:line="500" w:lineRule="exact"/>
        <w:ind w:firstLine="482"/>
        <w:jc w:val="left"/>
        <w:rPr>
          <w:rFonts w:cs="Times New Roman"/>
          <w:b/>
          <w:bCs/>
          <w:snapToGrid w:val="0"/>
          <w:color w:val="auto"/>
          <w:kern w:val="0"/>
          <w:szCs w:val="24"/>
          <w:highlight w:val="none"/>
          <w:lang w:val="en-GB"/>
        </w:rPr>
      </w:pPr>
      <w:r>
        <w:rPr>
          <w:rFonts w:cs="Times New Roman"/>
          <w:b/>
          <w:bCs/>
          <w:snapToGrid w:val="0"/>
          <w:color w:val="auto"/>
          <w:kern w:val="0"/>
          <w:szCs w:val="24"/>
          <w:highlight w:val="none"/>
        </w:rPr>
        <w:t>3、</w:t>
      </w:r>
      <w:r>
        <w:rPr>
          <w:rFonts w:cs="Times New Roman"/>
          <w:b/>
          <w:bCs/>
          <w:snapToGrid w:val="0"/>
          <w:color w:val="auto"/>
          <w:kern w:val="0"/>
          <w:szCs w:val="24"/>
          <w:highlight w:val="none"/>
          <w:lang w:val="en-GB"/>
        </w:rPr>
        <w:t>噪声</w:t>
      </w:r>
    </w:p>
    <w:p w14:paraId="5FE31EE7">
      <w:pPr>
        <w:widowControl/>
        <w:spacing w:line="500" w:lineRule="exact"/>
        <w:jc w:val="left"/>
        <w:rPr>
          <w:rFonts w:cs="Times New Roman"/>
          <w:snapToGrid w:val="0"/>
          <w:color w:val="auto"/>
          <w:highlight w:val="none"/>
          <w:lang w:val="zh-CN"/>
        </w:rPr>
      </w:pPr>
      <w:r>
        <w:rPr>
          <w:rFonts w:cs="Times New Roman"/>
          <w:snapToGrid w:val="0"/>
          <w:color w:val="auto"/>
          <w:highlight w:val="none"/>
          <w:lang w:val="zh-CN"/>
        </w:rPr>
        <w:t>本项目运营期噪声主要为设备噪声和牛、羊嚎叫，设备主要为</w:t>
      </w:r>
      <w:r>
        <w:rPr>
          <w:rFonts w:cs="Times New Roman"/>
          <w:snapToGrid w:val="0"/>
          <w:color w:val="auto"/>
          <w:highlight w:val="none"/>
        </w:rPr>
        <w:t>提升机、扯皮机、输送机、压缩机、</w:t>
      </w:r>
      <w:r>
        <w:rPr>
          <w:rFonts w:cs="Times New Roman"/>
          <w:snapToGrid w:val="0"/>
          <w:color w:val="auto"/>
          <w:highlight w:val="none"/>
          <w:lang w:val="zh-CN"/>
        </w:rPr>
        <w:t>风机</w:t>
      </w:r>
      <w:r>
        <w:rPr>
          <w:rFonts w:cs="Times New Roman"/>
          <w:snapToGrid w:val="0"/>
          <w:color w:val="auto"/>
          <w:highlight w:val="none"/>
        </w:rPr>
        <w:t>及泵类等</w:t>
      </w:r>
      <w:r>
        <w:rPr>
          <w:rFonts w:cs="Times New Roman"/>
          <w:snapToGrid w:val="0"/>
          <w:color w:val="auto"/>
          <w:highlight w:val="none"/>
          <w:lang w:val="zh-CN"/>
        </w:rPr>
        <w:t>。选用低噪声设备、利用厂房进行隔声、安装减振垫、加强管理和优化平面布置等措施后，对周围声环境影响较小。</w:t>
      </w:r>
    </w:p>
    <w:p w14:paraId="359E8B01">
      <w:pPr>
        <w:widowControl/>
        <w:spacing w:line="500" w:lineRule="exact"/>
        <w:ind w:firstLine="482"/>
        <w:jc w:val="left"/>
        <w:rPr>
          <w:rFonts w:cs="Times New Roman"/>
          <w:b/>
          <w:bCs/>
          <w:snapToGrid w:val="0"/>
          <w:color w:val="auto"/>
          <w:highlight w:val="none"/>
          <w:lang w:val="zh-CN"/>
        </w:rPr>
      </w:pPr>
      <w:r>
        <w:rPr>
          <w:rFonts w:cs="Times New Roman"/>
          <w:b/>
          <w:bCs/>
          <w:snapToGrid w:val="0"/>
          <w:color w:val="auto"/>
          <w:highlight w:val="none"/>
        </w:rPr>
        <w:t>4、</w:t>
      </w:r>
      <w:r>
        <w:rPr>
          <w:rFonts w:cs="Times New Roman"/>
          <w:b/>
          <w:bCs/>
          <w:snapToGrid w:val="0"/>
          <w:color w:val="auto"/>
          <w:highlight w:val="none"/>
          <w:lang w:val="zh-CN"/>
        </w:rPr>
        <w:t>固体废物</w:t>
      </w:r>
    </w:p>
    <w:p w14:paraId="75D4ABF4">
      <w:pPr>
        <w:spacing w:line="500" w:lineRule="exact"/>
        <w:rPr>
          <w:rFonts w:cs="Times New Roman"/>
          <w:color w:val="auto"/>
          <w:szCs w:val="24"/>
          <w:highlight w:val="none"/>
        </w:rPr>
      </w:pPr>
      <w:r>
        <w:rPr>
          <w:rFonts w:cs="Times New Roman"/>
          <w:color w:val="auto"/>
          <w:szCs w:val="24"/>
          <w:highlight w:val="none"/>
        </w:rPr>
        <w:t>本项目运营期产生的固体废物为一般固体废物及危险废物，一般固体废物主要包括检疫不合格品、病死牛羊、粪便、边角料</w:t>
      </w:r>
      <w:r>
        <w:rPr>
          <w:rFonts w:hint="eastAsia" w:cs="Times New Roman"/>
          <w:color w:val="auto"/>
          <w:szCs w:val="24"/>
          <w:highlight w:val="none"/>
          <w:lang w:eastAsia="zh-CN"/>
        </w:rPr>
        <w:t>（</w:t>
      </w:r>
      <w:r>
        <w:rPr>
          <w:rFonts w:hint="eastAsia" w:cs="Times New Roman"/>
          <w:snapToGrid w:val="0"/>
          <w:color w:val="auto"/>
          <w:kern w:val="0"/>
          <w:szCs w:val="24"/>
          <w:highlight w:val="none"/>
          <w:lang w:val="en-US" w:eastAsia="zh-CN"/>
        </w:rPr>
        <w:t>牛、羊</w:t>
      </w:r>
      <w:r>
        <w:rPr>
          <w:rFonts w:hint="eastAsia" w:ascii="Times New Roman" w:hAnsi="Times New Roman" w:eastAsia="宋体" w:cs="Times New Roman"/>
          <w:snapToGrid w:val="0"/>
          <w:color w:val="auto"/>
          <w:kern w:val="0"/>
          <w:szCs w:val="24"/>
          <w:highlight w:val="none"/>
          <w:lang w:val="en-US" w:eastAsia="zh-CN"/>
        </w:rPr>
        <w:t>指甲、淋巴腺、病变部分、清理下来的碎肉渣等不可食用的废弃物</w:t>
      </w:r>
      <w:r>
        <w:rPr>
          <w:rFonts w:hint="eastAsia" w:cs="Times New Roman"/>
          <w:color w:val="auto"/>
          <w:szCs w:val="24"/>
          <w:highlight w:val="none"/>
          <w:lang w:eastAsia="zh-CN"/>
        </w:rPr>
        <w:t>）</w:t>
      </w:r>
      <w:r>
        <w:rPr>
          <w:rFonts w:cs="Times New Roman"/>
          <w:color w:val="auto"/>
          <w:szCs w:val="24"/>
          <w:highlight w:val="none"/>
        </w:rPr>
        <w:t>、胃容物及肠内物、污泥（含栅渣）、废包装以及生活垃圾；</w:t>
      </w:r>
      <w:r>
        <w:rPr>
          <w:rFonts w:hint="eastAsia" w:cs="Times New Roman"/>
          <w:color w:val="auto"/>
          <w:szCs w:val="24"/>
          <w:highlight w:val="none"/>
          <w:lang w:eastAsia="zh-CN"/>
        </w:rPr>
        <w:t>危险废物主要为</w:t>
      </w:r>
      <w:r>
        <w:rPr>
          <w:rFonts w:cs="Times New Roman"/>
          <w:color w:val="auto"/>
          <w:szCs w:val="24"/>
          <w:highlight w:val="none"/>
        </w:rPr>
        <w:t>废活性炭、</w:t>
      </w:r>
      <w:r>
        <w:rPr>
          <w:rFonts w:hint="eastAsia" w:cs="Times New Roman"/>
          <w:color w:val="auto"/>
          <w:szCs w:val="24"/>
          <w:highlight w:val="none"/>
          <w:lang w:eastAsia="zh-CN"/>
        </w:rPr>
        <w:t>检疫废物、</w:t>
      </w:r>
      <w:r>
        <w:rPr>
          <w:rFonts w:hint="eastAsia" w:cs="Times New Roman"/>
          <w:color w:val="auto"/>
          <w:szCs w:val="24"/>
          <w:highlight w:val="none"/>
          <w:lang w:val="en-US" w:eastAsia="zh-CN"/>
        </w:rPr>
        <w:t>在线监测废液</w:t>
      </w:r>
      <w:r>
        <w:rPr>
          <w:rFonts w:hint="eastAsia" w:cs="Times New Roman"/>
          <w:color w:val="auto"/>
          <w:szCs w:val="24"/>
          <w:highlight w:val="none"/>
          <w:lang w:val="en-US" w:eastAsia="zh-CN"/>
        </w:rPr>
        <w:t>、</w:t>
      </w:r>
      <w:r>
        <w:rPr>
          <w:rFonts w:hint="eastAsia" w:cs="Times New Roman"/>
          <w:color w:val="auto"/>
          <w:szCs w:val="24"/>
          <w:highlight w:val="none"/>
          <w:lang w:eastAsia="zh-CN"/>
        </w:rPr>
        <w:t>废润滑油及含油抹布、劳保手套</w:t>
      </w:r>
      <w:r>
        <w:rPr>
          <w:rFonts w:cs="Times New Roman"/>
          <w:color w:val="auto"/>
          <w:szCs w:val="24"/>
          <w:highlight w:val="none"/>
        </w:rPr>
        <w:t>。</w:t>
      </w:r>
    </w:p>
    <w:p w14:paraId="43536A26">
      <w:pPr>
        <w:spacing w:line="500" w:lineRule="exact"/>
        <w:rPr>
          <w:rFonts w:cs="Times New Roman"/>
          <w:color w:val="auto"/>
          <w:szCs w:val="24"/>
          <w:highlight w:val="none"/>
        </w:rPr>
      </w:pPr>
      <w:r>
        <w:rPr>
          <w:rFonts w:cs="Times New Roman"/>
          <w:color w:val="auto"/>
          <w:szCs w:val="24"/>
          <w:highlight w:val="none"/>
        </w:rPr>
        <w:t>检疫不合格品、病死牛羊，集中收集</w:t>
      </w:r>
      <w:r>
        <w:rPr>
          <w:rFonts w:hint="eastAsia" w:cs="Times New Roman"/>
          <w:color w:val="auto"/>
          <w:highlight w:val="none"/>
          <w:lang w:val="en-US" w:eastAsia="zh-CN"/>
        </w:rPr>
        <w:t>于固体废物暂存间冷藏箱内，</w:t>
      </w:r>
      <w:r>
        <w:rPr>
          <w:rFonts w:cs="Times New Roman"/>
          <w:color w:val="auto"/>
          <w:szCs w:val="24"/>
          <w:highlight w:val="none"/>
        </w:rPr>
        <w:t>当天</w:t>
      </w:r>
      <w:r>
        <w:rPr>
          <w:rFonts w:hint="eastAsia" w:cs="Times New Roman"/>
          <w:color w:val="auto"/>
          <w:szCs w:val="24"/>
          <w:highlight w:val="none"/>
          <w:lang w:eastAsia="zh-CN"/>
        </w:rPr>
        <w:t>由双</w:t>
      </w:r>
      <w:r>
        <w:rPr>
          <w:rFonts w:hint="eastAsia" w:cs="Times New Roman"/>
          <w:color w:val="auto"/>
          <w:szCs w:val="24"/>
          <w:highlight w:val="none"/>
          <w:lang w:val="en-US" w:eastAsia="zh-CN"/>
        </w:rPr>
        <w:t>鸭</w:t>
      </w:r>
      <w:r>
        <w:rPr>
          <w:rFonts w:hint="eastAsia" w:cs="Times New Roman"/>
          <w:color w:val="auto"/>
          <w:szCs w:val="24"/>
          <w:highlight w:val="none"/>
          <w:lang w:eastAsia="zh-CN"/>
        </w:rPr>
        <w:t>山百奥迈斯生物科技有限公司</w:t>
      </w:r>
      <w:r>
        <w:rPr>
          <w:rFonts w:hint="eastAsia" w:cs="Times New Roman"/>
          <w:color w:val="auto"/>
          <w:szCs w:val="24"/>
          <w:highlight w:val="none"/>
          <w:lang w:val="en-US" w:eastAsia="zh-CN"/>
        </w:rPr>
        <w:t>拉运处理</w:t>
      </w:r>
      <w:r>
        <w:rPr>
          <w:rFonts w:cs="Times New Roman"/>
          <w:color w:val="auto"/>
          <w:szCs w:val="24"/>
          <w:highlight w:val="none"/>
        </w:rPr>
        <w:t>，</w:t>
      </w:r>
      <w:r>
        <w:rPr>
          <w:rFonts w:hint="eastAsia" w:cs="Times New Roman"/>
          <w:color w:val="auto"/>
          <w:szCs w:val="24"/>
          <w:highlight w:val="none"/>
          <w:lang w:val="en-US" w:eastAsia="zh-CN"/>
        </w:rPr>
        <w:t>该</w:t>
      </w:r>
      <w:r>
        <w:rPr>
          <w:rFonts w:hint="eastAsia" w:cs="Times New Roman"/>
          <w:snapToGrid w:val="0"/>
          <w:color w:val="auto"/>
          <w:kern w:val="0"/>
          <w:szCs w:val="24"/>
          <w:highlight w:val="none"/>
          <w:lang w:val="en-US" w:eastAsia="zh-CN"/>
        </w:rPr>
        <w:t>公司主营</w:t>
      </w:r>
      <w:r>
        <w:rPr>
          <w:rFonts w:cs="Times New Roman"/>
          <w:snapToGrid w:val="0"/>
          <w:color w:val="auto"/>
          <w:kern w:val="0"/>
          <w:szCs w:val="24"/>
          <w:highlight w:val="none"/>
        </w:rPr>
        <w:t>生物科学技术研究服务，畜禽养殖废弃物无害化利用，畜禽尸体处理服</w:t>
      </w:r>
      <w:r>
        <w:rPr>
          <w:rFonts w:hint="eastAsia" w:cs="Times New Roman"/>
          <w:snapToGrid w:val="0"/>
          <w:color w:val="auto"/>
          <w:kern w:val="0"/>
          <w:szCs w:val="24"/>
          <w:highlight w:val="none"/>
          <w:lang w:val="en-US" w:eastAsia="zh-CN"/>
        </w:rPr>
        <w:t>务，病死畜禽收集暂存转运服务等。协议见附件5。</w:t>
      </w:r>
      <w:r>
        <w:rPr>
          <w:rFonts w:hint="eastAsia" w:cs="Times New Roman"/>
          <w:snapToGrid w:val="0"/>
          <w:color w:val="auto"/>
          <w:kern w:val="0"/>
          <w:szCs w:val="24"/>
          <w:highlight w:val="none"/>
          <w:lang w:val="en-US" w:eastAsia="zh-CN"/>
        </w:rPr>
        <w:t>处</w:t>
      </w:r>
      <w:r>
        <w:rPr>
          <w:rFonts w:cs="Times New Roman"/>
          <w:snapToGrid w:val="0"/>
          <w:color w:val="auto"/>
          <w:kern w:val="0"/>
          <w:szCs w:val="24"/>
          <w:highlight w:val="none"/>
        </w:rPr>
        <w:t>置方式需符合《病死及病害动物无害化处理技术规范》（农医发[2017]25号）</w:t>
      </w:r>
      <w:r>
        <w:rPr>
          <w:rFonts w:hint="eastAsia" w:cs="Times New Roman"/>
          <w:snapToGrid w:val="0"/>
          <w:color w:val="auto"/>
          <w:kern w:val="0"/>
          <w:szCs w:val="24"/>
          <w:highlight w:val="none"/>
          <w:lang w:val="en-US" w:eastAsia="zh-CN"/>
        </w:rPr>
        <w:t>要求</w:t>
      </w:r>
      <w:r>
        <w:rPr>
          <w:rFonts w:cs="Times New Roman"/>
          <w:color w:val="auto"/>
          <w:szCs w:val="24"/>
          <w:highlight w:val="none"/>
        </w:rPr>
        <w:t>；牛、羊粪、边角料、胃容物及肠内物分别储存在</w:t>
      </w:r>
      <w:r>
        <w:rPr>
          <w:rFonts w:hint="eastAsia" w:cs="Times New Roman"/>
          <w:color w:val="auto"/>
          <w:szCs w:val="24"/>
          <w:highlight w:val="none"/>
          <w:lang w:val="en-US" w:eastAsia="zh-CN"/>
        </w:rPr>
        <w:t>固体废物</w:t>
      </w:r>
      <w:r>
        <w:rPr>
          <w:rFonts w:cs="Times New Roman"/>
          <w:color w:val="auto"/>
          <w:szCs w:val="24"/>
          <w:highlight w:val="none"/>
        </w:rPr>
        <w:t>暂存</w:t>
      </w:r>
      <w:r>
        <w:rPr>
          <w:rFonts w:hint="eastAsia" w:cs="Times New Roman"/>
          <w:color w:val="auto"/>
          <w:szCs w:val="24"/>
          <w:highlight w:val="none"/>
          <w:lang w:val="en-US" w:eastAsia="zh-CN"/>
        </w:rPr>
        <w:t>库的翻盖周转桶</w:t>
      </w:r>
      <w:r>
        <w:rPr>
          <w:rFonts w:cs="Times New Roman"/>
          <w:color w:val="auto"/>
          <w:szCs w:val="24"/>
          <w:highlight w:val="none"/>
        </w:rPr>
        <w:t>内，</w:t>
      </w:r>
      <w:r>
        <w:rPr>
          <w:rFonts w:cs="Times New Roman"/>
          <w:color w:val="auto"/>
          <w:szCs w:val="24"/>
          <w:highlight w:val="none"/>
        </w:rPr>
        <w:t>牛羊粪便</w:t>
      </w:r>
      <w:r>
        <w:rPr>
          <w:rFonts w:hint="eastAsia" w:cs="Times New Roman"/>
          <w:color w:val="auto"/>
          <w:szCs w:val="24"/>
          <w:highlight w:val="none"/>
          <w:lang w:val="en-US" w:eastAsia="zh-CN"/>
        </w:rPr>
        <w:t>及边角料</w:t>
      </w:r>
      <w:r>
        <w:rPr>
          <w:rFonts w:cs="Times New Roman"/>
          <w:color w:val="auto"/>
          <w:szCs w:val="24"/>
          <w:highlight w:val="none"/>
        </w:rPr>
        <w:t>富含有机质、氮、磷、钾及多种微量元素，胃容物及肠内物纤维含量高、杂质多</w:t>
      </w:r>
      <w:r>
        <w:rPr>
          <w:rFonts w:hint="eastAsia" w:cs="Times New Roman"/>
          <w:color w:val="auto"/>
          <w:szCs w:val="24"/>
          <w:highlight w:val="none"/>
          <w:lang w:eastAsia="zh-CN"/>
        </w:rPr>
        <w:t>，</w:t>
      </w:r>
      <w:r>
        <w:rPr>
          <w:rFonts w:hint="eastAsia" w:cs="Times New Roman"/>
          <w:color w:val="auto"/>
          <w:szCs w:val="24"/>
          <w:highlight w:val="none"/>
          <w:lang w:val="en-US" w:eastAsia="zh-CN"/>
        </w:rPr>
        <w:t>以上均可外售作为</w:t>
      </w:r>
      <w:r>
        <w:rPr>
          <w:rFonts w:cs="Times New Roman"/>
          <w:color w:val="auto"/>
          <w:szCs w:val="24"/>
          <w:highlight w:val="none"/>
        </w:rPr>
        <w:t>优质的有机肥原料</w:t>
      </w:r>
      <w:r>
        <w:rPr>
          <w:rFonts w:cs="Times New Roman"/>
          <w:color w:val="auto"/>
          <w:szCs w:val="24"/>
          <w:highlight w:val="none"/>
        </w:rPr>
        <w:t>；脱水污泥（含栅渣）</w:t>
      </w:r>
      <w:r>
        <w:rPr>
          <w:rFonts w:hint="eastAsia" w:cs="Times New Roman"/>
          <w:color w:val="auto"/>
          <w:szCs w:val="24"/>
          <w:highlight w:val="none"/>
          <w:lang w:val="en-US" w:eastAsia="zh-CN"/>
        </w:rPr>
        <w:t>送至有能力处置单位进行处理</w:t>
      </w:r>
      <w:r>
        <w:rPr>
          <w:rFonts w:cs="Times New Roman"/>
          <w:color w:val="auto"/>
          <w:szCs w:val="24"/>
          <w:highlight w:val="none"/>
        </w:rPr>
        <w:t>；废包装集中收集，定期外售综合利用；生活垃圾分类收集于专用垃圾桶后，</w:t>
      </w:r>
      <w:r>
        <w:rPr>
          <w:rFonts w:hint="eastAsia" w:cs="Times New Roman"/>
          <w:color w:val="auto"/>
          <w:szCs w:val="24"/>
          <w:highlight w:val="none"/>
          <w:lang w:eastAsia="zh-CN"/>
        </w:rPr>
        <w:t>由市政环卫部门统一清运</w:t>
      </w:r>
      <w:r>
        <w:rPr>
          <w:rFonts w:cs="Times New Roman"/>
          <w:color w:val="auto"/>
          <w:szCs w:val="24"/>
          <w:highlight w:val="none"/>
        </w:rPr>
        <w:t>；</w:t>
      </w:r>
      <w:r>
        <w:rPr>
          <w:rFonts w:hint="eastAsia" w:cs="Times New Roman"/>
          <w:color w:val="auto"/>
          <w:szCs w:val="24"/>
          <w:highlight w:val="none"/>
          <w:lang w:val="en-US" w:eastAsia="zh-CN"/>
        </w:rPr>
        <w:t>隔油池产生的废油脂，收集后交由有能力处置单位运输处置；</w:t>
      </w:r>
      <w:r>
        <w:rPr>
          <w:rFonts w:cs="Times New Roman"/>
          <w:color w:val="auto"/>
          <w:szCs w:val="24"/>
          <w:highlight w:val="none"/>
        </w:rPr>
        <w:t>废活性炭</w:t>
      </w:r>
      <w:r>
        <w:rPr>
          <w:rFonts w:hint="eastAsia"/>
          <w:color w:val="auto"/>
          <w:highlight w:val="none"/>
          <w:lang w:eastAsia="zh-CN"/>
        </w:rPr>
        <w:t>、</w:t>
      </w:r>
      <w:r>
        <w:rPr>
          <w:rFonts w:hint="eastAsia"/>
          <w:color w:val="auto"/>
          <w:highlight w:val="none"/>
          <w:lang w:val="en-US" w:eastAsia="zh-CN"/>
        </w:rPr>
        <w:t>在线监测废液、</w:t>
      </w:r>
      <w:r>
        <w:rPr>
          <w:rFonts w:cs="Times New Roman"/>
          <w:color w:val="auto"/>
          <w:szCs w:val="24"/>
          <w:highlight w:val="none"/>
        </w:rPr>
        <w:t>检疫废物</w:t>
      </w:r>
      <w:r>
        <w:rPr>
          <w:rFonts w:hint="eastAsia" w:cs="Times New Roman"/>
          <w:color w:val="auto"/>
          <w:szCs w:val="24"/>
          <w:highlight w:val="none"/>
          <w:lang w:eastAsia="zh-CN"/>
        </w:rPr>
        <w:t>、</w:t>
      </w:r>
      <w:r>
        <w:rPr>
          <w:rFonts w:hint="eastAsia" w:cs="Times New Roman"/>
          <w:color w:val="auto"/>
          <w:szCs w:val="24"/>
          <w:highlight w:val="none"/>
          <w:lang w:val="en-US" w:eastAsia="zh-CN"/>
        </w:rPr>
        <w:t>废润滑油分别</w:t>
      </w:r>
      <w:r>
        <w:rPr>
          <w:rFonts w:cs="Times New Roman"/>
          <w:color w:val="auto"/>
          <w:szCs w:val="24"/>
          <w:highlight w:val="none"/>
        </w:rPr>
        <w:t>集中收集，</w:t>
      </w:r>
      <w:r>
        <w:rPr>
          <w:rFonts w:hint="eastAsia" w:cs="Times New Roman"/>
          <w:snapToGrid w:val="0"/>
          <w:color w:val="auto"/>
          <w:kern w:val="0"/>
          <w:szCs w:val="24"/>
          <w:highlight w:val="none"/>
          <w:lang w:eastAsia="zh-CN"/>
        </w:rPr>
        <w:t>暂存在</w:t>
      </w:r>
      <w:r>
        <w:rPr>
          <w:rFonts w:hint="eastAsia" w:cs="Times New Roman"/>
          <w:snapToGrid w:val="0"/>
          <w:color w:val="auto"/>
          <w:kern w:val="0"/>
          <w:szCs w:val="24"/>
          <w:highlight w:val="none"/>
          <w:lang w:val="en-US" w:eastAsia="zh-CN"/>
        </w:rPr>
        <w:t>危险废物贮存点</w:t>
      </w:r>
      <w:r>
        <w:rPr>
          <w:rFonts w:hint="eastAsia" w:cs="Times New Roman"/>
          <w:snapToGrid w:val="0"/>
          <w:color w:val="auto"/>
          <w:kern w:val="0"/>
          <w:szCs w:val="24"/>
          <w:highlight w:val="none"/>
          <w:lang w:eastAsia="zh-CN"/>
        </w:rPr>
        <w:t>内，</w:t>
      </w:r>
      <w:r>
        <w:rPr>
          <w:rFonts w:cs="Times New Roman"/>
          <w:color w:val="auto"/>
          <w:szCs w:val="24"/>
          <w:highlight w:val="none"/>
        </w:rPr>
        <w:t>定期由有资质的单位</w:t>
      </w:r>
      <w:r>
        <w:rPr>
          <w:rFonts w:hint="eastAsia" w:cs="Times New Roman"/>
          <w:snapToGrid w:val="0"/>
          <w:color w:val="auto"/>
          <w:kern w:val="0"/>
          <w:szCs w:val="24"/>
          <w:highlight w:val="none"/>
          <w:lang w:eastAsia="zh-CN"/>
        </w:rPr>
        <w:t>处置；含油抹布、劳保手套集中收集，暂存在</w:t>
      </w:r>
      <w:r>
        <w:rPr>
          <w:rFonts w:hint="eastAsia" w:cs="Times New Roman"/>
          <w:snapToGrid w:val="0"/>
          <w:color w:val="auto"/>
          <w:kern w:val="0"/>
          <w:szCs w:val="24"/>
          <w:highlight w:val="none"/>
          <w:lang w:val="en-US" w:eastAsia="zh-CN"/>
        </w:rPr>
        <w:t>危险废物贮存点</w:t>
      </w:r>
      <w:r>
        <w:rPr>
          <w:rFonts w:hint="eastAsia" w:cs="Times New Roman"/>
          <w:snapToGrid w:val="0"/>
          <w:color w:val="auto"/>
          <w:kern w:val="0"/>
          <w:szCs w:val="24"/>
          <w:highlight w:val="none"/>
          <w:lang w:eastAsia="zh-CN"/>
        </w:rPr>
        <w:t>内，定期</w:t>
      </w:r>
      <w:r>
        <w:rPr>
          <w:rFonts w:hint="eastAsia" w:cs="Times New Roman"/>
          <w:snapToGrid w:val="0"/>
          <w:color w:val="auto"/>
          <w:kern w:val="0"/>
          <w:szCs w:val="24"/>
          <w:highlight w:val="none"/>
          <w:lang w:val="en-US" w:eastAsia="zh-CN"/>
        </w:rPr>
        <w:t>交</w:t>
      </w:r>
      <w:r>
        <w:rPr>
          <w:rFonts w:hint="eastAsia" w:cs="Times New Roman"/>
          <w:snapToGrid w:val="0"/>
          <w:color w:val="auto"/>
          <w:kern w:val="0"/>
          <w:szCs w:val="24"/>
          <w:highlight w:val="none"/>
          <w:lang w:eastAsia="zh-CN"/>
        </w:rPr>
        <w:t>由有资质的单位处置。</w:t>
      </w:r>
    </w:p>
    <w:p w14:paraId="6991DF7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经上述措施处理后，本项目运营期产生的固体废物对周围环境影响较小。</w:t>
      </w:r>
    </w:p>
    <w:p w14:paraId="4AAD9A52">
      <w:pPr>
        <w:pStyle w:val="36"/>
        <w:adjustRightInd w:val="0"/>
        <w:snapToGrid w:val="0"/>
        <w:spacing w:line="500" w:lineRule="exact"/>
        <w:ind w:left="0" w:firstLine="482" w:firstLineChars="200"/>
        <w:jc w:val="both"/>
        <w:rPr>
          <w:b/>
          <w:bCs/>
          <w:smallCaps w:val="0"/>
          <w:snapToGrid w:val="0"/>
          <w:color w:val="auto"/>
          <w:sz w:val="24"/>
          <w:szCs w:val="24"/>
          <w:highlight w:val="none"/>
        </w:rPr>
      </w:pPr>
      <w:r>
        <w:rPr>
          <w:b/>
          <w:bCs/>
          <w:smallCaps w:val="0"/>
          <w:snapToGrid w:val="0"/>
          <w:color w:val="auto"/>
          <w:sz w:val="24"/>
          <w:szCs w:val="24"/>
          <w:highlight w:val="none"/>
        </w:rPr>
        <w:t>5、地下水</w:t>
      </w:r>
    </w:p>
    <w:p w14:paraId="3D90B36A">
      <w:pPr>
        <w:spacing w:line="500" w:lineRule="exact"/>
        <w:rPr>
          <w:rFonts w:cs="Times New Roman"/>
          <w:color w:val="auto"/>
          <w:highlight w:val="none"/>
        </w:rPr>
      </w:pPr>
      <w:r>
        <w:rPr>
          <w:rFonts w:cs="Times New Roman"/>
          <w:snapToGrid w:val="0"/>
          <w:color w:val="auto"/>
          <w:kern w:val="0"/>
          <w:szCs w:val="24"/>
          <w:highlight w:val="none"/>
        </w:rPr>
        <w:t>本项目运营期</w:t>
      </w:r>
      <w:r>
        <w:rPr>
          <w:rFonts w:cs="Times New Roman"/>
          <w:color w:val="auto"/>
          <w:szCs w:val="24"/>
          <w:highlight w:val="none"/>
        </w:rPr>
        <w:t>正常工况状态下，不会有污水泄漏，不会对地下水造成污染。结合项目的特点，本项目调节池容积大，存水量大，停留时间长，污染物浓度高，如泄漏对地下水影响最大，从最大风险原则考虑，非正常工况下为调节池体破裂和防渗层同时破裂时污水泄漏对地下水水质造成影响。根据地下水预测，非正常工况下地下水超标范围内无地下水敏感目标，通过采取分区防渗、设置跟踪监测井等措施后，项目建设对区域地下水环境影响较小。</w:t>
      </w:r>
    </w:p>
    <w:p w14:paraId="25BC29CC">
      <w:pPr>
        <w:pStyle w:val="36"/>
        <w:adjustRightInd w:val="0"/>
        <w:snapToGrid w:val="0"/>
        <w:spacing w:line="500" w:lineRule="exact"/>
        <w:ind w:left="0" w:firstLine="482" w:firstLineChars="200"/>
        <w:jc w:val="both"/>
        <w:rPr>
          <w:b/>
          <w:bCs/>
          <w:smallCaps w:val="0"/>
          <w:snapToGrid w:val="0"/>
          <w:color w:val="auto"/>
          <w:sz w:val="24"/>
          <w:szCs w:val="24"/>
          <w:highlight w:val="none"/>
        </w:rPr>
      </w:pPr>
      <w:r>
        <w:rPr>
          <w:b/>
          <w:bCs/>
          <w:smallCaps w:val="0"/>
          <w:snapToGrid w:val="0"/>
          <w:color w:val="auto"/>
          <w:sz w:val="24"/>
          <w:szCs w:val="24"/>
          <w:highlight w:val="none"/>
        </w:rPr>
        <w:t>6、环境风险</w:t>
      </w:r>
    </w:p>
    <w:p w14:paraId="6AB130E7">
      <w:pPr>
        <w:widowControl/>
        <w:spacing w:line="500" w:lineRule="exact"/>
        <w:jc w:val="left"/>
        <w:rPr>
          <w:rFonts w:cs="Times New Roman"/>
          <w:color w:val="auto"/>
          <w:szCs w:val="24"/>
          <w:highlight w:val="none"/>
        </w:rPr>
      </w:pPr>
      <w:r>
        <w:rPr>
          <w:rFonts w:cs="Times New Roman"/>
          <w:snapToGrid w:val="0"/>
          <w:color w:val="auto"/>
          <w:kern w:val="0"/>
          <w:szCs w:val="24"/>
          <w:highlight w:val="none"/>
        </w:rPr>
        <w:t>本项目运营期主要风险物质为</w:t>
      </w:r>
      <w:r>
        <w:rPr>
          <w:rFonts w:hint="eastAsia" w:cs="Times New Roman"/>
          <w:snapToGrid w:val="0"/>
          <w:color w:val="auto"/>
          <w:kern w:val="0"/>
          <w:szCs w:val="24"/>
          <w:highlight w:val="none"/>
          <w:lang w:val="en-US" w:eastAsia="zh-CN"/>
        </w:rPr>
        <w:t>污水处理站消毒工艺中使用的次氯酸钠，</w:t>
      </w:r>
      <w:r>
        <w:rPr>
          <w:rFonts w:hint="default" w:ascii="Times New Roman" w:hAnsi="Times New Roman" w:cs="Times New Roman" w:eastAsiaTheme="minorEastAsia"/>
          <w:color w:val="auto"/>
          <w:spacing w:val="0"/>
          <w:w w:val="100"/>
          <w:position w:val="0"/>
          <w:sz w:val="24"/>
          <w:szCs w:val="24"/>
          <w:highlight w:val="none"/>
          <w:lang w:val="en-US" w:eastAsia="zh-CN"/>
        </w:rPr>
        <w:t>屠宰车间和待宰圈产生的</w:t>
      </w:r>
      <w:r>
        <w:rPr>
          <w:rFonts w:hint="default" w:ascii="Times New Roman" w:hAnsi="Times New Roman" w:eastAsia="宋体" w:cs="Times New Roman"/>
          <w:color w:val="auto"/>
          <w:sz w:val="24"/>
          <w:szCs w:val="24"/>
          <w:highlight w:val="none"/>
          <w:lang w:val="en-US" w:eastAsia="zh-CN"/>
        </w:rPr>
        <w:t>氨气和硫化氢</w:t>
      </w:r>
      <w:r>
        <w:rPr>
          <w:rFonts w:hint="eastAsia" w:ascii="Times New Roman" w:hAnsi="Times New Roman" w:eastAsia="宋体" w:cs="Times New Roman"/>
          <w:color w:val="auto"/>
          <w:sz w:val="24"/>
          <w:szCs w:val="24"/>
          <w:highlight w:val="none"/>
          <w:lang w:val="en-US" w:eastAsia="zh-CN"/>
        </w:rPr>
        <w:t>，危险废物（废润滑油）、在线监测废液</w:t>
      </w:r>
      <w:r>
        <w:rPr>
          <w:rFonts w:cs="Times New Roman"/>
          <w:snapToGrid w:val="0"/>
          <w:color w:val="auto"/>
          <w:kern w:val="0"/>
          <w:szCs w:val="24"/>
          <w:highlight w:val="none"/>
        </w:rPr>
        <w:t>。</w:t>
      </w:r>
      <w:r>
        <w:rPr>
          <w:rFonts w:cs="Times New Roman"/>
          <w:snapToGrid w:val="0"/>
          <w:color w:val="auto"/>
          <w:highlight w:val="none"/>
          <w:lang w:val="zh-CN"/>
        </w:rPr>
        <w:t>根据《建设项目环境风险评价技术导则》（HJ/T169-2018）附录B，本项目环境风险评价Q＜1，该项目环境风险潜势为Ⅰ，风险评价等级为简单分析。针对项目</w:t>
      </w:r>
      <w:r>
        <w:rPr>
          <w:rFonts w:cs="Times New Roman"/>
          <w:color w:val="auto"/>
          <w:szCs w:val="24"/>
          <w:highlight w:val="none"/>
        </w:rPr>
        <w:t>事故状态下</w:t>
      </w:r>
      <w:r>
        <w:rPr>
          <w:rFonts w:hint="eastAsia" w:cs="Times New Roman"/>
          <w:color w:val="auto"/>
          <w:szCs w:val="24"/>
          <w:highlight w:val="none"/>
          <w:lang w:val="en-US" w:eastAsia="zh-CN"/>
        </w:rPr>
        <w:t>次氯酸钠</w:t>
      </w:r>
      <w:r>
        <w:rPr>
          <w:rFonts w:cs="Times New Roman"/>
          <w:color w:val="auto"/>
          <w:szCs w:val="24"/>
          <w:highlight w:val="none"/>
        </w:rPr>
        <w:t>挥发，</w:t>
      </w:r>
      <w:r>
        <w:rPr>
          <w:rFonts w:cs="Times New Roman"/>
          <w:snapToGrid w:val="0"/>
          <w:color w:val="auto"/>
          <w:highlight w:val="none"/>
          <w:lang w:val="zh-CN"/>
        </w:rPr>
        <w:t>污水处理站废水处理设施出现故障时，高浓度的污水未经处理直接排放</w:t>
      </w:r>
      <w:r>
        <w:rPr>
          <w:rFonts w:cs="Times New Roman"/>
          <w:color w:val="auto"/>
          <w:highlight w:val="none"/>
        </w:rPr>
        <w:t>的危险性，</w:t>
      </w:r>
      <w:r>
        <w:rPr>
          <w:rFonts w:hint="eastAsia" w:cs="Times New Roman"/>
          <w:color w:val="auto"/>
          <w:highlight w:val="none"/>
          <w:lang w:val="en-US" w:eastAsia="zh-CN"/>
        </w:rPr>
        <w:t>废气未得到妥善处理导致的恶臭气体超标排放，以及</w:t>
      </w:r>
      <w:r>
        <w:rPr>
          <w:rFonts w:hint="eastAsia" w:ascii="Times New Roman" w:hAnsi="Times New Roman" w:eastAsia="宋体" w:cs="Times New Roman"/>
          <w:color w:val="auto"/>
          <w:sz w:val="24"/>
          <w:szCs w:val="24"/>
          <w:highlight w:val="none"/>
          <w:lang w:val="en-US" w:eastAsia="zh-CN"/>
        </w:rPr>
        <w:t>危险废物（废润滑油）、在线监测废液未妥善处理等事项，</w:t>
      </w:r>
      <w:r>
        <w:rPr>
          <w:rFonts w:cs="Times New Roman"/>
          <w:color w:val="auto"/>
          <w:highlight w:val="none"/>
        </w:rPr>
        <w:t>采取相应的防护措施后，</w:t>
      </w:r>
      <w:r>
        <w:rPr>
          <w:rFonts w:cs="Times New Roman"/>
          <w:color w:val="auto"/>
          <w:szCs w:val="24"/>
          <w:highlight w:val="none"/>
        </w:rPr>
        <w:t>项目建设对区域风险环境影响可以被接受。</w:t>
      </w:r>
    </w:p>
    <w:p w14:paraId="13FA3D51">
      <w:pPr>
        <w:pStyle w:val="36"/>
        <w:adjustRightInd w:val="0"/>
        <w:snapToGrid w:val="0"/>
        <w:spacing w:line="500" w:lineRule="exact"/>
        <w:ind w:left="0" w:firstLine="482" w:firstLineChars="200"/>
        <w:jc w:val="both"/>
        <w:rPr>
          <w:rFonts w:hint="eastAsia"/>
          <w:b/>
          <w:bCs/>
          <w:smallCaps w:val="0"/>
          <w:snapToGrid w:val="0"/>
          <w:color w:val="auto"/>
          <w:sz w:val="24"/>
          <w:szCs w:val="24"/>
          <w:highlight w:val="none"/>
          <w:lang w:val="en-US" w:eastAsia="zh-CN"/>
        </w:rPr>
      </w:pPr>
      <w:r>
        <w:rPr>
          <w:rFonts w:hint="eastAsia"/>
          <w:b/>
          <w:bCs/>
          <w:smallCaps w:val="0"/>
          <w:snapToGrid w:val="0"/>
          <w:color w:val="auto"/>
          <w:sz w:val="24"/>
          <w:szCs w:val="24"/>
          <w:highlight w:val="none"/>
          <w:lang w:val="en-US" w:eastAsia="zh-CN"/>
        </w:rPr>
        <w:t>7、选址</w:t>
      </w:r>
    </w:p>
    <w:p w14:paraId="1EAFC3C7">
      <w:pPr>
        <w:keepNext w:val="0"/>
        <w:keepLines w:val="0"/>
        <w:widowControl/>
        <w:suppressLineNumbers w:val="0"/>
        <w:jc w:val="left"/>
        <w:rPr>
          <w:rFonts w:ascii="Times New Roman" w:hAnsi="Times New Roman" w:eastAsia="宋体" w:cs="Times New Roman"/>
          <w:smallCaps w:val="0"/>
          <w:snapToGrid w:val="0"/>
          <w:color w:val="auto"/>
          <w:kern w:val="0"/>
          <w:sz w:val="24"/>
          <w:szCs w:val="24"/>
          <w:highlight w:val="none"/>
          <w:lang w:val="en-US" w:eastAsia="zh-CN" w:bidi="ar-SA"/>
        </w:rPr>
      </w:pPr>
      <w:r>
        <w:rPr>
          <w:rFonts w:ascii="Times New Roman" w:hAnsi="Times New Roman" w:eastAsia="宋体" w:cs="Times New Roman"/>
          <w:smallCaps w:val="0"/>
          <w:snapToGrid w:val="0"/>
          <w:color w:val="auto"/>
          <w:kern w:val="0"/>
          <w:sz w:val="24"/>
          <w:szCs w:val="24"/>
          <w:highlight w:val="none"/>
          <w:lang w:val="en-US" w:eastAsia="zh-CN" w:bidi="ar-SA"/>
        </w:rPr>
        <w:t>本项目</w:t>
      </w:r>
      <w:r>
        <w:rPr>
          <w:rFonts w:hint="eastAsia" w:ascii="Times New Roman" w:hAnsi="Times New Roman" w:eastAsia="宋体" w:cs="Times New Roman"/>
          <w:smallCaps w:val="0"/>
          <w:snapToGrid w:val="0"/>
          <w:color w:val="auto"/>
          <w:kern w:val="0"/>
          <w:sz w:val="24"/>
          <w:szCs w:val="24"/>
          <w:highlight w:val="none"/>
          <w:lang w:val="en-US" w:eastAsia="zh-CN" w:bidi="ar-SA"/>
        </w:rPr>
        <w:t>为屠宰项目，</w:t>
      </w:r>
      <w:r>
        <w:rPr>
          <w:rFonts w:ascii="Times New Roman" w:hAnsi="Times New Roman" w:eastAsia="宋体" w:cs="Times New Roman"/>
          <w:smallCaps w:val="0"/>
          <w:snapToGrid w:val="0"/>
          <w:color w:val="auto"/>
          <w:kern w:val="0"/>
          <w:sz w:val="24"/>
          <w:szCs w:val="24"/>
          <w:highlight w:val="none"/>
          <w:lang w:val="en-US" w:eastAsia="zh-CN" w:bidi="ar-SA"/>
        </w:rPr>
        <w:t>位于</w:t>
      </w:r>
      <w:r>
        <w:rPr>
          <w:rFonts w:hint="eastAsia" w:ascii="Times New Roman" w:hAnsi="Times New Roman" w:eastAsia="宋体" w:cs="Times New Roman"/>
          <w:smallCaps w:val="0"/>
          <w:snapToGrid w:val="0"/>
          <w:color w:val="auto"/>
          <w:kern w:val="0"/>
          <w:sz w:val="24"/>
          <w:szCs w:val="24"/>
          <w:highlight w:val="none"/>
          <w:lang w:val="en-US" w:eastAsia="zh-CN" w:bidi="ar-SA"/>
        </w:rPr>
        <w:t>黑龙江省双鸭山市岭东区长胜乡东兴村，</w:t>
      </w:r>
      <w:r>
        <w:rPr>
          <w:rFonts w:ascii="Times New Roman" w:hAnsi="Times New Roman" w:eastAsia="宋体" w:cs="Times New Roman"/>
          <w:smallCaps w:val="0"/>
          <w:snapToGrid w:val="0"/>
          <w:color w:val="auto"/>
          <w:kern w:val="0"/>
          <w:sz w:val="24"/>
          <w:szCs w:val="24"/>
          <w:highlight w:val="none"/>
          <w:lang w:val="en-US" w:eastAsia="zh-CN" w:bidi="ar-SA"/>
        </w:rPr>
        <w:t>项目用地性质为</w:t>
      </w:r>
      <w:r>
        <w:rPr>
          <w:rFonts w:hint="eastAsia" w:cs="Times New Roman"/>
          <w:smallCaps w:val="0"/>
          <w:snapToGrid w:val="0"/>
          <w:color w:val="auto"/>
          <w:kern w:val="0"/>
          <w:sz w:val="24"/>
          <w:szCs w:val="24"/>
          <w:highlight w:val="none"/>
          <w:lang w:val="en-US" w:eastAsia="zh-CN" w:bidi="ar-SA"/>
        </w:rPr>
        <w:t>建设用地</w:t>
      </w:r>
      <w:r>
        <w:rPr>
          <w:rFonts w:ascii="Times New Roman" w:hAnsi="Times New Roman" w:eastAsia="宋体" w:cs="Times New Roman"/>
          <w:smallCaps w:val="0"/>
          <w:snapToGrid w:val="0"/>
          <w:color w:val="auto"/>
          <w:kern w:val="0"/>
          <w:sz w:val="24"/>
          <w:szCs w:val="24"/>
          <w:highlight w:val="none"/>
          <w:lang w:val="en-US" w:eastAsia="zh-CN" w:bidi="ar-SA"/>
        </w:rPr>
        <w:t>，</w:t>
      </w:r>
      <w:r>
        <w:rPr>
          <w:rFonts w:hint="eastAsia" w:cs="Times New Roman"/>
          <w:smallCaps w:val="0"/>
          <w:snapToGrid w:val="0"/>
          <w:color w:val="auto"/>
          <w:kern w:val="0"/>
          <w:sz w:val="24"/>
          <w:szCs w:val="24"/>
          <w:highlight w:val="none"/>
          <w:lang w:val="en-US" w:eastAsia="zh-CN" w:bidi="ar-SA"/>
        </w:rPr>
        <w:t>本项目租赁双鸭山岭东客运站</w:t>
      </w:r>
      <w:r>
        <w:rPr>
          <w:rFonts w:hint="eastAsia" w:ascii="Times New Roman" w:hAnsi="Times New Roman" w:eastAsia="宋体" w:cs="Times New Roman"/>
          <w:smallCaps w:val="0"/>
          <w:snapToGrid w:val="0"/>
          <w:color w:val="auto"/>
          <w:kern w:val="0"/>
          <w:sz w:val="24"/>
          <w:szCs w:val="24"/>
          <w:highlight w:val="none"/>
          <w:lang w:val="en-US" w:eastAsia="zh-CN" w:bidi="ar-SA"/>
        </w:rPr>
        <w:t>，</w:t>
      </w:r>
      <w:r>
        <w:rPr>
          <w:rFonts w:hint="eastAsia" w:cs="Times New Roman"/>
          <w:smallCaps w:val="0"/>
          <w:snapToGrid w:val="0"/>
          <w:color w:val="auto"/>
          <w:kern w:val="0"/>
          <w:sz w:val="24"/>
          <w:szCs w:val="24"/>
          <w:highlight w:val="none"/>
          <w:lang w:val="en-US" w:eastAsia="zh-CN" w:bidi="ar-SA"/>
        </w:rPr>
        <w:t>依据岭东区人民政府出具的文件《岭东区人民政府关于岭东区屠宰场用地情况说明的函》双东政</w:t>
      </w:r>
      <w:r>
        <w:rPr>
          <w:rFonts w:hint="default" w:ascii="Times New Roman" w:hAnsi="Times New Roman" w:cs="Times New Roman"/>
          <w:smallCaps w:val="0"/>
          <w:snapToGrid w:val="0"/>
          <w:color w:val="auto"/>
          <w:kern w:val="0"/>
          <w:sz w:val="24"/>
          <w:szCs w:val="24"/>
          <w:highlight w:val="none"/>
          <w:lang w:val="en-US" w:eastAsia="zh-CN" w:bidi="ar-SA"/>
        </w:rPr>
        <w:t>函</w:t>
      </w:r>
      <w:r>
        <w:rPr>
          <w:rFonts w:hint="default" w:ascii="Times New Roman" w:hAnsi="Times New Roman" w:eastAsia="宋体" w:cs="Times New Roman"/>
          <w:smallCaps w:val="0"/>
          <w:snapToGrid w:val="0"/>
          <w:color w:val="auto"/>
          <w:kern w:val="0"/>
          <w:sz w:val="24"/>
          <w:szCs w:val="24"/>
          <w:highlight w:val="none"/>
          <w:lang w:val="en-US" w:eastAsia="zh-CN" w:bidi="ar-SA"/>
        </w:rPr>
        <w:t>〔2025〕27号，</w:t>
      </w:r>
      <w:r>
        <w:rPr>
          <w:rFonts w:hint="eastAsia" w:ascii="Times New Roman" w:hAnsi="Times New Roman" w:eastAsia="宋体" w:cs="Times New Roman"/>
          <w:smallCaps w:val="0"/>
          <w:snapToGrid w:val="0"/>
          <w:color w:val="auto"/>
          <w:kern w:val="0"/>
          <w:sz w:val="24"/>
          <w:szCs w:val="24"/>
          <w:highlight w:val="none"/>
          <w:lang w:val="en-US" w:eastAsia="zh-CN" w:bidi="ar-SA"/>
        </w:rPr>
        <w:t>该地可用于屠宰项目用地。</w:t>
      </w:r>
      <w:r>
        <w:rPr>
          <w:rFonts w:hint="default" w:ascii="Times New Roman" w:hAnsi="Times New Roman" w:cs="Times New Roman"/>
          <w:smallCaps w:val="0"/>
          <w:snapToGrid w:val="0"/>
          <w:color w:val="auto"/>
          <w:kern w:val="0"/>
          <w:sz w:val="24"/>
          <w:szCs w:val="24"/>
          <w:highlight w:val="none"/>
          <w:lang w:val="en-US" w:eastAsia="zh-CN" w:bidi="ar-SA"/>
        </w:rPr>
        <w:t>竞价确认书见附件7。</w:t>
      </w:r>
      <w:r>
        <w:rPr>
          <w:rFonts w:hint="default" w:ascii="Times New Roman" w:hAnsi="Times New Roman" w:eastAsia="宋体" w:cs="Times New Roman"/>
          <w:smallCaps w:val="0"/>
          <w:snapToGrid w:val="0"/>
          <w:color w:val="auto"/>
          <w:kern w:val="0"/>
          <w:sz w:val="24"/>
          <w:szCs w:val="24"/>
          <w:highlight w:val="none"/>
          <w:lang w:val="en-US" w:eastAsia="zh-CN" w:bidi="ar-SA"/>
        </w:rPr>
        <w:t>主要污染物为废水、废气、固体废物、噪</w:t>
      </w:r>
      <w:r>
        <w:rPr>
          <w:rFonts w:ascii="Times New Roman" w:hAnsi="Times New Roman" w:eastAsia="宋体" w:cs="Times New Roman"/>
          <w:smallCaps w:val="0"/>
          <w:snapToGrid w:val="0"/>
          <w:color w:val="auto"/>
          <w:kern w:val="0"/>
          <w:sz w:val="24"/>
          <w:szCs w:val="24"/>
          <w:highlight w:val="none"/>
          <w:lang w:val="en-US" w:eastAsia="zh-CN" w:bidi="ar-SA"/>
        </w:rPr>
        <w:t>声，采取相应的措施后对环境的影响程度和范围可为周边环境所接受，从环境保护角度分析，本项目选址是可行的。本项目</w:t>
      </w:r>
      <w:r>
        <w:rPr>
          <w:rFonts w:ascii="Times New Roman" w:hAnsi="Times New Roman" w:eastAsia="宋体" w:cs="Times New Roman"/>
          <w:smallCaps w:val="0"/>
          <w:snapToGrid w:val="0"/>
          <w:color w:val="auto"/>
          <w:kern w:val="0"/>
          <w:sz w:val="24"/>
          <w:szCs w:val="24"/>
          <w:highlight w:val="none"/>
          <w:lang w:val="zh-CN" w:eastAsia="zh-CN" w:bidi="ar-SA"/>
        </w:rPr>
        <w:t>占地类型为</w:t>
      </w:r>
      <w:r>
        <w:rPr>
          <w:rFonts w:hint="eastAsia" w:cs="Times New Roman"/>
          <w:smallCaps w:val="0"/>
          <w:snapToGrid w:val="0"/>
          <w:color w:val="auto"/>
          <w:kern w:val="0"/>
          <w:sz w:val="24"/>
          <w:szCs w:val="24"/>
          <w:highlight w:val="none"/>
          <w:lang w:val="en-US" w:eastAsia="zh-CN" w:bidi="ar-SA"/>
        </w:rPr>
        <w:t>街巷</w:t>
      </w:r>
      <w:r>
        <w:rPr>
          <w:rFonts w:ascii="Times New Roman" w:hAnsi="Times New Roman" w:eastAsia="宋体" w:cs="Times New Roman"/>
          <w:smallCaps w:val="0"/>
          <w:snapToGrid w:val="0"/>
          <w:color w:val="auto"/>
          <w:kern w:val="0"/>
          <w:sz w:val="24"/>
          <w:szCs w:val="24"/>
          <w:highlight w:val="none"/>
          <w:lang w:val="zh-CN" w:eastAsia="zh-CN" w:bidi="ar-SA"/>
        </w:rPr>
        <w:t>用地，</w:t>
      </w:r>
      <w:r>
        <w:rPr>
          <w:rFonts w:hint="eastAsia" w:cs="Times New Roman"/>
          <w:smallCaps w:val="0"/>
          <w:snapToGrid w:val="0"/>
          <w:color w:val="auto"/>
          <w:kern w:val="0"/>
          <w:sz w:val="24"/>
          <w:szCs w:val="24"/>
          <w:highlight w:val="none"/>
          <w:lang w:val="en-US" w:eastAsia="zh-CN" w:bidi="ar-SA"/>
        </w:rPr>
        <w:t>用地情况说明及不动产权书见附件6。</w:t>
      </w:r>
      <w:r>
        <w:rPr>
          <w:rFonts w:ascii="Times New Roman" w:hAnsi="Times New Roman" w:eastAsia="宋体" w:cs="Times New Roman"/>
          <w:smallCaps w:val="0"/>
          <w:snapToGrid w:val="0"/>
          <w:color w:val="auto"/>
          <w:kern w:val="0"/>
          <w:sz w:val="24"/>
          <w:szCs w:val="24"/>
          <w:highlight w:val="none"/>
          <w:lang w:val="zh-CN" w:eastAsia="zh-CN" w:bidi="ar-SA"/>
        </w:rPr>
        <w:t>用地性质符合</w:t>
      </w:r>
      <w:r>
        <w:rPr>
          <w:rFonts w:hint="eastAsia" w:cs="Times New Roman"/>
          <w:smallCaps w:val="0"/>
          <w:snapToGrid w:val="0"/>
          <w:color w:val="auto"/>
          <w:kern w:val="0"/>
          <w:sz w:val="24"/>
          <w:szCs w:val="24"/>
          <w:highlight w:val="none"/>
          <w:lang w:val="en-US" w:eastAsia="zh-CN" w:bidi="ar-SA"/>
        </w:rPr>
        <w:t>双鸭山市</w:t>
      </w:r>
      <w:r>
        <w:rPr>
          <w:rFonts w:ascii="Times New Roman" w:hAnsi="Times New Roman" w:eastAsia="宋体" w:cs="Times New Roman"/>
          <w:smallCaps w:val="0"/>
          <w:snapToGrid w:val="0"/>
          <w:color w:val="auto"/>
          <w:kern w:val="0"/>
          <w:sz w:val="24"/>
          <w:szCs w:val="24"/>
          <w:highlight w:val="none"/>
          <w:lang w:val="zh-CN" w:eastAsia="zh-CN" w:bidi="ar-SA"/>
        </w:rPr>
        <w:t>土地利用规划的要求；</w:t>
      </w:r>
      <w:r>
        <w:rPr>
          <w:rFonts w:ascii="Times New Roman" w:hAnsi="Times New Roman" w:eastAsia="宋体" w:cs="Times New Roman"/>
          <w:smallCaps w:val="0"/>
          <w:snapToGrid w:val="0"/>
          <w:color w:val="auto"/>
          <w:kern w:val="0"/>
          <w:sz w:val="24"/>
          <w:szCs w:val="24"/>
          <w:highlight w:val="none"/>
          <w:lang w:val="en-US" w:eastAsia="zh-CN" w:bidi="ar-SA"/>
        </w:rPr>
        <w:t>且本项目符合《黑龙江省畜禽屠宰管理条例》、《畜类屠宰加工通用技术》（GB/T17237-2008）、《牛羊屠宰与分割车间设计规范》（GB51225-2017）</w:t>
      </w:r>
      <w:r>
        <w:rPr>
          <w:rFonts w:hint="eastAsia" w:ascii="Times New Roman" w:hAnsi="Times New Roman" w:eastAsia="宋体" w:cs="Times New Roman"/>
          <w:smallCaps w:val="0"/>
          <w:snapToGrid w:val="0"/>
          <w:color w:val="auto"/>
          <w:kern w:val="0"/>
          <w:sz w:val="24"/>
          <w:szCs w:val="24"/>
          <w:highlight w:val="none"/>
          <w:lang w:val="en-US" w:eastAsia="zh-CN" w:bidi="ar-SA"/>
        </w:rPr>
        <w:t>、</w:t>
      </w:r>
      <w:r>
        <w:rPr>
          <w:rFonts w:hint="eastAsia" w:ascii="Times New Roman" w:hAnsi="Times New Roman" w:eastAsia="宋体" w:cs="Times New Roman"/>
          <w:smallCaps w:val="0"/>
          <w:snapToGrid w:val="0"/>
          <w:color w:val="auto"/>
          <w:kern w:val="0"/>
          <w:sz w:val="24"/>
          <w:szCs w:val="24"/>
          <w:highlight w:val="none"/>
          <w:lang w:val="zh-CN" w:eastAsia="zh-CN" w:bidi="ar-SA"/>
        </w:rPr>
        <w:t>《冷库设计</w:t>
      </w:r>
      <w:r>
        <w:rPr>
          <w:rFonts w:hint="eastAsia" w:ascii="Times New Roman" w:hAnsi="Times New Roman" w:eastAsia="宋体" w:cs="Times New Roman"/>
          <w:smallCaps w:val="0"/>
          <w:snapToGrid w:val="0"/>
          <w:color w:val="auto"/>
          <w:kern w:val="0"/>
          <w:sz w:val="24"/>
          <w:szCs w:val="24"/>
          <w:highlight w:val="none"/>
          <w:lang w:val="en-US" w:eastAsia="zh-CN" w:bidi="ar-SA"/>
        </w:rPr>
        <w:t>标准</w:t>
      </w:r>
      <w:r>
        <w:rPr>
          <w:rFonts w:hint="eastAsia" w:ascii="Times New Roman" w:hAnsi="Times New Roman" w:eastAsia="宋体" w:cs="Times New Roman"/>
          <w:smallCaps w:val="0"/>
          <w:snapToGrid w:val="0"/>
          <w:color w:val="auto"/>
          <w:kern w:val="0"/>
          <w:sz w:val="24"/>
          <w:szCs w:val="24"/>
          <w:highlight w:val="none"/>
          <w:lang w:val="zh-CN" w:eastAsia="zh-CN" w:bidi="ar-SA"/>
        </w:rPr>
        <w:t>》（</w:t>
      </w:r>
      <w:r>
        <w:rPr>
          <w:rFonts w:hint="eastAsia" w:ascii="Times New Roman" w:hAnsi="Times New Roman" w:eastAsia="宋体" w:cs="Times New Roman"/>
          <w:smallCaps w:val="0"/>
          <w:snapToGrid w:val="0"/>
          <w:color w:val="auto"/>
          <w:kern w:val="0"/>
          <w:sz w:val="24"/>
          <w:szCs w:val="24"/>
          <w:highlight w:val="none"/>
          <w:lang w:val="en-US" w:eastAsia="zh-CN" w:bidi="ar-SA"/>
        </w:rPr>
        <w:t>GB50072-202</w:t>
      </w:r>
      <w:r>
        <w:rPr>
          <w:rFonts w:hint="eastAsia" w:cs="Times New Roman"/>
          <w:smallCaps w:val="0"/>
          <w:snapToGrid w:val="0"/>
          <w:color w:val="auto"/>
          <w:kern w:val="0"/>
          <w:sz w:val="24"/>
          <w:szCs w:val="24"/>
          <w:highlight w:val="none"/>
          <w:lang w:val="en-US" w:eastAsia="zh-CN" w:bidi="ar-SA"/>
        </w:rPr>
        <w:t>1</w:t>
      </w:r>
      <w:r>
        <w:rPr>
          <w:rFonts w:hint="eastAsia" w:ascii="Times New Roman" w:hAnsi="Times New Roman" w:eastAsia="宋体" w:cs="Times New Roman"/>
          <w:smallCaps w:val="0"/>
          <w:snapToGrid w:val="0"/>
          <w:color w:val="auto"/>
          <w:kern w:val="0"/>
          <w:sz w:val="24"/>
          <w:szCs w:val="24"/>
          <w:highlight w:val="none"/>
          <w:lang w:val="zh-CN" w:eastAsia="zh-CN" w:bidi="ar-SA"/>
        </w:rPr>
        <w:t>）</w:t>
      </w:r>
      <w:r>
        <w:rPr>
          <w:rFonts w:ascii="Times New Roman" w:hAnsi="Times New Roman" w:eastAsia="宋体" w:cs="Times New Roman"/>
          <w:smallCaps w:val="0"/>
          <w:snapToGrid w:val="0"/>
          <w:color w:val="auto"/>
          <w:kern w:val="0"/>
          <w:sz w:val="24"/>
          <w:szCs w:val="24"/>
          <w:highlight w:val="none"/>
          <w:lang w:val="en-US" w:eastAsia="zh-CN" w:bidi="ar-SA"/>
        </w:rPr>
        <w:t>及</w:t>
      </w:r>
      <w:r>
        <w:rPr>
          <w:rFonts w:ascii="Times New Roman" w:hAnsi="Times New Roman" w:eastAsia="宋体" w:cs="Times New Roman"/>
          <w:smallCaps w:val="0"/>
          <w:snapToGrid w:val="0"/>
          <w:color w:val="auto"/>
          <w:kern w:val="0"/>
          <w:sz w:val="24"/>
          <w:szCs w:val="24"/>
          <w:highlight w:val="none"/>
          <w:lang w:val="zh-CN" w:eastAsia="zh-CN" w:bidi="ar-SA"/>
        </w:rPr>
        <w:t>《中共中央关于制定国民经济和社会发展第十四个五年规划和二〇三五年远景目标的建议》、《黑龙江省国民经济和社会发展第十四个五年规划和2035年远景目标纲要》、</w:t>
      </w:r>
      <w:r>
        <w:rPr>
          <w:rFonts w:ascii="Times New Roman" w:hAnsi="Times New Roman" w:cs="Times New Roman"/>
          <w:snapToGrid w:val="0"/>
          <w:color w:val="auto"/>
          <w:kern w:val="0"/>
          <w:szCs w:val="24"/>
          <w:highlight w:val="none"/>
          <w:lang w:val="zh-CN"/>
        </w:rPr>
        <w:t>《</w:t>
      </w:r>
      <w:r>
        <w:rPr>
          <w:rFonts w:ascii="Times New Roman" w:hAnsi="Times New Roman" w:cs="Times New Roman"/>
          <w:snapToGrid w:val="0"/>
          <w:color w:val="auto"/>
          <w:kern w:val="0"/>
          <w:szCs w:val="24"/>
          <w:highlight w:val="none"/>
        </w:rPr>
        <w:t>双鸭山市人民政府关于印发双鸭山市国民经济和社会发展第十四个五年规划和二〇三五年远景目标纲要的通知</w:t>
      </w:r>
      <w:r>
        <w:rPr>
          <w:rFonts w:ascii="Times New Roman" w:hAnsi="Times New Roman" w:cs="Times New Roman"/>
          <w:snapToGrid w:val="0"/>
          <w:color w:val="auto"/>
          <w:kern w:val="0"/>
          <w:szCs w:val="24"/>
          <w:highlight w:val="none"/>
          <w:lang w:val="zh-CN"/>
        </w:rPr>
        <w:t>》</w:t>
      </w:r>
      <w:r>
        <w:rPr>
          <w:rFonts w:ascii="Times New Roman" w:hAnsi="Times New Roman" w:eastAsia="宋体" w:cs="Times New Roman"/>
          <w:smallCaps w:val="0"/>
          <w:snapToGrid w:val="0"/>
          <w:color w:val="auto"/>
          <w:kern w:val="0"/>
          <w:sz w:val="24"/>
          <w:szCs w:val="24"/>
          <w:highlight w:val="none"/>
          <w:lang w:val="zh-CN" w:eastAsia="zh-CN" w:bidi="ar-SA"/>
        </w:rPr>
        <w:t>、</w:t>
      </w:r>
      <w:r>
        <w:rPr>
          <w:rFonts w:ascii="Times New Roman" w:hAnsi="Times New Roman" w:eastAsia="宋体" w:cs="Times New Roman"/>
          <w:smallCaps w:val="0"/>
          <w:snapToGrid w:val="0"/>
          <w:color w:val="auto"/>
          <w:kern w:val="0"/>
          <w:sz w:val="24"/>
          <w:szCs w:val="24"/>
          <w:highlight w:val="none"/>
          <w:lang w:val="en-US" w:eastAsia="zh-CN" w:bidi="ar-SA"/>
        </w:rPr>
        <w:t>《黑龙江省生态功能区划》、《黑龙江省主体功能区划》及“三线一单”等相关规划和政策。</w:t>
      </w:r>
    </w:p>
    <w:p w14:paraId="2EA3F3B7">
      <w:pPr>
        <w:spacing w:line="500" w:lineRule="exact"/>
        <w:rPr>
          <w:rFonts w:hint="default"/>
          <w:color w:val="auto"/>
          <w:highlight w:val="none"/>
          <w:lang w:val="en-US" w:eastAsia="zh-CN"/>
        </w:rPr>
      </w:pPr>
      <w:r>
        <w:rPr>
          <w:rFonts w:hint="eastAsia" w:cs="Times New Roman"/>
          <w:smallCaps w:val="0"/>
          <w:snapToGrid w:val="0"/>
          <w:color w:val="auto"/>
          <w:kern w:val="0"/>
          <w:sz w:val="24"/>
          <w:szCs w:val="24"/>
          <w:highlight w:val="none"/>
          <w:lang w:val="en-US" w:eastAsia="zh-CN" w:bidi="ar-SA"/>
        </w:rPr>
        <w:t>综上，本项目</w:t>
      </w:r>
      <w:r>
        <w:rPr>
          <w:rFonts w:cs="Times New Roman"/>
          <w:snapToGrid w:val="0"/>
          <w:color w:val="auto"/>
          <w:kern w:val="0"/>
          <w:szCs w:val="24"/>
          <w:highlight w:val="none"/>
        </w:rPr>
        <w:t>项目选址是合理可行的。</w:t>
      </w:r>
    </w:p>
    <w:bookmarkEnd w:id="11"/>
    <w:p w14:paraId="227EC40E">
      <w:pPr>
        <w:keepNext/>
        <w:keepLines/>
        <w:spacing w:line="500" w:lineRule="exact"/>
        <w:ind w:firstLine="0" w:firstLineChars="0"/>
        <w:jc w:val="left"/>
        <w:outlineLvl w:val="1"/>
        <w:rPr>
          <w:rFonts w:eastAsia="黑体" w:cs="Times New Roman"/>
          <w:bCs/>
          <w:snapToGrid w:val="0"/>
          <w:color w:val="auto"/>
          <w:sz w:val="28"/>
          <w:szCs w:val="32"/>
          <w:highlight w:val="none"/>
        </w:rPr>
      </w:pPr>
      <w:bookmarkStart w:id="12" w:name="_Toc3484"/>
      <w:r>
        <w:rPr>
          <w:rFonts w:eastAsia="黑体" w:cs="Times New Roman"/>
          <w:bCs/>
          <w:snapToGrid w:val="0"/>
          <w:color w:val="auto"/>
          <w:sz w:val="28"/>
          <w:szCs w:val="32"/>
          <w:highlight w:val="none"/>
        </w:rPr>
        <w:t>1.3环境影响评价工作过程</w:t>
      </w:r>
      <w:bookmarkEnd w:id="12"/>
    </w:p>
    <w:p w14:paraId="4674CCBB">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依据《建设项目环境影响评价技术导则 总纲》（HJ2.1-2016）要求，本次环评工作分为三个阶段进行。</w:t>
      </w:r>
    </w:p>
    <w:p w14:paraId="108A1900">
      <w:pPr>
        <w:adjustRightInd/>
        <w:snapToGrid/>
        <w:spacing w:line="500" w:lineRule="exact"/>
        <w:rPr>
          <w:rFonts w:cs="Times New Roman"/>
          <w:color w:val="auto"/>
          <w:highlight w:val="none"/>
        </w:rPr>
      </w:pPr>
      <w:r>
        <w:rPr>
          <w:rFonts w:cs="Times New Roman"/>
          <w:snapToGrid w:val="0"/>
          <w:color w:val="auto"/>
          <w:kern w:val="0"/>
          <w:highlight w:val="none"/>
        </w:rPr>
        <w:t>1、</w:t>
      </w:r>
      <w:r>
        <w:rPr>
          <w:rFonts w:cs="Times New Roman"/>
          <w:color w:val="auto"/>
          <w:highlight w:val="none"/>
        </w:rPr>
        <w:t>依据《建设项目环境影响评价分类管理名录》（2021年版），本项目属于“十、农副食品加工业-18屠宰及肉类加工135 屠宰牛、羊10万头、肉牛1万头、肉羊15万只、禽类1000万只及以上的”类项目，本项目</w:t>
      </w:r>
      <w:r>
        <w:rPr>
          <w:rFonts w:hint="eastAsia" w:cs="Times New Roman"/>
          <w:color w:val="auto"/>
          <w:highlight w:val="none"/>
        </w:rPr>
        <w:t>屠宰量为肉牛</w:t>
      </w:r>
      <w:r>
        <w:rPr>
          <w:rFonts w:hint="eastAsia" w:cs="Times New Roman"/>
          <w:color w:val="auto"/>
          <w:highlight w:val="none"/>
          <w:lang w:val="en-US" w:eastAsia="zh-CN"/>
        </w:rPr>
        <w:t>100</w:t>
      </w:r>
      <w:r>
        <w:rPr>
          <w:rFonts w:hint="eastAsia" w:cs="Times New Roman"/>
          <w:color w:val="auto"/>
          <w:highlight w:val="none"/>
        </w:rPr>
        <w:t>头/d，肉羊</w:t>
      </w:r>
      <w:r>
        <w:rPr>
          <w:rFonts w:hint="eastAsia" w:cs="Times New Roman"/>
          <w:color w:val="auto"/>
          <w:highlight w:val="none"/>
          <w:lang w:val="en-US" w:eastAsia="zh-CN"/>
        </w:rPr>
        <w:t>500</w:t>
      </w:r>
      <w:r>
        <w:rPr>
          <w:rFonts w:hint="eastAsia" w:cs="Times New Roman"/>
          <w:color w:val="auto"/>
          <w:highlight w:val="none"/>
        </w:rPr>
        <w:t>只/d</w:t>
      </w:r>
      <w:r>
        <w:rPr>
          <w:rFonts w:hint="eastAsia" w:cs="Times New Roman"/>
          <w:color w:val="auto"/>
          <w:highlight w:val="none"/>
          <w:lang w:eastAsia="zh-CN"/>
        </w:rPr>
        <w:t>，</w:t>
      </w:r>
      <w:r>
        <w:rPr>
          <w:rFonts w:hint="eastAsia" w:cs="Times New Roman"/>
          <w:color w:val="auto"/>
          <w:highlight w:val="none"/>
        </w:rPr>
        <w:t>按设计3</w:t>
      </w:r>
      <w:r>
        <w:rPr>
          <w:rFonts w:hint="eastAsia" w:cs="Times New Roman"/>
          <w:color w:val="auto"/>
          <w:highlight w:val="none"/>
          <w:lang w:val="en-US" w:eastAsia="zh-CN"/>
        </w:rPr>
        <w:t>1</w:t>
      </w:r>
      <w:r>
        <w:rPr>
          <w:rFonts w:cs="Times New Roman"/>
          <w:color w:val="auto"/>
          <w:highlight w:val="none"/>
        </w:rPr>
        <w:t>0</w:t>
      </w:r>
      <w:r>
        <w:rPr>
          <w:rFonts w:hint="eastAsia" w:cs="Times New Roman"/>
          <w:color w:val="auto"/>
          <w:highlight w:val="none"/>
        </w:rPr>
        <w:t>天工作计算，</w:t>
      </w:r>
      <w:r>
        <w:rPr>
          <w:rFonts w:hint="eastAsia" w:cs="Times New Roman"/>
          <w:color w:val="auto"/>
          <w:highlight w:val="none"/>
          <w:lang w:eastAsia="zh-CN"/>
        </w:rPr>
        <w:t>年屠宰肉牛</w:t>
      </w:r>
      <w:r>
        <w:rPr>
          <w:rFonts w:hint="eastAsia" w:cs="Times New Roman"/>
          <w:color w:val="auto"/>
          <w:highlight w:val="none"/>
          <w:lang w:val="en-US" w:eastAsia="zh-CN"/>
        </w:rPr>
        <w:t>31000</w:t>
      </w:r>
      <w:r>
        <w:rPr>
          <w:rFonts w:hint="eastAsia" w:cs="Times New Roman"/>
          <w:color w:val="auto"/>
          <w:highlight w:val="none"/>
          <w:lang w:eastAsia="zh-CN"/>
        </w:rPr>
        <w:t>头、肉羊</w:t>
      </w:r>
      <w:r>
        <w:rPr>
          <w:rFonts w:hint="eastAsia" w:cs="Times New Roman"/>
          <w:color w:val="auto"/>
          <w:highlight w:val="none"/>
          <w:lang w:val="en-US" w:eastAsia="zh-CN"/>
        </w:rPr>
        <w:t>155000</w:t>
      </w:r>
      <w:r>
        <w:rPr>
          <w:rFonts w:hint="eastAsia" w:cs="Times New Roman"/>
          <w:color w:val="auto"/>
          <w:highlight w:val="none"/>
          <w:lang w:eastAsia="zh-CN"/>
        </w:rPr>
        <w:t>只</w:t>
      </w:r>
      <w:r>
        <w:rPr>
          <w:rFonts w:cs="Times New Roman"/>
          <w:color w:val="auto"/>
          <w:highlight w:val="none"/>
        </w:rPr>
        <w:t>，应编制环境影响报告书。在研究相关技术及其他有关文件基础上进行初步工程分析，开展了初步环境现状调查，进行了环境影响识别和评价因子筛选。明确了评价重点为水环境影响、大气环境影响和</w:t>
      </w:r>
      <w:r>
        <w:rPr>
          <w:rFonts w:hint="eastAsia" w:cs="Times New Roman"/>
          <w:color w:val="auto"/>
          <w:highlight w:val="none"/>
          <w:lang w:val="en-US" w:eastAsia="zh-CN"/>
        </w:rPr>
        <w:t>声环境</w:t>
      </w:r>
      <w:r>
        <w:rPr>
          <w:rFonts w:cs="Times New Roman"/>
          <w:color w:val="auto"/>
          <w:highlight w:val="none"/>
        </w:rPr>
        <w:t>影响，确定了保护目标，进一步确定评价工作等级、范围及评价标准，制定出相应工作方案。</w:t>
      </w:r>
    </w:p>
    <w:p w14:paraId="222881B6">
      <w:pPr>
        <w:pStyle w:val="117"/>
        <w:rPr>
          <w:rFonts w:cs="Times New Roman"/>
          <w:snapToGrid w:val="0"/>
          <w:color w:val="auto"/>
          <w:kern w:val="0"/>
          <w:highlight w:val="none"/>
        </w:rPr>
      </w:pPr>
      <w:r>
        <w:rPr>
          <w:rFonts w:cs="Times New Roman"/>
          <w:snapToGrid w:val="0"/>
          <w:color w:val="auto"/>
          <w:kern w:val="0"/>
          <w:highlight w:val="none"/>
        </w:rPr>
        <w:t>2、根据第一阶段工作成果，对环境现状的大气环境、地下水环境、声环境等进行了调查、监测与评价，详细进行工程分析，确定了主要环境影响因素为生产废水和生活污水对地表水和地下水的影响；</w:t>
      </w:r>
      <w:r>
        <w:rPr>
          <w:rFonts w:hint="eastAsia" w:cs="Times New Roman"/>
          <w:snapToGrid w:val="0"/>
          <w:color w:val="auto"/>
          <w:highlight w:val="none"/>
          <w:lang w:val="zh-CN"/>
        </w:rPr>
        <w:t>待宰圈</w:t>
      </w:r>
      <w:r>
        <w:rPr>
          <w:rFonts w:cs="Times New Roman"/>
          <w:snapToGrid w:val="0"/>
          <w:color w:val="auto"/>
          <w:highlight w:val="none"/>
          <w:lang w:val="zh-CN"/>
        </w:rPr>
        <w:t>、</w:t>
      </w:r>
      <w:r>
        <w:rPr>
          <w:rFonts w:hint="eastAsia" w:cs="Times New Roman"/>
          <w:snapToGrid w:val="0"/>
          <w:color w:val="auto"/>
          <w:highlight w:val="none"/>
          <w:lang w:val="en-US" w:eastAsia="zh-CN"/>
        </w:rPr>
        <w:t>急宰间、</w:t>
      </w:r>
      <w:r>
        <w:rPr>
          <w:rFonts w:cs="Times New Roman"/>
          <w:snapToGrid w:val="0"/>
          <w:color w:val="auto"/>
          <w:highlight w:val="none"/>
          <w:lang w:val="zh-CN"/>
        </w:rPr>
        <w:t>屠宰车间</w:t>
      </w:r>
      <w:r>
        <w:rPr>
          <w:rFonts w:hint="eastAsia" w:cs="Times New Roman"/>
          <w:snapToGrid w:val="0"/>
          <w:color w:val="auto"/>
          <w:highlight w:val="none"/>
          <w:lang w:val="en-US" w:eastAsia="zh-CN"/>
        </w:rPr>
        <w:t>、</w:t>
      </w:r>
      <w:r>
        <w:rPr>
          <w:rFonts w:cs="Times New Roman"/>
          <w:snapToGrid w:val="0"/>
          <w:color w:val="auto"/>
          <w:highlight w:val="none"/>
          <w:lang w:val="zh-CN"/>
        </w:rPr>
        <w:t>污水处理站</w:t>
      </w:r>
      <w:r>
        <w:rPr>
          <w:rFonts w:cs="Times New Roman"/>
          <w:color w:val="auto"/>
          <w:spacing w:val="12"/>
          <w:szCs w:val="24"/>
          <w:highlight w:val="none"/>
        </w:rPr>
        <w:t>、隔离</w:t>
      </w:r>
      <w:r>
        <w:rPr>
          <w:rFonts w:hint="eastAsia" w:cs="Times New Roman"/>
          <w:color w:val="auto"/>
          <w:spacing w:val="12"/>
          <w:szCs w:val="24"/>
          <w:highlight w:val="none"/>
          <w:lang w:val="en-US" w:eastAsia="zh-CN"/>
        </w:rPr>
        <w:t>间</w:t>
      </w:r>
      <w:r>
        <w:rPr>
          <w:rFonts w:cs="Times New Roman"/>
          <w:color w:val="auto"/>
          <w:spacing w:val="12"/>
          <w:szCs w:val="24"/>
          <w:highlight w:val="none"/>
        </w:rPr>
        <w:t>及</w:t>
      </w:r>
      <w:r>
        <w:rPr>
          <w:rFonts w:hint="eastAsia" w:cs="Times New Roman"/>
          <w:snapToGrid w:val="0"/>
          <w:color w:val="auto"/>
          <w:highlight w:val="none"/>
          <w:lang w:val="en-US" w:eastAsia="zh-CN"/>
        </w:rPr>
        <w:t>固体废物</w:t>
      </w:r>
      <w:r>
        <w:rPr>
          <w:rFonts w:cs="Times New Roman"/>
          <w:snapToGrid w:val="0"/>
          <w:color w:val="auto"/>
          <w:highlight w:val="none"/>
        </w:rPr>
        <w:t>暂存间</w:t>
      </w:r>
      <w:r>
        <w:rPr>
          <w:rFonts w:cs="Times New Roman"/>
          <w:snapToGrid w:val="0"/>
          <w:color w:val="auto"/>
          <w:kern w:val="0"/>
          <w:highlight w:val="none"/>
        </w:rPr>
        <w:t>产生的恶臭气体对大气环境的影响；牛、羊叫声及设备噪声对周边声环境的影响，检疫不合格品及病死牲畜、屠宰车间废物、</w:t>
      </w:r>
      <w:r>
        <w:rPr>
          <w:rFonts w:hint="eastAsia" w:cs="Times New Roman"/>
          <w:snapToGrid w:val="0"/>
          <w:color w:val="auto"/>
          <w:kern w:val="0"/>
          <w:highlight w:val="none"/>
          <w:lang w:eastAsia="zh-CN"/>
        </w:rPr>
        <w:t>待宰圈</w:t>
      </w:r>
      <w:r>
        <w:rPr>
          <w:rFonts w:cs="Times New Roman"/>
          <w:snapToGrid w:val="0"/>
          <w:color w:val="auto"/>
          <w:kern w:val="0"/>
          <w:highlight w:val="none"/>
        </w:rPr>
        <w:t>产生粪便、污泥、废活性炭及生活垃圾等对周边环境的影响，并采取相应的模式对各环境要素影响进行了预测与分析。</w:t>
      </w:r>
    </w:p>
    <w:p w14:paraId="6D00EF14">
      <w:pPr>
        <w:pStyle w:val="117"/>
        <w:rPr>
          <w:rFonts w:cs="Times New Roman"/>
          <w:snapToGrid w:val="0"/>
          <w:color w:val="auto"/>
          <w:kern w:val="0"/>
          <w:highlight w:val="none"/>
        </w:rPr>
      </w:pPr>
      <w:r>
        <w:rPr>
          <w:rFonts w:cs="Times New Roman"/>
          <w:snapToGrid w:val="0"/>
          <w:color w:val="auto"/>
          <w:kern w:val="0"/>
          <w:highlight w:val="none"/>
        </w:rPr>
        <w:t>3、对</w:t>
      </w:r>
      <w:r>
        <w:rPr>
          <w:rFonts w:hint="eastAsia" w:cs="Times New Roman"/>
          <w:snapToGrid w:val="0"/>
          <w:color w:val="auto"/>
          <w:highlight w:val="none"/>
          <w:lang w:val="zh-CN"/>
        </w:rPr>
        <w:t>待宰圈</w:t>
      </w:r>
      <w:r>
        <w:rPr>
          <w:rFonts w:cs="Times New Roman"/>
          <w:snapToGrid w:val="0"/>
          <w:color w:val="auto"/>
          <w:highlight w:val="none"/>
          <w:lang w:val="zh-CN"/>
        </w:rPr>
        <w:t>、</w:t>
      </w:r>
      <w:r>
        <w:rPr>
          <w:rFonts w:hint="eastAsia" w:cs="Times New Roman"/>
          <w:snapToGrid w:val="0"/>
          <w:color w:val="auto"/>
          <w:highlight w:val="none"/>
          <w:lang w:val="en-US" w:eastAsia="zh-CN"/>
        </w:rPr>
        <w:t>急宰间、</w:t>
      </w:r>
      <w:r>
        <w:rPr>
          <w:rFonts w:cs="Times New Roman"/>
          <w:snapToGrid w:val="0"/>
          <w:color w:val="auto"/>
          <w:highlight w:val="none"/>
          <w:lang w:val="zh-CN"/>
        </w:rPr>
        <w:t>屠宰车间</w:t>
      </w:r>
      <w:r>
        <w:rPr>
          <w:rFonts w:hint="eastAsia" w:cs="Times New Roman"/>
          <w:snapToGrid w:val="0"/>
          <w:color w:val="auto"/>
          <w:highlight w:val="none"/>
          <w:lang w:val="en-US" w:eastAsia="zh-CN"/>
        </w:rPr>
        <w:t>、</w:t>
      </w:r>
      <w:r>
        <w:rPr>
          <w:rFonts w:cs="Times New Roman"/>
          <w:snapToGrid w:val="0"/>
          <w:color w:val="auto"/>
          <w:highlight w:val="none"/>
          <w:lang w:val="zh-CN"/>
        </w:rPr>
        <w:t>污水处理站</w:t>
      </w:r>
      <w:r>
        <w:rPr>
          <w:rFonts w:cs="Times New Roman"/>
          <w:color w:val="auto"/>
          <w:spacing w:val="12"/>
          <w:szCs w:val="24"/>
          <w:highlight w:val="none"/>
        </w:rPr>
        <w:t>、隔离</w:t>
      </w:r>
      <w:r>
        <w:rPr>
          <w:rFonts w:hint="eastAsia" w:cs="Times New Roman"/>
          <w:color w:val="auto"/>
          <w:spacing w:val="12"/>
          <w:szCs w:val="24"/>
          <w:highlight w:val="none"/>
          <w:lang w:val="en-US" w:eastAsia="zh-CN"/>
        </w:rPr>
        <w:t>间</w:t>
      </w:r>
      <w:r>
        <w:rPr>
          <w:rFonts w:cs="Times New Roman"/>
          <w:color w:val="auto"/>
          <w:spacing w:val="12"/>
          <w:szCs w:val="24"/>
          <w:highlight w:val="none"/>
        </w:rPr>
        <w:t>及</w:t>
      </w:r>
      <w:r>
        <w:rPr>
          <w:rFonts w:hint="eastAsia" w:cs="Times New Roman"/>
          <w:snapToGrid w:val="0"/>
          <w:color w:val="auto"/>
          <w:highlight w:val="none"/>
          <w:lang w:val="en-US" w:eastAsia="zh-CN"/>
        </w:rPr>
        <w:t>固体废物</w:t>
      </w:r>
      <w:r>
        <w:rPr>
          <w:rFonts w:cs="Times New Roman"/>
          <w:snapToGrid w:val="0"/>
          <w:color w:val="auto"/>
          <w:highlight w:val="none"/>
        </w:rPr>
        <w:t>暂存间</w:t>
      </w:r>
      <w:r>
        <w:rPr>
          <w:rFonts w:cs="Times New Roman"/>
          <w:snapToGrid w:val="0"/>
          <w:color w:val="auto"/>
          <w:kern w:val="0"/>
          <w:highlight w:val="none"/>
        </w:rPr>
        <w:t>产生的恶臭气体提出了大气环境保护措施，生活污水</w:t>
      </w:r>
      <w:r>
        <w:rPr>
          <w:rFonts w:cs="Times New Roman"/>
          <w:snapToGrid w:val="0"/>
          <w:color w:val="auto"/>
          <w:highlight w:val="none"/>
        </w:rPr>
        <w:t>和生产废水</w:t>
      </w:r>
      <w:r>
        <w:rPr>
          <w:rFonts w:cs="Times New Roman"/>
          <w:snapToGrid w:val="0"/>
          <w:color w:val="auto"/>
          <w:kern w:val="0"/>
          <w:highlight w:val="none"/>
        </w:rPr>
        <w:t>提出了处理措施和地下水防治措施，对噪声采取了隔声减振等措施，对产生的固废采取了相应处理处置措施，并进行经济技术可行性论证，给出污染物排放清单并给出评价结论。</w:t>
      </w:r>
    </w:p>
    <w:p w14:paraId="649BDC16">
      <w:pPr>
        <w:pStyle w:val="117"/>
        <w:rPr>
          <w:rFonts w:cs="Times New Roman"/>
          <w:snapToGrid w:val="0"/>
          <w:color w:val="auto"/>
          <w:highlight w:val="none"/>
        </w:rPr>
      </w:pPr>
      <w:r>
        <w:rPr>
          <w:rFonts w:cs="Times New Roman"/>
          <w:snapToGrid w:val="0"/>
          <w:color w:val="auto"/>
          <w:kern w:val="0"/>
          <w:highlight w:val="none"/>
        </w:rPr>
        <w:t>根据国家《环境</w:t>
      </w:r>
      <w:r>
        <w:rPr>
          <w:rFonts w:cs="Times New Roman"/>
          <w:snapToGrid w:val="0"/>
          <w:color w:val="auto"/>
          <w:highlight w:val="none"/>
        </w:rPr>
        <w:t>影响评价公众参与办法》的规定，本项目在环评期间依法开展了公众参与工作，通过网站公示</w:t>
      </w:r>
      <w:r>
        <w:rPr>
          <w:rFonts w:ascii="Times New Roman" w:hAnsi="Times New Roman" w:eastAsia="宋体" w:cs="Times New Roman"/>
          <w:snapToGrid w:val="0"/>
          <w:color w:val="auto"/>
          <w:highlight w:val="none"/>
        </w:rPr>
        <w:t>、报纸公告、张贴公告等方式公开项目信息，</w:t>
      </w:r>
      <w:r>
        <w:rPr>
          <w:rFonts w:hint="default" w:ascii="Times New Roman" w:hAnsi="Times New Roman" w:eastAsia="宋体" w:cs="Times New Roman"/>
          <w:snapToGrid w:val="0"/>
          <w:color w:val="auto"/>
          <w:highlight w:val="none"/>
        </w:rPr>
        <w:t>本项目在公示期间，</w:t>
      </w:r>
      <w:r>
        <w:rPr>
          <w:rFonts w:hint="default" w:ascii="Times New Roman" w:hAnsi="Times New Roman" w:eastAsia="宋体" w:cs="Times New Roman"/>
          <w:snapToGrid w:val="0"/>
          <w:color w:val="auto"/>
          <w:highlight w:val="none"/>
          <w:lang w:eastAsia="zh-CN"/>
        </w:rPr>
        <w:t>我</w:t>
      </w:r>
      <w:r>
        <w:rPr>
          <w:rFonts w:hint="default" w:ascii="Times New Roman" w:hAnsi="Times New Roman" w:eastAsia="宋体" w:cs="Times New Roman"/>
          <w:snapToGrid w:val="0"/>
          <w:color w:val="auto"/>
          <w:highlight w:val="none"/>
        </w:rPr>
        <w:t>单位未收到公众对本项目提出的环境影响相关意见</w:t>
      </w:r>
      <w:r>
        <w:rPr>
          <w:rFonts w:ascii="Times New Roman" w:hAnsi="Times New Roman" w:eastAsia="宋体" w:cs="Times New Roman"/>
          <w:snapToGrid w:val="0"/>
          <w:color w:val="auto"/>
          <w:highlight w:val="none"/>
        </w:rPr>
        <w:t>。公众参与的过程和结果已独立成册，作为本</w:t>
      </w:r>
      <w:r>
        <w:rPr>
          <w:rFonts w:cs="Times New Roman"/>
          <w:snapToGrid w:val="0"/>
          <w:color w:val="auto"/>
          <w:highlight w:val="none"/>
        </w:rPr>
        <w:t>报告书的重要组成部分。</w:t>
      </w:r>
    </w:p>
    <w:p w14:paraId="21A39279">
      <w:pPr>
        <w:adjustRightInd/>
        <w:snapToGrid/>
        <w:spacing w:line="240" w:lineRule="auto"/>
        <w:ind w:firstLine="0" w:firstLineChars="0"/>
        <w:jc w:val="center"/>
        <w:rPr>
          <w:rFonts w:cs="Times New Roman"/>
          <w:snapToGrid w:val="0"/>
          <w:color w:val="auto"/>
          <w:kern w:val="0"/>
          <w:highlight w:val="none"/>
        </w:rPr>
      </w:pPr>
      <w:r>
        <w:rPr>
          <w:rFonts w:cs="Times New Roman"/>
          <w:snapToGrid w:val="0"/>
          <w:color w:val="auto"/>
          <w:kern w:val="0"/>
          <w:highlight w:val="none"/>
        </w:rPr>
        <w:drawing>
          <wp:inline distT="0" distB="0" distL="0" distR="0">
            <wp:extent cx="4806315" cy="5017770"/>
            <wp:effectExtent l="0" t="0" r="13335" b="11430"/>
            <wp:docPr id="7" name="图片 7" descr="C:/Users/Administrator/AppData/Local/Temp/picturecompress_20211105115811/output_28.jpgoutput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Local/Temp/picturecompress_20211105115811/output_28.jpgoutput_28"/>
                    <pic:cNvPicPr>
                      <a:picLocks noChangeAspect="1" noChangeArrowheads="1"/>
                    </pic:cNvPicPr>
                  </pic:nvPicPr>
                  <pic:blipFill>
                    <a:blip r:embed="rId20"/>
                    <a:srcRect/>
                    <a:stretch>
                      <a:fillRect/>
                    </a:stretch>
                  </pic:blipFill>
                  <pic:spPr>
                    <a:xfrm>
                      <a:off x="0" y="0"/>
                      <a:ext cx="4806315" cy="5017770"/>
                    </a:xfrm>
                    <a:prstGeom prst="rect">
                      <a:avLst/>
                    </a:prstGeom>
                    <a:noFill/>
                    <a:ln>
                      <a:noFill/>
                    </a:ln>
                  </pic:spPr>
                </pic:pic>
              </a:graphicData>
            </a:graphic>
          </wp:inline>
        </w:drawing>
      </w:r>
    </w:p>
    <w:p w14:paraId="2FE4BFE3">
      <w:pPr>
        <w:spacing w:line="240" w:lineRule="auto"/>
        <w:ind w:firstLine="0" w:firstLineChars="0"/>
        <w:jc w:val="center"/>
        <w:rPr>
          <w:rFonts w:cs="Times New Roman"/>
          <w:b/>
          <w:bCs/>
          <w:snapToGrid w:val="0"/>
          <w:color w:val="auto"/>
          <w:szCs w:val="24"/>
          <w:highlight w:val="none"/>
          <w:lang w:val="zh-CN"/>
        </w:rPr>
      </w:pPr>
      <w:r>
        <w:rPr>
          <w:rFonts w:cs="Times New Roman"/>
          <w:b/>
          <w:bCs/>
          <w:snapToGrid w:val="0"/>
          <w:color w:val="auto"/>
          <w:szCs w:val="24"/>
          <w:highlight w:val="none"/>
          <w:lang w:val="zh-CN"/>
        </w:rPr>
        <w:t>图1-3-1</w:t>
      </w:r>
      <w:r>
        <w:rPr>
          <w:rFonts w:cs="Times New Roman"/>
          <w:b/>
          <w:bCs/>
          <w:snapToGrid w:val="0"/>
          <w:color w:val="auto"/>
          <w:szCs w:val="24"/>
          <w:highlight w:val="none"/>
        </w:rPr>
        <w:t xml:space="preserve">  </w:t>
      </w:r>
      <w:r>
        <w:rPr>
          <w:rFonts w:cs="Times New Roman"/>
          <w:b/>
          <w:bCs/>
          <w:snapToGrid w:val="0"/>
          <w:color w:val="auto"/>
          <w:szCs w:val="24"/>
          <w:highlight w:val="none"/>
          <w:lang w:val="zh-CN"/>
        </w:rPr>
        <w:t>建设项目环境影响评价工作程序图</w:t>
      </w:r>
    </w:p>
    <w:p w14:paraId="49FB1C2B">
      <w:pPr>
        <w:pStyle w:val="3"/>
        <w:spacing w:before="156" w:after="156"/>
        <w:rPr>
          <w:rFonts w:cs="Times New Roman"/>
          <w:color w:val="auto"/>
          <w:highlight w:val="none"/>
        </w:rPr>
      </w:pPr>
      <w:bookmarkStart w:id="13" w:name="_Toc4832"/>
      <w:r>
        <w:rPr>
          <w:rFonts w:cs="Times New Roman"/>
          <w:color w:val="auto"/>
          <w:highlight w:val="none"/>
        </w:rPr>
        <w:t>1.4分析判定相关情况</w:t>
      </w:r>
      <w:bookmarkEnd w:id="13"/>
    </w:p>
    <w:p w14:paraId="11E96F44">
      <w:pPr>
        <w:pStyle w:val="4"/>
        <w:spacing w:after="156"/>
        <w:rPr>
          <w:rFonts w:cs="Times New Roman"/>
          <w:color w:val="auto"/>
          <w:highlight w:val="none"/>
        </w:rPr>
      </w:pPr>
      <w:bookmarkStart w:id="14" w:name="_Toc748"/>
      <w:r>
        <w:rPr>
          <w:rFonts w:cs="Times New Roman"/>
          <w:color w:val="auto"/>
          <w:highlight w:val="none"/>
        </w:rPr>
        <w:t>1.4.1产业政策符合性分析</w:t>
      </w:r>
      <w:bookmarkEnd w:id="14"/>
    </w:p>
    <w:p w14:paraId="209C7941">
      <w:pPr>
        <w:pStyle w:val="117"/>
        <w:rPr>
          <w:rFonts w:cs="Times New Roman"/>
          <w:color w:val="auto"/>
          <w:highlight w:val="none"/>
        </w:rPr>
      </w:pPr>
      <w:r>
        <w:rPr>
          <w:rFonts w:cs="Times New Roman"/>
          <w:color w:val="auto"/>
          <w:highlight w:val="none"/>
        </w:rPr>
        <w:t>根据《国民经济行业分类》（GB/T4754-2017）及其修改单，本项目所属产业为C1351 牲畜屠宰。中华人民共和国国家发展和改革委员会发布的</w:t>
      </w:r>
      <w:r>
        <w:rPr>
          <w:rFonts w:hint="eastAsia" w:cs="Times New Roman"/>
          <w:color w:val="auto"/>
          <w:highlight w:val="none"/>
          <w:lang w:eastAsia="zh-CN"/>
        </w:rPr>
        <w:t>《产业结构调整指导目录（</w:t>
      </w:r>
      <w:r>
        <w:rPr>
          <w:rFonts w:hint="eastAsia" w:cs="Times New Roman"/>
          <w:color w:val="auto"/>
          <w:highlight w:val="none"/>
          <w:lang w:val="en-US" w:eastAsia="zh-CN"/>
        </w:rPr>
        <w:t>2024</w:t>
      </w:r>
      <w:r>
        <w:rPr>
          <w:rFonts w:hint="eastAsia" w:cs="Times New Roman"/>
          <w:color w:val="auto"/>
          <w:highlight w:val="none"/>
          <w:lang w:eastAsia="zh-CN"/>
        </w:rPr>
        <w:t>年本）》</w:t>
      </w:r>
      <w:r>
        <w:rPr>
          <w:rFonts w:cs="Times New Roman"/>
          <w:color w:val="auto"/>
          <w:highlight w:val="none"/>
        </w:rPr>
        <w:t>，</w:t>
      </w:r>
      <w:r>
        <w:rPr>
          <w:rFonts w:hint="eastAsia" w:cs="Times New Roman"/>
          <w:color w:val="auto"/>
          <w:highlight w:val="none"/>
        </w:rPr>
        <w:t>第二类 限制类 中</w:t>
      </w:r>
      <w:r>
        <w:rPr>
          <w:rFonts w:cs="Times New Roman"/>
          <w:color w:val="auto"/>
          <w:highlight w:val="none"/>
        </w:rPr>
        <w:t>第十二项轻工-第24条-年屠宰生猪15万头及以下、肉牛1万头及以下、肉羊15万只以及下、活禽1000万只及以下的屠宰建设项目（少数</w:t>
      </w:r>
      <w:r>
        <w:rPr>
          <w:rFonts w:hint="eastAsia" w:cs="Times New Roman"/>
          <w:color w:val="auto"/>
          <w:highlight w:val="none"/>
        </w:rPr>
        <w:t>民族</w:t>
      </w:r>
      <w:r>
        <w:rPr>
          <w:rFonts w:cs="Times New Roman"/>
          <w:color w:val="auto"/>
          <w:highlight w:val="none"/>
        </w:rPr>
        <w:t>地区除外）</w:t>
      </w:r>
      <w:r>
        <w:rPr>
          <w:rFonts w:hint="eastAsia" w:cs="Times New Roman"/>
          <w:color w:val="auto"/>
          <w:highlight w:val="none"/>
        </w:rPr>
        <w:t xml:space="preserve">。第三类 </w:t>
      </w:r>
      <w:r>
        <w:rPr>
          <w:rFonts w:cs="Times New Roman"/>
          <w:color w:val="auto"/>
          <w:highlight w:val="none"/>
        </w:rPr>
        <w:t>淘汰类</w:t>
      </w:r>
      <w:r>
        <w:rPr>
          <w:rFonts w:hint="eastAsia" w:cs="Times New Roman"/>
          <w:color w:val="auto"/>
          <w:highlight w:val="none"/>
        </w:rPr>
        <w:t xml:space="preserve"> 中第十二项 轻工-第2</w:t>
      </w:r>
      <w:r>
        <w:rPr>
          <w:rFonts w:cs="Times New Roman"/>
          <w:color w:val="auto"/>
          <w:highlight w:val="none"/>
        </w:rPr>
        <w:t>9</w:t>
      </w:r>
      <w:r>
        <w:rPr>
          <w:rFonts w:hint="eastAsia" w:cs="Times New Roman"/>
          <w:color w:val="auto"/>
          <w:highlight w:val="none"/>
        </w:rPr>
        <w:t>条-猪、牛、羊、禽手工屠宰工艺。</w:t>
      </w:r>
    </w:p>
    <w:p w14:paraId="5E951921">
      <w:pPr>
        <w:pStyle w:val="117"/>
        <w:rPr>
          <w:rFonts w:hint="eastAsia" w:cs="Times New Roman"/>
          <w:color w:val="auto"/>
          <w:highlight w:val="none"/>
        </w:rPr>
      </w:pPr>
      <w:r>
        <w:rPr>
          <w:rFonts w:cs="Times New Roman"/>
          <w:color w:val="auto"/>
          <w:highlight w:val="none"/>
        </w:rPr>
        <w:t>本项目</w:t>
      </w:r>
      <w:r>
        <w:rPr>
          <w:rFonts w:hint="eastAsia" w:cs="Times New Roman"/>
          <w:color w:val="auto"/>
          <w:highlight w:val="none"/>
        </w:rPr>
        <w:t>屠宰量为</w:t>
      </w:r>
      <w:r>
        <w:rPr>
          <w:rFonts w:cs="Times New Roman"/>
          <w:color w:val="auto"/>
          <w:highlight w:val="none"/>
        </w:rPr>
        <w:t>肉牛</w:t>
      </w:r>
      <w:r>
        <w:rPr>
          <w:rFonts w:hint="eastAsia" w:cs="Times New Roman"/>
          <w:color w:val="auto"/>
          <w:highlight w:val="none"/>
          <w:lang w:val="en-US" w:eastAsia="zh-CN"/>
        </w:rPr>
        <w:t>100</w:t>
      </w:r>
      <w:r>
        <w:rPr>
          <w:rFonts w:cs="Times New Roman"/>
          <w:color w:val="auto"/>
          <w:highlight w:val="none"/>
        </w:rPr>
        <w:t>头/d，肉羊</w:t>
      </w:r>
      <w:r>
        <w:rPr>
          <w:rFonts w:hint="eastAsia" w:cs="Times New Roman"/>
          <w:color w:val="auto"/>
          <w:highlight w:val="none"/>
          <w:lang w:val="en-US" w:eastAsia="zh-CN"/>
        </w:rPr>
        <w:t>500</w:t>
      </w:r>
      <w:r>
        <w:rPr>
          <w:rFonts w:cs="Times New Roman"/>
          <w:color w:val="auto"/>
          <w:highlight w:val="none"/>
        </w:rPr>
        <w:t>只/d</w:t>
      </w:r>
      <w:r>
        <w:rPr>
          <w:rFonts w:hint="eastAsia" w:cs="Times New Roman"/>
          <w:color w:val="auto"/>
          <w:highlight w:val="none"/>
        </w:rPr>
        <w:t>，本项目采用自动化屠宰工艺，不属于淘汰类中手工屠宰工艺</w:t>
      </w:r>
      <w:r>
        <w:rPr>
          <w:rFonts w:hint="eastAsia" w:cs="Times New Roman"/>
          <w:color w:val="auto"/>
          <w:highlight w:val="none"/>
          <w:lang w:eastAsia="zh-CN"/>
        </w:rPr>
        <w:t>。</w:t>
      </w:r>
      <w:r>
        <w:rPr>
          <w:rFonts w:hint="eastAsia" w:cs="Times New Roman"/>
          <w:color w:val="auto"/>
          <w:highlight w:val="none"/>
        </w:rPr>
        <w:t>按设计3</w:t>
      </w:r>
      <w:r>
        <w:rPr>
          <w:rFonts w:hint="eastAsia" w:cs="Times New Roman"/>
          <w:color w:val="auto"/>
          <w:highlight w:val="none"/>
          <w:lang w:val="en-US" w:eastAsia="zh-CN"/>
        </w:rPr>
        <w:t>1</w:t>
      </w:r>
      <w:r>
        <w:rPr>
          <w:rFonts w:cs="Times New Roman"/>
          <w:color w:val="auto"/>
          <w:highlight w:val="none"/>
        </w:rPr>
        <w:t>0</w:t>
      </w:r>
      <w:r>
        <w:rPr>
          <w:rFonts w:hint="eastAsia" w:cs="Times New Roman"/>
          <w:color w:val="auto"/>
          <w:highlight w:val="none"/>
        </w:rPr>
        <w:t>天工作计算，</w:t>
      </w:r>
      <w:r>
        <w:rPr>
          <w:rFonts w:hint="eastAsia" w:cs="Times New Roman"/>
          <w:color w:val="auto"/>
          <w:highlight w:val="none"/>
          <w:lang w:val="en-US" w:eastAsia="zh-CN"/>
        </w:rPr>
        <w:t>本项目</w:t>
      </w:r>
      <w:r>
        <w:rPr>
          <w:rFonts w:hint="eastAsia" w:cs="Times New Roman"/>
          <w:color w:val="auto"/>
          <w:highlight w:val="none"/>
          <w:lang w:eastAsia="zh-CN"/>
        </w:rPr>
        <w:t>年屠宰肉牛</w:t>
      </w:r>
      <w:r>
        <w:rPr>
          <w:rFonts w:hint="eastAsia" w:cs="Times New Roman"/>
          <w:color w:val="auto"/>
          <w:highlight w:val="none"/>
          <w:lang w:val="en-US" w:eastAsia="zh-CN"/>
        </w:rPr>
        <w:t>31000</w:t>
      </w:r>
      <w:r>
        <w:rPr>
          <w:rFonts w:hint="eastAsia" w:cs="Times New Roman"/>
          <w:color w:val="auto"/>
          <w:highlight w:val="none"/>
          <w:lang w:eastAsia="zh-CN"/>
        </w:rPr>
        <w:t>头、肉羊</w:t>
      </w:r>
      <w:r>
        <w:rPr>
          <w:rFonts w:hint="eastAsia" w:cs="Times New Roman"/>
          <w:color w:val="auto"/>
          <w:highlight w:val="none"/>
          <w:lang w:val="en-US" w:eastAsia="zh-CN"/>
        </w:rPr>
        <w:t>155000</w:t>
      </w:r>
      <w:r>
        <w:rPr>
          <w:rFonts w:hint="eastAsia" w:cs="Times New Roman"/>
          <w:color w:val="auto"/>
          <w:highlight w:val="none"/>
          <w:lang w:eastAsia="zh-CN"/>
        </w:rPr>
        <w:t>只</w:t>
      </w:r>
      <w:r>
        <w:rPr>
          <w:rFonts w:hint="eastAsia" w:cs="Times New Roman"/>
          <w:color w:val="auto"/>
          <w:highlight w:val="none"/>
        </w:rPr>
        <w:t>，同时，本项目已取得《</w:t>
      </w:r>
      <w:r>
        <w:rPr>
          <w:rFonts w:hint="eastAsia" w:cs="Times New Roman"/>
          <w:color w:val="auto"/>
          <w:highlight w:val="none"/>
          <w:lang w:val="en-US" w:eastAsia="zh-CN"/>
        </w:rPr>
        <w:t>企业投资项目备案承诺书</w:t>
      </w:r>
      <w:r>
        <w:rPr>
          <w:rFonts w:hint="eastAsia" w:cs="Times New Roman"/>
          <w:color w:val="auto"/>
          <w:highlight w:val="none"/>
        </w:rPr>
        <w:t>》（</w:t>
      </w:r>
      <w:r>
        <w:rPr>
          <w:rFonts w:hint="eastAsia" w:cs="Times New Roman"/>
          <w:color w:val="auto"/>
          <w:highlight w:val="none"/>
          <w:lang w:val="en-US" w:eastAsia="zh-CN"/>
        </w:rPr>
        <w:t>项目代码</w:t>
      </w:r>
      <w:r>
        <w:rPr>
          <w:rFonts w:hint="eastAsia" w:cs="Times New Roman"/>
          <w:color w:val="auto"/>
          <w:highlight w:val="none"/>
        </w:rPr>
        <w:t>2505-230503-04-01-856396），</w:t>
      </w:r>
      <w:r>
        <w:rPr>
          <w:rFonts w:hint="eastAsia" w:cs="Times New Roman"/>
          <w:color w:val="auto"/>
          <w:highlight w:val="none"/>
          <w:lang w:val="en-US" w:eastAsia="zh-CN"/>
        </w:rPr>
        <w:t>综上，本项目建设</w:t>
      </w:r>
      <w:r>
        <w:rPr>
          <w:rFonts w:hint="eastAsia" w:cs="Times New Roman"/>
          <w:color w:val="auto"/>
          <w:highlight w:val="none"/>
        </w:rPr>
        <w:t>符合</w:t>
      </w:r>
      <w:r>
        <w:rPr>
          <w:rFonts w:hint="eastAsia" w:cs="Times New Roman"/>
          <w:color w:val="auto"/>
          <w:highlight w:val="none"/>
          <w:lang w:eastAsia="zh-CN"/>
        </w:rPr>
        <w:t>《产业结构调整指导目录（20</w:t>
      </w:r>
      <w:r>
        <w:rPr>
          <w:rFonts w:hint="eastAsia" w:cs="Times New Roman"/>
          <w:color w:val="auto"/>
          <w:highlight w:val="none"/>
          <w:lang w:val="en-US" w:eastAsia="zh-CN"/>
        </w:rPr>
        <w:t>24</w:t>
      </w:r>
      <w:r>
        <w:rPr>
          <w:rFonts w:hint="eastAsia" w:cs="Times New Roman"/>
          <w:color w:val="auto"/>
          <w:highlight w:val="none"/>
          <w:lang w:eastAsia="zh-CN"/>
        </w:rPr>
        <w:t>年本）》</w:t>
      </w:r>
      <w:r>
        <w:rPr>
          <w:rFonts w:hint="eastAsia" w:cs="Times New Roman"/>
          <w:color w:val="auto"/>
          <w:highlight w:val="none"/>
        </w:rPr>
        <w:t>。</w:t>
      </w:r>
    </w:p>
    <w:p w14:paraId="0D25393D">
      <w:pPr>
        <w:pStyle w:val="4"/>
        <w:spacing w:after="156"/>
        <w:rPr>
          <w:rFonts w:cs="Times New Roman"/>
          <w:color w:val="auto"/>
          <w:highlight w:val="none"/>
        </w:rPr>
      </w:pPr>
      <w:bookmarkStart w:id="15" w:name="_Toc24307"/>
      <w:r>
        <w:rPr>
          <w:rFonts w:cs="Times New Roman"/>
          <w:color w:val="auto"/>
          <w:highlight w:val="none"/>
        </w:rPr>
        <w:t>1.4.2与相关规划符合性分析</w:t>
      </w:r>
      <w:bookmarkEnd w:id="15"/>
    </w:p>
    <w:p w14:paraId="49E4708E">
      <w:pPr>
        <w:pStyle w:val="117"/>
        <w:rPr>
          <w:rFonts w:hint="default"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1、与十四五</w:t>
      </w:r>
      <w:r>
        <w:rPr>
          <w:rFonts w:hint="eastAsia" w:ascii="Times New Roman" w:hAnsi="Times New Roman" w:eastAsia="宋体" w:cs="Times New Roman"/>
          <w:b/>
          <w:bCs/>
          <w:color w:val="auto"/>
          <w:highlight w:val="none"/>
        </w:rPr>
        <w:t>规划符合性分析</w:t>
      </w:r>
    </w:p>
    <w:p w14:paraId="13CAD6D4">
      <w:pPr>
        <w:pStyle w:val="66"/>
        <w:keepNext w:val="0"/>
        <w:keepLines w:val="0"/>
        <w:pageBreakBefore w:val="0"/>
        <w:widowControl w:val="0"/>
        <w:kinsoku/>
        <w:wordWrap/>
        <w:overflowPunct/>
        <w:topLinePunct w:val="0"/>
        <w:autoSpaceDE/>
        <w:autoSpaceDN/>
        <w:bidi w:val="0"/>
        <w:adjustRightInd w:val="0"/>
        <w:snapToGrid w:val="0"/>
        <w:spacing w:before="157" w:beforeLines="50" w:line="240" w:lineRule="auto"/>
        <w:textAlignment w:val="auto"/>
        <w:rPr>
          <w:rFonts w:eastAsia="宋体" w:cs="Times New Roman"/>
          <w:b/>
          <w:bCs/>
          <w:color w:val="auto"/>
          <w:szCs w:val="24"/>
          <w:highlight w:val="none"/>
        </w:rPr>
      </w:pPr>
      <w:r>
        <w:rPr>
          <w:rFonts w:eastAsia="宋体" w:cs="Times New Roman"/>
          <w:b/>
          <w:bCs/>
          <w:color w:val="auto"/>
          <w:szCs w:val="24"/>
          <w:highlight w:val="none"/>
        </w:rPr>
        <w:t>表1</w:t>
      </w:r>
      <w:r>
        <w:rPr>
          <w:rFonts w:hint="eastAsia" w:eastAsia="宋体" w:cs="Times New Roman"/>
          <w:b/>
          <w:bCs/>
          <w:color w:val="auto"/>
          <w:szCs w:val="24"/>
          <w:highlight w:val="none"/>
          <w:lang w:val="en-US" w:eastAsia="zh-CN"/>
        </w:rPr>
        <w:t>.</w:t>
      </w:r>
      <w:r>
        <w:rPr>
          <w:rFonts w:eastAsia="宋体" w:cs="Times New Roman"/>
          <w:b/>
          <w:bCs/>
          <w:color w:val="auto"/>
          <w:szCs w:val="24"/>
          <w:highlight w:val="none"/>
        </w:rPr>
        <w:t>4-1</w:t>
      </w:r>
      <w:r>
        <w:rPr>
          <w:rFonts w:eastAsia="宋体" w:cs="Times New Roman"/>
          <w:b/>
          <w:bCs/>
          <w:color w:val="auto"/>
          <w:szCs w:val="24"/>
          <w:highlight w:val="none"/>
          <w:lang w:val="en-US"/>
        </w:rPr>
        <w:t xml:space="preserve">  </w:t>
      </w:r>
      <w:r>
        <w:rPr>
          <w:rFonts w:eastAsia="宋体" w:cs="Times New Roman"/>
          <w:b/>
          <w:bCs/>
          <w:color w:val="auto"/>
          <w:szCs w:val="24"/>
          <w:highlight w:val="none"/>
        </w:rPr>
        <w:t>与</w:t>
      </w:r>
      <w:r>
        <w:rPr>
          <w:rFonts w:hint="eastAsia" w:eastAsia="宋体" w:cs="Times New Roman"/>
          <w:b/>
          <w:bCs/>
          <w:color w:val="auto"/>
          <w:szCs w:val="24"/>
          <w:highlight w:val="none"/>
          <w:lang w:val="en-US" w:eastAsia="zh-CN"/>
        </w:rPr>
        <w:t>十四五</w:t>
      </w:r>
      <w:r>
        <w:rPr>
          <w:rFonts w:eastAsia="宋体" w:cs="Times New Roman"/>
          <w:b/>
          <w:bCs/>
          <w:color w:val="auto"/>
          <w:szCs w:val="24"/>
          <w:highlight w:val="none"/>
        </w:rPr>
        <w:t>规划符合性分析</w:t>
      </w:r>
    </w:p>
    <w:tbl>
      <w:tblPr>
        <w:tblStyle w:val="47"/>
        <w:tblW w:w="830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2882"/>
        <w:gridCol w:w="3285"/>
        <w:gridCol w:w="728"/>
      </w:tblGrid>
      <w:tr w14:paraId="58197D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shd w:val="clear" w:color="auto" w:fill="auto"/>
            <w:vAlign w:val="center"/>
          </w:tcPr>
          <w:p w14:paraId="40F69281">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相关政策、条例、规范</w:t>
            </w:r>
          </w:p>
        </w:tc>
        <w:tc>
          <w:tcPr>
            <w:tcW w:w="2882" w:type="dxa"/>
            <w:shd w:val="clear" w:color="auto" w:fill="auto"/>
            <w:vAlign w:val="center"/>
          </w:tcPr>
          <w:p w14:paraId="1FDF0F61">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要求</w:t>
            </w:r>
          </w:p>
        </w:tc>
        <w:tc>
          <w:tcPr>
            <w:tcW w:w="3285" w:type="dxa"/>
            <w:shd w:val="clear" w:color="auto" w:fill="auto"/>
            <w:vAlign w:val="center"/>
          </w:tcPr>
          <w:p w14:paraId="6BF7A88E">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符合性分析</w:t>
            </w:r>
          </w:p>
        </w:tc>
        <w:tc>
          <w:tcPr>
            <w:tcW w:w="728" w:type="dxa"/>
            <w:shd w:val="clear" w:color="auto" w:fill="auto"/>
            <w:vAlign w:val="center"/>
          </w:tcPr>
          <w:p w14:paraId="12A1F7C3">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是否符合</w:t>
            </w:r>
          </w:p>
        </w:tc>
      </w:tr>
      <w:tr w14:paraId="5D61A0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37" w:hRule="atLeast"/>
          <w:jc w:val="center"/>
        </w:trPr>
        <w:tc>
          <w:tcPr>
            <w:tcW w:w="1411" w:type="dxa"/>
            <w:shd w:val="clear" w:color="auto" w:fill="auto"/>
            <w:vAlign w:val="center"/>
          </w:tcPr>
          <w:p w14:paraId="411E3389">
            <w:pPr>
              <w:adjustRightInd/>
              <w:snapToGrid/>
              <w:spacing w:line="360" w:lineRule="exact"/>
              <w:ind w:firstLine="0" w:firstLineChars="0"/>
              <w:jc w:val="center"/>
              <w:rPr>
                <w:rFonts w:cs="Times New Roman"/>
                <w:color w:val="auto"/>
                <w:sz w:val="21"/>
                <w:highlight w:val="none"/>
                <w:lang w:val="zh-CN"/>
              </w:rPr>
            </w:pPr>
            <w:r>
              <w:rPr>
                <w:rFonts w:cs="Times New Roman"/>
                <w:color w:val="auto"/>
                <w:sz w:val="21"/>
                <w:highlight w:val="none"/>
                <w:lang w:val="zh-CN"/>
              </w:rPr>
              <w:t>《中共中央关于制定国民经济和社会发展第十四个五年规划和二〇三五年远景目标的建议》</w:t>
            </w:r>
          </w:p>
        </w:tc>
        <w:tc>
          <w:tcPr>
            <w:tcW w:w="2882" w:type="dxa"/>
            <w:shd w:val="clear" w:color="auto" w:fill="auto"/>
            <w:vAlign w:val="center"/>
          </w:tcPr>
          <w:p w14:paraId="6FFEABCB">
            <w:pPr>
              <w:adjustRightInd/>
              <w:snapToGrid/>
              <w:spacing w:line="360" w:lineRule="exact"/>
              <w:ind w:firstLine="0" w:firstLineChars="0"/>
              <w:jc w:val="center"/>
              <w:rPr>
                <w:rFonts w:cs="Times New Roman"/>
                <w:color w:val="auto"/>
                <w:sz w:val="21"/>
                <w:highlight w:val="none"/>
                <w:lang w:val="zh-CN"/>
              </w:rPr>
            </w:pPr>
            <w:r>
              <w:rPr>
                <w:rFonts w:cs="Times New Roman"/>
                <w:color w:val="auto"/>
                <w:sz w:val="21"/>
                <w:highlight w:val="none"/>
                <w:lang w:val="zh-CN"/>
              </w:rPr>
              <w:t>二、加快建设农业强省，争当农业现代化建设排头兵中（四）、现代畜牧业发展工程中：支持畜禽就地加工和精深加工，加强活畜调运监管，健全冷链物流体系，推动畜牧业全产业链发展。</w:t>
            </w:r>
          </w:p>
        </w:tc>
        <w:tc>
          <w:tcPr>
            <w:tcW w:w="3285" w:type="dxa"/>
            <w:shd w:val="clear" w:color="auto" w:fill="auto"/>
            <w:vAlign w:val="center"/>
          </w:tcPr>
          <w:p w14:paraId="61C07595">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本项目属于屠宰项目，</w:t>
            </w:r>
            <w:r>
              <w:rPr>
                <w:rFonts w:hint="eastAsia" w:cs="Times New Roman"/>
                <w:snapToGrid w:val="0"/>
                <w:color w:val="auto"/>
                <w:sz w:val="21"/>
                <w:highlight w:val="none"/>
                <w:lang w:val="zh-CN"/>
              </w:rPr>
              <w:t>屠宰量为肉牛</w:t>
            </w:r>
            <w:r>
              <w:rPr>
                <w:rFonts w:hint="eastAsia" w:cs="Times New Roman"/>
                <w:snapToGrid w:val="0"/>
                <w:color w:val="auto"/>
                <w:sz w:val="21"/>
                <w:highlight w:val="none"/>
                <w:lang w:val="en-US" w:eastAsia="zh-CN"/>
              </w:rPr>
              <w:t>100</w:t>
            </w:r>
            <w:r>
              <w:rPr>
                <w:rFonts w:hint="eastAsia" w:cs="Times New Roman"/>
                <w:snapToGrid w:val="0"/>
                <w:color w:val="auto"/>
                <w:sz w:val="21"/>
                <w:highlight w:val="none"/>
                <w:lang w:val="zh-CN"/>
              </w:rPr>
              <w:t>头/d，肉羊</w:t>
            </w:r>
            <w:r>
              <w:rPr>
                <w:rFonts w:hint="eastAsia" w:cs="Times New Roman"/>
                <w:snapToGrid w:val="0"/>
                <w:color w:val="auto"/>
                <w:sz w:val="21"/>
                <w:highlight w:val="none"/>
                <w:lang w:val="en-US" w:eastAsia="zh-CN"/>
              </w:rPr>
              <w:t>500</w:t>
            </w:r>
            <w:r>
              <w:rPr>
                <w:rFonts w:hint="eastAsia" w:cs="Times New Roman"/>
                <w:snapToGrid w:val="0"/>
                <w:color w:val="auto"/>
                <w:sz w:val="21"/>
                <w:highlight w:val="none"/>
                <w:lang w:val="zh-CN"/>
              </w:rPr>
              <w:t>只/d</w:t>
            </w:r>
            <w:r>
              <w:rPr>
                <w:rFonts w:cs="Times New Roman"/>
                <w:snapToGrid w:val="0"/>
                <w:color w:val="auto"/>
                <w:sz w:val="21"/>
                <w:highlight w:val="none"/>
                <w:lang w:val="zh-CN"/>
              </w:rPr>
              <w:t>。项目采用机械化、自动化、标准化设备和管理体系，具有完善的卫生检验体系，落实进厂登记和肉品检验等制度，保证肉类的安全卫生，可推进</w:t>
            </w:r>
            <w:r>
              <w:rPr>
                <w:rFonts w:hint="eastAsia" w:cs="Times New Roman"/>
                <w:snapToGrid w:val="0"/>
                <w:color w:val="auto"/>
                <w:sz w:val="21"/>
                <w:highlight w:val="none"/>
                <w:lang w:val="en-US" w:eastAsia="zh-CN"/>
              </w:rPr>
              <w:t>双鸭山市</w:t>
            </w:r>
            <w:r>
              <w:rPr>
                <w:rFonts w:cs="Times New Roman"/>
                <w:snapToGrid w:val="0"/>
                <w:color w:val="auto"/>
                <w:sz w:val="21"/>
                <w:highlight w:val="none"/>
                <w:lang w:val="zh-CN"/>
              </w:rPr>
              <w:t>肉类分类分级，扩大冷鲜肉和分割肉的市场份额，符合</w:t>
            </w:r>
            <w:r>
              <w:rPr>
                <w:rFonts w:cs="Times New Roman"/>
                <w:color w:val="auto"/>
                <w:sz w:val="21"/>
                <w:highlight w:val="none"/>
                <w:lang w:val="zh-CN"/>
              </w:rPr>
              <w:t>中共中央关于制定国民经济和社会发展第十四个五年规划和二〇三五年远景目标的建议。</w:t>
            </w:r>
          </w:p>
        </w:tc>
        <w:tc>
          <w:tcPr>
            <w:tcW w:w="728" w:type="dxa"/>
            <w:shd w:val="clear" w:color="auto" w:fill="auto"/>
            <w:vAlign w:val="center"/>
          </w:tcPr>
          <w:p w14:paraId="5E0B9E3A">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符合</w:t>
            </w:r>
          </w:p>
        </w:tc>
      </w:tr>
      <w:tr w14:paraId="32902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shd w:val="clear" w:color="auto" w:fill="auto"/>
            <w:vAlign w:val="center"/>
          </w:tcPr>
          <w:p w14:paraId="0C4890C8">
            <w:pPr>
              <w:adjustRightInd/>
              <w:snapToGrid/>
              <w:spacing w:line="360" w:lineRule="exact"/>
              <w:ind w:firstLine="0" w:firstLineChars="0"/>
              <w:jc w:val="center"/>
              <w:rPr>
                <w:rFonts w:cs="Times New Roman"/>
                <w:snapToGrid w:val="0"/>
                <w:color w:val="auto"/>
                <w:sz w:val="21"/>
                <w:highlight w:val="none"/>
                <w:lang w:val="zh-CN"/>
              </w:rPr>
            </w:pPr>
            <w:r>
              <w:rPr>
                <w:rFonts w:cs="Times New Roman"/>
                <w:color w:val="auto"/>
                <w:sz w:val="21"/>
                <w:highlight w:val="none"/>
                <w:lang w:val="zh-CN"/>
              </w:rPr>
              <w:t>《黑龙江省国民经济和社会发展第十四个五年规划和</w:t>
            </w:r>
            <w:r>
              <w:rPr>
                <w:rFonts w:cs="Times New Roman"/>
                <w:color w:val="auto"/>
                <w:sz w:val="21"/>
                <w:highlight w:val="none"/>
              </w:rPr>
              <w:t>2035年远景目标纲要</w:t>
            </w:r>
            <w:r>
              <w:rPr>
                <w:rFonts w:cs="Times New Roman"/>
                <w:color w:val="auto"/>
                <w:sz w:val="21"/>
                <w:highlight w:val="none"/>
                <w:lang w:val="zh-CN"/>
              </w:rPr>
              <w:t>》</w:t>
            </w:r>
          </w:p>
        </w:tc>
        <w:tc>
          <w:tcPr>
            <w:tcW w:w="2882" w:type="dxa"/>
            <w:shd w:val="clear" w:color="auto" w:fill="auto"/>
            <w:vAlign w:val="center"/>
          </w:tcPr>
          <w:p w14:paraId="435DD920">
            <w:pPr>
              <w:adjustRightInd/>
              <w:snapToGrid/>
              <w:spacing w:line="360" w:lineRule="exact"/>
              <w:ind w:firstLine="0" w:firstLineChars="0"/>
              <w:jc w:val="center"/>
              <w:rPr>
                <w:rFonts w:cs="Times New Roman"/>
                <w:color w:val="auto"/>
                <w:sz w:val="21"/>
                <w:highlight w:val="none"/>
                <w:lang w:val="zh-CN"/>
              </w:rPr>
            </w:pPr>
            <w:r>
              <w:rPr>
                <w:rFonts w:cs="Times New Roman"/>
                <w:color w:val="auto"/>
                <w:sz w:val="21"/>
                <w:highlight w:val="none"/>
                <w:lang w:val="zh-CN"/>
              </w:rPr>
              <w:t>第二节</w:t>
            </w:r>
            <w:r>
              <w:rPr>
                <w:rFonts w:cs="Times New Roman"/>
                <w:color w:val="auto"/>
                <w:sz w:val="21"/>
                <w:highlight w:val="none"/>
              </w:rPr>
              <w:t xml:space="preserve"> 打造优势产业集群中专栏14万亿级产业集群和千亿级产业建设工程中农业和农产品精深加工中畜禽屠宰及肉类深加工2024年实现千亿级</w:t>
            </w:r>
            <w:r>
              <w:rPr>
                <w:rFonts w:cs="Times New Roman"/>
                <w:color w:val="auto"/>
                <w:sz w:val="21"/>
                <w:highlight w:val="none"/>
                <w:lang w:val="zh-CN"/>
              </w:rPr>
              <w:t>。</w:t>
            </w:r>
          </w:p>
        </w:tc>
        <w:tc>
          <w:tcPr>
            <w:tcW w:w="3285" w:type="dxa"/>
            <w:shd w:val="clear" w:color="auto" w:fill="auto"/>
            <w:vAlign w:val="center"/>
          </w:tcPr>
          <w:p w14:paraId="5CB3919D">
            <w:pPr>
              <w:adjustRightInd/>
              <w:snapToGrid/>
              <w:spacing w:line="360" w:lineRule="exact"/>
              <w:ind w:firstLine="0" w:firstLineChars="0"/>
              <w:jc w:val="center"/>
              <w:rPr>
                <w:rFonts w:cs="Times New Roman"/>
                <w:color w:val="auto"/>
                <w:sz w:val="21"/>
                <w:highlight w:val="none"/>
                <w:lang w:val="zh-CN"/>
              </w:rPr>
            </w:pPr>
            <w:r>
              <w:rPr>
                <w:rFonts w:cs="Times New Roman"/>
                <w:snapToGrid w:val="0"/>
                <w:color w:val="auto"/>
                <w:sz w:val="21"/>
                <w:highlight w:val="none"/>
                <w:lang w:val="zh-CN"/>
              </w:rPr>
              <w:t>本项目属于屠宰项目，</w:t>
            </w:r>
            <w:r>
              <w:rPr>
                <w:rFonts w:hint="eastAsia" w:cs="Times New Roman"/>
                <w:snapToGrid w:val="0"/>
                <w:color w:val="auto"/>
                <w:sz w:val="21"/>
                <w:highlight w:val="none"/>
                <w:lang w:val="zh-CN"/>
              </w:rPr>
              <w:t>屠宰量为肉牛</w:t>
            </w:r>
            <w:r>
              <w:rPr>
                <w:rFonts w:hint="eastAsia" w:cs="Times New Roman"/>
                <w:snapToGrid w:val="0"/>
                <w:color w:val="auto"/>
                <w:sz w:val="21"/>
                <w:highlight w:val="none"/>
                <w:lang w:val="en-US" w:eastAsia="zh-CN"/>
              </w:rPr>
              <w:t>100</w:t>
            </w:r>
            <w:r>
              <w:rPr>
                <w:rFonts w:hint="eastAsia" w:cs="Times New Roman"/>
                <w:snapToGrid w:val="0"/>
                <w:color w:val="auto"/>
                <w:sz w:val="21"/>
                <w:highlight w:val="none"/>
                <w:lang w:val="zh-CN"/>
              </w:rPr>
              <w:t>头/d，肉羊</w:t>
            </w:r>
            <w:r>
              <w:rPr>
                <w:rFonts w:hint="eastAsia" w:cs="Times New Roman"/>
                <w:snapToGrid w:val="0"/>
                <w:color w:val="auto"/>
                <w:sz w:val="21"/>
                <w:highlight w:val="none"/>
                <w:lang w:val="en-US" w:eastAsia="zh-CN"/>
              </w:rPr>
              <w:t>500</w:t>
            </w:r>
            <w:r>
              <w:rPr>
                <w:rFonts w:hint="eastAsia" w:cs="Times New Roman"/>
                <w:snapToGrid w:val="0"/>
                <w:color w:val="auto"/>
                <w:sz w:val="21"/>
                <w:highlight w:val="none"/>
                <w:lang w:val="zh-CN"/>
              </w:rPr>
              <w:t>只/d</w:t>
            </w:r>
            <w:r>
              <w:rPr>
                <w:rFonts w:cs="Times New Roman"/>
                <w:snapToGrid w:val="0"/>
                <w:color w:val="auto"/>
                <w:sz w:val="21"/>
                <w:highlight w:val="none"/>
                <w:lang w:val="zh-CN"/>
              </w:rPr>
              <w:t>。项目采用机械化、自动化、标准化设备和管理体系，具有完善的卫生检验体系，落实进厂登记和肉品检验等制度，保证肉类的安全、卫生、健康，符合</w:t>
            </w:r>
            <w:r>
              <w:rPr>
                <w:rFonts w:cs="Times New Roman"/>
                <w:color w:val="auto"/>
                <w:sz w:val="21"/>
                <w:highlight w:val="none"/>
                <w:lang w:val="zh-CN"/>
              </w:rPr>
              <w:t>黑龙江省国民经济和社会发展第十四个五年规划和</w:t>
            </w:r>
            <w:r>
              <w:rPr>
                <w:rFonts w:cs="Times New Roman"/>
                <w:color w:val="auto"/>
                <w:sz w:val="21"/>
                <w:highlight w:val="none"/>
              </w:rPr>
              <w:t>2035年远景目标纲要。</w:t>
            </w:r>
          </w:p>
        </w:tc>
        <w:tc>
          <w:tcPr>
            <w:tcW w:w="728" w:type="dxa"/>
            <w:shd w:val="clear" w:color="auto" w:fill="auto"/>
            <w:vAlign w:val="center"/>
          </w:tcPr>
          <w:p w14:paraId="27710270">
            <w:pPr>
              <w:adjustRightInd/>
              <w:snapToGrid/>
              <w:spacing w:line="360" w:lineRule="exact"/>
              <w:ind w:firstLine="0" w:firstLineChars="0"/>
              <w:jc w:val="center"/>
              <w:rPr>
                <w:rFonts w:cs="Times New Roman"/>
                <w:snapToGrid w:val="0"/>
                <w:color w:val="auto"/>
                <w:sz w:val="21"/>
                <w:highlight w:val="none"/>
                <w:lang w:val="zh-CN"/>
              </w:rPr>
            </w:pPr>
            <w:r>
              <w:rPr>
                <w:rFonts w:cs="Times New Roman"/>
                <w:snapToGrid w:val="0"/>
                <w:color w:val="auto"/>
                <w:sz w:val="21"/>
                <w:highlight w:val="none"/>
                <w:lang w:val="zh-CN"/>
              </w:rPr>
              <w:t>符合</w:t>
            </w:r>
          </w:p>
        </w:tc>
      </w:tr>
      <w:tr w14:paraId="404942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shd w:val="clear" w:color="auto" w:fill="auto"/>
            <w:vAlign w:val="center"/>
          </w:tcPr>
          <w:p w14:paraId="3083E40E">
            <w:pPr>
              <w:adjustRightInd/>
              <w:snapToGrid/>
              <w:spacing w:line="360" w:lineRule="exact"/>
              <w:ind w:firstLine="0" w:firstLineChars="0"/>
              <w:jc w:val="center"/>
              <w:rPr>
                <w:rFonts w:cs="Times New Roman"/>
                <w:color w:val="auto"/>
                <w:sz w:val="21"/>
                <w:highlight w:val="none"/>
                <w:lang w:val="zh-CN"/>
              </w:rPr>
            </w:pPr>
            <w:r>
              <w:rPr>
                <w:rFonts w:cs="Times New Roman"/>
                <w:color w:val="auto"/>
                <w:sz w:val="21"/>
                <w:highlight w:val="none"/>
                <w:lang w:val="zh-CN"/>
              </w:rPr>
              <w:t>《</w:t>
            </w:r>
            <w:r>
              <w:rPr>
                <w:rFonts w:cs="Times New Roman"/>
                <w:color w:val="auto"/>
                <w:sz w:val="21"/>
                <w:highlight w:val="none"/>
              </w:rPr>
              <w:t>双鸭山市人民政府关于印发双鸭山市国民经济和社会发展第十四个五年规划和二〇三五年远景目标纲要的通知</w:t>
            </w:r>
            <w:r>
              <w:rPr>
                <w:rFonts w:cs="Times New Roman"/>
                <w:color w:val="auto"/>
                <w:sz w:val="21"/>
                <w:highlight w:val="none"/>
                <w:lang w:val="zh-CN"/>
              </w:rPr>
              <w:t>》</w:t>
            </w:r>
          </w:p>
        </w:tc>
        <w:tc>
          <w:tcPr>
            <w:tcW w:w="2882" w:type="dxa"/>
            <w:shd w:val="clear" w:color="auto" w:fill="auto"/>
            <w:vAlign w:val="center"/>
          </w:tcPr>
          <w:p w14:paraId="76F8AABB">
            <w:pPr>
              <w:adjustRightInd/>
              <w:snapToGrid/>
              <w:spacing w:line="360" w:lineRule="exact"/>
              <w:ind w:firstLine="0" w:firstLineChars="0"/>
              <w:jc w:val="center"/>
              <w:rPr>
                <w:rFonts w:hint="default" w:eastAsia="宋体" w:cs="Times New Roman"/>
                <w:color w:val="auto"/>
                <w:sz w:val="21"/>
                <w:highlight w:val="none"/>
                <w:lang w:val="en-US" w:eastAsia="zh-CN"/>
              </w:rPr>
            </w:pPr>
            <w:r>
              <w:rPr>
                <w:rFonts w:hint="eastAsia" w:cs="Times New Roman"/>
                <w:snapToGrid w:val="0"/>
                <w:color w:val="auto"/>
                <w:sz w:val="21"/>
                <w:highlight w:val="none"/>
                <w:lang w:val="en-US" w:eastAsia="zh-CN"/>
              </w:rPr>
              <w:t>专栏8  粮食和绿色食品加工产业链（类别：玉米、大豆、水稻</w:t>
            </w:r>
            <w:r>
              <w:rPr>
                <w:rFonts w:hint="eastAsia" w:cs="Times New Roman"/>
                <w:snapToGrid w:val="0"/>
                <w:color w:val="auto"/>
                <w:sz w:val="21"/>
                <w:highlight w:val="none"/>
                <w:lang w:val="zh-CN" w:eastAsia="zh-CN"/>
              </w:rPr>
              <w:t>、</w:t>
            </w:r>
            <w:r>
              <w:rPr>
                <w:rFonts w:hint="eastAsia" w:cs="Times New Roman"/>
                <w:snapToGrid w:val="0"/>
                <w:color w:val="auto"/>
                <w:sz w:val="21"/>
                <w:highlight w:val="none"/>
                <w:lang w:val="en-US" w:eastAsia="zh-CN"/>
              </w:rPr>
              <w:t>秸秆综合利用</w:t>
            </w:r>
            <w:r>
              <w:rPr>
                <w:rFonts w:hint="eastAsia" w:cs="Times New Roman"/>
                <w:snapToGrid w:val="0"/>
                <w:color w:val="auto"/>
                <w:sz w:val="21"/>
                <w:highlight w:val="none"/>
                <w:lang w:val="zh-CN"/>
              </w:rPr>
              <w:t>、</w:t>
            </w:r>
            <w:r>
              <w:rPr>
                <w:rFonts w:hint="eastAsia" w:cs="Times New Roman"/>
                <w:snapToGrid w:val="0"/>
                <w:color w:val="auto"/>
                <w:sz w:val="21"/>
                <w:highlight w:val="none"/>
                <w:lang w:val="en-US" w:eastAsia="zh-CN"/>
              </w:rPr>
              <w:t>畜牧</w:t>
            </w:r>
            <w:r>
              <w:rPr>
                <w:rFonts w:hint="eastAsia" w:cs="Times New Roman"/>
                <w:snapToGrid w:val="0"/>
                <w:color w:val="auto"/>
                <w:sz w:val="21"/>
                <w:highlight w:val="none"/>
                <w:lang w:val="zh-CN"/>
              </w:rPr>
              <w:t>，</w:t>
            </w:r>
            <w:r>
              <w:rPr>
                <w:rFonts w:hint="eastAsia" w:cs="Times New Roman"/>
                <w:snapToGrid w:val="0"/>
                <w:color w:val="auto"/>
                <w:sz w:val="21"/>
                <w:highlight w:val="none"/>
                <w:lang w:val="en-US" w:eastAsia="zh-CN"/>
              </w:rPr>
              <w:t>果蔬</w:t>
            </w:r>
            <w:r>
              <w:rPr>
                <w:rFonts w:hint="eastAsia" w:cs="Times New Roman"/>
                <w:snapToGrid w:val="0"/>
                <w:color w:val="auto"/>
                <w:sz w:val="21"/>
                <w:highlight w:val="none"/>
                <w:lang w:val="zh-CN"/>
              </w:rPr>
              <w:t>）</w:t>
            </w:r>
            <w:r>
              <w:rPr>
                <w:rFonts w:hint="eastAsia" w:cs="Times New Roman"/>
                <w:snapToGrid w:val="0"/>
                <w:color w:val="auto"/>
                <w:sz w:val="21"/>
                <w:highlight w:val="none"/>
                <w:lang w:val="zh-CN" w:eastAsia="zh-CN"/>
              </w:rPr>
              <w:t>，</w:t>
            </w:r>
            <w:r>
              <w:rPr>
                <w:rFonts w:hint="eastAsia" w:cs="Times New Roman"/>
                <w:snapToGrid w:val="0"/>
                <w:color w:val="auto"/>
                <w:sz w:val="21"/>
                <w:highlight w:val="none"/>
                <w:lang w:val="en-US" w:eastAsia="zh-CN"/>
              </w:rPr>
              <w:t>其中畜牧项目主要</w:t>
            </w:r>
            <w:r>
              <w:rPr>
                <w:rFonts w:hint="default" w:cs="Times New Roman"/>
                <w:snapToGrid w:val="0"/>
                <w:color w:val="auto"/>
                <w:sz w:val="21"/>
                <w:highlight w:val="none"/>
                <w:lang w:val="zh-CN"/>
              </w:rPr>
              <w:t>以规模化、集约化发展为主攻方向，重点推进黑龙江省益生200万头生猪养殖及屠宰深加工项目等。</w:t>
            </w:r>
          </w:p>
        </w:tc>
        <w:tc>
          <w:tcPr>
            <w:tcW w:w="3285" w:type="dxa"/>
            <w:shd w:val="clear" w:color="auto" w:fill="auto"/>
            <w:vAlign w:val="center"/>
          </w:tcPr>
          <w:p w14:paraId="44017678">
            <w:pPr>
              <w:adjustRightInd/>
              <w:snapToGrid/>
              <w:spacing w:line="360" w:lineRule="exact"/>
              <w:ind w:firstLine="0" w:firstLineChars="0"/>
              <w:jc w:val="center"/>
              <w:rPr>
                <w:rFonts w:cs="Times New Roman"/>
                <w:snapToGrid w:val="0"/>
                <w:color w:val="auto"/>
                <w:sz w:val="21"/>
                <w:highlight w:val="none"/>
              </w:rPr>
            </w:pPr>
            <w:r>
              <w:rPr>
                <w:rFonts w:cs="Times New Roman"/>
                <w:snapToGrid w:val="0"/>
                <w:color w:val="auto"/>
                <w:sz w:val="21"/>
                <w:highlight w:val="none"/>
                <w:lang w:val="zh-CN"/>
              </w:rPr>
              <w:t>本项目属于</w:t>
            </w:r>
            <w:r>
              <w:rPr>
                <w:rFonts w:hint="eastAsia" w:cs="Times New Roman"/>
                <w:snapToGrid w:val="0"/>
                <w:color w:val="auto"/>
                <w:sz w:val="21"/>
                <w:highlight w:val="none"/>
                <w:lang w:val="zh-CN"/>
              </w:rPr>
              <w:t>农副食品加工工业—屠宰及肉类加工工业</w:t>
            </w:r>
            <w:r>
              <w:rPr>
                <w:rFonts w:cs="Times New Roman"/>
                <w:snapToGrid w:val="0"/>
                <w:color w:val="auto"/>
                <w:sz w:val="21"/>
                <w:highlight w:val="none"/>
                <w:lang w:val="zh-CN"/>
              </w:rPr>
              <w:t>，</w:t>
            </w:r>
            <w:r>
              <w:rPr>
                <w:rFonts w:hint="eastAsia" w:cs="Times New Roman"/>
                <w:snapToGrid w:val="0"/>
                <w:color w:val="auto"/>
                <w:sz w:val="21"/>
                <w:highlight w:val="none"/>
                <w:lang w:val="zh-CN"/>
              </w:rPr>
              <w:t>屠宰量为肉牛</w:t>
            </w:r>
            <w:r>
              <w:rPr>
                <w:rFonts w:hint="eastAsia" w:cs="Times New Roman"/>
                <w:snapToGrid w:val="0"/>
                <w:color w:val="auto"/>
                <w:sz w:val="21"/>
                <w:highlight w:val="none"/>
                <w:lang w:val="en-US" w:eastAsia="zh-CN"/>
              </w:rPr>
              <w:t>100</w:t>
            </w:r>
            <w:r>
              <w:rPr>
                <w:rFonts w:hint="eastAsia" w:cs="Times New Roman"/>
                <w:snapToGrid w:val="0"/>
                <w:color w:val="auto"/>
                <w:sz w:val="21"/>
                <w:highlight w:val="none"/>
                <w:lang w:val="zh-CN"/>
              </w:rPr>
              <w:t>头/d，肉羊</w:t>
            </w:r>
            <w:r>
              <w:rPr>
                <w:rFonts w:hint="eastAsia" w:cs="Times New Roman"/>
                <w:snapToGrid w:val="0"/>
                <w:color w:val="auto"/>
                <w:sz w:val="21"/>
                <w:highlight w:val="none"/>
                <w:lang w:val="en-US" w:eastAsia="zh-CN"/>
              </w:rPr>
              <w:t>500</w:t>
            </w:r>
            <w:r>
              <w:rPr>
                <w:rFonts w:hint="eastAsia" w:cs="Times New Roman"/>
                <w:snapToGrid w:val="0"/>
                <w:color w:val="auto"/>
                <w:sz w:val="21"/>
                <w:highlight w:val="none"/>
                <w:lang w:val="zh-CN"/>
              </w:rPr>
              <w:t>只/d</w:t>
            </w:r>
            <w:r>
              <w:rPr>
                <w:rFonts w:cs="Times New Roman"/>
                <w:snapToGrid w:val="0"/>
                <w:color w:val="auto"/>
                <w:sz w:val="21"/>
                <w:highlight w:val="none"/>
                <w:lang w:val="zh-CN"/>
              </w:rPr>
              <w:t>。项目采用机械化、自动化、标准化设备和管理体系，具有完善的卫生检验体系，落实进厂登记和肉品检验等制度，</w:t>
            </w:r>
            <w:r>
              <w:rPr>
                <w:rFonts w:cs="Times New Roman"/>
                <w:snapToGrid w:val="0"/>
                <w:color w:val="auto"/>
                <w:sz w:val="21"/>
                <w:highlight w:val="none"/>
              </w:rPr>
              <w:t>为周边城市输送</w:t>
            </w:r>
            <w:r>
              <w:rPr>
                <w:rFonts w:cs="Times New Roman"/>
                <w:snapToGrid w:val="0"/>
                <w:color w:val="auto"/>
                <w:sz w:val="21"/>
                <w:highlight w:val="none"/>
                <w:lang w:val="zh-CN"/>
              </w:rPr>
              <w:t>安全、卫生、健康</w:t>
            </w:r>
            <w:r>
              <w:rPr>
                <w:rFonts w:cs="Times New Roman"/>
                <w:snapToGrid w:val="0"/>
                <w:color w:val="auto"/>
                <w:sz w:val="21"/>
                <w:highlight w:val="none"/>
              </w:rPr>
              <w:t>的肉类。</w:t>
            </w:r>
          </w:p>
        </w:tc>
        <w:tc>
          <w:tcPr>
            <w:tcW w:w="728" w:type="dxa"/>
            <w:shd w:val="clear" w:color="auto" w:fill="auto"/>
            <w:vAlign w:val="center"/>
          </w:tcPr>
          <w:p w14:paraId="7C22D445">
            <w:pPr>
              <w:adjustRightInd/>
              <w:snapToGrid/>
              <w:spacing w:line="360" w:lineRule="exact"/>
              <w:ind w:firstLine="0" w:firstLineChars="0"/>
              <w:jc w:val="center"/>
              <w:rPr>
                <w:rFonts w:cs="Times New Roman"/>
                <w:snapToGrid w:val="0"/>
                <w:color w:val="auto"/>
                <w:sz w:val="21"/>
                <w:highlight w:val="none"/>
              </w:rPr>
            </w:pPr>
            <w:r>
              <w:rPr>
                <w:rFonts w:cs="Times New Roman"/>
                <w:snapToGrid w:val="0"/>
                <w:color w:val="auto"/>
                <w:sz w:val="21"/>
                <w:highlight w:val="none"/>
              </w:rPr>
              <w:t>符合</w:t>
            </w:r>
          </w:p>
        </w:tc>
      </w:tr>
      <w:tr w14:paraId="54BB05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shd w:val="clear" w:color="auto" w:fill="auto"/>
            <w:vAlign w:val="center"/>
          </w:tcPr>
          <w:p w14:paraId="116F91D6">
            <w:pPr>
              <w:adjustRightInd/>
              <w:snapToGrid/>
              <w:spacing w:line="360" w:lineRule="exact"/>
              <w:ind w:firstLine="0" w:firstLineChars="0"/>
              <w:jc w:val="center"/>
              <w:rPr>
                <w:rFonts w:hint="eastAsia" w:ascii="Times New Roman" w:hAnsi="Times New Roman" w:eastAsia="宋体" w:cs="Times New Roman"/>
                <w:snapToGrid w:val="0"/>
                <w:color w:val="auto"/>
                <w:sz w:val="21"/>
                <w:highlight w:val="none"/>
                <w:lang w:val="zh-CN" w:eastAsia="en-US"/>
              </w:rPr>
            </w:pPr>
            <w:r>
              <w:rPr>
                <w:rFonts w:hint="eastAsia" w:ascii="Times New Roman" w:hAnsi="Times New Roman" w:eastAsia="宋体" w:cs="Times New Roman"/>
                <w:snapToGrid w:val="0"/>
                <w:color w:val="auto"/>
                <w:sz w:val="21"/>
                <w:highlight w:val="none"/>
                <w:lang w:val="zh-CN"/>
              </w:rPr>
              <w:t>《黑龙江省生态环境保护“十四五”规划》</w:t>
            </w:r>
          </w:p>
        </w:tc>
        <w:tc>
          <w:tcPr>
            <w:tcW w:w="2882" w:type="dxa"/>
            <w:shd w:val="clear" w:color="auto" w:fill="auto"/>
            <w:vAlign w:val="center"/>
          </w:tcPr>
          <w:p w14:paraId="32CCF867">
            <w:pPr>
              <w:adjustRightInd/>
              <w:snapToGrid/>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zh-CN"/>
              </w:rPr>
              <w:t>（四）4.持续深化水污染治理。持续推进工业污染防治。加强农副产品加工、化工、印染等行业综合治理，推进玉米淀粉、糖醇生产、肉类及水产品加工、印染企业等清洁化改造。实现省级及以上工业园区污水集中处理全覆盖，工业企业污水稳定排放全覆盖。</w:t>
            </w:r>
          </w:p>
        </w:tc>
        <w:tc>
          <w:tcPr>
            <w:tcW w:w="3285" w:type="dxa"/>
            <w:shd w:val="clear" w:color="auto" w:fill="auto"/>
            <w:vAlign w:val="center"/>
          </w:tcPr>
          <w:p w14:paraId="4F7F8602">
            <w:pPr>
              <w:adjustRightInd/>
              <w:snapToGrid/>
              <w:spacing w:line="360" w:lineRule="exact"/>
              <w:ind w:firstLine="0" w:firstLineChars="0"/>
              <w:jc w:val="center"/>
              <w:rPr>
                <w:rFonts w:cs="Times New Roman"/>
                <w:snapToGrid w:val="0"/>
                <w:color w:val="auto"/>
                <w:sz w:val="21"/>
                <w:highlight w:val="none"/>
                <w:lang w:val="zh-CN"/>
              </w:rPr>
            </w:pPr>
            <w:r>
              <w:rPr>
                <w:rFonts w:cs="Times New Roman"/>
                <w:color w:val="auto"/>
                <w:kern w:val="0"/>
                <w:sz w:val="21"/>
                <w:szCs w:val="21"/>
                <w:highlight w:val="none"/>
              </w:rPr>
              <w:t>本项目屠宰废水经厂区自建的污水处理站进行处理，处理后满足GB13457-1992表3中的畜类屠宰加工三级标准及</w:t>
            </w:r>
            <w:r>
              <w:rPr>
                <w:rFonts w:hint="eastAsia" w:cs="Times New Roman"/>
                <w:color w:val="auto"/>
                <w:kern w:val="0"/>
                <w:sz w:val="21"/>
                <w:szCs w:val="21"/>
                <w:highlight w:val="none"/>
                <w:lang w:val="en-GB" w:eastAsia="zh-CN"/>
              </w:rPr>
              <w:t>双鸭山市畅源排水有限公司</w:t>
            </w:r>
            <w:r>
              <w:rPr>
                <w:rFonts w:cs="Times New Roman"/>
                <w:color w:val="auto"/>
                <w:kern w:val="0"/>
                <w:sz w:val="21"/>
                <w:szCs w:val="21"/>
                <w:highlight w:val="none"/>
              </w:rPr>
              <w:t>设计进水水质指标后，与生活污水和一同经市政污水管网进入</w:t>
            </w:r>
            <w:r>
              <w:rPr>
                <w:rFonts w:hint="eastAsia" w:cs="Times New Roman"/>
                <w:color w:val="auto"/>
                <w:kern w:val="0"/>
                <w:sz w:val="21"/>
                <w:szCs w:val="21"/>
                <w:highlight w:val="none"/>
                <w:lang w:val="en-GB" w:eastAsia="zh-CN"/>
              </w:rPr>
              <w:t>双鸭山市畅源排水有限公司</w:t>
            </w:r>
            <w:r>
              <w:rPr>
                <w:rFonts w:cs="Times New Roman"/>
                <w:color w:val="auto"/>
                <w:kern w:val="0"/>
                <w:sz w:val="21"/>
                <w:szCs w:val="21"/>
                <w:highlight w:val="none"/>
                <w:lang w:val="en-GB"/>
              </w:rPr>
              <w:t>处理，</w:t>
            </w:r>
            <w:r>
              <w:rPr>
                <w:rFonts w:cs="Times New Roman"/>
                <w:color w:val="auto"/>
                <w:kern w:val="0"/>
                <w:sz w:val="21"/>
                <w:szCs w:val="21"/>
                <w:highlight w:val="none"/>
              </w:rPr>
              <w:t>处理达标后</w:t>
            </w:r>
            <w:r>
              <w:rPr>
                <w:rFonts w:cs="Times New Roman"/>
                <w:color w:val="auto"/>
                <w:kern w:val="0"/>
                <w:sz w:val="21"/>
                <w:szCs w:val="21"/>
                <w:highlight w:val="none"/>
                <w:lang w:val="en-GB"/>
              </w:rPr>
              <w:t>排入</w:t>
            </w:r>
            <w:r>
              <w:rPr>
                <w:rFonts w:hint="eastAsia" w:cs="Times New Roman"/>
                <w:color w:val="auto"/>
                <w:kern w:val="0"/>
                <w:sz w:val="21"/>
                <w:szCs w:val="21"/>
                <w:highlight w:val="none"/>
                <w:lang w:val="en-GB" w:eastAsia="zh-CN"/>
              </w:rPr>
              <w:t>安邦河</w:t>
            </w:r>
            <w:r>
              <w:rPr>
                <w:rFonts w:cs="Times New Roman"/>
                <w:color w:val="auto"/>
                <w:kern w:val="0"/>
                <w:sz w:val="21"/>
                <w:szCs w:val="21"/>
                <w:highlight w:val="none"/>
              </w:rPr>
              <w:t>。</w:t>
            </w:r>
          </w:p>
        </w:tc>
        <w:tc>
          <w:tcPr>
            <w:tcW w:w="728" w:type="dxa"/>
            <w:shd w:val="clear" w:color="auto" w:fill="auto"/>
            <w:vAlign w:val="center"/>
          </w:tcPr>
          <w:p w14:paraId="09C38200">
            <w:pPr>
              <w:adjustRightInd/>
              <w:snapToGrid/>
              <w:spacing w:line="360" w:lineRule="exact"/>
              <w:ind w:firstLine="0" w:firstLineChars="0"/>
              <w:jc w:val="center"/>
              <w:rPr>
                <w:rFonts w:cs="Times New Roman"/>
                <w:snapToGrid w:val="0"/>
                <w:color w:val="auto"/>
                <w:sz w:val="21"/>
                <w:highlight w:val="none"/>
              </w:rPr>
            </w:pPr>
          </w:p>
        </w:tc>
      </w:tr>
    </w:tbl>
    <w:p w14:paraId="4852C393">
      <w:pPr>
        <w:adjustRightInd/>
        <w:snapToGrid/>
        <w:spacing w:line="500" w:lineRule="exact"/>
        <w:ind w:firstLine="482"/>
        <w:rPr>
          <w:rFonts w:cs="Times New Roman"/>
          <w:b/>
          <w:bCs/>
          <w:snapToGrid w:val="0"/>
          <w:color w:val="auto"/>
          <w:kern w:val="0"/>
          <w:szCs w:val="24"/>
          <w:highlight w:val="none"/>
        </w:rPr>
      </w:pPr>
      <w:r>
        <w:rPr>
          <w:rFonts w:hint="eastAsia" w:cs="Times New Roman"/>
          <w:b/>
          <w:bCs/>
          <w:snapToGrid w:val="0"/>
          <w:color w:val="auto"/>
          <w:kern w:val="0"/>
          <w:szCs w:val="24"/>
          <w:highlight w:val="none"/>
          <w:lang w:val="en-US" w:eastAsia="zh-CN"/>
        </w:rPr>
        <w:t>2</w:t>
      </w:r>
      <w:r>
        <w:rPr>
          <w:rFonts w:cs="Times New Roman"/>
          <w:b/>
          <w:bCs/>
          <w:snapToGrid w:val="0"/>
          <w:color w:val="auto"/>
          <w:kern w:val="0"/>
          <w:szCs w:val="24"/>
          <w:highlight w:val="none"/>
        </w:rPr>
        <w:t>、与</w:t>
      </w:r>
      <w:bookmarkStart w:id="16" w:name="_Hlk520812012"/>
      <w:r>
        <w:rPr>
          <w:rFonts w:cs="Times New Roman"/>
          <w:b/>
          <w:bCs/>
          <w:snapToGrid w:val="0"/>
          <w:color w:val="auto"/>
          <w:kern w:val="0"/>
          <w:szCs w:val="24"/>
          <w:highlight w:val="none"/>
        </w:rPr>
        <w:t>《黑龙江省主体功能区划》</w:t>
      </w:r>
      <w:bookmarkEnd w:id="16"/>
      <w:r>
        <w:rPr>
          <w:rFonts w:cs="Times New Roman"/>
          <w:b/>
          <w:bCs/>
          <w:snapToGrid w:val="0"/>
          <w:color w:val="auto"/>
          <w:kern w:val="0"/>
          <w:szCs w:val="24"/>
          <w:highlight w:val="none"/>
        </w:rPr>
        <w:t>符合性分析</w:t>
      </w:r>
    </w:p>
    <w:p w14:paraId="501BBF3D">
      <w:pPr>
        <w:adjustRightInd/>
        <w:snapToGrid/>
        <w:spacing w:line="500" w:lineRule="exact"/>
        <w:rPr>
          <w:rFonts w:cs="Times New Roman"/>
          <w:snapToGrid w:val="0"/>
          <w:color w:val="auto"/>
          <w:kern w:val="0"/>
          <w:szCs w:val="24"/>
          <w:highlight w:val="none"/>
        </w:rPr>
      </w:pPr>
      <w:r>
        <w:rPr>
          <w:rFonts w:cs="Times New Roman"/>
          <w:snapToGrid w:val="0"/>
          <w:color w:val="auto"/>
          <w:kern w:val="0"/>
          <w:szCs w:val="24"/>
          <w:highlight w:val="none"/>
        </w:rPr>
        <w:t>本项目</w:t>
      </w:r>
      <w:r>
        <w:rPr>
          <w:rFonts w:ascii="Times New Roman" w:hAnsi="Times New Roman" w:cs="Times New Roman"/>
          <w:snapToGrid w:val="0"/>
          <w:color w:val="auto"/>
          <w:kern w:val="0"/>
          <w:szCs w:val="24"/>
          <w:highlight w:val="none"/>
        </w:rPr>
        <w:t>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snapToGrid w:val="0"/>
          <w:color w:val="auto"/>
          <w:kern w:val="0"/>
          <w:szCs w:val="24"/>
          <w:highlight w:val="none"/>
        </w:rPr>
        <w:t>，所在区域为</w:t>
      </w:r>
      <w:r>
        <w:rPr>
          <w:rFonts w:ascii="宋体" w:hAnsi="宋体" w:eastAsia="宋体" w:cs="宋体"/>
          <w:color w:val="auto"/>
          <w:sz w:val="24"/>
          <w:szCs w:val="24"/>
          <w:highlight w:val="none"/>
        </w:rPr>
        <w:t>省级重点开发区域</w:t>
      </w:r>
      <w:r>
        <w:rPr>
          <w:rFonts w:cs="Times New Roman"/>
          <w:snapToGrid w:val="0"/>
          <w:color w:val="auto"/>
          <w:kern w:val="0"/>
          <w:szCs w:val="24"/>
          <w:highlight w:val="none"/>
        </w:rPr>
        <w:t>。</w:t>
      </w:r>
    </w:p>
    <w:p w14:paraId="72BAB3C1">
      <w:pPr>
        <w:adjustRightInd/>
        <w:snapToGrid/>
        <w:spacing w:line="500" w:lineRule="exact"/>
        <w:rPr>
          <w:rFonts w:hint="eastAsia" w:ascii="Times New Roman" w:hAnsi="Times New Roman" w:eastAsia="宋体" w:cs="Times New Roman"/>
          <w:snapToGrid w:val="0"/>
          <w:color w:val="auto"/>
          <w:kern w:val="0"/>
          <w:szCs w:val="24"/>
          <w:highlight w:val="none"/>
          <w:lang w:val="en-US" w:eastAsia="zh-CN"/>
        </w:rPr>
      </w:pPr>
      <w:r>
        <w:rPr>
          <w:rFonts w:hint="eastAsia" w:ascii="Times New Roman" w:hAnsi="Times New Roman" w:eastAsia="宋体" w:cs="Times New Roman"/>
          <w:snapToGrid w:val="0"/>
          <w:color w:val="auto"/>
          <w:kern w:val="0"/>
          <w:szCs w:val="24"/>
          <w:highlight w:val="none"/>
          <w:lang w:val="en-US" w:eastAsia="zh-CN"/>
        </w:rPr>
        <w:t xml:space="preserve">省级重点开发区域包括东部煤电化基地城市群、绥化市建成区及部分县（市）重点开发区、园区所在乡镇①，共有51个区、镇（乡） 。区域总面积2.20万平方公里，占全省的4.6%；除去基本农田后重点开发区域面积为1.63万平方公里，占全省总面积的3.45%；2010年总人口564万人，占全省的14%，城镇人口424万人，城镇化率75.23%， 地区生产总值1346.75亿元，占全省的12.99%，人均地区生产总值23879元。 </w:t>
      </w:r>
    </w:p>
    <w:p w14:paraId="76A24162">
      <w:pPr>
        <w:adjustRightInd/>
        <w:snapToGrid/>
        <w:spacing w:line="500" w:lineRule="exact"/>
        <w:rPr>
          <w:rFonts w:hint="eastAsia" w:ascii="Times New Roman" w:hAnsi="Times New Roman" w:eastAsia="宋体" w:cs="Times New Roman"/>
          <w:snapToGrid w:val="0"/>
          <w:color w:val="auto"/>
          <w:kern w:val="0"/>
          <w:szCs w:val="24"/>
          <w:highlight w:val="none"/>
          <w:lang w:val="en-US" w:eastAsia="zh-CN"/>
        </w:rPr>
      </w:pPr>
      <w:r>
        <w:rPr>
          <w:rFonts w:hint="eastAsia" w:ascii="Times New Roman" w:hAnsi="Times New Roman" w:eastAsia="宋体" w:cs="Times New Roman"/>
          <w:snapToGrid w:val="0"/>
          <w:color w:val="auto"/>
          <w:kern w:val="0"/>
          <w:szCs w:val="24"/>
          <w:highlight w:val="none"/>
          <w:lang w:val="en-US" w:eastAsia="zh-CN"/>
        </w:rPr>
        <w:t xml:space="preserve">功能定位：全省重要的能源、电力和煤化工基地，区域性的农产品加工和生物产业基地，东北对外开放的重要地区和物流基地，重要的绿色特色农产品生产及加工基地。 </w:t>
      </w:r>
    </w:p>
    <w:p w14:paraId="7EC1B048">
      <w:pPr>
        <w:adjustRightInd/>
        <w:snapToGrid/>
        <w:spacing w:line="500" w:lineRule="exact"/>
        <w:rPr>
          <w:rFonts w:hint="eastAsia" w:ascii="Times New Roman" w:hAnsi="Times New Roman" w:eastAsia="宋体" w:cs="Times New Roman"/>
          <w:snapToGrid w:val="0"/>
          <w:color w:val="auto"/>
          <w:kern w:val="0"/>
          <w:szCs w:val="24"/>
          <w:highlight w:val="none"/>
          <w:lang w:val="en-US" w:eastAsia="zh-CN"/>
        </w:rPr>
      </w:pPr>
      <w:r>
        <w:rPr>
          <w:rFonts w:hint="eastAsia" w:ascii="Times New Roman" w:hAnsi="Times New Roman" w:eastAsia="宋体" w:cs="Times New Roman"/>
          <w:snapToGrid w:val="0"/>
          <w:color w:val="auto"/>
          <w:kern w:val="0"/>
          <w:szCs w:val="24"/>
          <w:highlight w:val="none"/>
          <w:lang w:val="en-US" w:eastAsia="zh-CN"/>
        </w:rPr>
        <w:t xml:space="preserve">——建设煤电化产业基地，加强煤炭资源接续能力建设，合理开发和有效保护煤炭资源，增强煤化工产业集聚能力和竞争力，积极发展新材料、冶金、装备制造、生物等替代产业和现代服务业。 </w:t>
      </w:r>
    </w:p>
    <w:p w14:paraId="33382B31">
      <w:pPr>
        <w:adjustRightInd/>
        <w:snapToGrid/>
        <w:spacing w:line="500" w:lineRule="exact"/>
        <w:rPr>
          <w:rFonts w:hint="eastAsia" w:ascii="Times New Roman" w:hAnsi="Times New Roman" w:eastAsia="宋体" w:cs="Times New Roman"/>
          <w:snapToGrid w:val="0"/>
          <w:color w:val="auto"/>
          <w:kern w:val="0"/>
          <w:szCs w:val="24"/>
          <w:highlight w:val="none"/>
          <w:lang w:val="en-US" w:eastAsia="zh-CN"/>
        </w:rPr>
      </w:pPr>
      <w:r>
        <w:rPr>
          <w:rFonts w:hint="eastAsia" w:ascii="Times New Roman" w:hAnsi="Times New Roman" w:eastAsia="宋体" w:cs="Times New Roman"/>
          <w:snapToGrid w:val="0"/>
          <w:color w:val="auto"/>
          <w:kern w:val="0"/>
          <w:szCs w:val="24"/>
          <w:highlight w:val="none"/>
          <w:lang w:val="en-US" w:eastAsia="zh-CN"/>
        </w:rPr>
        <w:t xml:space="preserve">——发挥生态优势和资源优势，发展绿色特色农产品生产及加工，推动规模化经营，提高农产品精深加工和农副产品综合利用水平。 </w:t>
      </w:r>
    </w:p>
    <w:p w14:paraId="1396C47E">
      <w:pPr>
        <w:adjustRightInd/>
        <w:snapToGrid/>
        <w:spacing w:line="500" w:lineRule="exact"/>
        <w:rPr>
          <w:rFonts w:hint="eastAsia" w:ascii="Times New Roman" w:hAnsi="Times New Roman" w:eastAsia="宋体" w:cs="Times New Roman"/>
          <w:snapToGrid w:val="0"/>
          <w:color w:val="auto"/>
          <w:kern w:val="0"/>
          <w:szCs w:val="24"/>
          <w:highlight w:val="none"/>
          <w:lang w:val="en-US" w:eastAsia="zh-CN"/>
        </w:rPr>
      </w:pPr>
      <w:r>
        <w:rPr>
          <w:rFonts w:hint="eastAsia" w:ascii="Times New Roman" w:hAnsi="Times New Roman" w:eastAsia="宋体" w:cs="Times New Roman"/>
          <w:snapToGrid w:val="0"/>
          <w:color w:val="auto"/>
          <w:kern w:val="0"/>
          <w:szCs w:val="24"/>
          <w:highlight w:val="none"/>
          <w:lang w:val="en-US" w:eastAsia="zh-CN"/>
        </w:rPr>
        <w:t>——强化节能减排，加强水资源开发利用保护和节约，加快植树造林步伐，加强水土流失预防和治理，开展三江平原湿地保护和修复。</w:t>
      </w:r>
    </w:p>
    <w:p w14:paraId="5ECF7977">
      <w:pPr>
        <w:adjustRightInd/>
        <w:snapToGrid/>
        <w:spacing w:line="500" w:lineRule="exact"/>
        <w:rPr>
          <w:rFonts w:hint="eastAsia" w:ascii="Times New Roman" w:hAnsi="Times New Roman" w:eastAsia="宋体" w:cs="Times New Roman"/>
          <w:snapToGrid w:val="0"/>
          <w:color w:val="auto"/>
          <w:kern w:val="0"/>
          <w:szCs w:val="24"/>
          <w:highlight w:val="none"/>
          <w:lang w:val="en-US" w:eastAsia="zh-CN"/>
        </w:rPr>
      </w:pPr>
      <w:r>
        <w:rPr>
          <w:rFonts w:hint="eastAsia" w:ascii="Times New Roman" w:hAnsi="Times New Roman" w:eastAsia="宋体" w:cs="Times New Roman"/>
          <w:snapToGrid w:val="0"/>
          <w:color w:val="auto"/>
          <w:kern w:val="0"/>
          <w:szCs w:val="24"/>
          <w:highlight w:val="none"/>
          <w:lang w:val="en-US" w:eastAsia="zh-CN"/>
        </w:rPr>
        <w:t>本项目为屠宰项目，属于农副食品加工工业，与畜牧业生产配套，符合国家级重点开发区域中农副产品综合利用的功能定位。因此，本项目符合《黑龙江省主体功能区划》。</w:t>
      </w:r>
    </w:p>
    <w:p w14:paraId="4F7556B2">
      <w:pPr>
        <w:bidi w:val="0"/>
        <w:jc w:val="left"/>
        <w:rPr>
          <w:rFonts w:hint="eastAsia" w:ascii="Times New Roman" w:hAnsi="Times New Roman" w:eastAsia="宋体" w:cs="Times New Roman"/>
          <w:snapToGrid w:val="0"/>
          <w:color w:val="auto"/>
          <w:kern w:val="0"/>
          <w:szCs w:val="24"/>
          <w:highlight w:val="none"/>
          <w:lang w:val="en-US" w:eastAsia="zh-CN"/>
        </w:rPr>
      </w:pPr>
    </w:p>
    <w:p w14:paraId="0FCCE03D">
      <w:pPr>
        <w:pStyle w:val="117"/>
        <w:spacing w:line="240" w:lineRule="auto"/>
        <w:ind w:firstLine="0" w:firstLineChars="0"/>
        <w:jc w:val="center"/>
        <w:rPr>
          <w:rFonts w:cs="Times New Roman"/>
          <w:color w:val="auto"/>
          <w:highlight w:val="none"/>
        </w:rPr>
      </w:pPr>
      <w:r>
        <w:rPr>
          <w:rFonts w:cs="Times New Roman"/>
          <w:color w:val="auto"/>
          <w:highlight w:val="none"/>
        </w:rPr>
        <mc:AlternateContent>
          <mc:Choice Requires="wpg">
            <w:drawing>
              <wp:anchor distT="0" distB="0" distL="114300" distR="114300" simplePos="0" relativeHeight="251663360" behindDoc="0" locked="0" layoutInCell="1" allowOverlap="1">
                <wp:simplePos x="0" y="0"/>
                <wp:positionH relativeFrom="column">
                  <wp:posOffset>3458210</wp:posOffset>
                </wp:positionH>
                <wp:positionV relativeFrom="paragraph">
                  <wp:posOffset>3018790</wp:posOffset>
                </wp:positionV>
                <wp:extent cx="922020" cy="437515"/>
                <wp:effectExtent l="4445" t="5080" r="6985" b="14605"/>
                <wp:wrapNone/>
                <wp:docPr id="106" name="组合 106"/>
                <wp:cNvGraphicFramePr/>
                <a:graphic xmlns:a="http://schemas.openxmlformats.org/drawingml/2006/main">
                  <a:graphicData uri="http://schemas.microsoft.com/office/word/2010/wordprocessingGroup">
                    <wpg:wgp>
                      <wpg:cNvGrpSpPr/>
                      <wpg:grpSpPr>
                        <a:xfrm>
                          <a:off x="0" y="0"/>
                          <a:ext cx="922020" cy="437515"/>
                          <a:chOff x="6367" y="248213"/>
                          <a:chExt cx="1452" cy="689"/>
                        </a:xfrm>
                      </wpg:grpSpPr>
                      <wps:wsp>
                        <wps:cNvPr id="14" name="五角星 14"/>
                        <wps:cNvSpPr/>
                        <wps:spPr>
                          <a:xfrm>
                            <a:off x="6367" y="248782"/>
                            <a:ext cx="120" cy="120"/>
                          </a:xfrm>
                          <a:prstGeom prst="star5">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61080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4" name="矩形标注 194"/>
                        <wps:cNvSpPr/>
                        <wps:spPr>
                          <a:xfrm>
                            <a:off x="6465" y="248213"/>
                            <a:ext cx="1354" cy="363"/>
                          </a:xfrm>
                          <a:prstGeom prst="wedgeRectCallout">
                            <a:avLst>
                              <a:gd name="adj1" fmla="val -47952"/>
                              <a:gd name="adj2" fmla="val 118921"/>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5D001A">
                              <w:pPr>
                                <w:ind w:firstLine="0" w:firstLineChars="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72.3pt;margin-top:237.7pt;height:34.45pt;width:72.6pt;z-index:251663360;mso-width-relative:page;mso-height-relative:page;" coordorigin="6367,248213" coordsize="1452,689" o:gfxdata="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">
                <o:lock v:ext="edit" aspectratio="f"/>
                <v:shape id="_x0000_s1026" o:spid="_x0000_s1026" style="position:absolute;left:6367;top:248782;height:120;width:120;v-text-anchor:middle;" fillcolor="#FF0000" filled="t" stroked="t" coordsize="120,120" o:gfxdata="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lYqBq5AAAA2wAA&#10;AA8AAAAAAAAAAQAgAAAAIgAAAGRycy9kb3ducmV2LnhtbFBLAQIUABQAAAAIAIdO4kAzLwWeOwAA&#10;ADkAAAAQAAAAAAAAAAEAIAAAAAgBAABkcnMvc2hhcGV4bWwueG1sUEsFBgAAAAAGAAYAWwEAALID&#10;AAAAAA==&#10;" path="m0,45l45,45,60,0,74,45,119,45,82,74,97,119,60,91,22,119,37,74xe">
                  <v:path textboxrect="0,0,120,120" o:connectlocs="60,0;0,45;22,119;97,119;119,45" o:connectangles="247,164,82,82,0"/>
                  <v:fill on="t" focussize="0,0"/>
                  <v:stroke weight="0.25pt" color="#FF0000 [3204]" joinstyle="round"/>
                  <v:imagedata o:title=""/>
                  <o:lock v:ext="edit" aspectratio="f"/>
                  <v:textbox>
                    <w:txbxContent>
                      <w:p w14:paraId="6061080E">
                        <w:pPr>
                          <w:jc w:val="center"/>
                        </w:pPr>
                      </w:p>
                    </w:txbxContent>
                  </v:textbox>
                </v:shape>
                <v:shape id="_x0000_s1026" o:spid="_x0000_s1026" o:spt="61" type="#_x0000_t61" style="position:absolute;left:6465;top:248213;height:363;width:1354;v-text-anchor:middle;" filled="f" stroked="t" coordsize="21600,21600" o:gfxdata="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mlqK8AAAA&#10;3AAAAA8AAAAAAAAAAQAgAAAAIgAAAGRycy9kb3ducmV2LnhtbFBLAQIUABQAAAAIAIdO4kAzLwWe&#10;OwAAADkAAAAQAAAAAAAAAAEAIAAAAAsBAABkcnMvc2hhcGV4bWwueG1sUEsFBgAAAAAGAAYAWwEA&#10;ALUDAAAAAA==&#10;" adj="442,36487">
                  <v:fill on="f" focussize="0,0"/>
                  <v:stroke weight="0.25pt" color="#000000 [3213]" joinstyle="round"/>
                  <v:imagedata o:title=""/>
                  <o:lock v:ext="edit" aspectratio="f"/>
                  <v:textbox>
                    <w:txbxContent>
                      <w:p w14:paraId="265D001A">
                        <w:pPr>
                          <w:ind w:firstLine="0" w:firstLineChars="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项目所在地</w:t>
                        </w:r>
                      </w:p>
                    </w:txbxContent>
                  </v:textbox>
                </v:shape>
              </v:group>
            </w:pict>
          </mc:Fallback>
        </mc:AlternateContent>
      </w:r>
      <w:r>
        <w:rPr>
          <w:rFonts w:cs="Times New Roman"/>
          <w:color w:val="auto"/>
          <w:highlight w:val="none"/>
        </w:rPr>
        <mc:AlternateContent>
          <mc:Choice Requires="wps">
            <w:drawing>
              <wp:anchor distT="0" distB="0" distL="114300" distR="114300" simplePos="0" relativeHeight="251659264" behindDoc="0" locked="0" layoutInCell="1" allowOverlap="1">
                <wp:simplePos x="0" y="0"/>
                <wp:positionH relativeFrom="column">
                  <wp:posOffset>1355090</wp:posOffset>
                </wp:positionH>
                <wp:positionV relativeFrom="paragraph">
                  <wp:posOffset>4549140</wp:posOffset>
                </wp:positionV>
                <wp:extent cx="76200" cy="76200"/>
                <wp:effectExtent l="4445" t="4445" r="14605" b="14605"/>
                <wp:wrapNone/>
                <wp:docPr id="11" name="五角星 11"/>
                <wp:cNvGraphicFramePr/>
                <a:graphic xmlns:a="http://schemas.openxmlformats.org/drawingml/2006/main">
                  <a:graphicData uri="http://schemas.microsoft.com/office/word/2010/wordprocessingShape">
                    <wps:wsp>
                      <wps:cNvSpPr/>
                      <wps:spPr>
                        <a:xfrm>
                          <a:off x="2334895" y="7062470"/>
                          <a:ext cx="76200" cy="76200"/>
                        </a:xfrm>
                        <a:prstGeom prst="star5">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06.7pt;margin-top:358.2pt;height:6pt;width:6pt;z-index:251659264;v-text-anchor:middle;mso-width-relative:page;mso-height-relative:page;" fillcolor="#FF0000" filled="t" stroked="t" coordsize="76200,76200" o:gfxdata="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YUFaC2gAAAAsBAAAPAAAAAAAAAAEAIAAAACIAAABkcnMvZG93&#10;bnJldi54bWxQSwECFAAUAAAACACHTuJADuyp3nACAADrBAAADgAAAAAAAAABACAAAAApAQAAZHJz&#10;L2Uyb0RvYy54bWxQSwUGAAAAAAYABgBZAQAACwYAAAAA&#10;" path="m0,29105l29105,29105,38100,0,47094,29105,76199,29105,52652,47093,61647,76199,38100,58211,14552,76199,23547,47093xe">
                <v:path o:connectlocs="38100,0;0,29105;14552,76199;61647,76199;76199,29105" o:connectangles="247,164,82,82,0"/>
                <v:fill on="t" focussize="0,0"/>
                <v:stroke weight="0.25pt" color="#FF0000 [3204]" joinstyle="round"/>
                <v:imagedata o:title=""/>
                <o:lock v:ext="edit" aspectratio="f"/>
              </v:shape>
            </w:pict>
          </mc:Fallback>
        </mc:AlternateContent>
      </w:r>
      <w:r>
        <w:rPr>
          <w:rFonts w:cs="Times New Roman"/>
          <w:color w:val="auto"/>
          <w:highlight w:val="none"/>
        </w:rPr>
        <w:drawing>
          <wp:inline distT="0" distB="0" distL="0" distR="0">
            <wp:extent cx="5446395" cy="4994910"/>
            <wp:effectExtent l="0" t="0" r="1905" b="15240"/>
            <wp:docPr id="119" name="图片 119" descr="C:/Users/Administrator/AppData/Local/Temp/picturecompress_20211105115811/output_30.jpgoutput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Administrator/AppData/Local/Temp/picturecompress_20211105115811/output_30.jpgoutput_30"/>
                    <pic:cNvPicPr>
                      <a:picLocks noChangeAspect="1" noChangeArrowheads="1"/>
                    </pic:cNvPicPr>
                  </pic:nvPicPr>
                  <pic:blipFill>
                    <a:blip r:embed="rId21"/>
                    <a:srcRect/>
                    <a:stretch>
                      <a:fillRect/>
                    </a:stretch>
                  </pic:blipFill>
                  <pic:spPr>
                    <a:xfrm>
                      <a:off x="0" y="0"/>
                      <a:ext cx="5446395" cy="4994910"/>
                    </a:xfrm>
                    <a:prstGeom prst="rect">
                      <a:avLst/>
                    </a:prstGeom>
                    <a:noFill/>
                    <a:ln>
                      <a:noFill/>
                    </a:ln>
                  </pic:spPr>
                </pic:pic>
              </a:graphicData>
            </a:graphic>
          </wp:inline>
        </w:drawing>
      </w:r>
    </w:p>
    <w:p w14:paraId="1DBDFA77">
      <w:pPr>
        <w:pStyle w:val="8"/>
        <w:jc w:val="center"/>
        <w:rPr>
          <w:rFonts w:eastAsia="宋体" w:cs="Times New Roman"/>
          <w:b/>
          <w:bCs/>
          <w:color w:val="auto"/>
          <w:szCs w:val="24"/>
          <w:highlight w:val="none"/>
        </w:rPr>
      </w:pPr>
      <w:r>
        <w:rPr>
          <w:rFonts w:eastAsia="宋体" w:cs="Times New Roman"/>
          <w:b/>
          <w:bCs/>
          <w:color w:val="auto"/>
          <w:szCs w:val="24"/>
          <w:highlight w:val="none"/>
        </w:rPr>
        <w:t>图1-4-</w:t>
      </w:r>
      <w:r>
        <w:rPr>
          <w:rFonts w:hint="eastAsia" w:cs="Times New Roman"/>
          <w:b/>
          <w:bCs/>
          <w:color w:val="auto"/>
          <w:szCs w:val="24"/>
          <w:highlight w:val="none"/>
          <w:lang w:val="en-US" w:eastAsia="zh-CN"/>
        </w:rPr>
        <w:t>1</w:t>
      </w:r>
      <w:r>
        <w:rPr>
          <w:rFonts w:eastAsia="宋体" w:cs="Times New Roman"/>
          <w:b/>
          <w:bCs/>
          <w:color w:val="auto"/>
          <w:szCs w:val="24"/>
          <w:highlight w:val="none"/>
          <w:lang w:val="en-US"/>
        </w:rPr>
        <w:t xml:space="preserve">  </w:t>
      </w:r>
      <w:r>
        <w:rPr>
          <w:rFonts w:eastAsia="宋体" w:cs="Times New Roman"/>
          <w:b/>
          <w:bCs/>
          <w:color w:val="auto"/>
          <w:szCs w:val="24"/>
          <w:highlight w:val="none"/>
        </w:rPr>
        <w:t>黑龙江省主体功能区划图</w:t>
      </w:r>
    </w:p>
    <w:p w14:paraId="058CC347">
      <w:pPr>
        <w:pStyle w:val="8"/>
        <w:rPr>
          <w:rFonts w:cs="Times New Roman"/>
          <w:b/>
          <w:bCs/>
          <w:snapToGrid w:val="0"/>
          <w:color w:val="auto"/>
          <w:kern w:val="0"/>
          <w:szCs w:val="24"/>
          <w:highlight w:val="none"/>
        </w:rPr>
      </w:pPr>
      <w:r>
        <w:rPr>
          <w:rFonts w:hint="eastAsia" w:cs="Times New Roman"/>
          <w:b/>
          <w:bCs/>
          <w:snapToGrid w:val="0"/>
          <w:color w:val="auto"/>
          <w:kern w:val="0"/>
          <w:szCs w:val="24"/>
          <w:highlight w:val="none"/>
          <w:lang w:val="en-US" w:eastAsia="zh-CN"/>
        </w:rPr>
        <w:t>3</w:t>
      </w:r>
      <w:r>
        <w:rPr>
          <w:rFonts w:cs="Times New Roman"/>
          <w:b/>
          <w:bCs/>
          <w:snapToGrid w:val="0"/>
          <w:color w:val="auto"/>
          <w:kern w:val="0"/>
          <w:szCs w:val="24"/>
          <w:highlight w:val="none"/>
        </w:rPr>
        <w:t>、与</w:t>
      </w:r>
      <w:r>
        <w:rPr>
          <w:rFonts w:ascii="Times New Roman" w:hAnsi="Times New Roman" w:eastAsia="宋体" w:cs="Times New Roman"/>
          <w:b/>
          <w:bCs/>
          <w:snapToGrid w:val="0"/>
          <w:color w:val="auto"/>
          <w:kern w:val="0"/>
          <w:szCs w:val="24"/>
          <w:highlight w:val="none"/>
        </w:rPr>
        <w:t>《</w:t>
      </w:r>
      <w:r>
        <w:rPr>
          <w:rFonts w:hint="eastAsia" w:ascii="Times New Roman" w:hAnsi="Times New Roman" w:eastAsia="宋体" w:cs="Times New Roman"/>
          <w:b/>
          <w:bCs/>
          <w:snapToGrid w:val="0"/>
          <w:color w:val="auto"/>
          <w:kern w:val="0"/>
          <w:szCs w:val="24"/>
          <w:highlight w:val="none"/>
          <w:lang w:val="en-US" w:eastAsia="zh-CN"/>
        </w:rPr>
        <w:t>黑龙江省生态功能区划</w:t>
      </w:r>
      <w:r>
        <w:rPr>
          <w:rFonts w:ascii="Times New Roman" w:hAnsi="Times New Roman" w:eastAsia="宋体" w:cs="Times New Roman"/>
          <w:b/>
          <w:bCs/>
          <w:snapToGrid w:val="0"/>
          <w:color w:val="auto"/>
          <w:kern w:val="0"/>
          <w:szCs w:val="24"/>
          <w:highlight w:val="none"/>
        </w:rPr>
        <w:t>》符合</w:t>
      </w:r>
      <w:r>
        <w:rPr>
          <w:rFonts w:cs="Times New Roman"/>
          <w:b/>
          <w:bCs/>
          <w:snapToGrid w:val="0"/>
          <w:color w:val="auto"/>
          <w:kern w:val="0"/>
          <w:szCs w:val="24"/>
          <w:highlight w:val="none"/>
        </w:rPr>
        <w:t>性分析</w:t>
      </w:r>
    </w:p>
    <w:p w14:paraId="4C88A597">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根据《黑龙江省生态功能区划》，项目区域属于</w:t>
      </w:r>
      <w:r>
        <w:rPr>
          <w:rFonts w:hint="eastAsia" w:ascii="Times New Roman" w:hAnsi="Times New Roman" w:eastAsia="宋体" w:cs="Times New Roman"/>
          <w:snapToGrid w:val="0"/>
          <w:color w:val="auto"/>
          <w:kern w:val="0"/>
          <w:sz w:val="24"/>
          <w:szCs w:val="24"/>
          <w:highlight w:val="none"/>
          <w:lang w:val="en-US" w:eastAsia="zh-CN" w:bidi="ar-SA"/>
        </w:rPr>
        <w:t>Ⅰ—3三江平原农业与湿地生态区</w:t>
      </w:r>
      <w:r>
        <w:rPr>
          <w:rFonts w:hint="default" w:ascii="Times New Roman" w:hAnsi="Times New Roman" w:eastAsia="宋体" w:cs="Times New Roman"/>
          <w:snapToGrid w:val="0"/>
          <w:color w:val="auto"/>
          <w:kern w:val="0"/>
          <w:sz w:val="24"/>
          <w:szCs w:val="24"/>
          <w:highlight w:val="none"/>
          <w:lang w:val="en-US" w:eastAsia="zh-CN" w:bidi="ar-SA"/>
        </w:rPr>
        <w:t>，</w:t>
      </w:r>
      <w:r>
        <w:rPr>
          <w:rFonts w:hint="eastAsia" w:ascii="Times New Roman" w:hAnsi="Times New Roman" w:eastAsia="宋体" w:cs="Times New Roman"/>
          <w:snapToGrid w:val="0"/>
          <w:color w:val="auto"/>
          <w:kern w:val="0"/>
          <w:sz w:val="24"/>
          <w:szCs w:val="24"/>
          <w:highlight w:val="none"/>
          <w:lang w:val="en-US" w:eastAsia="zh-CN" w:bidi="ar-SA"/>
        </w:rPr>
        <w:t>Ⅰ—3—2完达山山地针阔混交林与湿地生态亚区</w:t>
      </w:r>
      <w:r>
        <w:rPr>
          <w:rFonts w:hint="default" w:ascii="Times New Roman" w:hAnsi="Times New Roman" w:eastAsia="宋体" w:cs="Times New Roman"/>
          <w:snapToGrid w:val="0"/>
          <w:color w:val="auto"/>
          <w:kern w:val="0"/>
          <w:sz w:val="24"/>
          <w:szCs w:val="24"/>
          <w:highlight w:val="none"/>
          <w:lang w:val="en-US" w:eastAsia="zh-CN" w:bidi="ar-SA"/>
        </w:rPr>
        <w:t>，</w:t>
      </w:r>
      <w:r>
        <w:rPr>
          <w:rFonts w:hint="eastAsia" w:ascii="Times New Roman" w:hAnsi="Times New Roman" w:eastAsia="宋体" w:cs="Times New Roman"/>
          <w:snapToGrid w:val="0"/>
          <w:color w:val="auto"/>
          <w:kern w:val="0"/>
          <w:sz w:val="24"/>
          <w:szCs w:val="24"/>
          <w:highlight w:val="none"/>
          <w:lang w:val="en-US" w:eastAsia="zh-CN" w:bidi="ar-SA"/>
        </w:rPr>
        <w:t>Ⅰ—3—2—3双鸭山—集贤矿业与林业、农业生态功能区。</w:t>
      </w:r>
    </w:p>
    <w:p w14:paraId="3C5C8CB7">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62366267">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4C684740">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color w:val="auto"/>
          <w:sz w:val="24"/>
          <w:highlight w:val="none"/>
          <w:lang w:eastAsia="zh-CN"/>
        </w:rPr>
        <w:drawing>
          <wp:anchor distT="0" distB="0" distL="114300" distR="114300" simplePos="0" relativeHeight="251766784" behindDoc="0" locked="0" layoutInCell="1" allowOverlap="1">
            <wp:simplePos x="0" y="0"/>
            <wp:positionH relativeFrom="column">
              <wp:posOffset>209550</wp:posOffset>
            </wp:positionH>
            <wp:positionV relativeFrom="paragraph">
              <wp:posOffset>155575</wp:posOffset>
            </wp:positionV>
            <wp:extent cx="5037455" cy="6025515"/>
            <wp:effectExtent l="0" t="0" r="10795" b="13335"/>
            <wp:wrapNone/>
            <wp:docPr id="195" name="图片 5" descr="bf3aa7028ccd72fdcb1627842f60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5" descr="bf3aa7028ccd72fdcb1627842f605a0"/>
                    <pic:cNvPicPr>
                      <a:picLocks noChangeAspect="1"/>
                    </pic:cNvPicPr>
                  </pic:nvPicPr>
                  <pic:blipFill>
                    <a:blip r:embed="rId22"/>
                    <a:stretch>
                      <a:fillRect/>
                    </a:stretch>
                  </pic:blipFill>
                  <pic:spPr>
                    <a:xfrm>
                      <a:off x="0" y="0"/>
                      <a:ext cx="5037455" cy="6025515"/>
                    </a:xfrm>
                    <a:prstGeom prst="rect">
                      <a:avLst/>
                    </a:prstGeom>
                    <a:noFill/>
                    <a:ln>
                      <a:noFill/>
                    </a:ln>
                  </pic:spPr>
                </pic:pic>
              </a:graphicData>
            </a:graphic>
          </wp:anchor>
        </w:drawing>
      </w:r>
    </w:p>
    <w:p w14:paraId="2DB09533">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1180A2D5">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738ACB05">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4CE12C6B">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3F8D9977">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5CD61E59">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1B996129">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4F3531BE">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5F8BAB68">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750C5B78">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r>
        <w:rPr>
          <w:color w:val="auto"/>
          <w:sz w:val="24"/>
          <w:highlight w:val="none"/>
        </w:rPr>
        <mc:AlternateContent>
          <mc:Choice Requires="wps">
            <w:drawing>
              <wp:anchor distT="0" distB="0" distL="114300" distR="114300" simplePos="0" relativeHeight="251771904" behindDoc="0" locked="0" layoutInCell="1" allowOverlap="1">
                <wp:simplePos x="0" y="0"/>
                <wp:positionH relativeFrom="column">
                  <wp:posOffset>3317240</wp:posOffset>
                </wp:positionH>
                <wp:positionV relativeFrom="paragraph">
                  <wp:posOffset>195580</wp:posOffset>
                </wp:positionV>
                <wp:extent cx="876935" cy="354330"/>
                <wp:effectExtent l="4445" t="4445" r="13970" b="307975"/>
                <wp:wrapNone/>
                <wp:docPr id="210" name="矩形标注 210"/>
                <wp:cNvGraphicFramePr/>
                <a:graphic xmlns:a="http://schemas.openxmlformats.org/drawingml/2006/main">
                  <a:graphicData uri="http://schemas.microsoft.com/office/word/2010/wordprocessingShape">
                    <wps:wsp>
                      <wps:cNvSpPr/>
                      <wps:spPr>
                        <a:xfrm>
                          <a:off x="4494530" y="4670425"/>
                          <a:ext cx="876935" cy="354330"/>
                        </a:xfrm>
                        <a:prstGeom prst="wedgeRectCallout">
                          <a:avLst>
                            <a:gd name="adj1" fmla="val 5104"/>
                            <a:gd name="adj2" fmla="val 135483"/>
                          </a:avLst>
                        </a:prstGeom>
                        <a:solidFill>
                          <a:schemeClr val="bg1">
                            <a:lumMod val="90000"/>
                            <a:alpha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450710">
                            <w:pPr>
                              <w:spacing w:line="240" w:lineRule="auto"/>
                              <w:ind w:left="0" w:leftChars="0" w:firstLine="0" w:firstLineChars="0"/>
                              <w:jc w:val="center"/>
                              <w:rPr>
                                <w:rFonts w:hint="eastAsia" w:eastAsia="宋体"/>
                                <w:color w:val="FF0000"/>
                                <w:sz w:val="22"/>
                                <w:szCs w:val="21"/>
                                <w:lang w:val="en-US" w:eastAsia="zh-CN"/>
                              </w:rPr>
                            </w:pPr>
                            <w:r>
                              <w:rPr>
                                <w:rFonts w:hint="eastAsia"/>
                                <w:color w:val="FF0000"/>
                                <w:sz w:val="22"/>
                                <w:szCs w:val="21"/>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61.2pt;margin-top:15.4pt;height:27.9pt;width:69.05pt;z-index:251771904;v-text-anchor:middle;mso-width-relative:page;mso-height-relative:page;" fillcolor="#E6E6E6 [2892]" filled="t" stroked="t" coordsize="21600,21600" o:gfxdata="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P/xu9Pa&#10;AAAACQEAAA8AAAAAAAAAAQAgAAAAIgAAAGRycy9kb3ducmV2LnhtbFBLAQIUABQAAAAIAIdO4kDD&#10;kjFayQIAAJEFAAAOAAAAAAAAAAEAIAAAACkBAABkcnMvZTJvRG9jLnhtbFBLBQYAAAAABgAGAFkB&#10;AABkBgAAAAA=&#10;" adj="11902,40064">
                <v:fill on="t" opacity="52428f" focussize="0,0"/>
                <v:stroke weight="0.25pt" color="#000000 [3213]" joinstyle="round"/>
                <v:imagedata o:title=""/>
                <o:lock v:ext="edit" aspectratio="f"/>
                <v:textbox>
                  <w:txbxContent>
                    <w:p w14:paraId="54450710">
                      <w:pPr>
                        <w:spacing w:line="240" w:lineRule="auto"/>
                        <w:ind w:left="0" w:leftChars="0" w:firstLine="0" w:firstLineChars="0"/>
                        <w:jc w:val="center"/>
                        <w:rPr>
                          <w:rFonts w:hint="eastAsia" w:eastAsia="宋体"/>
                          <w:color w:val="FF0000"/>
                          <w:sz w:val="22"/>
                          <w:szCs w:val="21"/>
                          <w:lang w:val="en-US" w:eastAsia="zh-CN"/>
                        </w:rPr>
                      </w:pPr>
                      <w:r>
                        <w:rPr>
                          <w:rFonts w:hint="eastAsia"/>
                          <w:color w:val="FF0000"/>
                          <w:sz w:val="22"/>
                          <w:szCs w:val="21"/>
                          <w:lang w:val="en-US" w:eastAsia="zh-CN"/>
                        </w:rPr>
                        <w:t>本项目</w:t>
                      </w:r>
                    </w:p>
                  </w:txbxContent>
                </v:textbox>
              </v:shape>
            </w:pict>
          </mc:Fallback>
        </mc:AlternateContent>
      </w:r>
    </w:p>
    <w:p w14:paraId="3074F4E8">
      <w:pPr>
        <w:pStyle w:val="66"/>
        <w:keepNext w:val="0"/>
        <w:keepLines w:val="0"/>
        <w:pageBreakBefore w:val="0"/>
        <w:widowControl w:val="0"/>
        <w:kinsoku/>
        <w:wordWrap/>
        <w:overflowPunct/>
        <w:topLinePunct w:val="0"/>
        <w:autoSpaceDE/>
        <w:autoSpaceDN/>
        <w:bidi w:val="0"/>
        <w:adjustRightInd w:val="0"/>
        <w:snapToGrid w:val="0"/>
        <w:spacing w:line="520" w:lineRule="exact"/>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25CAC13B">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r>
        <w:rPr>
          <w:color w:val="auto"/>
          <w:sz w:val="24"/>
          <w:highlight w:val="none"/>
        </w:rPr>
        <mc:AlternateContent>
          <mc:Choice Requires="wps">
            <w:drawing>
              <wp:anchor distT="0" distB="0" distL="114300" distR="114300" simplePos="0" relativeHeight="251770880" behindDoc="0" locked="0" layoutInCell="1" allowOverlap="1">
                <wp:simplePos x="0" y="0"/>
                <wp:positionH relativeFrom="column">
                  <wp:posOffset>3691890</wp:posOffset>
                </wp:positionH>
                <wp:positionV relativeFrom="paragraph">
                  <wp:posOffset>167640</wp:posOffset>
                </wp:positionV>
                <wp:extent cx="170180" cy="170180"/>
                <wp:effectExtent l="4445" t="4445" r="15875" b="15875"/>
                <wp:wrapNone/>
                <wp:docPr id="209" name="五角星 209"/>
                <wp:cNvGraphicFramePr/>
                <a:graphic xmlns:a="http://schemas.openxmlformats.org/drawingml/2006/main">
                  <a:graphicData uri="http://schemas.microsoft.com/office/word/2010/wordprocessingShape">
                    <wps:wsp>
                      <wps:cNvSpPr/>
                      <wps:spPr>
                        <a:xfrm>
                          <a:off x="4943475" y="5173980"/>
                          <a:ext cx="170180" cy="170180"/>
                        </a:xfrm>
                        <a:prstGeom prst="star5">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90.7pt;margin-top:13.2pt;height:13.4pt;width:13.4pt;z-index:251770880;v-text-anchor:middle;mso-width-relative:page;mso-height-relative:page;" fillcolor="#FF0000" filled="t" stroked="t" coordsize="170180,170180" o:gfxdata="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a0BdW2QAAAAkBAAAPAAAAAAAAAAEAIAAAACIAAABkcnMvZG93&#10;bnJldi54bWxQSwECFAAUAAAACACHTuJAuYwR53ECAADvBAAADgAAAAAAAAABACAAAAAoAQAAZHJz&#10;L2Uyb0RvYy54bWxQSwUGAAAAAAYABgBZAQAACwYAAAAA&#10;" path="m0,65002l65003,65003,85090,0,105176,65003,170179,65002,117590,105176,137678,170179,85090,130005,32501,170179,52589,105176xe">
                <v:path o:connectlocs="85090,0;0,65002;32501,170179;137678,170179;170179,65002" o:connectangles="247,164,82,82,0"/>
                <v:fill on="t" focussize="0,0"/>
                <v:stroke weight="0.25pt" color="#FF0000 [3204]" joinstyle="round"/>
                <v:imagedata o:title=""/>
                <o:lock v:ext="edit" aspectratio="f"/>
              </v:shape>
            </w:pict>
          </mc:Fallback>
        </mc:AlternateContent>
      </w:r>
    </w:p>
    <w:p w14:paraId="2BF64E1E">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2CEE19CA">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699A973E">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6DE1C53E">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4877C2ED">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0433A62B">
      <w:pPr>
        <w:pStyle w:val="66"/>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jc w:val="left"/>
        <w:textAlignment w:val="auto"/>
        <w:rPr>
          <w:rFonts w:hint="eastAsia" w:ascii="Times New Roman" w:hAnsi="Times New Roman" w:eastAsia="宋体" w:cs="Times New Roman"/>
          <w:snapToGrid w:val="0"/>
          <w:color w:val="auto"/>
          <w:kern w:val="0"/>
          <w:sz w:val="24"/>
          <w:szCs w:val="24"/>
          <w:highlight w:val="none"/>
          <w:lang w:val="en-US" w:eastAsia="zh-CN" w:bidi="ar-SA"/>
        </w:rPr>
      </w:pPr>
    </w:p>
    <w:p w14:paraId="6C249E12">
      <w:pPr>
        <w:pStyle w:val="66"/>
        <w:keepNext w:val="0"/>
        <w:keepLines w:val="0"/>
        <w:pageBreakBefore w:val="0"/>
        <w:widowControl w:val="0"/>
        <w:kinsoku/>
        <w:wordWrap/>
        <w:overflowPunct/>
        <w:topLinePunct w:val="0"/>
        <w:autoSpaceDE/>
        <w:autoSpaceDN/>
        <w:bidi w:val="0"/>
        <w:adjustRightInd w:val="0"/>
        <w:snapToGrid w:val="0"/>
        <w:spacing w:line="520" w:lineRule="exact"/>
        <w:ind w:firstLine="482" w:firstLineChars="200"/>
        <w:jc w:val="center"/>
        <w:textAlignment w:val="auto"/>
        <w:rPr>
          <w:rFonts w:hint="eastAsia" w:ascii="Times New Roman" w:hAnsi="Times New Roman" w:eastAsia="宋体" w:cs="Times New Roman"/>
          <w:snapToGrid w:val="0"/>
          <w:color w:val="auto"/>
          <w:kern w:val="0"/>
          <w:sz w:val="24"/>
          <w:szCs w:val="24"/>
          <w:highlight w:val="none"/>
          <w:lang w:val="en-US" w:eastAsia="zh-CN" w:bidi="ar-SA"/>
        </w:rPr>
      </w:pPr>
      <w:r>
        <w:rPr>
          <w:rFonts w:eastAsia="宋体" w:cs="Times New Roman"/>
          <w:b/>
          <w:bCs/>
          <w:color w:val="auto"/>
          <w:szCs w:val="24"/>
          <w:highlight w:val="none"/>
        </w:rPr>
        <w:t>图1-4-</w:t>
      </w:r>
      <w:r>
        <w:rPr>
          <w:rFonts w:hint="eastAsia" w:eastAsia="宋体" w:cs="Times New Roman"/>
          <w:b/>
          <w:bCs/>
          <w:color w:val="auto"/>
          <w:szCs w:val="24"/>
          <w:highlight w:val="none"/>
          <w:lang w:val="en-US" w:eastAsia="zh-CN"/>
        </w:rPr>
        <w:t>2</w:t>
      </w:r>
      <w:r>
        <w:rPr>
          <w:rFonts w:eastAsia="宋体" w:cs="Times New Roman"/>
          <w:b/>
          <w:bCs/>
          <w:color w:val="auto"/>
          <w:szCs w:val="24"/>
          <w:highlight w:val="none"/>
          <w:lang w:val="en-US"/>
        </w:rPr>
        <w:t xml:space="preserve">  </w:t>
      </w:r>
      <w:r>
        <w:rPr>
          <w:rFonts w:eastAsia="宋体" w:cs="Times New Roman"/>
          <w:b/>
          <w:bCs/>
          <w:color w:val="auto"/>
          <w:szCs w:val="24"/>
          <w:highlight w:val="none"/>
        </w:rPr>
        <w:t>黑龙江省</w:t>
      </w:r>
      <w:r>
        <w:rPr>
          <w:rFonts w:hint="eastAsia" w:eastAsia="宋体" w:cs="Times New Roman"/>
          <w:b/>
          <w:bCs/>
          <w:color w:val="auto"/>
          <w:szCs w:val="24"/>
          <w:highlight w:val="none"/>
          <w:lang w:val="en-US" w:eastAsia="zh-CN"/>
        </w:rPr>
        <w:t>生态</w:t>
      </w:r>
      <w:r>
        <w:rPr>
          <w:rFonts w:eastAsia="宋体" w:cs="Times New Roman"/>
          <w:b/>
          <w:bCs/>
          <w:color w:val="auto"/>
          <w:szCs w:val="24"/>
          <w:highlight w:val="none"/>
        </w:rPr>
        <w:t>功能区划图</w:t>
      </w:r>
    </w:p>
    <w:p w14:paraId="379B8042">
      <w:pPr>
        <w:pStyle w:val="4"/>
        <w:spacing w:after="156"/>
        <w:rPr>
          <w:rFonts w:cs="Times New Roman"/>
          <w:color w:val="auto"/>
          <w:highlight w:val="none"/>
        </w:rPr>
      </w:pPr>
      <w:bookmarkStart w:id="17" w:name="_Toc845"/>
      <w:r>
        <w:rPr>
          <w:rFonts w:cs="Times New Roman"/>
          <w:color w:val="auto"/>
          <w:highlight w:val="none"/>
        </w:rPr>
        <w:t>1.4.3与相关政策符合性分析</w:t>
      </w:r>
      <w:bookmarkEnd w:id="17"/>
    </w:p>
    <w:p w14:paraId="2E5A793C">
      <w:pPr>
        <w:pStyle w:val="5"/>
        <w:rPr>
          <w:color w:val="auto"/>
          <w:highlight w:val="none"/>
          <w:lang w:val="en-US"/>
        </w:rPr>
      </w:pPr>
      <w:r>
        <w:rPr>
          <w:color w:val="auto"/>
          <w:highlight w:val="none"/>
        </w:rPr>
        <w:t>1.4.3.</w:t>
      </w:r>
      <w:r>
        <w:rPr>
          <w:color w:val="auto"/>
          <w:highlight w:val="none"/>
          <w:lang w:val="en-US"/>
        </w:rPr>
        <w:t>1</w:t>
      </w:r>
      <w:r>
        <w:rPr>
          <w:color w:val="auto"/>
          <w:highlight w:val="none"/>
        </w:rPr>
        <w:t>与《黑龙江省畜禽屠宰管理条例》符合性</w:t>
      </w:r>
      <w:r>
        <w:rPr>
          <w:color w:val="auto"/>
          <w:highlight w:val="none"/>
          <w:lang w:val="en-US"/>
        </w:rPr>
        <w:t>分析</w:t>
      </w:r>
    </w:p>
    <w:p w14:paraId="68196A41">
      <w:pPr>
        <w:pStyle w:val="117"/>
        <w:adjustRightInd w:val="0"/>
        <w:snapToGrid w:val="0"/>
        <w:rPr>
          <w:rFonts w:eastAsia="宋体" w:cs="Times New Roman"/>
          <w:b/>
          <w:bCs/>
          <w:color w:val="auto"/>
          <w:szCs w:val="24"/>
          <w:highlight w:val="none"/>
        </w:rPr>
      </w:pPr>
      <w:r>
        <w:rPr>
          <w:rFonts w:cs="Times New Roman"/>
          <w:color w:val="auto"/>
          <w:highlight w:val="none"/>
        </w:rPr>
        <w:t>《黑龙江省畜禽屠宰管理条例》中第十一条指出，设置畜禽定点屠宰厂（场）应当符合下列条件：</w:t>
      </w:r>
    </w:p>
    <w:p w14:paraId="5A638F09">
      <w:pPr>
        <w:pStyle w:val="66"/>
        <w:rPr>
          <w:rFonts w:eastAsia="宋体" w:cs="Times New Roman"/>
          <w:b/>
          <w:bCs/>
          <w:color w:val="auto"/>
          <w:szCs w:val="24"/>
          <w:highlight w:val="none"/>
        </w:rPr>
      </w:pPr>
      <w:r>
        <w:rPr>
          <w:rFonts w:eastAsia="宋体" w:cs="Times New Roman"/>
          <w:b/>
          <w:bCs/>
          <w:color w:val="auto"/>
          <w:szCs w:val="24"/>
          <w:highlight w:val="none"/>
        </w:rPr>
        <w:t>表1</w:t>
      </w:r>
      <w:r>
        <w:rPr>
          <w:rFonts w:hint="eastAsia" w:eastAsia="宋体" w:cs="Times New Roman"/>
          <w:b/>
          <w:bCs/>
          <w:color w:val="auto"/>
          <w:szCs w:val="24"/>
          <w:highlight w:val="none"/>
          <w:lang w:val="en-US" w:eastAsia="zh-CN"/>
        </w:rPr>
        <w:t>.</w:t>
      </w:r>
      <w:r>
        <w:rPr>
          <w:rFonts w:eastAsia="宋体" w:cs="Times New Roman"/>
          <w:b/>
          <w:bCs/>
          <w:color w:val="auto"/>
          <w:szCs w:val="24"/>
          <w:highlight w:val="none"/>
        </w:rPr>
        <w:t>4-</w:t>
      </w:r>
      <w:r>
        <w:rPr>
          <w:rFonts w:eastAsia="宋体" w:cs="Times New Roman"/>
          <w:b/>
          <w:bCs/>
          <w:color w:val="auto"/>
          <w:szCs w:val="24"/>
          <w:highlight w:val="none"/>
          <w:lang w:val="en-US"/>
        </w:rPr>
        <w:t xml:space="preserve">2  </w:t>
      </w:r>
      <w:r>
        <w:rPr>
          <w:rFonts w:eastAsia="宋体" w:cs="Times New Roman"/>
          <w:b/>
          <w:bCs/>
          <w:color w:val="auto"/>
          <w:szCs w:val="24"/>
          <w:highlight w:val="none"/>
        </w:rPr>
        <w:t>与</w:t>
      </w:r>
      <w:bookmarkStart w:id="18" w:name="_Hlk519694130"/>
      <w:r>
        <w:rPr>
          <w:rFonts w:eastAsia="宋体" w:cs="Times New Roman"/>
          <w:b/>
          <w:bCs/>
          <w:color w:val="auto"/>
          <w:szCs w:val="24"/>
          <w:highlight w:val="none"/>
        </w:rPr>
        <w:t>《黑龙江省畜禽屠宰管理条例》</w:t>
      </w:r>
      <w:bookmarkEnd w:id="18"/>
      <w:r>
        <w:rPr>
          <w:rFonts w:eastAsia="宋体" w:cs="Times New Roman"/>
          <w:b/>
          <w:bCs/>
          <w:color w:val="auto"/>
          <w:szCs w:val="24"/>
          <w:highlight w:val="none"/>
        </w:rPr>
        <w:t>符合性分析</w:t>
      </w:r>
    </w:p>
    <w:tbl>
      <w:tblPr>
        <w:tblStyle w:val="4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56"/>
        <w:gridCol w:w="3004"/>
        <w:gridCol w:w="3146"/>
        <w:gridCol w:w="792"/>
      </w:tblGrid>
      <w:tr w14:paraId="03E20A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356" w:type="dxa"/>
            <w:shd w:val="clear" w:color="auto" w:fill="auto"/>
            <w:vAlign w:val="center"/>
          </w:tcPr>
          <w:p w14:paraId="16DB7728">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政策内容</w:t>
            </w:r>
          </w:p>
        </w:tc>
        <w:tc>
          <w:tcPr>
            <w:tcW w:w="3004" w:type="dxa"/>
            <w:shd w:val="clear" w:color="auto" w:fill="auto"/>
            <w:vAlign w:val="center"/>
          </w:tcPr>
          <w:p w14:paraId="5D737D9D">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要求</w:t>
            </w:r>
          </w:p>
        </w:tc>
        <w:tc>
          <w:tcPr>
            <w:tcW w:w="3146" w:type="dxa"/>
            <w:shd w:val="clear" w:color="auto" w:fill="auto"/>
            <w:vAlign w:val="center"/>
          </w:tcPr>
          <w:p w14:paraId="48764476">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符合性分析</w:t>
            </w:r>
          </w:p>
        </w:tc>
        <w:tc>
          <w:tcPr>
            <w:tcW w:w="792" w:type="dxa"/>
            <w:shd w:val="clear" w:color="auto" w:fill="auto"/>
            <w:vAlign w:val="center"/>
          </w:tcPr>
          <w:p w14:paraId="01679CEC">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是否符合</w:t>
            </w:r>
          </w:p>
        </w:tc>
      </w:tr>
      <w:tr w14:paraId="6C91BF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356" w:type="dxa"/>
            <w:shd w:val="clear" w:color="auto" w:fill="auto"/>
            <w:vAlign w:val="center"/>
          </w:tcPr>
          <w:p w14:paraId="198F1F7B">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color w:val="auto"/>
                <w:sz w:val="21"/>
                <w:highlight w:val="none"/>
                <w:lang w:val="zh-CN"/>
              </w:rPr>
              <w:t>设置畜禽定点屠宰厂（场）应当符合下列条件</w:t>
            </w:r>
          </w:p>
        </w:tc>
        <w:tc>
          <w:tcPr>
            <w:tcW w:w="3004" w:type="dxa"/>
            <w:shd w:val="clear" w:color="auto" w:fill="auto"/>
            <w:vAlign w:val="center"/>
          </w:tcPr>
          <w:p w14:paraId="2D4332AD">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（一）有与屠宰规模相适应，水质符合国家规定标准的水源条件；</w:t>
            </w:r>
          </w:p>
          <w:p w14:paraId="59CDAB1A">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（二）有符合国家规定要求的</w:t>
            </w:r>
            <w:r>
              <w:rPr>
                <w:rFonts w:hint="eastAsia" w:cs="Times New Roman"/>
                <w:snapToGrid w:val="0"/>
                <w:color w:val="auto"/>
                <w:highlight w:val="none"/>
                <w:lang w:eastAsia="zh-CN"/>
              </w:rPr>
              <w:t>待宰圈</w:t>
            </w:r>
            <w:r>
              <w:rPr>
                <w:rFonts w:cs="Times New Roman"/>
                <w:snapToGrid w:val="0"/>
                <w:color w:val="auto"/>
                <w:highlight w:val="none"/>
              </w:rPr>
              <w:t>、屠宰间、急宰间、检验室以及畜禽屠宰设备和运载工具；</w:t>
            </w:r>
          </w:p>
          <w:p w14:paraId="2D9B4208">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（三）有依法取得健康证明的屠宰技术人员；</w:t>
            </w:r>
          </w:p>
          <w:p w14:paraId="5A9DC515">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（四）有经考核合格的兽医卫生检验人员；</w:t>
            </w:r>
          </w:p>
          <w:p w14:paraId="22BE865C">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（五）有符合国家规定要求的检验设备、消毒设施以及符合环境保护要求的污染防治设施；</w:t>
            </w:r>
          </w:p>
          <w:p w14:paraId="69E3D237">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（六）有病害畜禽及畜禽产品无害化处理设施或者无害化处理委托协议；</w:t>
            </w:r>
          </w:p>
          <w:p w14:paraId="630CB851">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（七）依法取得动物防疫条件合格证；</w:t>
            </w:r>
          </w:p>
          <w:p w14:paraId="1ECF4C94">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（八）法律、法规规定的其他条件。</w:t>
            </w:r>
          </w:p>
          <w:p w14:paraId="09AF6EEF">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color w:val="auto"/>
                <w:highlight w:val="none"/>
              </w:rPr>
            </w:pPr>
          </w:p>
        </w:tc>
        <w:tc>
          <w:tcPr>
            <w:tcW w:w="3146" w:type="dxa"/>
            <w:shd w:val="clear" w:color="auto" w:fill="auto"/>
            <w:vAlign w:val="center"/>
          </w:tcPr>
          <w:p w14:paraId="2B75EB43">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eastAsia="宋体" w:cs="Times New Roman"/>
                <w:snapToGrid w:val="0"/>
                <w:color w:val="auto"/>
                <w:highlight w:val="none"/>
                <w:lang w:val="en-US" w:eastAsia="zh-CN"/>
              </w:rPr>
            </w:pPr>
            <w:r>
              <w:rPr>
                <w:rFonts w:cs="Times New Roman"/>
                <w:snapToGrid w:val="0"/>
                <w:color w:val="auto"/>
                <w:highlight w:val="none"/>
              </w:rPr>
              <w:t>（</w:t>
            </w:r>
            <w:r>
              <w:rPr>
                <w:rFonts w:cs="Times New Roman"/>
                <w:snapToGrid w:val="0"/>
                <w:color w:val="auto"/>
                <w:highlight w:val="none"/>
                <w:lang w:val="en-US"/>
              </w:rPr>
              <w:t>一</w:t>
            </w:r>
            <w:r>
              <w:rPr>
                <w:rFonts w:cs="Times New Roman"/>
                <w:snapToGrid w:val="0"/>
                <w:color w:val="auto"/>
                <w:highlight w:val="none"/>
              </w:rPr>
              <w:t>）</w:t>
            </w:r>
            <w:r>
              <w:rPr>
                <w:rFonts w:cs="Times New Roman"/>
                <w:snapToGrid w:val="0"/>
                <w:color w:val="auto"/>
                <w:highlight w:val="none"/>
                <w:lang w:val="en-US"/>
              </w:rPr>
              <w:t>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snapToGrid w:val="0"/>
                <w:color w:val="auto"/>
                <w:highlight w:val="none"/>
                <w:lang w:val="en-US"/>
              </w:rPr>
              <w:t>，由市政供水，水量、水质可以满足需求，且</w:t>
            </w:r>
            <w:r>
              <w:rPr>
                <w:rFonts w:cs="Times New Roman"/>
                <w:snapToGrid w:val="0"/>
                <w:color w:val="auto"/>
                <w:highlight w:val="none"/>
              </w:rPr>
              <w:t>水质符合国家规定标准；</w:t>
            </w:r>
            <w:r>
              <w:rPr>
                <w:rFonts w:hint="eastAsia" w:cs="Times New Roman"/>
                <w:snapToGrid w:val="0"/>
                <w:color w:val="auto"/>
                <w:highlight w:val="none"/>
                <w:lang w:val="en-US" w:eastAsia="zh-CN"/>
              </w:rPr>
              <w:t>详见附件3。</w:t>
            </w:r>
          </w:p>
          <w:p w14:paraId="59C57CE6">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w:t>
            </w:r>
            <w:r>
              <w:rPr>
                <w:rFonts w:cs="Times New Roman"/>
                <w:snapToGrid w:val="0"/>
                <w:color w:val="auto"/>
                <w:highlight w:val="none"/>
                <w:lang w:val="en-US"/>
              </w:rPr>
              <w:t>二</w:t>
            </w:r>
            <w:r>
              <w:rPr>
                <w:rFonts w:cs="Times New Roman"/>
                <w:snapToGrid w:val="0"/>
                <w:color w:val="auto"/>
                <w:highlight w:val="none"/>
              </w:rPr>
              <w:t>）</w:t>
            </w:r>
            <w:r>
              <w:rPr>
                <w:rFonts w:cs="Times New Roman"/>
                <w:snapToGrid w:val="0"/>
                <w:color w:val="auto"/>
                <w:highlight w:val="none"/>
                <w:lang w:val="en-US"/>
              </w:rPr>
              <w:t>本项目配备了</w:t>
            </w:r>
            <w:r>
              <w:rPr>
                <w:rFonts w:cs="Times New Roman"/>
                <w:snapToGrid w:val="0"/>
                <w:color w:val="auto"/>
                <w:highlight w:val="none"/>
              </w:rPr>
              <w:t>符合国家规定要求的</w:t>
            </w:r>
            <w:r>
              <w:rPr>
                <w:rFonts w:hint="eastAsia" w:cs="Times New Roman"/>
                <w:snapToGrid w:val="0"/>
                <w:color w:val="auto"/>
                <w:highlight w:val="none"/>
                <w:lang w:eastAsia="zh-CN"/>
              </w:rPr>
              <w:t>待宰圈</w:t>
            </w:r>
            <w:r>
              <w:rPr>
                <w:rFonts w:cs="Times New Roman"/>
                <w:snapToGrid w:val="0"/>
                <w:color w:val="auto"/>
                <w:highlight w:val="none"/>
              </w:rPr>
              <w:t>、屠宰间、急宰间、检验室以及畜禽屠宰设备和运载工具</w:t>
            </w:r>
            <w:r>
              <w:rPr>
                <w:rFonts w:cs="Times New Roman"/>
                <w:snapToGrid w:val="0"/>
                <w:color w:val="auto"/>
                <w:highlight w:val="none"/>
                <w:lang w:val="en-US"/>
              </w:rPr>
              <w:t>。</w:t>
            </w:r>
          </w:p>
          <w:p w14:paraId="2587E6FA">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w:t>
            </w:r>
            <w:r>
              <w:rPr>
                <w:rFonts w:cs="Times New Roman"/>
                <w:snapToGrid w:val="0"/>
                <w:color w:val="auto"/>
                <w:highlight w:val="none"/>
                <w:lang w:val="en-US"/>
              </w:rPr>
              <w:t>三</w:t>
            </w:r>
            <w:r>
              <w:rPr>
                <w:rFonts w:cs="Times New Roman"/>
                <w:snapToGrid w:val="0"/>
                <w:color w:val="auto"/>
                <w:highlight w:val="none"/>
              </w:rPr>
              <w:t>）</w:t>
            </w:r>
            <w:r>
              <w:rPr>
                <w:rFonts w:cs="Times New Roman"/>
                <w:snapToGrid w:val="0"/>
                <w:color w:val="auto"/>
                <w:highlight w:val="none"/>
                <w:lang w:val="en-US"/>
              </w:rPr>
              <w:t>本项目配备</w:t>
            </w:r>
            <w:r>
              <w:rPr>
                <w:rFonts w:cs="Times New Roman"/>
                <w:snapToGrid w:val="0"/>
                <w:color w:val="auto"/>
                <w:highlight w:val="none"/>
              </w:rPr>
              <w:t>有经考核合格的畜禽屠宰技术人员，并依法取得健康证明；</w:t>
            </w:r>
          </w:p>
          <w:p w14:paraId="1621C325">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w:t>
            </w:r>
            <w:r>
              <w:rPr>
                <w:rFonts w:cs="Times New Roman"/>
                <w:snapToGrid w:val="0"/>
                <w:color w:val="auto"/>
                <w:highlight w:val="none"/>
                <w:lang w:val="en-US"/>
              </w:rPr>
              <w:t>四</w:t>
            </w:r>
            <w:r>
              <w:rPr>
                <w:rFonts w:cs="Times New Roman"/>
                <w:snapToGrid w:val="0"/>
                <w:color w:val="auto"/>
                <w:highlight w:val="none"/>
              </w:rPr>
              <w:t>）本项目</w:t>
            </w:r>
            <w:r>
              <w:rPr>
                <w:rFonts w:cs="Times New Roman"/>
                <w:snapToGrid w:val="0"/>
                <w:color w:val="auto"/>
                <w:highlight w:val="none"/>
                <w:lang w:val="en-US"/>
              </w:rPr>
              <w:t>配备</w:t>
            </w:r>
            <w:r>
              <w:rPr>
                <w:rFonts w:cs="Times New Roman"/>
                <w:snapToGrid w:val="0"/>
                <w:color w:val="auto"/>
                <w:highlight w:val="none"/>
              </w:rPr>
              <w:t>有经考核合格的兽医卫生检验人员；</w:t>
            </w:r>
          </w:p>
          <w:p w14:paraId="16C4A16D">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w:t>
            </w:r>
            <w:r>
              <w:rPr>
                <w:rFonts w:cs="Times New Roman"/>
                <w:snapToGrid w:val="0"/>
                <w:color w:val="auto"/>
                <w:highlight w:val="none"/>
                <w:lang w:val="en-US"/>
              </w:rPr>
              <w:t>五</w:t>
            </w:r>
            <w:r>
              <w:rPr>
                <w:rFonts w:cs="Times New Roman"/>
                <w:snapToGrid w:val="0"/>
                <w:color w:val="auto"/>
                <w:highlight w:val="none"/>
              </w:rPr>
              <w:t>）本项目有符合国家规定要求的检验设备、消毒设施以及符合环境保护要求的污染防治设施，能够保证排放的废水、废气、废物和噪声等符合国家环保规定的要求；</w:t>
            </w:r>
          </w:p>
          <w:p w14:paraId="6EE2DD27">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lang w:val="en-US"/>
              </w:rPr>
            </w:pPr>
            <w:r>
              <w:rPr>
                <w:rFonts w:cs="Times New Roman"/>
                <w:snapToGrid w:val="0"/>
                <w:color w:val="auto"/>
                <w:highlight w:val="none"/>
              </w:rPr>
              <w:t>（</w:t>
            </w:r>
            <w:r>
              <w:rPr>
                <w:rFonts w:cs="Times New Roman"/>
                <w:snapToGrid w:val="0"/>
                <w:color w:val="auto"/>
                <w:highlight w:val="none"/>
                <w:lang w:val="en-US"/>
              </w:rPr>
              <w:t>六</w:t>
            </w:r>
            <w:r>
              <w:rPr>
                <w:rFonts w:cs="Times New Roman"/>
                <w:snapToGrid w:val="0"/>
                <w:color w:val="auto"/>
                <w:highlight w:val="none"/>
              </w:rPr>
              <w:t>）</w:t>
            </w:r>
            <w:r>
              <w:rPr>
                <w:rFonts w:cs="Times New Roman"/>
                <w:snapToGrid w:val="0"/>
                <w:color w:val="auto"/>
                <w:highlight w:val="none"/>
                <w:lang w:val="en-US"/>
              </w:rPr>
              <w:t>本项目签订了无害化处理协议</w:t>
            </w:r>
            <w:r>
              <w:rPr>
                <w:rFonts w:hint="eastAsia" w:cs="Times New Roman"/>
                <w:snapToGrid w:val="0"/>
                <w:color w:val="auto"/>
                <w:highlight w:val="none"/>
                <w:lang w:val="en-US" w:eastAsia="zh-CN"/>
              </w:rPr>
              <w:t>（见附件5）</w:t>
            </w:r>
            <w:r>
              <w:rPr>
                <w:rFonts w:cs="Times New Roman"/>
                <w:snapToGrid w:val="0"/>
                <w:color w:val="auto"/>
                <w:highlight w:val="none"/>
                <w:lang w:val="en-US"/>
              </w:rPr>
              <w:t>；</w:t>
            </w:r>
          </w:p>
          <w:p w14:paraId="30C9EA07">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（七）依法取得动物防疫条件合格证；</w:t>
            </w:r>
          </w:p>
          <w:p w14:paraId="389A5F7B">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cs="Times New Roman"/>
                <w:snapToGrid w:val="0"/>
                <w:color w:val="auto"/>
                <w:highlight w:val="none"/>
              </w:rPr>
              <w:t>（</w:t>
            </w:r>
            <w:r>
              <w:rPr>
                <w:rFonts w:cs="Times New Roman"/>
                <w:snapToGrid w:val="0"/>
                <w:color w:val="auto"/>
                <w:highlight w:val="none"/>
                <w:lang w:val="en-US"/>
              </w:rPr>
              <w:t>八</w:t>
            </w:r>
            <w:r>
              <w:rPr>
                <w:rFonts w:cs="Times New Roman"/>
                <w:snapToGrid w:val="0"/>
                <w:color w:val="auto"/>
                <w:highlight w:val="none"/>
              </w:rPr>
              <w:t>）有符合法律、法规规定的其他环保、卫生等条件。</w:t>
            </w:r>
          </w:p>
        </w:tc>
        <w:tc>
          <w:tcPr>
            <w:tcW w:w="792" w:type="dxa"/>
            <w:shd w:val="clear" w:color="auto" w:fill="auto"/>
            <w:vAlign w:val="center"/>
          </w:tcPr>
          <w:p w14:paraId="6CF075C2">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符合</w:t>
            </w:r>
          </w:p>
        </w:tc>
      </w:tr>
    </w:tbl>
    <w:p w14:paraId="5170B98C">
      <w:pPr>
        <w:pStyle w:val="117"/>
        <w:rPr>
          <w:rFonts w:cs="Times New Roman"/>
          <w:color w:val="auto"/>
          <w:highlight w:val="none"/>
        </w:rPr>
      </w:pPr>
      <w:r>
        <w:rPr>
          <w:rFonts w:cs="Times New Roman"/>
          <w:color w:val="auto"/>
          <w:highlight w:val="none"/>
        </w:rPr>
        <w:t>因此，本项目符合《黑龙江省畜禽屠宰管理条例》。</w:t>
      </w:r>
    </w:p>
    <w:p w14:paraId="70BB1A9E">
      <w:pPr>
        <w:pStyle w:val="5"/>
        <w:rPr>
          <w:rFonts w:hint="eastAsia" w:ascii="宋体" w:hAnsi="宋体" w:cs="宋体"/>
          <w:color w:val="auto"/>
          <w:sz w:val="24"/>
          <w:szCs w:val="24"/>
          <w:highlight w:val="none"/>
          <w:lang w:val="en-US" w:eastAsia="zh-CN"/>
        </w:rPr>
      </w:pPr>
      <w:r>
        <w:rPr>
          <w:color w:val="auto"/>
          <w:highlight w:val="none"/>
        </w:rPr>
        <w:t>1.4.3.</w:t>
      </w:r>
      <w:r>
        <w:rPr>
          <w:rFonts w:hint="eastAsia"/>
          <w:color w:val="auto"/>
          <w:highlight w:val="none"/>
          <w:lang w:val="en-US" w:eastAsia="zh-CN"/>
        </w:rPr>
        <w:t>2与</w:t>
      </w:r>
      <w:r>
        <w:rPr>
          <w:rFonts w:hint="eastAsia" w:ascii="宋体" w:hAnsi="宋体" w:eastAsia="宋体" w:cs="宋体"/>
          <w:color w:val="auto"/>
          <w:sz w:val="24"/>
          <w:szCs w:val="24"/>
          <w:highlight w:val="none"/>
          <w:lang w:val="en-US" w:eastAsia="zh-CN"/>
        </w:rPr>
        <w:t>《黑龙江省动物防疫条例》</w:t>
      </w:r>
      <w:r>
        <w:rPr>
          <w:rFonts w:hint="eastAsia" w:ascii="宋体" w:hAnsi="宋体" w:cs="宋体"/>
          <w:color w:val="auto"/>
          <w:sz w:val="24"/>
          <w:szCs w:val="24"/>
          <w:highlight w:val="none"/>
          <w:lang w:val="en-US" w:eastAsia="zh-CN"/>
        </w:rPr>
        <w:t>符合性分析</w:t>
      </w:r>
    </w:p>
    <w:p w14:paraId="56B8E2AE">
      <w:pPr>
        <w:pStyle w:val="117"/>
        <w:rPr>
          <w:rFonts w:eastAsia="宋体" w:cs="Times New Roman"/>
          <w:b/>
          <w:bCs/>
          <w:color w:val="auto"/>
          <w:szCs w:val="24"/>
          <w:highlight w:val="none"/>
        </w:rPr>
      </w:pPr>
      <w:r>
        <w:rPr>
          <w:rFonts w:hint="eastAsia" w:cs="Times New Roman"/>
          <w:color w:val="auto"/>
          <w:highlight w:val="none"/>
          <w:lang w:val="en-US" w:eastAsia="zh-CN"/>
        </w:rPr>
        <w:t>本项目与</w:t>
      </w:r>
      <w:r>
        <w:rPr>
          <w:rFonts w:hint="eastAsia" w:ascii="宋体" w:hAnsi="宋体" w:eastAsia="宋体" w:cs="宋体"/>
          <w:color w:val="auto"/>
          <w:sz w:val="24"/>
          <w:szCs w:val="24"/>
          <w:highlight w:val="none"/>
          <w:lang w:val="en-US" w:eastAsia="zh-CN"/>
        </w:rPr>
        <w:t>《黑龙江省动物防疫条例》</w:t>
      </w:r>
      <w:r>
        <w:rPr>
          <w:rFonts w:cs="Times New Roman"/>
          <w:color w:val="auto"/>
          <w:highlight w:val="none"/>
        </w:rPr>
        <w:t>符合性分析</w:t>
      </w:r>
      <w:r>
        <w:rPr>
          <w:rFonts w:hint="eastAsia" w:cs="Times New Roman"/>
          <w:color w:val="auto"/>
          <w:highlight w:val="none"/>
          <w:lang w:val="en-US" w:eastAsia="zh-CN"/>
        </w:rPr>
        <w:t>内容见下表。</w:t>
      </w:r>
    </w:p>
    <w:p w14:paraId="2FB23768">
      <w:pPr>
        <w:pStyle w:val="66"/>
        <w:rPr>
          <w:rFonts w:eastAsia="宋体" w:cs="Times New Roman"/>
          <w:b/>
          <w:bCs/>
          <w:color w:val="auto"/>
          <w:szCs w:val="24"/>
          <w:highlight w:val="none"/>
        </w:rPr>
      </w:pPr>
      <w:r>
        <w:rPr>
          <w:rFonts w:eastAsia="宋体" w:cs="Times New Roman"/>
          <w:b/>
          <w:bCs/>
          <w:color w:val="auto"/>
          <w:szCs w:val="24"/>
          <w:highlight w:val="none"/>
        </w:rPr>
        <w:t>表1</w:t>
      </w:r>
      <w:r>
        <w:rPr>
          <w:rFonts w:hint="eastAsia" w:eastAsia="宋体" w:cs="Times New Roman"/>
          <w:b/>
          <w:bCs/>
          <w:color w:val="auto"/>
          <w:szCs w:val="24"/>
          <w:highlight w:val="none"/>
          <w:lang w:val="en-US" w:eastAsia="zh-CN"/>
        </w:rPr>
        <w:t>.</w:t>
      </w:r>
      <w:r>
        <w:rPr>
          <w:rFonts w:eastAsia="宋体" w:cs="Times New Roman"/>
          <w:b/>
          <w:bCs/>
          <w:color w:val="auto"/>
          <w:szCs w:val="24"/>
          <w:highlight w:val="none"/>
        </w:rPr>
        <w:t>4-</w:t>
      </w:r>
      <w:r>
        <w:rPr>
          <w:rFonts w:hint="eastAsia" w:eastAsia="宋体" w:cs="Times New Roman"/>
          <w:b/>
          <w:bCs/>
          <w:color w:val="auto"/>
          <w:szCs w:val="24"/>
          <w:highlight w:val="none"/>
          <w:lang w:val="en-US" w:eastAsia="zh-CN"/>
        </w:rPr>
        <w:t>3</w:t>
      </w:r>
      <w:r>
        <w:rPr>
          <w:rFonts w:eastAsia="宋体" w:cs="Times New Roman"/>
          <w:b/>
          <w:bCs/>
          <w:color w:val="auto"/>
          <w:szCs w:val="24"/>
          <w:highlight w:val="none"/>
          <w:lang w:val="en-US"/>
        </w:rPr>
        <w:t xml:space="preserve">  </w:t>
      </w:r>
      <w:r>
        <w:rPr>
          <w:rFonts w:eastAsia="宋体" w:cs="Times New Roman"/>
          <w:b/>
          <w:bCs/>
          <w:color w:val="auto"/>
          <w:szCs w:val="24"/>
          <w:highlight w:val="none"/>
        </w:rPr>
        <w:t>与</w:t>
      </w:r>
      <w:r>
        <w:rPr>
          <w:rFonts w:hint="eastAsia" w:eastAsia="宋体" w:cs="Times New Roman"/>
          <w:b/>
          <w:bCs/>
          <w:color w:val="auto"/>
          <w:szCs w:val="24"/>
          <w:highlight w:val="none"/>
          <w:lang w:val="en-US" w:eastAsia="zh-CN"/>
        </w:rPr>
        <w:t>《黑龙江省动物防疫条例》</w:t>
      </w:r>
      <w:r>
        <w:rPr>
          <w:rFonts w:eastAsia="宋体" w:cs="Times New Roman"/>
          <w:b/>
          <w:bCs/>
          <w:color w:val="auto"/>
          <w:szCs w:val="24"/>
          <w:highlight w:val="none"/>
        </w:rPr>
        <w:t>符合性分析</w:t>
      </w:r>
    </w:p>
    <w:tbl>
      <w:tblPr>
        <w:tblStyle w:val="4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5"/>
        <w:gridCol w:w="4843"/>
        <w:gridCol w:w="1825"/>
        <w:gridCol w:w="793"/>
      </w:tblGrid>
      <w:tr w14:paraId="7F9AE0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45" w:type="dxa"/>
            <w:shd w:val="clear" w:color="auto" w:fill="auto"/>
            <w:vAlign w:val="center"/>
          </w:tcPr>
          <w:p w14:paraId="62F3688E">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政策内容</w:t>
            </w:r>
          </w:p>
        </w:tc>
        <w:tc>
          <w:tcPr>
            <w:tcW w:w="4843" w:type="dxa"/>
            <w:shd w:val="clear" w:color="auto" w:fill="auto"/>
            <w:vAlign w:val="center"/>
          </w:tcPr>
          <w:p w14:paraId="1AC6F3E1">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要求</w:t>
            </w:r>
          </w:p>
        </w:tc>
        <w:tc>
          <w:tcPr>
            <w:tcW w:w="1825" w:type="dxa"/>
            <w:shd w:val="clear" w:color="auto" w:fill="auto"/>
            <w:vAlign w:val="center"/>
          </w:tcPr>
          <w:p w14:paraId="17A9DD44">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符合性分析</w:t>
            </w:r>
          </w:p>
        </w:tc>
        <w:tc>
          <w:tcPr>
            <w:tcW w:w="793" w:type="dxa"/>
            <w:shd w:val="clear" w:color="auto" w:fill="auto"/>
            <w:vAlign w:val="center"/>
          </w:tcPr>
          <w:p w14:paraId="57ECC154">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是否符合</w:t>
            </w:r>
          </w:p>
        </w:tc>
      </w:tr>
      <w:tr w14:paraId="6A5ED8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45" w:type="dxa"/>
            <w:shd w:val="clear" w:color="auto" w:fill="auto"/>
            <w:vAlign w:val="center"/>
          </w:tcPr>
          <w:p w14:paraId="366127C6">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Times New Roman" w:hAnsi="Times New Roman" w:eastAsia="宋体" w:cs="Times New Roman"/>
                <w:snapToGrid w:val="0"/>
                <w:color w:val="auto"/>
                <w:highlight w:val="none"/>
                <w:lang w:val="zh-CN"/>
              </w:rPr>
            </w:pPr>
            <w:r>
              <w:rPr>
                <w:rFonts w:hint="eastAsia" w:ascii="Times New Roman" w:hAnsi="Times New Roman" w:eastAsia="宋体" w:cs="Times New Roman"/>
                <w:snapToGrid w:val="0"/>
                <w:color w:val="auto"/>
                <w:highlight w:val="none"/>
              </w:rPr>
              <w:t>动物及动物产品检疫</w:t>
            </w:r>
          </w:p>
        </w:tc>
        <w:tc>
          <w:tcPr>
            <w:tcW w:w="4843" w:type="dxa"/>
            <w:shd w:val="clear" w:color="auto" w:fill="auto"/>
            <w:vAlign w:val="center"/>
          </w:tcPr>
          <w:p w14:paraId="3ABF5133">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snapToGrid w:val="0"/>
                <w:color w:val="auto"/>
                <w:highlight w:val="none"/>
              </w:rPr>
            </w:pPr>
            <w:r>
              <w:rPr>
                <w:rFonts w:hint="eastAsia" w:cs="Times New Roman"/>
                <w:snapToGrid w:val="0"/>
                <w:color w:val="auto"/>
                <w:highlight w:val="none"/>
              </w:rPr>
              <w:t>第二十条县级以上人民政府应当按照国家规定，配备与当地动物、动物产品检疫工作相适应的官方兽医。官方兽医依法履行动物、动物产品检疫职责，任何单位和个人不得拒绝或者阻碍。</w:t>
            </w:r>
          </w:p>
          <w:p w14:paraId="046199D3">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县级人民政府农业农村主管部门可以根据动物防疫工作需要，向乡、镇或者特定区域派驻兽医机构或者专业工作人员。县级动物卫生监督机构根据动物检疫工作需要，可以组织乡(镇)的官方兽医实施检疫。动物饲养场、屠宰企业的执业兽医或者动物防疫技术人员，应当协助官方兽医实施检疫。</w:t>
            </w:r>
          </w:p>
          <w:p w14:paraId="2BE2E097">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第二十一条动物、动物产品的检疫依法实行申报制度。</w:t>
            </w:r>
          </w:p>
          <w:p w14:paraId="7CCF9A47">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动物饲养场(户)出售或者运输动物的，应当按照规定时限向所在地县级动物卫生监督机构申报检疫。屠宰企业屠宰动物的，应当提前六个小时向所在地县级动物卫生监督机构申报检疫;紧急屠宰动物的，可以随时申报。</w:t>
            </w:r>
          </w:p>
          <w:p w14:paraId="7A5ECBD4">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第二十二条县级动物卫生监督机构应当根据动物养殖规模以及分布情况，合理设置动物检疫申报点，并将动物检疫申报点、检疫范围、检疫对象和联系电话等有关事项向社会公布。</w:t>
            </w:r>
          </w:p>
          <w:p w14:paraId="59EDB3DA">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鼓励通过互联网平台方式申报检疫。对到检疫申报点申报检疫的，县级动物卫生监督机构以及官方兽医不得以任何理由拒绝。</w:t>
            </w:r>
          </w:p>
          <w:p w14:paraId="591E498F">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第二十三条县级动物卫生监督机构应当向定点屠宰企业派驻官方兽医，官方兽医应当依法履行职责并对检疫结论负责。</w:t>
            </w:r>
          </w:p>
          <w:p w14:paraId="5805A00C">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cs="Times New Roman"/>
                <w:color w:val="auto"/>
                <w:highlight w:val="none"/>
              </w:rPr>
            </w:pPr>
            <w:r>
              <w:rPr>
                <w:rFonts w:hint="eastAsia" w:cs="Times New Roman"/>
                <w:snapToGrid w:val="0"/>
                <w:color w:val="auto"/>
                <w:highlight w:val="none"/>
              </w:rPr>
              <w:t>定点屠宰企业应当配合官方兽医实施检疫，为官方兽医开展检疫提供人员协助和必要条件。</w:t>
            </w:r>
          </w:p>
        </w:tc>
        <w:tc>
          <w:tcPr>
            <w:tcW w:w="1825" w:type="dxa"/>
            <w:shd w:val="clear" w:color="auto" w:fill="auto"/>
            <w:vAlign w:val="center"/>
          </w:tcPr>
          <w:p w14:paraId="5DC5A69E">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eastAsia="宋体" w:cs="Times New Roman"/>
                <w:snapToGrid w:val="0"/>
                <w:color w:val="auto"/>
                <w:highlight w:val="none"/>
                <w:lang w:val="en-US" w:eastAsia="zh-CN"/>
              </w:rPr>
            </w:pPr>
            <w:r>
              <w:rPr>
                <w:rFonts w:hint="eastAsia" w:ascii="Times New Roman" w:hAnsi="Times New Roman" w:eastAsia="宋体" w:cs="Times New Roman"/>
                <w:snapToGrid w:val="0"/>
                <w:color w:val="auto"/>
                <w:highlight w:val="none"/>
                <w:lang w:val="en-US" w:eastAsia="zh-CN"/>
              </w:rPr>
              <w:t xml:space="preserve">  </w:t>
            </w:r>
            <w:r>
              <w:rPr>
                <w:rFonts w:hint="eastAsia" w:ascii="Times New Roman" w:hAnsi="Times New Roman" w:eastAsia="宋体" w:cs="Times New Roman"/>
                <w:snapToGrid w:val="0"/>
                <w:color w:val="auto"/>
                <w:highlight w:val="none"/>
              </w:rPr>
              <w:t>本项目</w:t>
            </w:r>
            <w:r>
              <w:rPr>
                <w:rFonts w:hint="eastAsia" w:ascii="Times New Roman" w:hAnsi="Times New Roman" w:eastAsia="宋体" w:cs="Times New Roman"/>
                <w:snapToGrid w:val="0"/>
                <w:color w:val="auto"/>
                <w:highlight w:val="none"/>
                <w:lang w:val="en-US"/>
              </w:rPr>
              <w:t>配备</w:t>
            </w:r>
            <w:r>
              <w:rPr>
                <w:rFonts w:hint="eastAsia" w:ascii="Times New Roman" w:hAnsi="Times New Roman" w:eastAsia="宋体" w:cs="Times New Roman"/>
                <w:snapToGrid w:val="0"/>
                <w:color w:val="auto"/>
                <w:highlight w:val="none"/>
              </w:rPr>
              <w:t>有经考核合格的兽医卫生检验人员</w:t>
            </w:r>
            <w:r>
              <w:rPr>
                <w:rFonts w:hint="eastAsia" w:ascii="Times New Roman" w:hAnsi="Times New Roman" w:eastAsia="宋体" w:cs="Times New Roman"/>
                <w:snapToGrid w:val="0"/>
                <w:color w:val="auto"/>
                <w:highlight w:val="none"/>
                <w:lang w:eastAsia="zh-CN"/>
              </w:rPr>
              <w:t>，</w:t>
            </w:r>
            <w:r>
              <w:rPr>
                <w:rFonts w:hint="eastAsia" w:ascii="Times New Roman" w:hAnsi="Times New Roman" w:eastAsia="宋体" w:cs="Times New Roman"/>
                <w:snapToGrid w:val="0"/>
                <w:color w:val="auto"/>
                <w:highlight w:val="none"/>
                <w:lang w:val="en-US" w:eastAsia="zh-CN"/>
              </w:rPr>
              <w:t>且</w:t>
            </w:r>
            <w:r>
              <w:rPr>
                <w:rFonts w:hint="eastAsia" w:ascii="Times New Roman" w:hAnsi="Times New Roman" w:eastAsia="宋体" w:cs="Times New Roman"/>
                <w:snapToGrid w:val="0"/>
                <w:color w:val="auto"/>
                <w:highlight w:val="none"/>
              </w:rPr>
              <w:t>屠畜进场待宰时先有要进行询问和索证（三证：产地检疫证或运输检疫证、车辆消毒证、非疫区证明和牧户的饲养日志的用药和饲养的相关记录）</w:t>
            </w:r>
            <w:r>
              <w:rPr>
                <w:rFonts w:hint="eastAsia" w:ascii="Times New Roman" w:hAnsi="Times New Roman" w:eastAsia="宋体" w:cs="Times New Roman"/>
                <w:snapToGrid w:val="0"/>
                <w:color w:val="auto"/>
                <w:highlight w:val="none"/>
                <w:lang w:eastAsia="zh-CN"/>
              </w:rPr>
              <w:t>。</w:t>
            </w:r>
            <w:r>
              <w:rPr>
                <w:rFonts w:hint="eastAsia" w:ascii="Times New Roman" w:hAnsi="Times New Roman" w:eastAsia="宋体" w:cs="Times New Roman"/>
                <w:snapToGrid w:val="0"/>
                <w:color w:val="auto"/>
                <w:highlight w:val="none"/>
              </w:rPr>
              <w:t>验证由</w:t>
            </w:r>
            <w:r>
              <w:rPr>
                <w:rFonts w:hint="eastAsia" w:ascii="Times New Roman" w:hAnsi="Times New Roman" w:eastAsia="宋体" w:cs="Times New Roman"/>
                <w:snapToGrid w:val="0"/>
                <w:color w:val="auto"/>
                <w:highlight w:val="none"/>
                <w:lang w:val="en-US" w:eastAsia="zh-CN"/>
              </w:rPr>
              <w:t>屠宰场</w:t>
            </w:r>
            <w:r>
              <w:rPr>
                <w:rFonts w:hint="eastAsia" w:ascii="Times New Roman" w:hAnsi="Times New Roman" w:eastAsia="宋体" w:cs="Times New Roman"/>
                <w:snapToGrid w:val="0"/>
                <w:color w:val="auto"/>
                <w:highlight w:val="none"/>
              </w:rPr>
              <w:t>和当地农牧部门派驻的检疫员同时进行，如果无证或是证照不全的，</w:t>
            </w:r>
            <w:r>
              <w:rPr>
                <w:rFonts w:hint="eastAsia" w:ascii="Times New Roman" w:hAnsi="Times New Roman" w:eastAsia="宋体" w:cs="Times New Roman"/>
                <w:snapToGrid w:val="0"/>
                <w:color w:val="auto"/>
                <w:highlight w:val="none"/>
                <w:lang w:val="en-US" w:eastAsia="zh-CN"/>
              </w:rPr>
              <w:t>由</w:t>
            </w:r>
            <w:r>
              <w:rPr>
                <w:rFonts w:hint="eastAsia" w:ascii="Times New Roman" w:hAnsi="Times New Roman" w:eastAsia="宋体" w:cs="Times New Roman"/>
                <w:snapToGrid w:val="0"/>
                <w:color w:val="auto"/>
                <w:highlight w:val="none"/>
              </w:rPr>
              <w:t>驻场员进行补检出证，</w:t>
            </w:r>
            <w:r>
              <w:rPr>
                <w:rFonts w:hint="eastAsia" w:ascii="Times New Roman" w:hAnsi="Times New Roman" w:eastAsia="宋体" w:cs="Times New Roman"/>
                <w:snapToGrid w:val="0"/>
                <w:color w:val="auto"/>
                <w:highlight w:val="none"/>
                <w:lang w:val="en-US" w:eastAsia="zh-CN"/>
              </w:rPr>
              <w:t>屠宰场</w:t>
            </w:r>
            <w:r>
              <w:rPr>
                <w:rFonts w:hint="eastAsia" w:ascii="Times New Roman" w:hAnsi="Times New Roman" w:eastAsia="宋体" w:cs="Times New Roman"/>
                <w:snapToGrid w:val="0"/>
                <w:color w:val="auto"/>
                <w:highlight w:val="none"/>
              </w:rPr>
              <w:t>留存证件。</w:t>
            </w:r>
          </w:p>
        </w:tc>
        <w:tc>
          <w:tcPr>
            <w:tcW w:w="793" w:type="dxa"/>
            <w:shd w:val="clear" w:color="auto" w:fill="auto"/>
            <w:vAlign w:val="center"/>
          </w:tcPr>
          <w:p w14:paraId="201AA566">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符合</w:t>
            </w:r>
          </w:p>
        </w:tc>
      </w:tr>
      <w:tr w14:paraId="58B883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45" w:type="dxa"/>
            <w:shd w:val="clear" w:color="auto" w:fill="auto"/>
            <w:vAlign w:val="center"/>
          </w:tcPr>
          <w:p w14:paraId="7F259EBA">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Times New Roman" w:hAnsi="Times New Roman" w:eastAsia="宋体" w:cs="Times New Roman"/>
                <w:snapToGrid w:val="0"/>
                <w:color w:val="auto"/>
                <w:highlight w:val="none"/>
              </w:rPr>
            </w:pPr>
            <w:r>
              <w:rPr>
                <w:rFonts w:hint="eastAsia" w:ascii="Times New Roman" w:hAnsi="Times New Roman" w:eastAsia="宋体" w:cs="Times New Roman"/>
                <w:snapToGrid w:val="0"/>
                <w:color w:val="auto"/>
                <w:highlight w:val="none"/>
              </w:rPr>
              <w:t>病死动物和病害动物产品的无害化处理</w:t>
            </w:r>
          </w:p>
        </w:tc>
        <w:tc>
          <w:tcPr>
            <w:tcW w:w="4843" w:type="dxa"/>
            <w:shd w:val="clear" w:color="auto" w:fill="auto"/>
            <w:vAlign w:val="center"/>
          </w:tcPr>
          <w:p w14:paraId="131E9C13">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第二十四条从事动物饲养、屠宰、经营、隔离以及动物产品生产、经营、加工、贮藏等活动的单位和个人，应当依法履行病死动物、病害动物产品无害化处理责任，出现病死动物或者病害动物产品，应当及时向所在地县级人民政府农业农村主管部门报告，并按照国家有关规定及时处理。</w:t>
            </w:r>
          </w:p>
          <w:p w14:paraId="2D775D8D">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在水域、城市公共场所、乡村以及野外环境发现死亡动物的收集处理按照国家有关规定执行。</w:t>
            </w:r>
          </w:p>
          <w:p w14:paraId="04090984">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第二十五条市、县级人民政府应当根据全省动物和动物产品集中无害化处理场所建设规划和动物防疫、环境保护等规定，组织建设无害化处理场所</w:t>
            </w:r>
            <w:r>
              <w:rPr>
                <w:rFonts w:hint="eastAsia" w:cs="Times New Roman"/>
                <w:snapToGrid w:val="0"/>
                <w:color w:val="auto"/>
                <w:highlight w:val="none"/>
                <w:lang w:eastAsia="zh-CN"/>
              </w:rPr>
              <w:t>；</w:t>
            </w:r>
            <w:r>
              <w:rPr>
                <w:rFonts w:hint="eastAsia" w:cs="Times New Roman"/>
                <w:snapToGrid w:val="0"/>
                <w:color w:val="auto"/>
                <w:highlight w:val="none"/>
              </w:rPr>
              <w:t>依托动物饲养场、屠宰场，以及专业合作组织、畜牧兽医站等建设病死动物、病害动物产品收集网点、暂存设施。</w:t>
            </w:r>
          </w:p>
          <w:p w14:paraId="1081E7FE">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第二十六条无害化处理场所应当建立管理制度和操作规程，对病死动物、病害动物产品及时进行无害化处理，并建立台账，如实记录病死动物、病害动物产品的收集、登记、处理方式和处理后产品流向等信息。</w:t>
            </w:r>
          </w:p>
          <w:p w14:paraId="4F57B984">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无害化处理场所应当按照国家规定，配备具有定位系统、符合动物防疫要求的专用运输车辆，建设符合动物防疫要求的清洗消毒设施。</w:t>
            </w:r>
          </w:p>
          <w:p w14:paraId="3137B0A9">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cs="Times New Roman"/>
                <w:snapToGrid w:val="0"/>
                <w:color w:val="auto"/>
                <w:highlight w:val="none"/>
              </w:rPr>
            </w:pPr>
            <w:r>
              <w:rPr>
                <w:rFonts w:hint="eastAsia" w:cs="Times New Roman"/>
                <w:snapToGrid w:val="0"/>
                <w:color w:val="auto"/>
                <w:highlight w:val="none"/>
              </w:rPr>
              <w:t>无害化处理场所应当向社会公布地址、联系方式等信息，并向所在地县级人民政府农业农村主管部门定期报告病死动物、病害动物产品的无害化处理情况。</w:t>
            </w:r>
          </w:p>
        </w:tc>
        <w:tc>
          <w:tcPr>
            <w:tcW w:w="1825" w:type="dxa"/>
            <w:shd w:val="clear" w:color="auto" w:fill="auto"/>
            <w:vAlign w:val="center"/>
          </w:tcPr>
          <w:p w14:paraId="43B8B2B0">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本项目产生的病死牛、羊和检疫不合格品委托</w:t>
            </w:r>
            <w:r>
              <w:rPr>
                <w:rFonts w:hint="eastAsia" w:cs="Times New Roman"/>
                <w:color w:val="auto"/>
                <w:szCs w:val="24"/>
                <w:highlight w:val="none"/>
                <w:lang w:eastAsia="zh-CN"/>
              </w:rPr>
              <w:t>双</w:t>
            </w:r>
            <w:r>
              <w:rPr>
                <w:rFonts w:hint="eastAsia" w:cs="Times New Roman"/>
                <w:color w:val="auto"/>
                <w:szCs w:val="24"/>
                <w:highlight w:val="none"/>
                <w:lang w:val="en-US" w:eastAsia="zh-CN"/>
              </w:rPr>
              <w:t>鸭</w:t>
            </w:r>
            <w:r>
              <w:rPr>
                <w:rFonts w:hint="eastAsia" w:cs="Times New Roman"/>
                <w:color w:val="auto"/>
                <w:szCs w:val="24"/>
                <w:highlight w:val="none"/>
                <w:lang w:eastAsia="zh-CN"/>
              </w:rPr>
              <w:t>山百奥迈斯生物科技有限公司</w:t>
            </w:r>
            <w:r>
              <w:rPr>
                <w:rFonts w:hint="eastAsia" w:cs="Times New Roman"/>
                <w:color w:val="auto"/>
                <w:szCs w:val="24"/>
                <w:highlight w:val="none"/>
                <w:lang w:val="en-US" w:eastAsia="zh-CN"/>
              </w:rPr>
              <w:t>拉运处理</w:t>
            </w:r>
            <w:r>
              <w:rPr>
                <w:rFonts w:hint="eastAsia" w:cs="Times New Roman"/>
                <w:snapToGrid w:val="0"/>
                <w:color w:val="auto"/>
                <w:highlight w:val="none"/>
                <w:lang w:val="en-US" w:eastAsia="zh-CN"/>
              </w:rPr>
              <w:t>处置。</w:t>
            </w:r>
            <w:r>
              <w:rPr>
                <w:rFonts w:hint="eastAsia" w:cs="Times New Roman"/>
                <w:color w:val="auto"/>
                <w:szCs w:val="24"/>
                <w:highlight w:val="none"/>
                <w:lang w:val="en-US" w:eastAsia="zh-CN"/>
              </w:rPr>
              <w:t>无害化处理协议见附件5。</w:t>
            </w:r>
          </w:p>
        </w:tc>
        <w:tc>
          <w:tcPr>
            <w:tcW w:w="793" w:type="dxa"/>
            <w:shd w:val="clear" w:color="auto" w:fill="auto"/>
            <w:vAlign w:val="center"/>
          </w:tcPr>
          <w:p w14:paraId="48EA0E22">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eastAsia"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符合</w:t>
            </w:r>
          </w:p>
        </w:tc>
      </w:tr>
    </w:tbl>
    <w:p w14:paraId="1C53BB48">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1.4.3.3与</w:t>
      </w:r>
      <w:r>
        <w:rPr>
          <w:rFonts w:hint="eastAsia" w:ascii="Times New Roman" w:hAnsi="Times New Roman" w:eastAsia="宋体" w:cs="Times New Roman"/>
          <w:color w:val="auto"/>
          <w:highlight w:val="none"/>
        </w:rPr>
        <w:t>《病死畜禽和病害畜禽产品无害化处理管理办法》</w:t>
      </w:r>
      <w:r>
        <w:rPr>
          <w:rFonts w:hint="eastAsia" w:ascii="Times New Roman" w:hAnsi="Times New Roman" w:eastAsia="宋体" w:cs="Times New Roman"/>
          <w:color w:val="auto"/>
          <w:highlight w:val="none"/>
          <w:lang w:val="en-US" w:eastAsia="zh-CN"/>
        </w:rPr>
        <w:t>符合性分析</w:t>
      </w:r>
    </w:p>
    <w:p w14:paraId="5DB3B602">
      <w:pPr>
        <w:bidi w:val="0"/>
        <w:ind w:left="0" w:leftChars="0" w:firstLine="0" w:firstLineChars="0"/>
        <w:jc w:val="center"/>
        <w:rPr>
          <w:rFonts w:hint="default" w:eastAsia="宋体"/>
          <w:b/>
          <w:bCs/>
          <w:color w:val="auto"/>
          <w:highlight w:val="none"/>
          <w:lang w:val="en-US" w:eastAsia="zh-CN"/>
        </w:rPr>
      </w:pPr>
      <w:r>
        <w:rPr>
          <w:rFonts w:eastAsia="宋体" w:cs="Times New Roman"/>
          <w:b/>
          <w:bCs/>
          <w:color w:val="auto"/>
          <w:szCs w:val="24"/>
          <w:highlight w:val="none"/>
        </w:rPr>
        <w:t>表1</w:t>
      </w:r>
      <w:r>
        <w:rPr>
          <w:rFonts w:hint="eastAsia" w:cs="Times New Roman"/>
          <w:b/>
          <w:bCs/>
          <w:color w:val="auto"/>
          <w:szCs w:val="24"/>
          <w:highlight w:val="none"/>
          <w:lang w:val="en-US" w:eastAsia="zh-CN"/>
        </w:rPr>
        <w:t>.</w:t>
      </w:r>
      <w:r>
        <w:rPr>
          <w:rFonts w:eastAsia="宋体" w:cs="Times New Roman"/>
          <w:b/>
          <w:bCs/>
          <w:color w:val="auto"/>
          <w:szCs w:val="24"/>
          <w:highlight w:val="none"/>
        </w:rPr>
        <w:t>4-</w:t>
      </w:r>
      <w:r>
        <w:rPr>
          <w:rFonts w:hint="eastAsia" w:eastAsia="宋体" w:cs="Times New Roman"/>
          <w:b/>
          <w:bCs/>
          <w:color w:val="auto"/>
          <w:szCs w:val="24"/>
          <w:highlight w:val="none"/>
          <w:lang w:val="en-US" w:eastAsia="zh-CN"/>
        </w:rPr>
        <w:t>4</w:t>
      </w:r>
      <w:r>
        <w:rPr>
          <w:rFonts w:eastAsia="宋体" w:cs="Times New Roman"/>
          <w:b/>
          <w:bCs/>
          <w:color w:val="auto"/>
          <w:szCs w:val="24"/>
          <w:highlight w:val="none"/>
          <w:lang w:val="en-US"/>
        </w:rPr>
        <w:t xml:space="preserve">  </w:t>
      </w:r>
      <w:r>
        <w:rPr>
          <w:rFonts w:eastAsia="宋体" w:cs="Times New Roman"/>
          <w:b/>
          <w:bCs/>
          <w:color w:val="auto"/>
          <w:szCs w:val="24"/>
          <w:highlight w:val="none"/>
        </w:rPr>
        <w:t>与</w:t>
      </w:r>
      <w:r>
        <w:rPr>
          <w:rFonts w:hint="eastAsia" w:ascii="Times New Roman" w:hAnsi="Times New Roman" w:eastAsia="宋体" w:cs="Times New Roman"/>
          <w:b/>
          <w:bCs/>
          <w:color w:val="auto"/>
          <w:highlight w:val="none"/>
        </w:rPr>
        <w:t>《病死畜禽和病害畜禽产品无害化处理管理办法》</w:t>
      </w:r>
      <w:r>
        <w:rPr>
          <w:rFonts w:hint="eastAsia" w:ascii="Times New Roman" w:hAnsi="Times New Roman" w:eastAsia="宋体" w:cs="Times New Roman"/>
          <w:b/>
          <w:bCs/>
          <w:color w:val="auto"/>
          <w:highlight w:val="none"/>
          <w:lang w:val="en-US" w:eastAsia="zh-CN"/>
        </w:rPr>
        <w:t>符合性分析</w:t>
      </w:r>
    </w:p>
    <w:tbl>
      <w:tblPr>
        <w:tblStyle w:val="4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01"/>
        <w:gridCol w:w="4687"/>
        <w:gridCol w:w="1825"/>
        <w:gridCol w:w="793"/>
      </w:tblGrid>
      <w:tr w14:paraId="439872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01" w:type="dxa"/>
            <w:shd w:val="clear" w:color="auto" w:fill="auto"/>
            <w:vAlign w:val="center"/>
          </w:tcPr>
          <w:p w14:paraId="1C120EEB">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政策内容</w:t>
            </w:r>
          </w:p>
        </w:tc>
        <w:tc>
          <w:tcPr>
            <w:tcW w:w="4687" w:type="dxa"/>
            <w:shd w:val="clear" w:color="auto" w:fill="auto"/>
            <w:vAlign w:val="center"/>
          </w:tcPr>
          <w:p w14:paraId="1AE5617C">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要求</w:t>
            </w:r>
          </w:p>
        </w:tc>
        <w:tc>
          <w:tcPr>
            <w:tcW w:w="1825" w:type="dxa"/>
            <w:shd w:val="clear" w:color="auto" w:fill="auto"/>
            <w:vAlign w:val="center"/>
          </w:tcPr>
          <w:p w14:paraId="2B04D844">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符合性分析</w:t>
            </w:r>
          </w:p>
        </w:tc>
        <w:tc>
          <w:tcPr>
            <w:tcW w:w="793" w:type="dxa"/>
            <w:shd w:val="clear" w:color="auto" w:fill="auto"/>
            <w:vAlign w:val="center"/>
          </w:tcPr>
          <w:p w14:paraId="69F92ED0">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是否符合</w:t>
            </w:r>
          </w:p>
        </w:tc>
      </w:tr>
      <w:tr w14:paraId="45DDAC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01" w:type="dxa"/>
            <w:shd w:val="clear" w:color="auto" w:fill="auto"/>
            <w:vAlign w:val="center"/>
          </w:tcPr>
          <w:p w14:paraId="68BCBA35">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Times New Roman" w:hAnsi="Times New Roman" w:eastAsia="宋体" w:cs="Times New Roman"/>
                <w:snapToGrid w:val="0"/>
                <w:color w:val="auto"/>
                <w:highlight w:val="none"/>
                <w:lang w:val="zh-CN"/>
              </w:rPr>
            </w:pPr>
            <w:r>
              <w:rPr>
                <w:rFonts w:hint="eastAsia" w:ascii="Times New Roman" w:hAnsi="Times New Roman" w:eastAsia="宋体" w:cs="Times New Roman"/>
                <w:snapToGrid w:val="0"/>
                <w:color w:val="auto"/>
                <w:highlight w:val="none"/>
              </w:rPr>
              <w:t>《病死畜禽和病害畜禽产品无害化处理管理办法》（2022 年 7 月 1 日）（中华人民共和国农业农村部令 2022 年第 3号）</w:t>
            </w:r>
          </w:p>
        </w:tc>
        <w:tc>
          <w:tcPr>
            <w:tcW w:w="4687" w:type="dxa"/>
            <w:shd w:val="clear" w:color="auto" w:fill="auto"/>
            <w:vAlign w:val="center"/>
          </w:tcPr>
          <w:p w14:paraId="5B5834A6">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ascii="Times New Roman" w:hAnsi="Times New Roman" w:eastAsia="宋体" w:cs="Times New Roman"/>
                <w:snapToGrid w:val="0"/>
                <w:color w:val="auto"/>
                <w:highlight w:val="none"/>
              </w:rPr>
            </w:pPr>
            <w:r>
              <w:rPr>
                <w:rFonts w:hint="eastAsia" w:ascii="Times New Roman" w:hAnsi="Times New Roman" w:eastAsia="宋体" w:cs="Times New Roman"/>
                <w:b/>
                <w:bCs/>
                <w:snapToGrid w:val="0"/>
                <w:color w:val="auto"/>
                <w:highlight w:val="none"/>
                <w:lang w:val="en-US" w:eastAsia="zh-CN"/>
              </w:rPr>
              <w:t>第三条</w:t>
            </w:r>
            <w:r>
              <w:rPr>
                <w:rFonts w:hint="eastAsia" w:ascii="Times New Roman" w:hAnsi="Times New Roman" w:eastAsia="宋体" w:cs="Times New Roman"/>
                <w:snapToGrid w:val="0"/>
                <w:color w:val="auto"/>
                <w:highlight w:val="none"/>
                <w:lang w:val="en-US" w:eastAsia="zh-CN"/>
              </w:rPr>
              <w:t xml:space="preserve"> </w:t>
            </w:r>
            <w:r>
              <w:rPr>
                <w:rFonts w:hint="default" w:ascii="Times New Roman" w:hAnsi="Times New Roman" w:eastAsia="宋体" w:cs="Times New Roman"/>
                <w:snapToGrid w:val="0"/>
                <w:color w:val="auto"/>
                <w:highlight w:val="none"/>
              </w:rPr>
              <w:t>下列畜禽和畜禽产品应当进行无害化处理：</w:t>
            </w:r>
          </w:p>
          <w:p w14:paraId="473C215A">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（一）染疫或者疑似染疫死亡、因病死亡或者死因不明的；</w:t>
            </w:r>
          </w:p>
          <w:p w14:paraId="6E87647B">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（二）经检疫、检验可能危害人体或者动物健康的；</w:t>
            </w:r>
          </w:p>
          <w:p w14:paraId="22F77A20">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（三）因自然灾害、应激反应、物理挤压等因素死亡的；</w:t>
            </w:r>
          </w:p>
          <w:p w14:paraId="6822122C">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（四）屠宰过程中经肉品品质检验确认为不可食用的；</w:t>
            </w:r>
          </w:p>
          <w:p w14:paraId="247CB7A7">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（五）死胎、木乃伊胎等；</w:t>
            </w:r>
          </w:p>
          <w:p w14:paraId="6C451821">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（六）因动物疫病防控需要被扑杀或销毁的；</w:t>
            </w:r>
          </w:p>
          <w:p w14:paraId="5562A4FD">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（七）其他应当进行无害化处理的。</w:t>
            </w:r>
          </w:p>
          <w:p w14:paraId="5DA612E5">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ascii="Times New Roman" w:hAnsi="Times New Roman" w:eastAsia="宋体" w:cs="Times New Roman"/>
                <w:snapToGrid w:val="0"/>
                <w:color w:val="auto"/>
                <w:highlight w:val="none"/>
              </w:rPr>
            </w:pPr>
            <w:r>
              <w:rPr>
                <w:rFonts w:hint="eastAsia" w:ascii="Times New Roman" w:hAnsi="Times New Roman" w:eastAsia="宋体" w:cs="Times New Roman"/>
                <w:b/>
                <w:bCs/>
                <w:snapToGrid w:val="0"/>
                <w:color w:val="auto"/>
                <w:highlight w:val="none"/>
              </w:rPr>
              <w:t>第七条</w:t>
            </w:r>
            <w:r>
              <w:rPr>
                <w:rFonts w:hint="eastAsia" w:ascii="Times New Roman" w:hAnsi="Times New Roman" w:eastAsia="宋体" w:cs="Times New Roman"/>
                <w:snapToGrid w:val="0"/>
                <w:color w:val="auto"/>
                <w:highlight w:val="none"/>
              </w:rPr>
              <w:t xml:space="preserve">  病死畜禽和病害畜禽产品收集、无害化处理、资源化利用应当符合农业农村部相关技术规范, 并采取必要的防疫措施，防止传播动物疫病。</w:t>
            </w:r>
          </w:p>
          <w:p w14:paraId="04DD10D0">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eastAsia" w:ascii="Times New Roman" w:hAnsi="Times New Roman" w:eastAsia="宋体" w:cs="Times New Roman"/>
                <w:snapToGrid w:val="0"/>
                <w:color w:val="auto"/>
                <w:highlight w:val="none"/>
              </w:rPr>
            </w:pPr>
            <w:r>
              <w:rPr>
                <w:rFonts w:hint="eastAsia" w:ascii="Times New Roman" w:hAnsi="Times New Roman" w:eastAsia="宋体" w:cs="Times New Roman"/>
                <w:b/>
                <w:bCs/>
                <w:snapToGrid w:val="0"/>
                <w:color w:val="auto"/>
                <w:highlight w:val="none"/>
              </w:rPr>
              <w:t>第二十条</w:t>
            </w:r>
            <w:r>
              <w:rPr>
                <w:rFonts w:hint="eastAsia" w:ascii="Times New Roman" w:hAnsi="Times New Roman" w:eastAsia="宋体" w:cs="Times New Roman"/>
                <w:snapToGrid w:val="0"/>
                <w:color w:val="auto"/>
                <w:highlight w:val="none"/>
              </w:rPr>
              <w:t xml:space="preserve">  畜禽养殖场、养殖户、屠宰厂（场）、隔离场委托病死畜禽无害化处理场进行无害化处理的，应当签订委托合同，明确双方的权利、义务。</w:t>
            </w:r>
          </w:p>
        </w:tc>
        <w:tc>
          <w:tcPr>
            <w:tcW w:w="1825" w:type="dxa"/>
            <w:shd w:val="clear" w:color="auto" w:fill="auto"/>
            <w:vAlign w:val="center"/>
          </w:tcPr>
          <w:p w14:paraId="7B2B7EED">
            <w:pPr>
              <w:pStyle w:val="73"/>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hint="default" w:eastAsia="宋体" w:cs="Times New Roman"/>
                <w:snapToGrid w:val="0"/>
                <w:color w:val="auto"/>
                <w:highlight w:val="none"/>
                <w:lang w:val="en-US" w:eastAsia="zh-CN"/>
              </w:rPr>
            </w:pPr>
            <w:r>
              <w:rPr>
                <w:rFonts w:hint="eastAsia" w:ascii="Times New Roman" w:hAnsi="Times New Roman" w:eastAsia="宋体" w:cs="Times New Roman"/>
                <w:snapToGrid w:val="0"/>
                <w:color w:val="auto"/>
                <w:highlight w:val="none"/>
                <w:lang w:val="en-US" w:eastAsia="zh-CN"/>
              </w:rPr>
              <w:t xml:space="preserve"> 本项目产生的病死牛、羊和检疫不合格品委托</w:t>
            </w:r>
            <w:r>
              <w:rPr>
                <w:rFonts w:hint="eastAsia" w:cs="Times New Roman"/>
                <w:color w:val="auto"/>
                <w:szCs w:val="24"/>
                <w:highlight w:val="none"/>
                <w:lang w:eastAsia="zh-CN"/>
              </w:rPr>
              <w:t>双</w:t>
            </w:r>
            <w:r>
              <w:rPr>
                <w:rFonts w:hint="eastAsia" w:cs="Times New Roman"/>
                <w:color w:val="auto"/>
                <w:szCs w:val="24"/>
                <w:highlight w:val="none"/>
                <w:lang w:val="en-US" w:eastAsia="zh-CN"/>
              </w:rPr>
              <w:t>鸭</w:t>
            </w:r>
            <w:r>
              <w:rPr>
                <w:rFonts w:hint="eastAsia" w:cs="Times New Roman"/>
                <w:color w:val="auto"/>
                <w:szCs w:val="24"/>
                <w:highlight w:val="none"/>
                <w:lang w:eastAsia="zh-CN"/>
              </w:rPr>
              <w:t>山百奥迈斯生物科技有限公司</w:t>
            </w:r>
            <w:r>
              <w:rPr>
                <w:rFonts w:hint="eastAsia" w:cs="Times New Roman"/>
                <w:color w:val="auto"/>
                <w:szCs w:val="24"/>
                <w:highlight w:val="none"/>
                <w:lang w:val="en-US" w:eastAsia="zh-CN"/>
              </w:rPr>
              <w:t>拉运处理进行无害化拉运处理，无害化处理协议见附件5。</w:t>
            </w:r>
          </w:p>
        </w:tc>
        <w:tc>
          <w:tcPr>
            <w:tcW w:w="793" w:type="dxa"/>
            <w:shd w:val="clear" w:color="auto" w:fill="auto"/>
            <w:vAlign w:val="center"/>
          </w:tcPr>
          <w:p w14:paraId="5752E4E5">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snapToGrid w:val="0"/>
                <w:color w:val="auto"/>
                <w:sz w:val="21"/>
                <w:highlight w:val="none"/>
                <w:lang w:val="zh-CN"/>
              </w:rPr>
            </w:pPr>
            <w:r>
              <w:rPr>
                <w:rFonts w:cs="Times New Roman"/>
                <w:snapToGrid w:val="0"/>
                <w:color w:val="auto"/>
                <w:sz w:val="21"/>
                <w:highlight w:val="none"/>
                <w:lang w:val="zh-CN"/>
              </w:rPr>
              <w:t>符合</w:t>
            </w:r>
          </w:p>
        </w:tc>
      </w:tr>
    </w:tbl>
    <w:p w14:paraId="241199FC">
      <w:pPr>
        <w:pStyle w:val="5"/>
        <w:rPr>
          <w:color w:val="auto"/>
          <w:highlight w:val="none"/>
        </w:rPr>
      </w:pPr>
      <w:r>
        <w:rPr>
          <w:rFonts w:hint="eastAsia"/>
          <w:color w:val="auto"/>
          <w:highlight w:val="none"/>
          <w:lang w:val="en-US" w:eastAsia="zh-CN"/>
        </w:rPr>
        <w:t>1.4</w:t>
      </w:r>
      <w:r>
        <w:rPr>
          <w:rFonts w:hint="eastAsia"/>
          <w:color w:val="auto"/>
          <w:highlight w:val="none"/>
          <w:lang w:val="en-US" w:eastAsia="zh-CN"/>
        </w:rPr>
        <w:t>.3.4</w:t>
      </w:r>
      <w:r>
        <w:rPr>
          <w:rFonts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生态环境分区管控符合性分析</w:t>
      </w:r>
      <w:r>
        <w:rPr>
          <w:rFonts w:ascii="Times New Roman" w:hAnsi="Times New Roman" w:eastAsia="宋体" w:cs="Times New Roman"/>
          <w:color w:val="auto"/>
          <w:highlight w:val="none"/>
        </w:rPr>
        <w:t>”符</w:t>
      </w:r>
      <w:r>
        <w:rPr>
          <w:color w:val="auto"/>
          <w:highlight w:val="none"/>
        </w:rPr>
        <w:t>合性分析</w:t>
      </w:r>
    </w:p>
    <w:p w14:paraId="2A31544F">
      <w:pPr>
        <w:pStyle w:val="117"/>
        <w:rPr>
          <w:rFonts w:cs="Times New Roman"/>
          <w:color w:val="auto"/>
          <w:highlight w:val="none"/>
          <w:lang w:val="zh-CN"/>
        </w:rPr>
      </w:pPr>
      <w:r>
        <w:rPr>
          <w:rFonts w:cs="Times New Roman"/>
          <w:color w:val="auto"/>
          <w:highlight w:val="none"/>
          <w:lang w:val="zh-CN"/>
        </w:rPr>
        <w:t>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highlight w:val="none"/>
          <w:lang w:val="zh-CN"/>
        </w:rPr>
        <w:t>，</w:t>
      </w:r>
      <w:r>
        <w:rPr>
          <w:rFonts w:hint="eastAsia" w:cs="Times New Roman"/>
          <w:color w:val="auto"/>
          <w:szCs w:val="24"/>
          <w:highlight w:val="none"/>
          <w:lang w:val="en-US" w:eastAsia="zh-CN"/>
        </w:rPr>
        <w:t>与生态保护红线无交集，与自然保护地无交集，与饮用水水源保护区无交集，</w:t>
      </w:r>
      <w:r>
        <w:rPr>
          <w:rFonts w:cs="Times New Roman"/>
          <w:color w:val="auto"/>
          <w:highlight w:val="none"/>
        </w:rPr>
        <w:t>本项目所在区域为重点管控单元。</w:t>
      </w:r>
      <w:r>
        <w:rPr>
          <w:rFonts w:hint="default" w:ascii="Times New Roman" w:hAnsi="Times New Roman" w:eastAsia="宋体" w:cs="Times New Roman"/>
          <w:color w:val="auto"/>
          <w:kern w:val="0"/>
          <w:sz w:val="24"/>
          <w:szCs w:val="18"/>
          <w:highlight w:val="none"/>
          <w:lang w:val="en-US" w:eastAsia="zh-CN" w:bidi="ar-SA"/>
        </w:rPr>
        <w:t>根据《双鸭山市人民政府关于实施“三线一单”生态环境分区管控的意见》（双政规〔2021〕2号）</w:t>
      </w:r>
      <w:r>
        <w:rPr>
          <w:rFonts w:hint="default" w:ascii="Times New Roman" w:hAnsi="Times New Roman" w:eastAsia="宋体" w:cs="Times New Roman"/>
          <w:color w:val="auto"/>
          <w:sz w:val="24"/>
          <w:highlight w:val="none"/>
          <w:lang w:val="en-US" w:eastAsia="zh-CN"/>
        </w:rPr>
        <w:t>、《</w:t>
      </w:r>
      <w:bookmarkStart w:id="19" w:name="_Toc26531"/>
      <w:bookmarkStart w:id="20" w:name="_Toc12967"/>
      <w:r>
        <w:rPr>
          <w:rFonts w:hint="default" w:ascii="Times New Roman" w:hAnsi="Times New Roman" w:eastAsia="宋体" w:cs="Times New Roman"/>
          <w:color w:val="auto"/>
          <w:sz w:val="24"/>
          <w:highlight w:val="none"/>
          <w:lang w:val="en-US" w:eastAsia="zh-CN"/>
        </w:rPr>
        <w:t>双鸭山市生</w:t>
      </w:r>
      <w:r>
        <w:rPr>
          <w:rFonts w:hint="default" w:ascii="Times New Roman" w:hAnsi="Times New Roman" w:eastAsia="宋体" w:cs="Times New Roman"/>
          <w:snapToGrid w:val="0"/>
          <w:color w:val="auto"/>
          <w:sz w:val="24"/>
          <w:highlight w:val="none"/>
          <w:lang w:val="en-US" w:eastAsia="zh-CN"/>
        </w:rPr>
        <w:t>态环境准入清单</w:t>
      </w:r>
      <w:bookmarkEnd w:id="19"/>
      <w:bookmarkEnd w:id="20"/>
      <w:r>
        <w:rPr>
          <w:rFonts w:hint="default" w:ascii="Times New Roman" w:hAnsi="Times New Roman" w:eastAsia="宋体" w:cs="Times New Roman"/>
          <w:snapToGrid w:val="0"/>
          <w:color w:val="auto"/>
          <w:sz w:val="24"/>
          <w:highlight w:val="none"/>
          <w:lang w:val="en-US" w:eastAsia="zh-CN"/>
        </w:rPr>
        <w:t>（2023年）</w:t>
      </w:r>
      <w:r>
        <w:rPr>
          <w:rFonts w:hint="default" w:ascii="Times New Roman" w:hAnsi="Times New Roman" w:eastAsia="宋体" w:cs="Times New Roman"/>
          <w:snapToGrid w:val="0"/>
          <w:color w:val="auto"/>
          <w:sz w:val="24"/>
          <w:highlight w:val="none"/>
          <w:lang w:eastAsia="zh-CN"/>
        </w:rPr>
        <w:t>》</w:t>
      </w:r>
      <w:r>
        <w:rPr>
          <w:rFonts w:cs="Times New Roman"/>
          <w:color w:val="auto"/>
          <w:highlight w:val="none"/>
          <w:lang w:val="zh-CN"/>
        </w:rPr>
        <w:t>中要求，结合本项目生产工艺、排污状况和区域环境及环境质量现状进行调查的基础上，本工程与</w:t>
      </w:r>
      <w:r>
        <w:rPr>
          <w:rFonts w:hint="eastAsia" w:ascii="Times New Roman" w:hAnsi="Times New Roman" w:eastAsia="宋体" w:cs="Times New Roman"/>
          <w:snapToGrid w:val="0"/>
          <w:color w:val="auto"/>
          <w:sz w:val="24"/>
          <w:highlight w:val="none"/>
          <w:lang w:eastAsia="zh-CN"/>
        </w:rPr>
        <w:t>“</w:t>
      </w:r>
      <w:r>
        <w:rPr>
          <w:rFonts w:hint="eastAsia" w:ascii="Times New Roman" w:hAnsi="Times New Roman" w:eastAsia="宋体" w:cs="Times New Roman"/>
          <w:snapToGrid w:val="0"/>
          <w:color w:val="auto"/>
          <w:sz w:val="24"/>
          <w:highlight w:val="none"/>
          <w:lang w:val="en-US" w:eastAsia="zh-CN"/>
        </w:rPr>
        <w:t>生态环境分区管控符合性分析</w:t>
      </w:r>
      <w:r>
        <w:rPr>
          <w:rFonts w:hint="eastAsia" w:ascii="Times New Roman" w:hAnsi="Times New Roman" w:eastAsia="宋体" w:cs="Times New Roman"/>
          <w:snapToGrid w:val="0"/>
          <w:color w:val="auto"/>
          <w:sz w:val="24"/>
          <w:highlight w:val="none"/>
          <w:lang w:eastAsia="zh-CN"/>
        </w:rPr>
        <w:t>”</w:t>
      </w:r>
      <w:r>
        <w:rPr>
          <w:rFonts w:cs="Times New Roman"/>
          <w:color w:val="auto"/>
          <w:highlight w:val="none"/>
          <w:lang w:val="zh-CN"/>
        </w:rPr>
        <w:t>符合性情况如下。</w:t>
      </w:r>
    </w:p>
    <w:p w14:paraId="23E2C517">
      <w:pPr>
        <w:pStyle w:val="117"/>
        <w:tabs>
          <w:tab w:val="left" w:pos="6480"/>
        </w:tabs>
        <w:ind w:firstLine="482"/>
        <w:rPr>
          <w:rFonts w:hint="eastAsia" w:eastAsia="宋体" w:cs="Times New Roman"/>
          <w:b/>
          <w:bCs/>
          <w:color w:val="auto"/>
          <w:szCs w:val="24"/>
          <w:highlight w:val="none"/>
          <w:lang w:val="en-US" w:eastAsia="zh-CN"/>
        </w:rPr>
      </w:pPr>
      <w:r>
        <w:rPr>
          <w:rFonts w:cs="Times New Roman"/>
          <w:b/>
          <w:bCs/>
          <w:color w:val="auto"/>
          <w:highlight w:val="none"/>
          <w:lang w:val="zh-CN"/>
        </w:rPr>
        <w:t>1、生态保护红线</w:t>
      </w:r>
      <w:r>
        <w:rPr>
          <w:rFonts w:hint="eastAsia" w:cs="Times New Roman"/>
          <w:b/>
          <w:bCs/>
          <w:color w:val="auto"/>
          <w:highlight w:val="none"/>
          <w:lang w:val="en-US" w:eastAsia="zh-CN"/>
        </w:rPr>
        <w:t xml:space="preserve"> ，</w:t>
      </w:r>
    </w:p>
    <w:p w14:paraId="1E7F2AE5">
      <w:pPr>
        <w:pStyle w:val="66"/>
        <w:rPr>
          <w:rFonts w:eastAsia="宋体" w:cs="Times New Roman"/>
          <w:b/>
          <w:bCs/>
          <w:color w:val="auto"/>
          <w:szCs w:val="24"/>
          <w:highlight w:val="none"/>
        </w:rPr>
      </w:pPr>
      <w:r>
        <w:rPr>
          <w:rFonts w:eastAsia="宋体" w:cs="Times New Roman"/>
          <w:b/>
          <w:bCs/>
          <w:color w:val="auto"/>
          <w:szCs w:val="24"/>
          <w:highlight w:val="none"/>
        </w:rPr>
        <w:t>表1</w:t>
      </w:r>
      <w:r>
        <w:rPr>
          <w:rFonts w:hint="eastAsia" w:eastAsia="宋体" w:cs="Times New Roman"/>
          <w:b/>
          <w:bCs/>
          <w:color w:val="auto"/>
          <w:szCs w:val="24"/>
          <w:highlight w:val="none"/>
          <w:lang w:val="en-US" w:eastAsia="zh-CN"/>
        </w:rPr>
        <w:t>.</w:t>
      </w:r>
      <w:r>
        <w:rPr>
          <w:rFonts w:eastAsia="宋体" w:cs="Times New Roman"/>
          <w:b/>
          <w:bCs/>
          <w:color w:val="auto"/>
          <w:szCs w:val="24"/>
          <w:highlight w:val="none"/>
        </w:rPr>
        <w:t>4-</w:t>
      </w:r>
      <w:r>
        <w:rPr>
          <w:rFonts w:hint="eastAsia" w:eastAsia="宋体" w:cs="Times New Roman"/>
          <w:b/>
          <w:bCs/>
          <w:color w:val="auto"/>
          <w:szCs w:val="24"/>
          <w:highlight w:val="none"/>
          <w:lang w:val="en-US" w:eastAsia="zh-CN"/>
        </w:rPr>
        <w:t>5</w:t>
      </w:r>
      <w:r>
        <w:rPr>
          <w:rFonts w:eastAsia="宋体" w:cs="Times New Roman"/>
          <w:b/>
          <w:bCs/>
          <w:color w:val="auto"/>
          <w:szCs w:val="24"/>
          <w:highlight w:val="none"/>
        </w:rPr>
        <w:t xml:space="preserve">  生态保护红线控要求符合性分析</w:t>
      </w:r>
    </w:p>
    <w:tbl>
      <w:tblPr>
        <w:tblStyle w:val="47"/>
        <w:tblW w:w="504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44"/>
        <w:gridCol w:w="6655"/>
      </w:tblGrid>
      <w:tr w14:paraId="4C03AA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7" w:hRule="atLeast"/>
        </w:trPr>
        <w:tc>
          <w:tcPr>
            <w:tcW w:w="1130" w:type="pct"/>
            <w:vAlign w:val="center"/>
          </w:tcPr>
          <w:p w14:paraId="0A92DB9B">
            <w:pPr>
              <w:spacing w:line="360" w:lineRule="exact"/>
              <w:ind w:firstLine="0" w:firstLineChars="0"/>
              <w:jc w:val="center"/>
              <w:rPr>
                <w:rFonts w:cs="Times New Roman"/>
                <w:color w:val="auto"/>
                <w:sz w:val="21"/>
                <w:szCs w:val="21"/>
                <w:highlight w:val="none"/>
                <w:lang w:bidi="ar"/>
              </w:rPr>
            </w:pPr>
            <w:r>
              <w:rPr>
                <w:rFonts w:cs="Times New Roman"/>
                <w:color w:val="auto"/>
                <w:sz w:val="21"/>
                <w:szCs w:val="21"/>
                <w:highlight w:val="none"/>
              </w:rPr>
              <w:t>管控单元类别</w:t>
            </w:r>
          </w:p>
        </w:tc>
        <w:tc>
          <w:tcPr>
            <w:tcW w:w="3869" w:type="pct"/>
            <w:vAlign w:val="center"/>
          </w:tcPr>
          <w:p w14:paraId="1BA257C9">
            <w:pPr>
              <w:spacing w:line="360" w:lineRule="exact"/>
              <w:ind w:firstLine="0" w:firstLineChars="0"/>
              <w:jc w:val="center"/>
              <w:rPr>
                <w:rFonts w:cs="Times New Roman"/>
                <w:color w:val="auto"/>
                <w:sz w:val="21"/>
                <w:szCs w:val="21"/>
                <w:highlight w:val="none"/>
                <w:lang w:bidi="ar"/>
              </w:rPr>
            </w:pPr>
            <w:r>
              <w:rPr>
                <w:rFonts w:cs="Times New Roman"/>
                <w:color w:val="auto"/>
                <w:sz w:val="21"/>
                <w:szCs w:val="21"/>
                <w:highlight w:val="none"/>
              </w:rPr>
              <w:t>一般管控区</w:t>
            </w:r>
          </w:p>
        </w:tc>
      </w:tr>
      <w:tr w14:paraId="6BBAFC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3" w:hRule="atLeast"/>
        </w:trPr>
        <w:tc>
          <w:tcPr>
            <w:tcW w:w="1130" w:type="pct"/>
            <w:vAlign w:val="center"/>
          </w:tcPr>
          <w:p w14:paraId="53366F0B">
            <w:pPr>
              <w:spacing w:line="360" w:lineRule="exact"/>
              <w:ind w:firstLine="0" w:firstLineChars="0"/>
              <w:jc w:val="center"/>
              <w:rPr>
                <w:rFonts w:cs="Times New Roman"/>
                <w:color w:val="auto"/>
                <w:sz w:val="21"/>
                <w:szCs w:val="21"/>
                <w:highlight w:val="none"/>
                <w:lang w:bidi="ar"/>
              </w:rPr>
            </w:pPr>
            <w:r>
              <w:rPr>
                <w:rFonts w:cs="Times New Roman"/>
                <w:color w:val="auto"/>
                <w:sz w:val="21"/>
                <w:szCs w:val="21"/>
                <w:highlight w:val="none"/>
              </w:rPr>
              <w:t>管控要求</w:t>
            </w:r>
          </w:p>
        </w:tc>
        <w:tc>
          <w:tcPr>
            <w:tcW w:w="3869" w:type="pct"/>
            <w:vAlign w:val="center"/>
          </w:tcPr>
          <w:p w14:paraId="73EF4607">
            <w:pPr>
              <w:spacing w:line="360" w:lineRule="exact"/>
              <w:ind w:firstLine="420"/>
              <w:rPr>
                <w:rFonts w:cs="Times New Roman"/>
                <w:color w:val="auto"/>
                <w:sz w:val="21"/>
                <w:szCs w:val="21"/>
                <w:highlight w:val="none"/>
                <w:lang w:bidi="ar"/>
              </w:rPr>
            </w:pPr>
            <w:r>
              <w:rPr>
                <w:rFonts w:cs="Times New Roman"/>
                <w:color w:val="auto"/>
                <w:sz w:val="21"/>
                <w:szCs w:val="21"/>
                <w:highlight w:val="none"/>
              </w:rPr>
              <w:t>生态空间包括生态保护红线和一般生态空间，生态保护红线及一般生态空间均属于优先保护区，其余区域属于一般管控区。</w:t>
            </w:r>
          </w:p>
        </w:tc>
      </w:tr>
      <w:tr w14:paraId="445815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86" w:hRule="atLeast"/>
        </w:trPr>
        <w:tc>
          <w:tcPr>
            <w:tcW w:w="1130" w:type="pct"/>
            <w:vAlign w:val="center"/>
          </w:tcPr>
          <w:p w14:paraId="1FBE2D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符合性分析</w:t>
            </w:r>
          </w:p>
        </w:tc>
        <w:tc>
          <w:tcPr>
            <w:tcW w:w="3869" w:type="pct"/>
            <w:vAlign w:val="center"/>
          </w:tcPr>
          <w:p w14:paraId="4EB857FB">
            <w:pPr>
              <w:spacing w:line="360" w:lineRule="exact"/>
              <w:ind w:firstLine="420"/>
              <w:rPr>
                <w:rFonts w:cs="Times New Roman"/>
                <w:color w:val="auto"/>
                <w:sz w:val="21"/>
                <w:szCs w:val="21"/>
                <w:highlight w:val="none"/>
              </w:rPr>
            </w:pPr>
            <w:r>
              <w:rPr>
                <w:rFonts w:cs="Times New Roman"/>
                <w:color w:val="auto"/>
                <w:sz w:val="21"/>
                <w:szCs w:val="21"/>
                <w:highlight w:val="none"/>
              </w:rPr>
              <w:t>项目</w:t>
            </w:r>
            <w:r>
              <w:rPr>
                <w:rFonts w:hint="eastAsia" w:ascii="Times New Roman" w:hAnsi="Times New Roman" w:cs="Times New Roman"/>
                <w:color w:val="auto"/>
                <w:sz w:val="21"/>
                <w:szCs w:val="21"/>
                <w:highlight w:val="none"/>
                <w:lang w:val="en-US" w:eastAsia="zh-CN"/>
              </w:rPr>
              <w:t>位于黑龙江省双鸭山市岭东区长胜乡东兴村，所</w:t>
            </w:r>
            <w:r>
              <w:rPr>
                <w:rFonts w:cs="Times New Roman"/>
                <w:color w:val="auto"/>
                <w:sz w:val="21"/>
                <w:szCs w:val="21"/>
                <w:highlight w:val="none"/>
              </w:rPr>
              <w:t>在区域不属于生态空间和优先保护区，属于</w:t>
            </w:r>
            <w:r>
              <w:rPr>
                <w:rFonts w:hint="eastAsia" w:cs="Times New Roman"/>
                <w:color w:val="auto"/>
                <w:sz w:val="21"/>
                <w:szCs w:val="21"/>
                <w:highlight w:val="none"/>
                <w:lang w:val="en-US" w:eastAsia="zh-CN"/>
              </w:rPr>
              <w:t>重点管控区</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不在生态保护红线范围内</w:t>
            </w:r>
            <w:r>
              <w:rPr>
                <w:rFonts w:cs="Times New Roman"/>
                <w:color w:val="auto"/>
                <w:sz w:val="21"/>
                <w:szCs w:val="21"/>
                <w:highlight w:val="none"/>
              </w:rPr>
              <w:t>。</w:t>
            </w:r>
          </w:p>
        </w:tc>
      </w:tr>
    </w:tbl>
    <w:p w14:paraId="78F5E9E3">
      <w:pPr>
        <w:pStyle w:val="117"/>
        <w:numPr>
          <w:ilvl w:val="0"/>
          <w:numId w:val="5"/>
        </w:numPr>
        <w:ind w:firstLine="482"/>
        <w:rPr>
          <w:rFonts w:cs="Times New Roman"/>
          <w:b/>
          <w:bCs/>
          <w:color w:val="auto"/>
          <w:highlight w:val="none"/>
          <w:lang w:val="zh-CN"/>
        </w:rPr>
      </w:pPr>
      <w:r>
        <w:rPr>
          <w:rFonts w:cs="Times New Roman"/>
          <w:b/>
          <w:bCs/>
          <w:color w:val="auto"/>
          <w:highlight w:val="none"/>
          <w:lang w:val="zh-CN"/>
        </w:rPr>
        <w:t>环境质量底线</w:t>
      </w:r>
    </w:p>
    <w:p w14:paraId="3A728CB5">
      <w:pPr>
        <w:pStyle w:val="117"/>
        <w:rPr>
          <w:rFonts w:hint="default" w:eastAsia="宋体" w:cs="Times New Roman"/>
          <w:color w:val="auto"/>
          <w:highlight w:val="none"/>
          <w:lang w:val="en-US" w:eastAsia="zh-CN"/>
        </w:rPr>
      </w:pPr>
      <w:r>
        <w:rPr>
          <w:rFonts w:hint="eastAsia" w:eastAsia="宋体" w:cs="Times New Roman"/>
          <w:color w:val="auto"/>
          <w:highlight w:val="none"/>
          <w:lang w:val="en-US" w:eastAsia="zh-CN"/>
        </w:rPr>
        <w:t>本项目</w:t>
      </w:r>
      <w:r>
        <w:rPr>
          <w:rFonts w:hint="eastAsia" w:cs="Times New Roman"/>
          <w:color w:val="auto"/>
          <w:highlight w:val="none"/>
          <w:lang w:val="en-US" w:eastAsia="zh-CN"/>
        </w:rPr>
        <w:t>水环境质量底线为一般管控区，</w:t>
      </w:r>
      <w:r>
        <w:rPr>
          <w:rFonts w:hint="eastAsia" w:eastAsia="宋体" w:cs="Times New Roman"/>
          <w:color w:val="auto"/>
          <w:highlight w:val="none"/>
          <w:lang w:val="en-US" w:eastAsia="zh-CN"/>
        </w:rPr>
        <w:t>大气环境质量底线为大气环境</w:t>
      </w:r>
      <w:r>
        <w:rPr>
          <w:rFonts w:hint="eastAsia" w:cs="Times New Roman"/>
          <w:color w:val="auto"/>
          <w:highlight w:val="none"/>
          <w:lang w:val="en-US" w:eastAsia="zh-CN"/>
        </w:rPr>
        <w:t>布局敏感重点管控区及大气环境受体敏感重点管控区</w:t>
      </w:r>
      <w:r>
        <w:rPr>
          <w:rFonts w:hint="eastAsia" w:eastAsia="宋体" w:cs="Times New Roman"/>
          <w:color w:val="auto"/>
          <w:highlight w:val="none"/>
          <w:lang w:val="en-US" w:eastAsia="zh-CN"/>
        </w:rPr>
        <w:t>。</w:t>
      </w:r>
    </w:p>
    <w:p w14:paraId="1D64D351">
      <w:pPr>
        <w:pStyle w:val="117"/>
        <w:rPr>
          <w:rFonts w:hint="eastAsia" w:eastAsia="宋体" w:cs="Times New Roman"/>
          <w:color w:val="auto"/>
          <w:highlight w:val="none"/>
          <w:lang w:val="en-US" w:eastAsia="zh-CN"/>
        </w:rPr>
      </w:pPr>
      <w:r>
        <w:rPr>
          <w:rFonts w:hint="eastAsia" w:eastAsia="宋体" w:cs="Times New Roman"/>
          <w:color w:val="auto"/>
          <w:highlight w:val="none"/>
          <w:lang w:val="en-US" w:eastAsia="zh-CN"/>
        </w:rPr>
        <w:t>本项目运营期各类污染物经环境保护措施治理后均可达标排放，经预测，对区域环境造成的不利影响较小，不会改变区域环境质量现状，因此，符合环境质量底线要求。</w:t>
      </w:r>
    </w:p>
    <w:p w14:paraId="60E7C8A0">
      <w:pPr>
        <w:pStyle w:val="117"/>
        <w:numPr>
          <w:ilvl w:val="0"/>
          <w:numId w:val="5"/>
        </w:numPr>
        <w:ind w:firstLine="482"/>
        <w:rPr>
          <w:rFonts w:cs="Times New Roman"/>
          <w:b/>
          <w:bCs/>
          <w:color w:val="auto"/>
          <w:sz w:val="21"/>
          <w:szCs w:val="21"/>
          <w:highlight w:val="none"/>
        </w:rPr>
      </w:pPr>
      <w:r>
        <w:rPr>
          <w:rFonts w:cs="Times New Roman"/>
          <w:b/>
          <w:bCs/>
          <w:color w:val="auto"/>
          <w:highlight w:val="none"/>
          <w:lang w:val="zh-CN"/>
        </w:rPr>
        <w:t>资源利用上线</w:t>
      </w:r>
    </w:p>
    <w:p w14:paraId="5D9244D1">
      <w:pPr>
        <w:wordWrap/>
        <w:bidi w:val="0"/>
        <w:adjustRightInd w:val="0"/>
        <w:snapToGrid w:val="0"/>
        <w:spacing w:line="520" w:lineRule="exact"/>
        <w:ind w:firstLine="480" w:firstLineChars="200"/>
        <w:rPr>
          <w:rFonts w:cs="Times New Roman"/>
          <w:color w:val="auto"/>
          <w:sz w:val="21"/>
          <w:szCs w:val="21"/>
          <w:highlight w:val="none"/>
        </w:rPr>
      </w:pPr>
      <w:r>
        <w:rPr>
          <w:rFonts w:hint="default" w:ascii="宋体" w:hAnsi="宋体" w:eastAsia="宋体" w:cs="宋体"/>
          <w:color w:val="auto"/>
          <w:sz w:val="24"/>
          <w:highlight w:val="none"/>
          <w:lang w:val="en-US" w:eastAsia="zh-CN"/>
        </w:rPr>
        <w:t>本项目资源</w:t>
      </w:r>
      <w:r>
        <w:rPr>
          <w:rFonts w:hint="eastAsia" w:ascii="宋体" w:hAnsi="宋体" w:cs="宋体"/>
          <w:color w:val="auto"/>
          <w:sz w:val="24"/>
          <w:highlight w:val="none"/>
          <w:lang w:val="en-US" w:eastAsia="zh-CN"/>
        </w:rPr>
        <w:t>利用上线为高污染燃料禁燃区</w:t>
      </w:r>
      <w:r>
        <w:rPr>
          <w:rFonts w:hint="default" w:ascii="宋体" w:hAnsi="宋体" w:eastAsia="宋体" w:cs="宋体"/>
          <w:color w:val="auto"/>
          <w:sz w:val="24"/>
          <w:highlight w:val="none"/>
          <w:lang w:val="en-US" w:eastAsia="zh-CN"/>
        </w:rPr>
        <w:t>。</w:t>
      </w:r>
      <w:r>
        <w:rPr>
          <w:rFonts w:hint="eastAsia" w:ascii="宋体" w:hAnsi="宋体" w:eastAsia="宋体" w:cs="宋体"/>
          <w:color w:val="auto"/>
          <w:sz w:val="24"/>
          <w:highlight w:val="none"/>
          <w:lang w:val="en-US" w:eastAsia="zh-CN"/>
        </w:rPr>
        <w:t>本项目运营期</w:t>
      </w:r>
      <w:r>
        <w:rPr>
          <w:rFonts w:hint="eastAsia" w:ascii="宋体" w:hAnsi="宋体" w:cs="宋体"/>
          <w:color w:val="auto"/>
          <w:sz w:val="24"/>
          <w:highlight w:val="none"/>
          <w:lang w:val="en-US" w:eastAsia="zh-CN"/>
        </w:rPr>
        <w:t>仅供暖需要热量，来源于市政热网，</w:t>
      </w:r>
      <w:r>
        <w:rPr>
          <w:rFonts w:hint="eastAsia" w:cs="Times New Roman"/>
          <w:color w:val="auto"/>
          <w:szCs w:val="24"/>
          <w:highlight w:val="none"/>
          <w:lang w:val="en-US" w:eastAsia="zh-CN"/>
        </w:rPr>
        <w:t>职工淋浴洗漱期间使用热水来自30kw电锅炉，无废气污染物产生。故本项目</w:t>
      </w:r>
      <w:r>
        <w:rPr>
          <w:rFonts w:hint="eastAsia" w:ascii="宋体" w:hAnsi="宋体" w:cs="宋体"/>
          <w:color w:val="auto"/>
          <w:sz w:val="24"/>
          <w:highlight w:val="none"/>
          <w:lang w:val="en-US" w:eastAsia="zh-CN"/>
        </w:rPr>
        <w:t>不涉及使用高污染燃料，项目生产无需用热。</w:t>
      </w:r>
      <w:r>
        <w:rPr>
          <w:rFonts w:hint="default" w:ascii="宋体" w:hAnsi="宋体" w:eastAsia="宋体" w:cs="宋体"/>
          <w:color w:val="auto"/>
          <w:sz w:val="24"/>
          <w:highlight w:val="none"/>
          <w:lang w:val="en-US" w:eastAsia="zh-CN"/>
        </w:rPr>
        <w:t>用水来自市政供水</w:t>
      </w:r>
      <w:r>
        <w:rPr>
          <w:rFonts w:hint="eastAsia" w:ascii="宋体" w:hAnsi="宋体" w:eastAsia="宋体" w:cs="宋体"/>
          <w:color w:val="auto"/>
          <w:sz w:val="24"/>
          <w:highlight w:val="none"/>
          <w:lang w:val="en-US" w:eastAsia="zh-CN"/>
        </w:rPr>
        <w:t>。综上，本项目符合资源利用上线要求。</w:t>
      </w:r>
    </w:p>
    <w:p w14:paraId="288C2185">
      <w:pPr>
        <w:pStyle w:val="117"/>
        <w:numPr>
          <w:ilvl w:val="0"/>
          <w:numId w:val="5"/>
        </w:numPr>
        <w:ind w:firstLine="482"/>
        <w:rPr>
          <w:rFonts w:cs="Times New Roman"/>
          <w:b/>
          <w:bCs/>
          <w:color w:val="auto"/>
          <w:szCs w:val="24"/>
          <w:highlight w:val="none"/>
        </w:rPr>
      </w:pPr>
      <w:r>
        <w:rPr>
          <w:rFonts w:cs="Times New Roman"/>
          <w:b/>
          <w:bCs/>
          <w:color w:val="auto"/>
          <w:highlight w:val="none"/>
          <w:lang w:val="zh-CN"/>
        </w:rPr>
        <w:t>生态环境准入清单</w:t>
      </w:r>
    </w:p>
    <w:p w14:paraId="6B5E27A7">
      <w:pPr>
        <w:autoSpaceDE w:val="0"/>
        <w:autoSpaceDN w:val="0"/>
        <w:spacing w:before="156" w:beforeLines="50" w:line="240" w:lineRule="auto"/>
        <w:ind w:firstLine="482"/>
        <w:jc w:val="center"/>
        <w:rPr>
          <w:rFonts w:cs="Times New Roman"/>
          <w:b/>
          <w:bCs/>
          <w:color w:val="auto"/>
          <w:szCs w:val="24"/>
          <w:highlight w:val="none"/>
        </w:rPr>
      </w:pPr>
      <w:r>
        <w:rPr>
          <w:rFonts w:cs="Times New Roman"/>
          <w:b/>
          <w:bCs/>
          <w:color w:val="auto"/>
          <w:szCs w:val="24"/>
          <w:highlight w:val="none"/>
        </w:rPr>
        <w:t>表1</w:t>
      </w:r>
      <w:r>
        <w:rPr>
          <w:rFonts w:hint="eastAsia" w:cs="Times New Roman"/>
          <w:b/>
          <w:bCs/>
          <w:color w:val="auto"/>
          <w:szCs w:val="24"/>
          <w:highlight w:val="none"/>
          <w:lang w:val="en-US" w:eastAsia="zh-CN"/>
        </w:rPr>
        <w:t>.</w:t>
      </w:r>
      <w:r>
        <w:rPr>
          <w:rFonts w:cs="Times New Roman"/>
          <w:b/>
          <w:bCs/>
          <w:color w:val="auto"/>
          <w:szCs w:val="24"/>
          <w:highlight w:val="none"/>
        </w:rPr>
        <w:t>4-</w:t>
      </w:r>
      <w:r>
        <w:rPr>
          <w:rFonts w:hint="eastAsia" w:cs="Times New Roman"/>
          <w:b/>
          <w:bCs/>
          <w:color w:val="auto"/>
          <w:szCs w:val="24"/>
          <w:highlight w:val="none"/>
          <w:lang w:val="en-US" w:eastAsia="zh-CN"/>
        </w:rPr>
        <w:t>6</w:t>
      </w:r>
      <w:r>
        <w:rPr>
          <w:rFonts w:cs="Times New Roman"/>
          <w:b/>
          <w:bCs/>
          <w:color w:val="auto"/>
          <w:szCs w:val="24"/>
          <w:highlight w:val="none"/>
        </w:rPr>
        <w:t xml:space="preserve">  生态环境准入清单管控要求符合性分析</w:t>
      </w:r>
    </w:p>
    <w:tbl>
      <w:tblPr>
        <w:tblStyle w:val="47"/>
        <w:tblW w:w="502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57"/>
        <w:gridCol w:w="724"/>
        <w:gridCol w:w="695"/>
        <w:gridCol w:w="637"/>
        <w:gridCol w:w="4221"/>
        <w:gridCol w:w="1530"/>
      </w:tblGrid>
      <w:tr w14:paraId="4BFBB7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41" w:type="pct"/>
            <w:vAlign w:val="center"/>
          </w:tcPr>
          <w:p w14:paraId="77A8D32C">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管控单元编码</w:t>
            </w:r>
          </w:p>
        </w:tc>
        <w:tc>
          <w:tcPr>
            <w:tcW w:w="422" w:type="pct"/>
            <w:vAlign w:val="center"/>
          </w:tcPr>
          <w:p w14:paraId="5F0BE63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环境管控单元名称</w:t>
            </w:r>
          </w:p>
        </w:tc>
        <w:tc>
          <w:tcPr>
            <w:tcW w:w="405" w:type="pct"/>
            <w:vAlign w:val="center"/>
          </w:tcPr>
          <w:p w14:paraId="62DD0E5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管控单元类别</w:t>
            </w:r>
          </w:p>
        </w:tc>
        <w:tc>
          <w:tcPr>
            <w:tcW w:w="2836" w:type="pct"/>
            <w:gridSpan w:val="2"/>
            <w:vAlign w:val="center"/>
          </w:tcPr>
          <w:p w14:paraId="54C68AC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管控要求</w:t>
            </w:r>
          </w:p>
        </w:tc>
        <w:tc>
          <w:tcPr>
            <w:tcW w:w="893" w:type="pct"/>
            <w:vAlign w:val="center"/>
          </w:tcPr>
          <w:p w14:paraId="69C35901">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符合性</w:t>
            </w:r>
          </w:p>
        </w:tc>
      </w:tr>
      <w:tr w14:paraId="7B0546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60" w:hRule="atLeast"/>
          <w:jc w:val="center"/>
        </w:trPr>
        <w:tc>
          <w:tcPr>
            <w:tcW w:w="441" w:type="pct"/>
            <w:vMerge w:val="restart"/>
            <w:vAlign w:val="center"/>
          </w:tcPr>
          <w:p w14:paraId="13C02881">
            <w:pPr>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cs="Times New Roman"/>
                <w:snapToGrid w:val="0"/>
                <w:color w:val="auto"/>
                <w:kern w:val="0"/>
                <w:sz w:val="21"/>
                <w:szCs w:val="21"/>
                <w:highlight w:val="none"/>
              </w:rPr>
              <w:t>ZH</w:t>
            </w:r>
            <w:r>
              <w:rPr>
                <w:rFonts w:hint="eastAsia" w:cs="Times New Roman"/>
                <w:snapToGrid w:val="0"/>
                <w:color w:val="auto"/>
                <w:kern w:val="0"/>
                <w:sz w:val="21"/>
                <w:szCs w:val="21"/>
                <w:highlight w:val="none"/>
                <w:lang w:val="en-US" w:eastAsia="zh-CN"/>
              </w:rPr>
              <w:t>23050320005</w:t>
            </w:r>
          </w:p>
        </w:tc>
        <w:tc>
          <w:tcPr>
            <w:tcW w:w="422" w:type="pct"/>
            <w:vMerge w:val="restart"/>
            <w:vAlign w:val="center"/>
          </w:tcPr>
          <w:p w14:paraId="5340672F">
            <w:pPr>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岭东区城镇空间</w:t>
            </w:r>
          </w:p>
        </w:tc>
        <w:tc>
          <w:tcPr>
            <w:tcW w:w="405" w:type="pct"/>
            <w:vMerge w:val="restart"/>
            <w:vAlign w:val="center"/>
          </w:tcPr>
          <w:p w14:paraId="2C38CE0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重点管控单元</w:t>
            </w:r>
          </w:p>
        </w:tc>
        <w:tc>
          <w:tcPr>
            <w:tcW w:w="371" w:type="pct"/>
            <w:vAlign w:val="center"/>
          </w:tcPr>
          <w:p w14:paraId="736BE2D3">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空间布局约束</w:t>
            </w:r>
          </w:p>
        </w:tc>
        <w:tc>
          <w:tcPr>
            <w:tcW w:w="2464" w:type="pct"/>
            <w:vAlign w:val="center"/>
          </w:tcPr>
          <w:p w14:paraId="246CF3DD">
            <w:pPr>
              <w:spacing w:line="360" w:lineRule="exact"/>
              <w:ind w:firstLine="0" w:firstLineChars="0"/>
              <w:jc w:val="center"/>
              <w:rPr>
                <w:rFonts w:hint="eastAsia" w:ascii="Times New Roman" w:hAnsi="Times New Roman" w:cs="Times New Roman"/>
                <w:snapToGrid w:val="0"/>
                <w:color w:val="auto"/>
                <w:kern w:val="0"/>
                <w:sz w:val="21"/>
                <w:szCs w:val="21"/>
                <w:highlight w:val="none"/>
                <w:lang w:eastAsia="zh-CN"/>
              </w:rPr>
            </w:pPr>
            <w:r>
              <w:rPr>
                <w:rFonts w:hint="eastAsia" w:ascii="Times New Roman" w:hAnsi="Times New Roman" w:cs="Times New Roman"/>
                <w:snapToGrid w:val="0"/>
                <w:color w:val="auto"/>
                <w:kern w:val="0"/>
                <w:sz w:val="21"/>
                <w:szCs w:val="21"/>
                <w:highlight w:val="none"/>
              </w:rPr>
              <w:t>1.执行:1)严禁在人口密集区新建危险化学品生产项目，城镇人口密集区危险化学品生产企业应搬迁改造。2)禁止在城镇居民区、文化教育科学研究区等人口集中区域建设畜禽养殖场、养殖小区。”2.大气环境布局敏感重点管控区同时执行“禁止在居民区、学校、医疗和养老机构等周边新建有色金属冶炼、焦化等行业企业。</w:t>
            </w:r>
            <w:r>
              <w:rPr>
                <w:rFonts w:hint="eastAsia" w:ascii="Times New Roman" w:hAnsi="Times New Roman" w:cs="Times New Roman"/>
                <w:snapToGrid w:val="0"/>
                <w:color w:val="auto"/>
                <w:kern w:val="0"/>
                <w:sz w:val="21"/>
                <w:szCs w:val="21"/>
                <w:highlight w:val="none"/>
                <w:lang w:eastAsia="zh-CN"/>
              </w:rPr>
              <w:t>”</w:t>
            </w:r>
          </w:p>
        </w:tc>
        <w:tc>
          <w:tcPr>
            <w:tcW w:w="893" w:type="pct"/>
            <w:vMerge w:val="restart"/>
            <w:vAlign w:val="center"/>
          </w:tcPr>
          <w:p w14:paraId="0238B6FC">
            <w:pPr>
              <w:spacing w:line="360" w:lineRule="exact"/>
              <w:ind w:firstLine="0" w:firstLineChars="0"/>
              <w:jc w:val="center"/>
              <w:rPr>
                <w:rFonts w:hint="default" w:cs="Times New Roman"/>
                <w:snapToGrid w:val="0"/>
                <w:color w:val="auto"/>
                <w:kern w:val="0"/>
                <w:sz w:val="21"/>
                <w:szCs w:val="21"/>
                <w:highlight w:val="none"/>
                <w:lang w:val="en-US"/>
              </w:rPr>
            </w:pPr>
            <w:r>
              <w:rPr>
                <w:rFonts w:cs="Times New Roman"/>
                <w:snapToGrid w:val="0"/>
                <w:color w:val="auto"/>
                <w:kern w:val="0"/>
                <w:sz w:val="21"/>
                <w:szCs w:val="21"/>
                <w:highlight w:val="none"/>
              </w:rPr>
              <w:t>本项目为牛、羊屠宰项目，不属于</w:t>
            </w:r>
            <w:r>
              <w:rPr>
                <w:rFonts w:hint="eastAsia" w:cs="Times New Roman"/>
                <w:snapToGrid w:val="0"/>
                <w:color w:val="auto"/>
                <w:kern w:val="0"/>
                <w:sz w:val="21"/>
                <w:szCs w:val="21"/>
                <w:highlight w:val="none"/>
                <w:lang w:val="en-US" w:eastAsia="zh-CN"/>
              </w:rPr>
              <w:t>危险化学品生产、养殖类、</w:t>
            </w:r>
            <w:r>
              <w:rPr>
                <w:rFonts w:hint="eastAsia" w:ascii="Times New Roman" w:hAnsi="Times New Roman" w:cs="Times New Roman"/>
                <w:snapToGrid w:val="0"/>
                <w:color w:val="auto"/>
                <w:kern w:val="0"/>
                <w:sz w:val="21"/>
                <w:szCs w:val="21"/>
                <w:highlight w:val="none"/>
              </w:rPr>
              <w:t>有色金属冶炼、焦化等行业企业</w:t>
            </w:r>
            <w:r>
              <w:rPr>
                <w:rFonts w:hint="eastAsia" w:cs="Times New Roman"/>
                <w:snapToGrid w:val="0"/>
                <w:color w:val="auto"/>
                <w:kern w:val="0"/>
                <w:sz w:val="21"/>
                <w:szCs w:val="21"/>
                <w:highlight w:val="none"/>
                <w:lang w:val="en-US" w:eastAsia="zh-CN"/>
              </w:rPr>
              <w:t>。符合空间布局约束。本项目无需生产用热，无需建设锅炉，冬季取暖依</w:t>
            </w:r>
            <w:r>
              <w:rPr>
                <w:rFonts w:hint="eastAsia" w:ascii="Times New Roman" w:hAnsi="Times New Roman" w:cs="Times New Roman"/>
                <w:snapToGrid w:val="0"/>
                <w:color w:val="auto"/>
                <w:kern w:val="0"/>
                <w:sz w:val="21"/>
                <w:szCs w:val="21"/>
                <w:highlight w:val="none"/>
                <w:lang w:val="en-US" w:eastAsia="zh-CN"/>
              </w:rPr>
              <w:t>托市政热网。符合污染排放管控。本项目位于黑龙江省双鸭山市岭东区长胜乡东兴村，不属于化工园区，本项目不属于有色金属冶炼、焦化等行业企业。符合环境风险防控要求。</w:t>
            </w:r>
            <w:r>
              <w:rPr>
                <w:rFonts w:hint="eastAsia" w:cs="Times New Roman"/>
                <w:snapToGrid w:val="0"/>
                <w:color w:val="auto"/>
                <w:kern w:val="0"/>
                <w:sz w:val="21"/>
                <w:szCs w:val="21"/>
                <w:highlight w:val="none"/>
                <w:lang w:val="en-US" w:eastAsia="zh-CN"/>
              </w:rPr>
              <w:t>本项目所用污水处理设施及设备均符合国家质量标准要求。本项目无需生产用热，不新建锅炉，冬季取暖依托于市政热网，符合资源利用效率要求。</w:t>
            </w:r>
          </w:p>
        </w:tc>
      </w:tr>
      <w:tr w14:paraId="30CDE5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26" w:hRule="atLeast"/>
          <w:jc w:val="center"/>
        </w:trPr>
        <w:tc>
          <w:tcPr>
            <w:tcW w:w="441" w:type="pct"/>
            <w:vMerge w:val="continue"/>
            <w:vAlign w:val="center"/>
          </w:tcPr>
          <w:p w14:paraId="6E1703AA">
            <w:pPr>
              <w:spacing w:line="360" w:lineRule="exact"/>
              <w:ind w:firstLine="0" w:firstLineChars="0"/>
              <w:rPr>
                <w:rFonts w:cs="Times New Roman"/>
                <w:color w:val="auto"/>
                <w:highlight w:val="none"/>
              </w:rPr>
            </w:pPr>
          </w:p>
        </w:tc>
        <w:tc>
          <w:tcPr>
            <w:tcW w:w="422" w:type="pct"/>
            <w:vMerge w:val="continue"/>
            <w:vAlign w:val="center"/>
          </w:tcPr>
          <w:p w14:paraId="63CCD13D">
            <w:pPr>
              <w:spacing w:line="360" w:lineRule="exact"/>
              <w:ind w:firstLine="0" w:firstLineChars="0"/>
              <w:rPr>
                <w:rFonts w:cs="Times New Roman"/>
                <w:color w:val="auto"/>
                <w:highlight w:val="none"/>
              </w:rPr>
            </w:pPr>
          </w:p>
        </w:tc>
        <w:tc>
          <w:tcPr>
            <w:tcW w:w="405" w:type="pct"/>
            <w:vMerge w:val="continue"/>
            <w:vAlign w:val="center"/>
          </w:tcPr>
          <w:p w14:paraId="1442A4B7">
            <w:pPr>
              <w:spacing w:line="360" w:lineRule="exact"/>
              <w:ind w:firstLine="0" w:firstLineChars="0"/>
              <w:rPr>
                <w:rFonts w:cs="Times New Roman"/>
                <w:color w:val="auto"/>
                <w:highlight w:val="none"/>
              </w:rPr>
            </w:pPr>
          </w:p>
        </w:tc>
        <w:tc>
          <w:tcPr>
            <w:tcW w:w="371" w:type="pct"/>
            <w:vAlign w:val="center"/>
          </w:tcPr>
          <w:p w14:paraId="28FC372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污染物排放管</w:t>
            </w:r>
          </w:p>
          <w:p w14:paraId="1C31B91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控</w:t>
            </w:r>
          </w:p>
        </w:tc>
        <w:tc>
          <w:tcPr>
            <w:tcW w:w="2464" w:type="pct"/>
            <w:vAlign w:val="center"/>
          </w:tcPr>
          <w:p w14:paraId="541E3BF2">
            <w:pPr>
              <w:spacing w:line="360" w:lineRule="exact"/>
              <w:ind w:firstLine="0" w:firstLineChars="0"/>
              <w:jc w:val="center"/>
              <w:rPr>
                <w:rFonts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rPr>
              <w:t>1.执行:加快65t/h以上燃煤锅炉(含电力)超低排放改造。2.大气环境布局敏感重点管控区同时执行:“1)对以煤、石焦油、渣油、重油等为燃料的锅炉和工业炉窑，加快使用清洁低碳能源以及工厂余热、电力热力等进行替代。2)到2025年，在用65蒸吨/小时以上的燃煤锅炉(含电力)实现超低排放，钢铁企业基本实现超低排放。”(含电力)实现超低排放，钢铁企业基本实现超低排放。</w:t>
            </w:r>
            <w:r>
              <w:rPr>
                <w:rFonts w:hint="eastAsia" w:ascii="Times New Roman" w:hAnsi="Times New Roman" w:cs="Times New Roman"/>
                <w:snapToGrid w:val="0"/>
                <w:color w:val="auto"/>
                <w:kern w:val="0"/>
                <w:sz w:val="21"/>
                <w:szCs w:val="21"/>
                <w:highlight w:val="none"/>
                <w:lang w:eastAsia="zh-CN"/>
              </w:rPr>
              <w:t>”</w:t>
            </w:r>
          </w:p>
        </w:tc>
        <w:tc>
          <w:tcPr>
            <w:tcW w:w="893" w:type="pct"/>
            <w:vMerge w:val="continue"/>
            <w:vAlign w:val="center"/>
          </w:tcPr>
          <w:p w14:paraId="11898D40">
            <w:pPr>
              <w:spacing w:line="360" w:lineRule="exact"/>
              <w:ind w:firstLine="0" w:firstLineChars="0"/>
              <w:rPr>
                <w:rFonts w:cs="Times New Roman"/>
                <w:color w:val="auto"/>
                <w:kern w:val="0"/>
                <w:sz w:val="21"/>
                <w:szCs w:val="21"/>
                <w:highlight w:val="none"/>
              </w:rPr>
            </w:pPr>
          </w:p>
        </w:tc>
      </w:tr>
      <w:tr w14:paraId="334E41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60" w:hRule="atLeast"/>
          <w:jc w:val="center"/>
        </w:trPr>
        <w:tc>
          <w:tcPr>
            <w:tcW w:w="441" w:type="pct"/>
            <w:vMerge w:val="continue"/>
            <w:vAlign w:val="center"/>
          </w:tcPr>
          <w:p w14:paraId="2A7B6C68">
            <w:pPr>
              <w:spacing w:line="360" w:lineRule="exact"/>
              <w:ind w:firstLine="0" w:firstLineChars="0"/>
              <w:rPr>
                <w:rFonts w:cs="Times New Roman"/>
                <w:color w:val="auto"/>
                <w:highlight w:val="none"/>
              </w:rPr>
            </w:pPr>
          </w:p>
        </w:tc>
        <w:tc>
          <w:tcPr>
            <w:tcW w:w="422" w:type="pct"/>
            <w:vMerge w:val="continue"/>
            <w:vAlign w:val="center"/>
          </w:tcPr>
          <w:p w14:paraId="32C1716E">
            <w:pPr>
              <w:spacing w:line="360" w:lineRule="exact"/>
              <w:ind w:firstLine="0" w:firstLineChars="0"/>
              <w:rPr>
                <w:rFonts w:cs="Times New Roman"/>
                <w:color w:val="auto"/>
                <w:highlight w:val="none"/>
              </w:rPr>
            </w:pPr>
          </w:p>
        </w:tc>
        <w:tc>
          <w:tcPr>
            <w:tcW w:w="405" w:type="pct"/>
            <w:vMerge w:val="continue"/>
            <w:vAlign w:val="center"/>
          </w:tcPr>
          <w:p w14:paraId="25671EBA">
            <w:pPr>
              <w:spacing w:line="360" w:lineRule="exact"/>
              <w:ind w:firstLine="0" w:firstLineChars="0"/>
              <w:rPr>
                <w:rFonts w:cs="Times New Roman"/>
                <w:color w:val="auto"/>
                <w:highlight w:val="none"/>
              </w:rPr>
            </w:pPr>
          </w:p>
        </w:tc>
        <w:tc>
          <w:tcPr>
            <w:tcW w:w="371" w:type="pct"/>
            <w:vAlign w:val="center"/>
          </w:tcPr>
          <w:p w14:paraId="1E886EE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环境风险防控</w:t>
            </w:r>
          </w:p>
        </w:tc>
        <w:tc>
          <w:tcPr>
            <w:tcW w:w="2464" w:type="pct"/>
            <w:vAlign w:val="center"/>
          </w:tcPr>
          <w:p w14:paraId="2FDAF0E3">
            <w:pPr>
              <w:spacing w:line="360" w:lineRule="exact"/>
              <w:ind w:firstLine="0" w:firstLineChars="0"/>
              <w:jc w:val="center"/>
              <w:rPr>
                <w:rFonts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rPr>
              <w:t>1.执行“化工园区与城市建成区、人员密集场所、重要设施、敏感目标等应当保持规定的安全距离，相对封闭，不应保留常住居民，非关联企业和产业要逐步搬迁或退出，妥善防范化解“邻避”问题。严禁在松花江干流及一级支流沿岸1公里范围内布局化工园区。2.大气环境布局敏感重点管控区同时执行执行本清单禁止在居民区、学校、医疗和养老机构等周边新建有色金属冶炼、焦化等行业企业。</w:t>
            </w:r>
            <w:r>
              <w:rPr>
                <w:rFonts w:hint="eastAsia" w:ascii="Times New Roman" w:hAnsi="Times New Roman" w:cs="Times New Roman"/>
                <w:snapToGrid w:val="0"/>
                <w:color w:val="auto"/>
                <w:kern w:val="0"/>
                <w:sz w:val="21"/>
                <w:szCs w:val="21"/>
                <w:highlight w:val="none"/>
                <w:lang w:eastAsia="zh-CN"/>
              </w:rPr>
              <w:t>”</w:t>
            </w:r>
          </w:p>
        </w:tc>
        <w:tc>
          <w:tcPr>
            <w:tcW w:w="893" w:type="pct"/>
            <w:vMerge w:val="continue"/>
            <w:vAlign w:val="center"/>
          </w:tcPr>
          <w:p w14:paraId="3A92F2DA">
            <w:pPr>
              <w:spacing w:line="360" w:lineRule="exact"/>
              <w:ind w:firstLine="0" w:firstLineChars="0"/>
              <w:rPr>
                <w:rFonts w:cs="Times New Roman"/>
                <w:color w:val="auto"/>
                <w:kern w:val="0"/>
                <w:sz w:val="21"/>
                <w:szCs w:val="21"/>
                <w:highlight w:val="none"/>
              </w:rPr>
            </w:pPr>
          </w:p>
        </w:tc>
      </w:tr>
      <w:tr w14:paraId="6659C2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1" w:hRule="atLeast"/>
          <w:jc w:val="center"/>
        </w:trPr>
        <w:tc>
          <w:tcPr>
            <w:tcW w:w="441" w:type="pct"/>
            <w:vMerge w:val="continue"/>
            <w:vAlign w:val="center"/>
          </w:tcPr>
          <w:p w14:paraId="40760EA1">
            <w:pPr>
              <w:spacing w:line="360" w:lineRule="exact"/>
              <w:ind w:firstLine="0" w:firstLineChars="0"/>
              <w:rPr>
                <w:rFonts w:cs="Times New Roman"/>
                <w:color w:val="auto"/>
                <w:kern w:val="0"/>
                <w:sz w:val="21"/>
                <w:szCs w:val="21"/>
                <w:highlight w:val="none"/>
              </w:rPr>
            </w:pPr>
          </w:p>
        </w:tc>
        <w:tc>
          <w:tcPr>
            <w:tcW w:w="422" w:type="pct"/>
            <w:vMerge w:val="continue"/>
            <w:vAlign w:val="center"/>
          </w:tcPr>
          <w:p w14:paraId="37E8C5F0">
            <w:pPr>
              <w:spacing w:line="360" w:lineRule="exact"/>
              <w:ind w:firstLine="0" w:firstLineChars="0"/>
              <w:rPr>
                <w:rFonts w:cs="Times New Roman"/>
                <w:color w:val="auto"/>
                <w:kern w:val="0"/>
                <w:sz w:val="21"/>
                <w:szCs w:val="21"/>
                <w:highlight w:val="none"/>
              </w:rPr>
            </w:pPr>
          </w:p>
        </w:tc>
        <w:tc>
          <w:tcPr>
            <w:tcW w:w="405" w:type="pct"/>
            <w:vMerge w:val="continue"/>
            <w:vAlign w:val="center"/>
          </w:tcPr>
          <w:p w14:paraId="7BCAFF61">
            <w:pPr>
              <w:spacing w:line="360" w:lineRule="exact"/>
              <w:ind w:firstLine="0" w:firstLineChars="0"/>
              <w:rPr>
                <w:rFonts w:cs="Times New Roman"/>
                <w:color w:val="auto"/>
                <w:kern w:val="0"/>
                <w:sz w:val="21"/>
                <w:szCs w:val="21"/>
                <w:highlight w:val="none"/>
              </w:rPr>
            </w:pPr>
          </w:p>
        </w:tc>
        <w:tc>
          <w:tcPr>
            <w:tcW w:w="371" w:type="pct"/>
            <w:vAlign w:val="center"/>
          </w:tcPr>
          <w:p w14:paraId="173C038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资源利用效率</w:t>
            </w:r>
          </w:p>
          <w:p w14:paraId="2A789933">
            <w:pPr>
              <w:spacing w:line="360" w:lineRule="exact"/>
              <w:ind w:firstLine="0" w:firstLineChars="0"/>
              <w:jc w:val="center"/>
              <w:rPr>
                <w:rFonts w:cs="Times New Roman"/>
                <w:color w:val="auto"/>
                <w:kern w:val="0"/>
                <w:sz w:val="21"/>
                <w:szCs w:val="21"/>
                <w:highlight w:val="none"/>
              </w:rPr>
            </w:pPr>
            <w:r>
              <w:rPr>
                <w:rFonts w:cs="Times New Roman"/>
                <w:snapToGrid w:val="0"/>
                <w:color w:val="auto"/>
                <w:kern w:val="0"/>
                <w:sz w:val="21"/>
                <w:szCs w:val="21"/>
                <w:highlight w:val="none"/>
              </w:rPr>
              <w:t>要求</w:t>
            </w:r>
          </w:p>
        </w:tc>
        <w:tc>
          <w:tcPr>
            <w:tcW w:w="2464" w:type="pct"/>
            <w:vAlign w:val="center"/>
          </w:tcPr>
          <w:p w14:paraId="20F4A739">
            <w:pPr>
              <w:spacing w:line="360" w:lineRule="exact"/>
              <w:ind w:firstLine="0" w:firstLineChars="0"/>
              <w:jc w:val="center"/>
              <w:rPr>
                <w:rFonts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rPr>
              <w:t>1.执行“1)推进污水再生利用设施建设。2)公共建筑必须采用节水器具，限期淘汰公共建筑中不符合节水标准的水嘴、便器水箱等生活用水器具。”2.高污染燃料禁燃区同时执行“1)在禁燃区内，禁止销售、燃用高污染燃料;禁止新建、扩建燃用高污染燃料的设施，已建成的，应当在城市人民政府规定的期限内改用天然气、页岩气、液化石油气、电或者其他清洁能源。2)城市建设应当统筹规划，在燃煤供热地区，推进热电联产和集中供热。在集中供热管网覆盖地区，禁止新建、扩建分散燃煤供热锅炉:已建成的不能达标排放的燃煤供热锅炉，应当在城市人民政府规定的期限内拆除。</w:t>
            </w:r>
            <w:r>
              <w:rPr>
                <w:rFonts w:hint="eastAsia" w:ascii="Times New Roman" w:hAnsi="Times New Roman" w:cs="Times New Roman"/>
                <w:snapToGrid w:val="0"/>
                <w:color w:val="auto"/>
                <w:kern w:val="0"/>
                <w:sz w:val="21"/>
                <w:szCs w:val="21"/>
                <w:highlight w:val="none"/>
                <w:lang w:eastAsia="zh-CN"/>
              </w:rPr>
              <w:t>”</w:t>
            </w:r>
          </w:p>
        </w:tc>
        <w:tc>
          <w:tcPr>
            <w:tcW w:w="893" w:type="pct"/>
            <w:vMerge w:val="continue"/>
            <w:vAlign w:val="center"/>
          </w:tcPr>
          <w:p w14:paraId="32942E94">
            <w:pPr>
              <w:spacing w:line="360" w:lineRule="exact"/>
              <w:ind w:firstLine="0" w:firstLineChars="0"/>
              <w:rPr>
                <w:rFonts w:cs="Times New Roman"/>
                <w:color w:val="auto"/>
                <w:kern w:val="0"/>
                <w:sz w:val="21"/>
                <w:szCs w:val="21"/>
                <w:highlight w:val="none"/>
              </w:rPr>
            </w:pPr>
          </w:p>
        </w:tc>
      </w:tr>
      <w:tr w14:paraId="375F33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1" w:hRule="atLeast"/>
          <w:jc w:val="center"/>
        </w:trPr>
        <w:tc>
          <w:tcPr>
            <w:tcW w:w="441" w:type="pct"/>
            <w:vMerge w:val="restart"/>
            <w:vAlign w:val="center"/>
          </w:tcPr>
          <w:p w14:paraId="0BC081FA">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ZH23050320006</w:t>
            </w:r>
          </w:p>
        </w:tc>
        <w:tc>
          <w:tcPr>
            <w:tcW w:w="422" w:type="pct"/>
            <w:vMerge w:val="restart"/>
            <w:vAlign w:val="center"/>
          </w:tcPr>
          <w:p w14:paraId="63982CED">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岭东区大气环境布局敏感重点管控区</w:t>
            </w:r>
          </w:p>
        </w:tc>
        <w:tc>
          <w:tcPr>
            <w:tcW w:w="405" w:type="pct"/>
            <w:vMerge w:val="restart"/>
            <w:vAlign w:val="center"/>
          </w:tcPr>
          <w:p w14:paraId="51DD08DC">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rPr>
              <w:t>重点管控单元</w:t>
            </w:r>
          </w:p>
        </w:tc>
        <w:tc>
          <w:tcPr>
            <w:tcW w:w="371" w:type="pct"/>
            <w:shd w:val="clear" w:color="auto" w:fill="auto"/>
            <w:vAlign w:val="center"/>
          </w:tcPr>
          <w:p w14:paraId="23C0F5D0">
            <w:pPr>
              <w:spacing w:line="360" w:lineRule="exact"/>
              <w:ind w:firstLine="0" w:firstLineChars="0"/>
              <w:jc w:val="center"/>
              <w:rPr>
                <w:rFonts w:hint="eastAsia" w:ascii="Times New Roman" w:hAnsi="Times New Roman" w:cs="Times New Roman"/>
                <w:snapToGrid w:val="0"/>
                <w:color w:val="auto"/>
                <w:kern w:val="0"/>
                <w:sz w:val="21"/>
                <w:szCs w:val="21"/>
                <w:highlight w:val="none"/>
                <w:lang w:val="en-US" w:eastAsia="zh-CN"/>
              </w:rPr>
            </w:pPr>
            <w:r>
              <w:rPr>
                <w:rFonts w:hint="eastAsia" w:ascii="Times New Roman" w:hAnsi="Times New Roman" w:cs="Times New Roman"/>
                <w:snapToGrid w:val="0"/>
                <w:color w:val="auto"/>
                <w:kern w:val="0"/>
                <w:sz w:val="21"/>
                <w:szCs w:val="21"/>
                <w:highlight w:val="none"/>
              </w:rPr>
              <w:t>空间布局约束</w:t>
            </w:r>
          </w:p>
        </w:tc>
        <w:tc>
          <w:tcPr>
            <w:tcW w:w="2464" w:type="pct"/>
            <w:vAlign w:val="center"/>
          </w:tcPr>
          <w:p w14:paraId="7DAAA631">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执行“1.严控“两高”行业产能。严格执行钢铁、水泥、平板玻璃等行业产能置换实施办法。2.利用水泥窑协同处置城市生活垃圾、危险废弃物、电石渣等固废伴生水泥项目，必须依托现有新型干法水泥熟料生产线进行不扩产能改造。”</w:t>
            </w:r>
          </w:p>
        </w:tc>
        <w:tc>
          <w:tcPr>
            <w:tcW w:w="893" w:type="pct"/>
            <w:vMerge w:val="restart"/>
            <w:vAlign w:val="center"/>
          </w:tcPr>
          <w:p w14:paraId="0FBA03E1">
            <w:pPr>
              <w:spacing w:line="360" w:lineRule="exact"/>
              <w:ind w:firstLine="0" w:firstLineChars="0"/>
              <w:jc w:val="center"/>
              <w:rPr>
                <w:rFonts w:hint="eastAsia"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本项目为屠宰类项目，不属于“两高”类项目。符合空间布局约束。无锅炉建设，冬季依靠市政热网取暖，职工淋浴洗漱期间使用热水来自30kw电锅炉，无废气污染物产生。符合污染物排放管控要求。本项目不属于色金属冶炼、焦化等行业企业。符合环境风险防控。本项目无燃煤锅炉建设，符合资源利用效率要求。</w:t>
            </w:r>
          </w:p>
        </w:tc>
      </w:tr>
      <w:tr w14:paraId="422968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1" w:hRule="atLeast"/>
          <w:jc w:val="center"/>
        </w:trPr>
        <w:tc>
          <w:tcPr>
            <w:tcW w:w="441" w:type="pct"/>
            <w:vMerge w:val="continue"/>
            <w:vAlign w:val="center"/>
          </w:tcPr>
          <w:p w14:paraId="2861E3CB">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422" w:type="pct"/>
            <w:vMerge w:val="continue"/>
            <w:vAlign w:val="center"/>
          </w:tcPr>
          <w:p w14:paraId="279FA2C6">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405" w:type="pct"/>
            <w:vMerge w:val="continue"/>
            <w:vAlign w:val="center"/>
          </w:tcPr>
          <w:p w14:paraId="0FCD43BC">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371" w:type="pct"/>
            <w:shd w:val="clear" w:color="auto" w:fill="auto"/>
            <w:vAlign w:val="center"/>
          </w:tcPr>
          <w:p w14:paraId="3DD22541">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rPr>
              <w:t>污染物排放管</w:t>
            </w:r>
          </w:p>
          <w:p w14:paraId="398075BC">
            <w:pPr>
              <w:spacing w:line="360" w:lineRule="exact"/>
              <w:ind w:firstLine="0" w:firstLineChars="0"/>
              <w:jc w:val="center"/>
              <w:rPr>
                <w:rFonts w:hint="eastAsia" w:ascii="Times New Roman" w:hAnsi="Times New Roman" w:cs="Times New Roman"/>
                <w:snapToGrid w:val="0"/>
                <w:color w:val="auto"/>
                <w:kern w:val="0"/>
                <w:sz w:val="21"/>
                <w:szCs w:val="21"/>
                <w:highlight w:val="none"/>
                <w:lang w:val="en-US" w:eastAsia="zh-CN"/>
              </w:rPr>
            </w:pPr>
            <w:r>
              <w:rPr>
                <w:rFonts w:hint="eastAsia" w:ascii="Times New Roman" w:hAnsi="Times New Roman" w:cs="Times New Roman"/>
                <w:snapToGrid w:val="0"/>
                <w:color w:val="auto"/>
                <w:kern w:val="0"/>
                <w:sz w:val="21"/>
                <w:szCs w:val="21"/>
                <w:highlight w:val="none"/>
              </w:rPr>
              <w:t>控</w:t>
            </w:r>
          </w:p>
        </w:tc>
        <w:tc>
          <w:tcPr>
            <w:tcW w:w="2464" w:type="pct"/>
            <w:vAlign w:val="center"/>
          </w:tcPr>
          <w:p w14:paraId="453426A4">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执行“1）对以煤、石焦油、渣油、重油等为燃料的锅炉和工业炉窑，加快使用清洁低碳能源以及工厂余热、电力热力等进行替代。2）到 2025 年，在用 65 蒸吨/小时以上的燃煤锅炉（含电力）实现超低排放，钢铁企业基本实现超低排放。”（含电力）实现超低排放，钢铁企业基本实现超低排放。”</w:t>
            </w:r>
          </w:p>
        </w:tc>
        <w:tc>
          <w:tcPr>
            <w:tcW w:w="893" w:type="pct"/>
            <w:vMerge w:val="continue"/>
            <w:vAlign w:val="center"/>
          </w:tcPr>
          <w:p w14:paraId="45958482">
            <w:pPr>
              <w:spacing w:line="360" w:lineRule="exact"/>
              <w:ind w:firstLine="0" w:firstLineChars="0"/>
              <w:rPr>
                <w:rFonts w:cs="Times New Roman"/>
                <w:color w:val="auto"/>
                <w:kern w:val="0"/>
                <w:sz w:val="21"/>
                <w:szCs w:val="21"/>
                <w:highlight w:val="none"/>
              </w:rPr>
            </w:pPr>
          </w:p>
        </w:tc>
      </w:tr>
      <w:tr w14:paraId="3E714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1" w:hRule="atLeast"/>
          <w:jc w:val="center"/>
        </w:trPr>
        <w:tc>
          <w:tcPr>
            <w:tcW w:w="441" w:type="pct"/>
            <w:vMerge w:val="continue"/>
            <w:vAlign w:val="center"/>
          </w:tcPr>
          <w:p w14:paraId="4A498BE3">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422" w:type="pct"/>
            <w:vMerge w:val="continue"/>
            <w:vAlign w:val="center"/>
          </w:tcPr>
          <w:p w14:paraId="6BC4C0B5">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405" w:type="pct"/>
            <w:vMerge w:val="continue"/>
            <w:vAlign w:val="center"/>
          </w:tcPr>
          <w:p w14:paraId="11819E5A">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371" w:type="pct"/>
            <w:shd w:val="clear" w:color="auto" w:fill="auto"/>
            <w:vAlign w:val="center"/>
          </w:tcPr>
          <w:p w14:paraId="5A336D50">
            <w:pPr>
              <w:spacing w:line="360" w:lineRule="exact"/>
              <w:ind w:firstLine="0" w:firstLineChars="0"/>
              <w:jc w:val="center"/>
              <w:rPr>
                <w:rFonts w:hint="eastAsia" w:ascii="Times New Roman" w:hAnsi="Times New Roman" w:cs="Times New Roman"/>
                <w:snapToGrid w:val="0"/>
                <w:color w:val="auto"/>
                <w:kern w:val="0"/>
                <w:sz w:val="21"/>
                <w:szCs w:val="21"/>
                <w:highlight w:val="none"/>
                <w:lang w:val="en-US" w:eastAsia="zh-CN"/>
              </w:rPr>
            </w:pPr>
            <w:r>
              <w:rPr>
                <w:rFonts w:hint="eastAsia" w:ascii="Times New Roman" w:hAnsi="Times New Roman" w:cs="Times New Roman"/>
                <w:snapToGrid w:val="0"/>
                <w:color w:val="auto"/>
                <w:kern w:val="0"/>
                <w:sz w:val="21"/>
                <w:szCs w:val="21"/>
                <w:highlight w:val="none"/>
              </w:rPr>
              <w:t>环境风险防控</w:t>
            </w:r>
          </w:p>
        </w:tc>
        <w:tc>
          <w:tcPr>
            <w:tcW w:w="2464" w:type="pct"/>
            <w:vAlign w:val="center"/>
          </w:tcPr>
          <w:p w14:paraId="46DE1B3A">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执行“禁止在居民区、学校、医疗和养老机构等周边新建有色金属冶炼、焦化等行业企业。”</w:t>
            </w:r>
          </w:p>
        </w:tc>
        <w:tc>
          <w:tcPr>
            <w:tcW w:w="893" w:type="pct"/>
            <w:vMerge w:val="continue"/>
            <w:vAlign w:val="center"/>
          </w:tcPr>
          <w:p w14:paraId="459E9BF8">
            <w:pPr>
              <w:spacing w:line="360" w:lineRule="exact"/>
              <w:ind w:firstLine="0" w:firstLineChars="0"/>
              <w:rPr>
                <w:rFonts w:cs="Times New Roman"/>
                <w:color w:val="auto"/>
                <w:kern w:val="0"/>
                <w:sz w:val="21"/>
                <w:szCs w:val="21"/>
                <w:highlight w:val="none"/>
              </w:rPr>
            </w:pPr>
          </w:p>
        </w:tc>
      </w:tr>
      <w:tr w14:paraId="7E60C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1" w:hRule="atLeast"/>
          <w:jc w:val="center"/>
        </w:trPr>
        <w:tc>
          <w:tcPr>
            <w:tcW w:w="441" w:type="pct"/>
            <w:vMerge w:val="continue"/>
            <w:vAlign w:val="center"/>
          </w:tcPr>
          <w:p w14:paraId="63B19709">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422" w:type="pct"/>
            <w:vMerge w:val="continue"/>
            <w:vAlign w:val="center"/>
          </w:tcPr>
          <w:p w14:paraId="2173C609">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405" w:type="pct"/>
            <w:vMerge w:val="continue"/>
            <w:vAlign w:val="center"/>
          </w:tcPr>
          <w:p w14:paraId="0669BDEB">
            <w:pPr>
              <w:spacing w:line="360" w:lineRule="exact"/>
              <w:ind w:firstLine="0" w:firstLineChars="0"/>
              <w:jc w:val="center"/>
              <w:rPr>
                <w:rFonts w:hint="eastAsia" w:ascii="Times New Roman" w:hAnsi="Times New Roman" w:cs="Times New Roman"/>
                <w:snapToGrid w:val="0"/>
                <w:color w:val="auto"/>
                <w:kern w:val="0"/>
                <w:sz w:val="21"/>
                <w:szCs w:val="21"/>
                <w:highlight w:val="none"/>
              </w:rPr>
            </w:pPr>
          </w:p>
        </w:tc>
        <w:tc>
          <w:tcPr>
            <w:tcW w:w="371" w:type="pct"/>
            <w:shd w:val="clear" w:color="auto" w:fill="auto"/>
            <w:vAlign w:val="center"/>
          </w:tcPr>
          <w:p w14:paraId="3D8F54ED">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rPr>
              <w:t>资源利用效率</w:t>
            </w:r>
          </w:p>
          <w:p w14:paraId="50E80C31">
            <w:pPr>
              <w:spacing w:line="360" w:lineRule="exact"/>
              <w:ind w:firstLine="0" w:firstLineChars="0"/>
              <w:jc w:val="center"/>
              <w:rPr>
                <w:rFonts w:hint="eastAsia" w:ascii="Times New Roman" w:hAnsi="Times New Roman" w:cs="Times New Roman"/>
                <w:snapToGrid w:val="0"/>
                <w:color w:val="auto"/>
                <w:kern w:val="0"/>
                <w:sz w:val="21"/>
                <w:szCs w:val="21"/>
                <w:highlight w:val="none"/>
                <w:lang w:val="en-US" w:eastAsia="zh-CN"/>
              </w:rPr>
            </w:pPr>
            <w:r>
              <w:rPr>
                <w:rFonts w:hint="eastAsia" w:ascii="Times New Roman" w:hAnsi="Times New Roman" w:cs="Times New Roman"/>
                <w:snapToGrid w:val="0"/>
                <w:color w:val="auto"/>
                <w:kern w:val="0"/>
                <w:sz w:val="21"/>
                <w:szCs w:val="21"/>
                <w:highlight w:val="none"/>
              </w:rPr>
              <w:t>要求</w:t>
            </w:r>
          </w:p>
        </w:tc>
        <w:tc>
          <w:tcPr>
            <w:tcW w:w="2464" w:type="pct"/>
            <w:vAlign w:val="center"/>
          </w:tcPr>
          <w:p w14:paraId="28CD9A65">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 xml:space="preserve">高污染燃料禁燃区同时执行“1）在禁燃区内，禁止销售、燃用高污染燃料；禁止新建、扩 </w:t>
            </w:r>
          </w:p>
          <w:p w14:paraId="48135900">
            <w:pPr>
              <w:spacing w:line="360" w:lineRule="exact"/>
              <w:ind w:firstLine="0" w:firstLineChars="0"/>
              <w:jc w:val="center"/>
              <w:rPr>
                <w:rFonts w:hint="eastAsia" w:ascii="Times New Roman" w:hAnsi="Times New Roman" w:cs="Times New Roman"/>
                <w:snapToGrid w:val="0"/>
                <w:color w:val="auto"/>
                <w:kern w:val="0"/>
                <w:sz w:val="21"/>
                <w:szCs w:val="21"/>
                <w:highlight w:val="none"/>
              </w:rPr>
            </w:pPr>
            <w:r>
              <w:rPr>
                <w:rFonts w:hint="eastAsia" w:ascii="Times New Roman" w:hAnsi="Times New Roman" w:cs="Times New Roman"/>
                <w:snapToGrid w:val="0"/>
                <w:color w:val="auto"/>
                <w:kern w:val="0"/>
                <w:sz w:val="21"/>
                <w:szCs w:val="21"/>
                <w:highlight w:val="none"/>
                <w:lang w:val="en-US" w:eastAsia="zh-CN"/>
              </w:rPr>
              <w:t>建燃用高污染燃料的设施，已建成的，应当在城市人民政府规定的期限内改用天然气、页岩气、液化石油气、电或者其他清洁能源。2）城市建设应当统筹规划，在燃煤供热地区，推进热电联产和集中供热。在集中供热管网覆盖地区，禁止新建、扩建分散燃煤供热锅炉；已建成的不能达标排放的燃煤供热锅炉，应当在城市人民政府规定的期限内拆除。”</w:t>
            </w:r>
          </w:p>
        </w:tc>
        <w:tc>
          <w:tcPr>
            <w:tcW w:w="893" w:type="pct"/>
            <w:vMerge w:val="continue"/>
            <w:vAlign w:val="center"/>
          </w:tcPr>
          <w:p w14:paraId="22EC8A74">
            <w:pPr>
              <w:spacing w:line="360" w:lineRule="exact"/>
              <w:ind w:firstLine="0" w:firstLineChars="0"/>
              <w:rPr>
                <w:rFonts w:cs="Times New Roman"/>
                <w:color w:val="auto"/>
                <w:kern w:val="0"/>
                <w:sz w:val="21"/>
                <w:szCs w:val="21"/>
                <w:highlight w:val="none"/>
              </w:rPr>
            </w:pPr>
          </w:p>
        </w:tc>
      </w:tr>
    </w:tbl>
    <w:p w14:paraId="4BD20E6A">
      <w:pPr>
        <w:pStyle w:val="117"/>
        <w:rPr>
          <w:rFonts w:cs="Times New Roman"/>
          <w:color w:val="auto"/>
          <w:highlight w:val="none"/>
          <w:lang w:val="zh-CN"/>
        </w:rPr>
      </w:pPr>
      <w:r>
        <w:rPr>
          <w:rFonts w:cs="Times New Roman"/>
          <w:color w:val="auto"/>
          <w:szCs w:val="24"/>
          <w:highlight w:val="none"/>
        </w:rPr>
        <w:t>综上，本项目选址占地性质为</w:t>
      </w:r>
      <w:r>
        <w:rPr>
          <w:rFonts w:hint="eastAsia" w:cs="Times New Roman"/>
          <w:color w:val="auto"/>
          <w:szCs w:val="24"/>
          <w:highlight w:val="none"/>
          <w:lang w:val="en-US" w:eastAsia="zh-CN"/>
        </w:rPr>
        <w:t>建设</w:t>
      </w:r>
      <w:r>
        <w:rPr>
          <w:rFonts w:cs="Times New Roman"/>
          <w:color w:val="auto"/>
          <w:szCs w:val="24"/>
          <w:highlight w:val="none"/>
        </w:rPr>
        <w:t>用地</w:t>
      </w:r>
      <w:r>
        <w:rPr>
          <w:rFonts w:hint="eastAsia" w:cs="Times New Roman"/>
          <w:color w:val="auto"/>
          <w:szCs w:val="24"/>
          <w:highlight w:val="none"/>
          <w:lang w:eastAsia="zh-CN"/>
        </w:rPr>
        <w:t>（</w:t>
      </w:r>
      <w:r>
        <w:rPr>
          <w:rFonts w:hint="eastAsia" w:cs="Times New Roman"/>
          <w:color w:val="auto"/>
          <w:szCs w:val="24"/>
          <w:highlight w:val="none"/>
          <w:lang w:val="en-US" w:eastAsia="zh-CN"/>
        </w:rPr>
        <w:t>街巷用地</w:t>
      </w:r>
      <w:r>
        <w:rPr>
          <w:rFonts w:hint="eastAsia" w:cs="Times New Roman"/>
          <w:color w:val="auto"/>
          <w:szCs w:val="24"/>
          <w:highlight w:val="none"/>
          <w:lang w:eastAsia="zh-CN"/>
        </w:rPr>
        <w:t>）</w:t>
      </w:r>
      <w:r>
        <w:rPr>
          <w:rFonts w:cs="Times New Roman"/>
          <w:color w:val="auto"/>
          <w:szCs w:val="24"/>
          <w:highlight w:val="none"/>
        </w:rPr>
        <w:t>，并采取了有效、可行的污染治理措施，各项污染物均可达标排放，本项目建设对周围环境影响较小，因此本项目符合</w:t>
      </w:r>
      <w:r>
        <w:rPr>
          <w:rFonts w:hint="default" w:ascii="Times New Roman" w:hAnsi="Times New Roman" w:eastAsia="宋体" w:cs="Times New Roman"/>
          <w:color w:val="auto"/>
          <w:kern w:val="0"/>
          <w:sz w:val="24"/>
          <w:szCs w:val="18"/>
          <w:highlight w:val="none"/>
          <w:lang w:val="en-US" w:eastAsia="zh-CN" w:bidi="ar-SA"/>
        </w:rPr>
        <w:t>《双鸭山市人民政府关于实施“三线一单”生态环境分区管控的意见》（双政规〔2021〕2号）</w:t>
      </w:r>
      <w:r>
        <w:rPr>
          <w:rFonts w:hint="default" w:ascii="Times New Roman" w:hAnsi="Times New Roman" w:eastAsia="宋体" w:cs="Times New Roman"/>
          <w:color w:val="auto"/>
          <w:sz w:val="24"/>
          <w:highlight w:val="none"/>
          <w:lang w:val="en-US" w:eastAsia="zh-CN"/>
        </w:rPr>
        <w:t>、《双鸭山市生</w:t>
      </w:r>
      <w:r>
        <w:rPr>
          <w:rFonts w:hint="default" w:ascii="Times New Roman" w:hAnsi="Times New Roman" w:eastAsia="宋体" w:cs="Times New Roman"/>
          <w:snapToGrid w:val="0"/>
          <w:color w:val="auto"/>
          <w:sz w:val="24"/>
          <w:highlight w:val="none"/>
          <w:lang w:val="en-US" w:eastAsia="zh-CN"/>
        </w:rPr>
        <w:t>态环境准入清单（2023年）</w:t>
      </w:r>
      <w:r>
        <w:rPr>
          <w:rFonts w:hint="default" w:ascii="Times New Roman" w:hAnsi="Times New Roman" w:eastAsia="宋体" w:cs="Times New Roman"/>
          <w:snapToGrid w:val="0"/>
          <w:color w:val="auto"/>
          <w:sz w:val="24"/>
          <w:highlight w:val="none"/>
          <w:lang w:eastAsia="zh-CN"/>
        </w:rPr>
        <w:t>》</w:t>
      </w:r>
      <w:r>
        <w:rPr>
          <w:rFonts w:cs="Times New Roman"/>
          <w:color w:val="auto"/>
          <w:highlight w:val="none"/>
          <w:lang w:val="zh-CN"/>
        </w:rPr>
        <w:t>中要求</w:t>
      </w:r>
      <w:r>
        <w:rPr>
          <w:rFonts w:cs="Times New Roman"/>
          <w:color w:val="auto"/>
          <w:szCs w:val="24"/>
          <w:highlight w:val="none"/>
        </w:rPr>
        <w:t>。</w:t>
      </w:r>
    </w:p>
    <w:p w14:paraId="2116D7D3">
      <w:pPr>
        <w:pStyle w:val="4"/>
        <w:spacing w:after="156"/>
        <w:rPr>
          <w:rFonts w:cs="Times New Roman"/>
          <w:color w:val="auto"/>
          <w:highlight w:val="none"/>
        </w:rPr>
      </w:pPr>
      <w:bookmarkStart w:id="21" w:name="_Toc30237"/>
      <w:r>
        <w:rPr>
          <w:rFonts w:cs="Times New Roman"/>
          <w:color w:val="auto"/>
          <w:highlight w:val="none"/>
        </w:rPr>
        <w:t>1.4.4选址合理性分析</w:t>
      </w:r>
      <w:bookmarkEnd w:id="21"/>
    </w:p>
    <w:p w14:paraId="536613C2">
      <w:pPr>
        <w:pStyle w:val="117"/>
        <w:numPr>
          <w:ilvl w:val="0"/>
          <w:numId w:val="6"/>
        </w:numPr>
        <w:ind w:firstLine="482"/>
        <w:rPr>
          <w:rFonts w:cs="Times New Roman"/>
          <w:b/>
          <w:bCs/>
          <w:snapToGrid w:val="0"/>
          <w:color w:val="auto"/>
          <w:kern w:val="0"/>
          <w:szCs w:val="21"/>
          <w:highlight w:val="none"/>
        </w:rPr>
      </w:pPr>
      <w:r>
        <w:rPr>
          <w:rFonts w:cs="Times New Roman"/>
          <w:b/>
          <w:bCs/>
          <w:snapToGrid w:val="0"/>
          <w:color w:val="auto"/>
          <w:kern w:val="0"/>
          <w:szCs w:val="21"/>
          <w:highlight w:val="none"/>
        </w:rPr>
        <w:t>从规划角度分析</w:t>
      </w:r>
    </w:p>
    <w:p w14:paraId="28419C3B">
      <w:pPr>
        <w:pStyle w:val="117"/>
        <w:rPr>
          <w:rFonts w:hint="default" w:eastAsia="宋体" w:cs="Times New Roman"/>
          <w:snapToGrid w:val="0"/>
          <w:color w:val="auto"/>
          <w:kern w:val="0"/>
          <w:szCs w:val="21"/>
          <w:highlight w:val="none"/>
          <w:lang w:val="en-US" w:eastAsia="zh-CN"/>
        </w:rPr>
      </w:pPr>
      <w:r>
        <w:rPr>
          <w:rFonts w:cs="Times New Roman"/>
          <w:snapToGrid w:val="0"/>
          <w:color w:val="auto"/>
          <w:kern w:val="0"/>
          <w:szCs w:val="21"/>
          <w:highlight w:val="none"/>
        </w:rPr>
        <w:t>本项目</w:t>
      </w:r>
      <w:r>
        <w:rPr>
          <w:rFonts w:hint="eastAsia" w:cs="Times New Roman"/>
          <w:snapToGrid w:val="0"/>
          <w:color w:val="auto"/>
          <w:kern w:val="0"/>
          <w:szCs w:val="21"/>
          <w:highlight w:val="none"/>
          <w:lang w:val="en-US" w:eastAsia="zh-CN"/>
        </w:rPr>
        <w:t>为屠宰项目，</w:t>
      </w:r>
      <w:r>
        <w:rPr>
          <w:rFonts w:hint="eastAsia" w:ascii="Times New Roman" w:hAnsi="Times New Roman" w:cs="Times New Roman"/>
          <w:snapToGrid w:val="0"/>
          <w:color w:val="auto"/>
          <w:kern w:val="0"/>
          <w:szCs w:val="21"/>
          <w:highlight w:val="none"/>
          <w:lang w:val="en-US" w:eastAsia="zh-CN"/>
        </w:rPr>
        <w:t>位于黑龙江省双鸭山市岭东区长胜乡东兴村，目前该地区尚无规划要求。</w:t>
      </w:r>
      <w:r>
        <w:rPr>
          <w:rFonts w:cs="Times New Roman"/>
          <w:snapToGrid w:val="0"/>
          <w:color w:val="auto"/>
          <w:kern w:val="0"/>
          <w:szCs w:val="21"/>
          <w:highlight w:val="none"/>
        </w:rPr>
        <w:t>项目用地性质为</w:t>
      </w:r>
      <w:r>
        <w:rPr>
          <w:rFonts w:hint="eastAsia" w:cs="Times New Roman"/>
          <w:snapToGrid w:val="0"/>
          <w:color w:val="auto"/>
          <w:kern w:val="0"/>
          <w:szCs w:val="21"/>
          <w:highlight w:val="none"/>
          <w:lang w:val="en-US" w:eastAsia="zh-CN"/>
        </w:rPr>
        <w:t>建</w:t>
      </w:r>
      <w:r>
        <w:rPr>
          <w:rFonts w:hint="eastAsia" w:ascii="Times New Roman" w:hAnsi="Times New Roman" w:eastAsia="宋体" w:cs="Times New Roman"/>
          <w:snapToGrid w:val="0"/>
          <w:color w:val="auto"/>
          <w:kern w:val="0"/>
          <w:szCs w:val="21"/>
          <w:highlight w:val="none"/>
          <w:lang w:val="en-US" w:eastAsia="zh-CN"/>
        </w:rPr>
        <w:t>设用地（交通服务场站用地），</w:t>
      </w:r>
      <w:r>
        <w:rPr>
          <w:rFonts w:hint="eastAsia" w:ascii="Times New Roman" w:hAnsi="Times New Roman" w:eastAsia="宋体" w:cs="Times New Roman"/>
          <w:snapToGrid w:val="0"/>
          <w:color w:val="auto"/>
          <w:kern w:val="0"/>
          <w:szCs w:val="21"/>
          <w:highlight w:val="none"/>
          <w:lang w:val="en-US" w:eastAsia="zh-CN"/>
        </w:rPr>
        <w:t>同时岭东区农业农村局出具了《岭东区关于双鸭山市兴昌屠宰有限公司设立牲畜定</w:t>
      </w:r>
      <w:r>
        <w:rPr>
          <w:rFonts w:hint="eastAsia" w:cs="Times New Roman"/>
          <w:snapToGrid w:val="0"/>
          <w:color w:val="auto"/>
          <w:kern w:val="0"/>
          <w:szCs w:val="21"/>
          <w:highlight w:val="none"/>
          <w:lang w:val="en-US" w:eastAsia="zh-CN"/>
        </w:rPr>
        <w:t>点屠宰场动物防疫条件审查场所选址的报告》</w:t>
      </w:r>
      <w:r>
        <w:rPr>
          <w:rFonts w:hint="eastAsia" w:ascii="Times New Roman" w:hAnsi="Times New Roman" w:eastAsia="宋体" w:cs="Times New Roman"/>
          <w:snapToGrid w:val="0"/>
          <w:color w:val="auto"/>
          <w:kern w:val="0"/>
          <w:szCs w:val="21"/>
          <w:highlight w:val="none"/>
          <w:lang w:val="en-US" w:eastAsia="zh-CN"/>
        </w:rPr>
        <w:t>（见附</w:t>
      </w:r>
      <w:r>
        <w:rPr>
          <w:rFonts w:hint="eastAsia" w:cs="Times New Roman"/>
          <w:snapToGrid w:val="0"/>
          <w:color w:val="auto"/>
          <w:kern w:val="0"/>
          <w:szCs w:val="21"/>
          <w:highlight w:val="none"/>
          <w:lang w:val="en-US" w:eastAsia="zh-CN"/>
        </w:rPr>
        <w:t>件</w:t>
      </w:r>
      <w:r>
        <w:rPr>
          <w:rFonts w:hint="eastAsia" w:ascii="Times New Roman" w:hAnsi="Times New Roman" w:eastAsia="宋体" w:cs="Times New Roman"/>
          <w:snapToGrid w:val="0"/>
          <w:color w:val="auto"/>
          <w:kern w:val="0"/>
          <w:szCs w:val="21"/>
          <w:highlight w:val="none"/>
          <w:lang w:val="en-US" w:eastAsia="zh-CN"/>
        </w:rPr>
        <w:t>2）</w:t>
      </w:r>
      <w:r>
        <w:rPr>
          <w:rFonts w:hint="eastAsia" w:ascii="宋体" w:hAnsi="宋体" w:cs="宋体"/>
          <w:color w:val="auto"/>
          <w:sz w:val="24"/>
          <w:szCs w:val="24"/>
          <w:highlight w:val="none"/>
          <w:lang w:val="en-US" w:eastAsia="zh-CN"/>
        </w:rPr>
        <w:t>，</w:t>
      </w:r>
      <w:r>
        <w:rPr>
          <w:rFonts w:cs="Times New Roman"/>
          <w:snapToGrid w:val="0"/>
          <w:color w:val="auto"/>
          <w:kern w:val="0"/>
          <w:szCs w:val="21"/>
          <w:highlight w:val="none"/>
        </w:rPr>
        <w:t>因此本项目选址是合理的</w:t>
      </w:r>
      <w:r>
        <w:rPr>
          <w:rFonts w:hint="eastAsia" w:cs="Times New Roman"/>
          <w:snapToGrid w:val="0"/>
          <w:color w:val="auto"/>
          <w:kern w:val="0"/>
          <w:szCs w:val="21"/>
          <w:highlight w:val="none"/>
          <w:lang w:val="en-US" w:eastAsia="zh-CN"/>
        </w:rPr>
        <w:t>。</w:t>
      </w:r>
    </w:p>
    <w:p w14:paraId="79F5A266">
      <w:pPr>
        <w:pStyle w:val="117"/>
        <w:ind w:firstLine="482"/>
        <w:rPr>
          <w:rFonts w:cs="Times New Roman"/>
          <w:snapToGrid w:val="0"/>
          <w:color w:val="auto"/>
          <w:kern w:val="0"/>
          <w:szCs w:val="21"/>
          <w:highlight w:val="none"/>
        </w:rPr>
      </w:pPr>
      <w:r>
        <w:rPr>
          <w:rFonts w:cs="Times New Roman"/>
          <w:b/>
          <w:bCs/>
          <w:snapToGrid w:val="0"/>
          <w:color w:val="auto"/>
          <w:kern w:val="0"/>
          <w:szCs w:val="21"/>
          <w:highlight w:val="none"/>
        </w:rPr>
        <w:t>2、从环境角度分析</w:t>
      </w:r>
    </w:p>
    <w:p w14:paraId="6C05889B">
      <w:pPr>
        <w:pStyle w:val="117"/>
        <w:rPr>
          <w:rFonts w:cs="Times New Roman"/>
          <w:snapToGrid w:val="0"/>
          <w:color w:val="auto"/>
          <w:kern w:val="0"/>
          <w:szCs w:val="21"/>
          <w:highlight w:val="none"/>
        </w:rPr>
      </w:pPr>
      <w:r>
        <w:rPr>
          <w:rFonts w:cs="Times New Roman"/>
          <w:snapToGrid w:val="0"/>
          <w:color w:val="auto"/>
          <w:kern w:val="0"/>
          <w:szCs w:val="21"/>
          <w:highlight w:val="none"/>
        </w:rPr>
        <w:t>本项目位于</w:t>
      </w:r>
      <w:r>
        <w:rPr>
          <w:rFonts w:hint="eastAsia" w:ascii="Times New Roman" w:hAnsi="Times New Roman" w:cs="Times New Roman"/>
          <w:snapToGrid w:val="0"/>
          <w:color w:val="auto"/>
          <w:kern w:val="0"/>
          <w:szCs w:val="21"/>
          <w:highlight w:val="none"/>
          <w:lang w:val="en-US" w:eastAsia="zh-CN"/>
        </w:rPr>
        <w:t>黑龙江省双鸭山市岭东区长胜乡东兴村</w:t>
      </w:r>
      <w:r>
        <w:rPr>
          <w:rFonts w:cs="Times New Roman"/>
          <w:snapToGrid w:val="0"/>
          <w:color w:val="auto"/>
          <w:kern w:val="0"/>
          <w:szCs w:val="21"/>
          <w:highlight w:val="none"/>
        </w:rPr>
        <w:t>，主要污染物为废水、废气、固体废物、噪声，采取相应的措施后对环境的影响程度和范围可为周边环境所接受</w:t>
      </w:r>
      <w:r>
        <w:rPr>
          <w:rFonts w:hint="eastAsia" w:cs="Times New Roman"/>
          <w:snapToGrid w:val="0"/>
          <w:color w:val="auto"/>
          <w:kern w:val="0"/>
          <w:szCs w:val="21"/>
          <w:highlight w:val="none"/>
          <w:lang w:eastAsia="zh-CN"/>
        </w:rPr>
        <w:t>。</w:t>
      </w:r>
      <w:r>
        <w:rPr>
          <w:rFonts w:hint="eastAsia" w:ascii="Times New Roman" w:hAnsi="Times New Roman" w:eastAsia="宋体" w:cs="Times New Roman"/>
          <w:snapToGrid w:val="0"/>
          <w:color w:val="auto"/>
          <w:kern w:val="0"/>
          <w:szCs w:val="21"/>
          <w:highlight w:val="none"/>
          <w:lang w:val="en-US" w:eastAsia="zh-CN"/>
        </w:rPr>
        <w:t>采用</w:t>
      </w:r>
      <w:r>
        <w:rPr>
          <w:rFonts w:hint="eastAsia" w:ascii="Times New Roman" w:hAnsi="Times New Roman" w:eastAsia="宋体" w:cs="Times New Roman"/>
          <w:snapToGrid w:val="0"/>
          <w:color w:val="auto"/>
          <w:kern w:val="0"/>
          <w:szCs w:val="21"/>
          <w:highlight w:val="none"/>
          <w:lang w:val="en-US" w:eastAsia="zh-CN"/>
        </w:rPr>
        <w:fldChar w:fldCharType="begin"/>
      </w:r>
      <w:r>
        <w:rPr>
          <w:rFonts w:hint="eastAsia" w:ascii="Times New Roman" w:hAnsi="Times New Roman" w:eastAsia="宋体" w:cs="Times New Roman"/>
          <w:snapToGrid w:val="0"/>
          <w:color w:val="auto"/>
          <w:kern w:val="0"/>
          <w:szCs w:val="21"/>
          <w:highlight w:val="none"/>
          <w:lang w:val="en-US" w:eastAsia="zh-CN"/>
        </w:rPr>
        <w:instrText xml:space="preserve"> HYPERLINK "javascript:" </w:instrText>
      </w:r>
      <w:r>
        <w:rPr>
          <w:rFonts w:hint="eastAsia" w:ascii="Times New Roman" w:hAnsi="Times New Roman" w:eastAsia="宋体" w:cs="Times New Roman"/>
          <w:snapToGrid w:val="0"/>
          <w:color w:val="auto"/>
          <w:kern w:val="0"/>
          <w:szCs w:val="21"/>
          <w:highlight w:val="none"/>
          <w:lang w:val="en-US" w:eastAsia="zh-CN"/>
        </w:rPr>
        <w:fldChar w:fldCharType="separate"/>
      </w:r>
      <w:r>
        <w:rPr>
          <w:rFonts w:hint="eastAsia" w:ascii="Times New Roman" w:hAnsi="Times New Roman" w:eastAsia="宋体" w:cs="Times New Roman"/>
          <w:snapToGrid w:val="0"/>
          <w:color w:val="auto"/>
          <w:kern w:val="0"/>
          <w:szCs w:val="21"/>
          <w:highlight w:val="none"/>
          <w:lang w:val="en-US" w:eastAsia="zh-CN"/>
        </w:rPr>
        <w:t>《</w:t>
      </w:r>
      <w:r>
        <w:rPr>
          <w:rFonts w:hint="default" w:ascii="Times New Roman" w:hAnsi="Times New Roman" w:eastAsia="宋体" w:cs="Times New Roman"/>
          <w:snapToGrid w:val="0"/>
          <w:color w:val="auto"/>
          <w:kern w:val="0"/>
          <w:szCs w:val="21"/>
          <w:highlight w:val="none"/>
          <w:lang w:val="en-US" w:eastAsia="zh-CN"/>
        </w:rPr>
        <w:t>大气有害物质无组织排放卫生防护距离推导技术导则</w:t>
      </w:r>
      <w:r>
        <w:rPr>
          <w:rFonts w:hint="default" w:ascii="Times New Roman" w:hAnsi="Times New Roman" w:eastAsia="宋体" w:cs="Times New Roman"/>
          <w:snapToGrid w:val="0"/>
          <w:color w:val="auto"/>
          <w:kern w:val="0"/>
          <w:szCs w:val="21"/>
          <w:highlight w:val="none"/>
          <w:lang w:val="en-US" w:eastAsia="zh-CN"/>
        </w:rPr>
        <w:fldChar w:fldCharType="end"/>
      </w:r>
      <w:r>
        <w:rPr>
          <w:rFonts w:hint="eastAsia" w:ascii="Times New Roman" w:hAnsi="Times New Roman" w:eastAsia="宋体" w:cs="Times New Roman"/>
          <w:snapToGrid w:val="0"/>
          <w:color w:val="auto"/>
          <w:kern w:val="0"/>
          <w:szCs w:val="21"/>
          <w:highlight w:val="none"/>
          <w:lang w:val="en-US" w:eastAsia="zh-CN"/>
        </w:rPr>
        <w:t>》（</w:t>
      </w:r>
      <w:r>
        <w:rPr>
          <w:rFonts w:hint="default" w:ascii="Times New Roman" w:hAnsi="Times New Roman" w:eastAsia="宋体" w:cs="Times New Roman"/>
          <w:snapToGrid w:val="0"/>
          <w:color w:val="auto"/>
          <w:kern w:val="0"/>
          <w:szCs w:val="21"/>
          <w:highlight w:val="none"/>
          <w:lang w:val="en-US" w:eastAsia="zh-CN"/>
        </w:rPr>
        <w:t>GBT39499-2020</w:t>
      </w:r>
      <w:r>
        <w:rPr>
          <w:rFonts w:hint="eastAsia" w:ascii="Times New Roman" w:hAnsi="Times New Roman" w:eastAsia="宋体" w:cs="Times New Roman"/>
          <w:snapToGrid w:val="0"/>
          <w:color w:val="auto"/>
          <w:kern w:val="0"/>
          <w:szCs w:val="21"/>
          <w:highlight w:val="none"/>
          <w:lang w:val="en-US" w:eastAsia="zh-CN"/>
        </w:rPr>
        <w:t>）中卫生防护距离初值计算结果可知，本项目大气有害物质卫生防护距离初值为</w:t>
      </w:r>
      <w:r>
        <w:rPr>
          <w:rFonts w:hint="eastAsia" w:cs="Times New Roman"/>
          <w:snapToGrid w:val="0"/>
          <w:color w:val="auto"/>
          <w:kern w:val="0"/>
          <w:szCs w:val="21"/>
          <w:highlight w:val="none"/>
          <w:lang w:val="en-US" w:eastAsia="zh-CN"/>
        </w:rPr>
        <w:t>7.38</w:t>
      </w:r>
      <w:r>
        <w:rPr>
          <w:rFonts w:hint="eastAsia" w:ascii="Times New Roman" w:hAnsi="Times New Roman" w:eastAsia="宋体" w:cs="Times New Roman"/>
          <w:snapToGrid w:val="0"/>
          <w:color w:val="auto"/>
          <w:kern w:val="0"/>
          <w:szCs w:val="21"/>
          <w:highlight w:val="none"/>
          <w:lang w:val="en-US" w:eastAsia="zh-CN"/>
        </w:rPr>
        <w:t>米，</w:t>
      </w:r>
      <w:r>
        <w:rPr>
          <w:rFonts w:hint="eastAsia" w:cs="Times New Roman"/>
          <w:snapToGrid w:val="0"/>
          <w:color w:val="auto"/>
          <w:kern w:val="0"/>
          <w:szCs w:val="21"/>
          <w:highlight w:val="none"/>
          <w:lang w:val="en-US" w:eastAsia="zh-CN"/>
        </w:rPr>
        <w:t>计算过程见附件10。</w:t>
      </w:r>
      <w:r>
        <w:rPr>
          <w:rFonts w:hint="eastAsia" w:ascii="Times New Roman" w:hAnsi="Times New Roman" w:eastAsia="宋体" w:cs="Times New Roman"/>
          <w:snapToGrid w:val="0"/>
          <w:color w:val="auto"/>
          <w:kern w:val="0"/>
          <w:szCs w:val="21"/>
          <w:highlight w:val="none"/>
          <w:lang w:val="en-US" w:eastAsia="zh-CN"/>
        </w:rPr>
        <w:t>当卫生防护距离初值小于50m时，级差为50m。如计算初值小于50m，卫生防护距离终值取50米，</w:t>
      </w:r>
      <w:r>
        <w:rPr>
          <w:rFonts w:hint="eastAsia" w:cs="Times New Roman"/>
          <w:snapToGrid w:val="0"/>
          <w:color w:val="auto"/>
          <w:kern w:val="0"/>
          <w:szCs w:val="21"/>
          <w:highlight w:val="none"/>
          <w:lang w:val="en-US" w:eastAsia="zh-CN"/>
        </w:rPr>
        <w:t>本项目当地风向常年西南风，敏感目标为厂界西侧居民区，位于厂区上风向100米处，</w:t>
      </w:r>
      <w:r>
        <w:rPr>
          <w:rFonts w:cs="Times New Roman"/>
          <w:snapToGrid w:val="0"/>
          <w:color w:val="auto"/>
          <w:kern w:val="0"/>
          <w:szCs w:val="21"/>
          <w:highlight w:val="none"/>
        </w:rPr>
        <w:t>从</w:t>
      </w:r>
      <w:r>
        <w:rPr>
          <w:rFonts w:hint="default" w:ascii="Times New Roman" w:hAnsi="Times New Roman" w:eastAsia="宋体" w:cs="Times New Roman"/>
          <w:snapToGrid w:val="0"/>
          <w:color w:val="auto"/>
          <w:kern w:val="0"/>
          <w:szCs w:val="21"/>
          <w:highlight w:val="none"/>
          <w:lang w:val="en-US" w:eastAsia="zh-CN"/>
        </w:rPr>
        <w:t>卫生防护距离</w:t>
      </w:r>
      <w:r>
        <w:rPr>
          <w:rFonts w:hint="eastAsia" w:ascii="Times New Roman" w:hAnsi="Times New Roman" w:eastAsia="宋体" w:cs="Times New Roman"/>
          <w:snapToGrid w:val="0"/>
          <w:color w:val="auto"/>
          <w:kern w:val="0"/>
          <w:szCs w:val="21"/>
          <w:highlight w:val="none"/>
          <w:lang w:val="en-US" w:eastAsia="zh-CN"/>
        </w:rPr>
        <w:t>角度</w:t>
      </w:r>
      <w:r>
        <w:rPr>
          <w:rFonts w:cs="Times New Roman"/>
          <w:snapToGrid w:val="0"/>
          <w:color w:val="auto"/>
          <w:kern w:val="0"/>
          <w:szCs w:val="21"/>
          <w:highlight w:val="none"/>
        </w:rPr>
        <w:t>分析，本项目选址是可行的。</w:t>
      </w:r>
    </w:p>
    <w:p w14:paraId="64153F4D">
      <w:pPr>
        <w:pStyle w:val="117"/>
        <w:ind w:firstLine="482"/>
        <w:rPr>
          <w:rFonts w:cs="Times New Roman"/>
          <w:b/>
          <w:bCs/>
          <w:snapToGrid w:val="0"/>
          <w:color w:val="auto"/>
          <w:kern w:val="0"/>
          <w:szCs w:val="21"/>
          <w:highlight w:val="none"/>
        </w:rPr>
      </w:pPr>
      <w:r>
        <w:rPr>
          <w:rFonts w:cs="Times New Roman"/>
          <w:b/>
          <w:bCs/>
          <w:snapToGrid w:val="0"/>
          <w:color w:val="auto"/>
          <w:kern w:val="0"/>
          <w:szCs w:val="21"/>
          <w:highlight w:val="none"/>
        </w:rPr>
        <w:t>3、从规范角度分析</w:t>
      </w:r>
    </w:p>
    <w:p w14:paraId="14C3348E">
      <w:pPr>
        <w:adjustRightInd/>
        <w:snapToGrid/>
        <w:spacing w:line="500" w:lineRule="exact"/>
        <w:rPr>
          <w:rFonts w:cs="Times New Roman"/>
          <w:b/>
          <w:bCs/>
          <w:color w:val="auto"/>
          <w:szCs w:val="24"/>
          <w:highlight w:val="none"/>
          <w:lang w:val="zh-CN"/>
        </w:rPr>
      </w:pPr>
      <w:r>
        <w:rPr>
          <w:rFonts w:cs="Times New Roman"/>
          <w:color w:val="auto"/>
          <w:highlight w:val="none"/>
        </w:rPr>
        <w:t>本项目与《黑龙江省畜禽屠宰管理条例》、《畜类屠宰加工通用技术》（GB/T17237-2008）、《牛羊屠宰与分割车间设计规范》（GB51225-2017）等的符合性分析见下表。</w:t>
      </w:r>
    </w:p>
    <w:p w14:paraId="1FDB1EA1">
      <w:pPr>
        <w:autoSpaceDE w:val="0"/>
        <w:autoSpaceDN w:val="0"/>
        <w:spacing w:before="156" w:beforeLines="50" w:line="240" w:lineRule="auto"/>
        <w:ind w:firstLine="482"/>
        <w:jc w:val="center"/>
        <w:rPr>
          <w:rFonts w:cs="Times New Roman"/>
          <w:b/>
          <w:bCs/>
          <w:color w:val="auto"/>
          <w:szCs w:val="24"/>
          <w:highlight w:val="none"/>
          <w:lang w:val="zh-CN"/>
        </w:rPr>
      </w:pPr>
      <w:r>
        <w:rPr>
          <w:rFonts w:cs="Times New Roman"/>
          <w:b/>
          <w:bCs/>
          <w:color w:val="auto"/>
          <w:szCs w:val="24"/>
          <w:highlight w:val="none"/>
          <w:lang w:val="zh-CN"/>
        </w:rPr>
        <w:t>表</w:t>
      </w:r>
      <w:r>
        <w:rPr>
          <w:rFonts w:hint="eastAsia" w:cs="Times New Roman"/>
          <w:b/>
          <w:bCs/>
          <w:color w:val="auto"/>
          <w:szCs w:val="24"/>
          <w:highlight w:val="none"/>
          <w:lang w:val="en-US" w:eastAsia="zh-CN"/>
        </w:rPr>
        <w:t>1.</w:t>
      </w:r>
      <w:r>
        <w:rPr>
          <w:rFonts w:cs="Times New Roman"/>
          <w:b/>
          <w:bCs/>
          <w:color w:val="auto"/>
          <w:szCs w:val="24"/>
          <w:highlight w:val="none"/>
          <w:lang w:val="zh-CN"/>
        </w:rPr>
        <w:t>4</w:t>
      </w:r>
      <w:r>
        <w:rPr>
          <w:rFonts w:hint="eastAsia" w:cs="Times New Roman"/>
          <w:b/>
          <w:bCs/>
          <w:color w:val="auto"/>
          <w:szCs w:val="24"/>
          <w:highlight w:val="none"/>
          <w:lang w:val="en-US" w:eastAsia="zh-CN"/>
        </w:rPr>
        <w:t>-7</w:t>
      </w:r>
      <w:r>
        <w:rPr>
          <w:rFonts w:cs="Times New Roman"/>
          <w:b/>
          <w:bCs/>
          <w:color w:val="auto"/>
          <w:szCs w:val="24"/>
          <w:highlight w:val="none"/>
        </w:rPr>
        <w:t xml:space="preserve">  </w:t>
      </w:r>
      <w:r>
        <w:rPr>
          <w:rFonts w:cs="Times New Roman"/>
          <w:b/>
          <w:bCs/>
          <w:color w:val="auto"/>
          <w:szCs w:val="24"/>
          <w:highlight w:val="none"/>
          <w:lang w:val="zh-CN"/>
        </w:rPr>
        <w:t>选址合理性分析</w:t>
      </w:r>
    </w:p>
    <w:tbl>
      <w:tblPr>
        <w:tblStyle w:val="398"/>
        <w:tblW w:w="864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82"/>
        <w:gridCol w:w="3706"/>
        <w:gridCol w:w="3210"/>
        <w:gridCol w:w="750"/>
      </w:tblGrid>
      <w:tr w14:paraId="6FEC4B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2" w:type="dxa"/>
            <w:vAlign w:val="center"/>
          </w:tcPr>
          <w:p w14:paraId="66E8A007">
            <w:pPr>
              <w:adjustRightInd/>
              <w:snapToGrid/>
              <w:spacing w:line="360" w:lineRule="exact"/>
              <w:ind w:firstLine="0" w:firstLineChars="0"/>
              <w:jc w:val="center"/>
              <w:rPr>
                <w:rFonts w:cs="Times New Roman"/>
                <w:snapToGrid w:val="0"/>
                <w:color w:val="auto"/>
                <w:kern w:val="0"/>
                <w:sz w:val="21"/>
                <w:highlight w:val="none"/>
                <w:lang w:val="zh-CN"/>
              </w:rPr>
            </w:pPr>
            <w:bookmarkStart w:id="22" w:name="_Hlk519701584"/>
            <w:r>
              <w:rPr>
                <w:rFonts w:cs="Times New Roman"/>
                <w:snapToGrid w:val="0"/>
                <w:color w:val="auto"/>
                <w:kern w:val="0"/>
                <w:sz w:val="21"/>
                <w:highlight w:val="none"/>
                <w:lang w:val="zh-CN"/>
              </w:rPr>
              <w:t>相关政策、条例、规范</w:t>
            </w:r>
          </w:p>
        </w:tc>
        <w:tc>
          <w:tcPr>
            <w:tcW w:w="3706" w:type="dxa"/>
            <w:vAlign w:val="center"/>
          </w:tcPr>
          <w:p w14:paraId="70F99BF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要求</w:t>
            </w:r>
          </w:p>
        </w:tc>
        <w:tc>
          <w:tcPr>
            <w:tcW w:w="3210" w:type="dxa"/>
            <w:vAlign w:val="center"/>
          </w:tcPr>
          <w:p w14:paraId="2DB7C3D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符合性分析</w:t>
            </w:r>
          </w:p>
        </w:tc>
        <w:tc>
          <w:tcPr>
            <w:tcW w:w="750" w:type="dxa"/>
            <w:vAlign w:val="center"/>
          </w:tcPr>
          <w:p w14:paraId="28AAE05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是否符合</w:t>
            </w:r>
          </w:p>
        </w:tc>
      </w:tr>
      <w:tr w14:paraId="366BEE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vAlign w:val="center"/>
          </w:tcPr>
          <w:p w14:paraId="18BEBD46">
            <w:pPr>
              <w:adjustRightInd/>
              <w:snapToGrid/>
              <w:spacing w:line="360" w:lineRule="exact"/>
              <w:ind w:firstLine="0" w:firstLineChars="0"/>
              <w:rPr>
                <w:rFonts w:cs="Times New Roman"/>
                <w:snapToGrid w:val="0"/>
                <w:color w:val="auto"/>
                <w:kern w:val="0"/>
                <w:sz w:val="21"/>
                <w:highlight w:val="none"/>
                <w:lang w:val="zh-CN"/>
              </w:rPr>
            </w:pPr>
            <w:r>
              <w:rPr>
                <w:rFonts w:cs="Times New Roman"/>
                <w:snapToGrid w:val="0"/>
                <w:color w:val="auto"/>
                <w:kern w:val="0"/>
                <w:sz w:val="21"/>
                <w:highlight w:val="none"/>
                <w:lang w:val="zh-CN"/>
              </w:rPr>
              <w:t>《黑龙江省畜禽屠宰管理条例》</w:t>
            </w:r>
          </w:p>
        </w:tc>
        <w:tc>
          <w:tcPr>
            <w:tcW w:w="3706" w:type="dxa"/>
            <w:vAlign w:val="center"/>
          </w:tcPr>
          <w:p w14:paraId="5826D6DE">
            <w:pPr>
              <w:adjustRightInd/>
              <w:snapToGrid/>
              <w:spacing w:line="360" w:lineRule="exact"/>
              <w:ind w:firstLine="0" w:firstLineChars="0"/>
              <w:rPr>
                <w:rFonts w:cs="Times New Roman"/>
                <w:snapToGrid w:val="0"/>
                <w:color w:val="auto"/>
                <w:kern w:val="0"/>
                <w:sz w:val="21"/>
                <w:highlight w:val="none"/>
                <w:lang w:val="zh-CN"/>
              </w:rPr>
            </w:pPr>
            <w:r>
              <w:rPr>
                <w:rFonts w:cs="Times New Roman"/>
                <w:snapToGrid w:val="0"/>
                <w:color w:val="auto"/>
                <w:kern w:val="0"/>
                <w:sz w:val="21"/>
                <w:szCs w:val="21"/>
                <w:highlight w:val="none"/>
              </w:rPr>
              <w:t> 畜禽定点屠宰厂（场）、小型生猪屠宰场点的选址，应当符合规划、建设、土地、环境保护、动物防疫、食品安全等方面有关法律、法规的规定。</w:t>
            </w:r>
          </w:p>
        </w:tc>
        <w:tc>
          <w:tcPr>
            <w:tcW w:w="3210" w:type="dxa"/>
            <w:vAlign w:val="center"/>
          </w:tcPr>
          <w:p w14:paraId="109C5CCA">
            <w:pPr>
              <w:spacing w:line="360" w:lineRule="exact"/>
              <w:ind w:firstLine="420"/>
              <w:rPr>
                <w:rFonts w:cs="Times New Roman"/>
                <w:snapToGrid w:val="0"/>
                <w:color w:val="auto"/>
                <w:kern w:val="0"/>
                <w:sz w:val="21"/>
                <w:highlight w:val="none"/>
              </w:rPr>
            </w:pPr>
            <w:r>
              <w:rPr>
                <w:rFonts w:cs="Times New Roman"/>
                <w:snapToGrid w:val="0"/>
                <w:color w:val="auto"/>
                <w:kern w:val="0"/>
                <w:sz w:val="21"/>
                <w:highlight w:val="none"/>
                <w:lang w:val="zh-CN"/>
              </w:rPr>
              <w:t>本项目位</w:t>
            </w:r>
            <w:r>
              <w:rPr>
                <w:rFonts w:ascii="Times New Roman" w:hAnsi="Times New Roman" w:cs="Times New Roman"/>
                <w:snapToGrid w:val="0"/>
                <w:color w:val="auto"/>
                <w:kern w:val="0"/>
                <w:sz w:val="21"/>
                <w:highlight w:val="none"/>
                <w:lang w:val="zh-CN"/>
              </w:rPr>
              <w:t>于</w:t>
            </w:r>
            <w:r>
              <w:rPr>
                <w:rFonts w:hint="eastAsia" w:ascii="Times New Roman" w:hAnsi="Times New Roman" w:cs="Times New Roman"/>
                <w:snapToGrid w:val="0"/>
                <w:color w:val="auto"/>
                <w:kern w:val="0"/>
                <w:sz w:val="21"/>
                <w:highlight w:val="none"/>
                <w:lang w:val="en-US" w:eastAsia="zh-CN"/>
              </w:rPr>
              <w:t>黑龙江省双鸭山市岭东区长胜乡东兴村</w:t>
            </w:r>
            <w:r>
              <w:rPr>
                <w:rFonts w:ascii="Times New Roman" w:hAnsi="Times New Roman" w:cs="Times New Roman"/>
                <w:snapToGrid w:val="0"/>
                <w:color w:val="auto"/>
                <w:kern w:val="0"/>
                <w:sz w:val="21"/>
                <w:highlight w:val="none"/>
                <w:lang w:val="zh-CN"/>
              </w:rPr>
              <w:t>，</w:t>
            </w:r>
            <w:r>
              <w:rPr>
                <w:rFonts w:hint="eastAsia" w:ascii="Times New Roman" w:hAnsi="Times New Roman" w:cs="Times New Roman"/>
                <w:snapToGrid w:val="0"/>
                <w:color w:val="auto"/>
                <w:kern w:val="0"/>
                <w:sz w:val="21"/>
                <w:highlight w:val="none"/>
                <w:lang w:val="en-US" w:eastAsia="zh-CN"/>
              </w:rPr>
              <w:t>该场地符合距离生活饮用水水源地、动物饲养场、动物和动物产品集贸市场和双鸭山市牧昌牧业种畜场距离要求</w:t>
            </w:r>
            <w:r>
              <w:rPr>
                <w:rFonts w:ascii="Times New Roman" w:hAnsi="Times New Roman" w:cs="Times New Roman"/>
                <w:snapToGrid w:val="0"/>
                <w:color w:val="auto"/>
                <w:kern w:val="0"/>
                <w:sz w:val="21"/>
                <w:highlight w:val="none"/>
                <w:lang w:val="zh-CN"/>
              </w:rPr>
              <w:t>，项目同</w:t>
            </w:r>
            <w:r>
              <w:rPr>
                <w:rFonts w:cs="Times New Roman"/>
                <w:snapToGrid w:val="0"/>
                <w:color w:val="auto"/>
                <w:kern w:val="0"/>
                <w:sz w:val="21"/>
                <w:szCs w:val="21"/>
                <w:highlight w:val="none"/>
              </w:rPr>
              <w:t>时配备相应的技术人员与检验设备，生产技术人员和检验人员进行技术培训，项目配有相应的环保措施，能够保证排放的废水、废气、废物和噪声等符合国家环保规定的要求。</w:t>
            </w:r>
          </w:p>
        </w:tc>
        <w:tc>
          <w:tcPr>
            <w:tcW w:w="750" w:type="dxa"/>
            <w:vAlign w:val="center"/>
          </w:tcPr>
          <w:p w14:paraId="7FF72A6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符合</w:t>
            </w:r>
          </w:p>
        </w:tc>
      </w:tr>
      <w:tr w14:paraId="66E98B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982" w:type="dxa"/>
            <w:vAlign w:val="center"/>
          </w:tcPr>
          <w:p w14:paraId="27EAEB48">
            <w:pPr>
              <w:adjustRightInd/>
              <w:snapToGrid/>
              <w:spacing w:line="360" w:lineRule="exact"/>
              <w:ind w:firstLine="0" w:firstLineChars="0"/>
              <w:rPr>
                <w:rFonts w:cs="Times New Roman"/>
                <w:snapToGrid w:val="0"/>
                <w:color w:val="auto"/>
                <w:kern w:val="0"/>
                <w:sz w:val="21"/>
                <w:highlight w:val="none"/>
                <w:lang w:val="zh-CN"/>
              </w:rPr>
            </w:pPr>
            <w:bookmarkStart w:id="23" w:name="_Hlk519780609"/>
            <w:r>
              <w:rPr>
                <w:rFonts w:cs="Times New Roman"/>
                <w:snapToGrid w:val="0"/>
                <w:color w:val="auto"/>
                <w:kern w:val="0"/>
                <w:sz w:val="21"/>
                <w:highlight w:val="none"/>
                <w:lang w:val="zh-CN"/>
              </w:rPr>
              <w:t>《畜禽屠宰加工卫生规范》（GB12694-2016）</w:t>
            </w:r>
            <w:bookmarkEnd w:id="23"/>
          </w:p>
        </w:tc>
        <w:tc>
          <w:tcPr>
            <w:tcW w:w="3706" w:type="dxa"/>
            <w:vAlign w:val="center"/>
          </w:tcPr>
          <w:p w14:paraId="3CA540D4">
            <w:pPr>
              <w:adjustRightInd/>
              <w:snapToGrid/>
              <w:spacing w:line="360" w:lineRule="exact"/>
              <w:ind w:firstLine="0" w:firstLineChars="0"/>
              <w:rPr>
                <w:rFonts w:cs="Times New Roman"/>
                <w:snapToGrid w:val="0"/>
                <w:color w:val="auto"/>
                <w:kern w:val="0"/>
                <w:sz w:val="21"/>
                <w:highlight w:val="none"/>
              </w:rPr>
            </w:pPr>
            <w:r>
              <w:rPr>
                <w:rFonts w:cs="Times New Roman"/>
                <w:snapToGrid w:val="0"/>
                <w:color w:val="auto"/>
                <w:kern w:val="0"/>
                <w:sz w:val="21"/>
                <w:highlight w:val="none"/>
              </w:rPr>
              <w:t>3.2.1卫生防护距离应符合GB18078.1及动物防疫要求。</w:t>
            </w:r>
          </w:p>
          <w:p w14:paraId="2E7CEB2D">
            <w:pPr>
              <w:adjustRightInd/>
              <w:snapToGrid/>
              <w:spacing w:line="360" w:lineRule="exact"/>
              <w:ind w:firstLine="0" w:firstLineChars="0"/>
              <w:rPr>
                <w:rFonts w:cs="Times New Roman"/>
                <w:snapToGrid w:val="0"/>
                <w:color w:val="auto"/>
                <w:kern w:val="0"/>
                <w:sz w:val="21"/>
                <w:highlight w:val="none"/>
              </w:rPr>
            </w:pPr>
            <w:r>
              <w:rPr>
                <w:rFonts w:cs="Times New Roman"/>
                <w:snapToGrid w:val="0"/>
                <w:color w:val="auto"/>
                <w:kern w:val="0"/>
                <w:sz w:val="21"/>
                <w:highlight w:val="none"/>
              </w:rPr>
              <w:t>3.2.2厂址周围应有良好的环境卫生条件。厂区应远离受污染的水体，并应避开产生有害气体、烟雾、粉尘等污染源的工业企业或其他产生污染源的地区或场所。</w:t>
            </w:r>
          </w:p>
          <w:p w14:paraId="715DC3BE">
            <w:pPr>
              <w:adjustRightInd/>
              <w:snapToGrid/>
              <w:spacing w:line="360" w:lineRule="exact"/>
              <w:ind w:firstLine="0" w:firstLineChars="0"/>
              <w:rPr>
                <w:rFonts w:cs="Times New Roman"/>
                <w:snapToGrid w:val="0"/>
                <w:color w:val="auto"/>
                <w:kern w:val="0"/>
                <w:sz w:val="21"/>
                <w:highlight w:val="none"/>
              </w:rPr>
            </w:pPr>
            <w:r>
              <w:rPr>
                <w:rFonts w:cs="Times New Roman"/>
                <w:snapToGrid w:val="0"/>
                <w:color w:val="auto"/>
                <w:kern w:val="0"/>
                <w:sz w:val="21"/>
                <w:highlight w:val="none"/>
              </w:rPr>
              <w:t>3.2.3厂址必须具备符合要求的水源和电源，应结合工艺要求因地制宜地确定，并应符合屠宰企业设置规划的要求。</w:t>
            </w:r>
          </w:p>
        </w:tc>
        <w:tc>
          <w:tcPr>
            <w:tcW w:w="3210" w:type="dxa"/>
            <w:vAlign w:val="center"/>
          </w:tcPr>
          <w:p w14:paraId="01FB1FCA">
            <w:pPr>
              <w:spacing w:line="360" w:lineRule="exact"/>
              <w:ind w:firstLine="420"/>
              <w:rPr>
                <w:rFonts w:cs="Times New Roman"/>
                <w:snapToGrid w:val="0"/>
                <w:color w:val="auto"/>
                <w:kern w:val="0"/>
                <w:sz w:val="21"/>
                <w:highlight w:val="none"/>
              </w:rPr>
            </w:pPr>
            <w:r>
              <w:rPr>
                <w:rFonts w:cs="Times New Roman"/>
                <w:snapToGrid w:val="0"/>
                <w:color w:val="auto"/>
                <w:kern w:val="0"/>
                <w:sz w:val="21"/>
                <w:highlight w:val="none"/>
                <w:lang w:val="zh-CN"/>
              </w:rPr>
              <w:t>本项目位于</w:t>
            </w:r>
            <w:r>
              <w:rPr>
                <w:rFonts w:hint="eastAsia" w:ascii="Times New Roman" w:hAnsi="Times New Roman" w:cs="Times New Roman"/>
                <w:snapToGrid w:val="0"/>
                <w:color w:val="auto"/>
                <w:kern w:val="0"/>
                <w:sz w:val="21"/>
                <w:highlight w:val="none"/>
                <w:lang w:val="en-US" w:eastAsia="zh-CN"/>
              </w:rPr>
              <w:t>黑龙江省双鸭山市岭东区长胜乡东兴村</w:t>
            </w:r>
            <w:r>
              <w:rPr>
                <w:rFonts w:cs="Times New Roman"/>
                <w:snapToGrid w:val="0"/>
                <w:color w:val="auto"/>
                <w:kern w:val="0"/>
                <w:sz w:val="21"/>
                <w:highlight w:val="none"/>
                <w:lang w:val="zh-CN"/>
              </w:rPr>
              <w:t>，</w:t>
            </w:r>
            <w:r>
              <w:rPr>
                <w:rFonts w:cs="Times New Roman"/>
                <w:snapToGrid w:val="0"/>
                <w:color w:val="auto"/>
                <w:kern w:val="0"/>
                <w:sz w:val="21"/>
                <w:szCs w:val="21"/>
                <w:highlight w:val="none"/>
              </w:rPr>
              <w:t>周边无产生有害气体、烟雾、粉尘等污染源的工业企业。交通运输方便，市政供电，供水来源于</w:t>
            </w:r>
            <w:r>
              <w:rPr>
                <w:rFonts w:hint="eastAsia" w:cs="Times New Roman"/>
                <w:snapToGrid w:val="0"/>
                <w:color w:val="auto"/>
                <w:kern w:val="0"/>
                <w:sz w:val="21"/>
                <w:szCs w:val="21"/>
                <w:highlight w:val="none"/>
                <w:lang w:val="en-US" w:eastAsia="zh-CN"/>
              </w:rPr>
              <w:t>市政</w:t>
            </w:r>
            <w:r>
              <w:rPr>
                <w:rFonts w:cs="Times New Roman"/>
                <w:snapToGrid w:val="0"/>
                <w:color w:val="auto"/>
                <w:kern w:val="0"/>
                <w:sz w:val="21"/>
                <w:szCs w:val="21"/>
                <w:highlight w:val="none"/>
              </w:rPr>
              <w:t>供水管网，水电等各项设施完善。</w:t>
            </w:r>
          </w:p>
        </w:tc>
        <w:tc>
          <w:tcPr>
            <w:tcW w:w="750" w:type="dxa"/>
            <w:vAlign w:val="center"/>
          </w:tcPr>
          <w:p w14:paraId="000F443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符合</w:t>
            </w:r>
          </w:p>
        </w:tc>
      </w:tr>
      <w:tr w14:paraId="4C270C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05" w:hRule="atLeast"/>
          <w:jc w:val="center"/>
        </w:trPr>
        <w:tc>
          <w:tcPr>
            <w:tcW w:w="982" w:type="dxa"/>
            <w:vAlign w:val="center"/>
          </w:tcPr>
          <w:p w14:paraId="71C22D13">
            <w:pPr>
              <w:adjustRightInd/>
              <w:snapToGrid/>
              <w:spacing w:line="360" w:lineRule="exact"/>
              <w:ind w:firstLine="0" w:firstLineChars="0"/>
              <w:rPr>
                <w:rFonts w:cs="Times New Roman"/>
                <w:snapToGrid w:val="0"/>
                <w:color w:val="auto"/>
                <w:kern w:val="0"/>
                <w:sz w:val="21"/>
                <w:highlight w:val="none"/>
                <w:lang w:val="zh-CN"/>
              </w:rPr>
            </w:pPr>
            <w:bookmarkStart w:id="24" w:name="_Hlk519780620"/>
            <w:r>
              <w:rPr>
                <w:rFonts w:cs="Times New Roman"/>
                <w:snapToGrid w:val="0"/>
                <w:color w:val="auto"/>
                <w:kern w:val="0"/>
                <w:sz w:val="21"/>
                <w:highlight w:val="none"/>
                <w:lang w:val="zh-CN"/>
              </w:rPr>
              <w:t>《畜类屠宰加工通用技术》（GB/T17237-2008）</w:t>
            </w:r>
          </w:p>
        </w:tc>
        <w:tc>
          <w:tcPr>
            <w:tcW w:w="3706" w:type="dxa"/>
            <w:vAlign w:val="center"/>
          </w:tcPr>
          <w:p w14:paraId="08B64945">
            <w:pPr>
              <w:adjustRightInd/>
              <w:snapToGrid/>
              <w:spacing w:line="360" w:lineRule="exact"/>
              <w:ind w:firstLine="0" w:firstLineChars="0"/>
              <w:rPr>
                <w:rFonts w:cs="Times New Roman"/>
                <w:snapToGrid w:val="0"/>
                <w:color w:val="auto"/>
                <w:kern w:val="0"/>
                <w:sz w:val="21"/>
                <w:highlight w:val="none"/>
              </w:rPr>
            </w:pPr>
            <w:r>
              <w:rPr>
                <w:rFonts w:cs="Times New Roman"/>
                <w:snapToGrid w:val="0"/>
                <w:color w:val="auto"/>
                <w:kern w:val="0"/>
                <w:sz w:val="21"/>
                <w:highlight w:val="none"/>
              </w:rPr>
              <w:t>4.1畜类屠宰加工厂（场）选址除应符合GB12694和GB50317的相关要求外，还应选在当地常年主导风向的下风侧，远离水源保护区和饮用水取水口，避开居民住宅区、公共场所以及畜禽饲养场；</w:t>
            </w:r>
          </w:p>
          <w:p w14:paraId="44BDA36E">
            <w:pPr>
              <w:adjustRightInd/>
              <w:snapToGrid/>
              <w:spacing w:line="360" w:lineRule="exact"/>
              <w:ind w:firstLine="0" w:firstLineChars="0"/>
              <w:rPr>
                <w:rFonts w:cs="Times New Roman"/>
                <w:snapToGrid w:val="0"/>
                <w:color w:val="auto"/>
                <w:kern w:val="0"/>
                <w:sz w:val="21"/>
                <w:highlight w:val="none"/>
              </w:rPr>
            </w:pPr>
            <w:r>
              <w:rPr>
                <w:rFonts w:cs="Times New Roman"/>
                <w:snapToGrid w:val="0"/>
                <w:color w:val="auto"/>
                <w:kern w:val="0"/>
                <w:sz w:val="21"/>
                <w:highlight w:val="none"/>
              </w:rPr>
              <w:t>4.2畜类屠宰加工厂（场）应设在交通运输方便，电源稳定，水源充足，水质符合GB5749要求，环境卫生条件良好，无有害气体、粉尘、污浊水及其他污染源的地区。</w:t>
            </w:r>
          </w:p>
        </w:tc>
        <w:tc>
          <w:tcPr>
            <w:tcW w:w="3210" w:type="dxa"/>
            <w:vAlign w:val="center"/>
          </w:tcPr>
          <w:p w14:paraId="0B9D130C">
            <w:pPr>
              <w:spacing w:line="360" w:lineRule="exact"/>
              <w:ind w:firstLine="420"/>
              <w:rPr>
                <w:rFonts w:cs="Times New Roman"/>
                <w:snapToGrid w:val="0"/>
                <w:color w:val="auto"/>
                <w:kern w:val="0"/>
                <w:sz w:val="21"/>
                <w:highlight w:val="none"/>
                <w:lang w:val="zh-CN"/>
              </w:rPr>
            </w:pPr>
            <w:r>
              <w:rPr>
                <w:rFonts w:cs="Times New Roman"/>
                <w:snapToGrid w:val="0"/>
                <w:color w:val="auto"/>
                <w:kern w:val="0"/>
                <w:sz w:val="21"/>
                <w:highlight w:val="none"/>
                <w:lang w:val="zh-CN"/>
              </w:rPr>
              <w:t>本项目位于</w:t>
            </w:r>
            <w:r>
              <w:rPr>
                <w:rFonts w:hint="eastAsia" w:ascii="Times New Roman" w:hAnsi="Times New Roman" w:cs="Times New Roman"/>
                <w:snapToGrid w:val="0"/>
                <w:color w:val="auto"/>
                <w:kern w:val="0"/>
                <w:sz w:val="21"/>
                <w:highlight w:val="none"/>
                <w:lang w:val="en-US" w:eastAsia="zh-CN"/>
              </w:rPr>
              <w:t>黑龙江省双鸭山市岭东区长胜乡东兴村</w:t>
            </w:r>
            <w:r>
              <w:rPr>
                <w:rFonts w:cs="Times New Roman"/>
                <w:snapToGrid w:val="0"/>
                <w:color w:val="auto"/>
                <w:kern w:val="0"/>
                <w:sz w:val="21"/>
                <w:highlight w:val="none"/>
                <w:lang w:val="zh-CN"/>
              </w:rPr>
              <w:t>，</w:t>
            </w:r>
            <w:r>
              <w:rPr>
                <w:rFonts w:cs="Times New Roman"/>
                <w:snapToGrid w:val="0"/>
                <w:color w:val="auto"/>
                <w:kern w:val="0"/>
                <w:sz w:val="21"/>
                <w:highlight w:val="none"/>
              </w:rPr>
              <w:t>距离最近居民区</w:t>
            </w:r>
            <w:r>
              <w:rPr>
                <w:rFonts w:hint="eastAsia" w:cs="Times New Roman"/>
                <w:snapToGrid w:val="0"/>
                <w:color w:val="auto"/>
                <w:kern w:val="0"/>
                <w:sz w:val="21"/>
                <w:highlight w:val="none"/>
                <w:lang w:val="en-US" w:eastAsia="zh-CN"/>
              </w:rPr>
              <w:t>约100</w:t>
            </w:r>
            <w:r>
              <w:rPr>
                <w:rFonts w:cs="Times New Roman"/>
                <w:snapToGrid w:val="0"/>
                <w:color w:val="auto"/>
                <w:kern w:val="0"/>
                <w:sz w:val="21"/>
                <w:highlight w:val="none"/>
              </w:rPr>
              <w:t>m，</w:t>
            </w:r>
            <w:r>
              <w:rPr>
                <w:rFonts w:cs="Times New Roman"/>
                <w:snapToGrid w:val="0"/>
                <w:color w:val="auto"/>
                <w:kern w:val="0"/>
                <w:sz w:val="21"/>
                <w:szCs w:val="21"/>
                <w:highlight w:val="none"/>
              </w:rPr>
              <w:t>厂区位于</w:t>
            </w:r>
            <w:r>
              <w:rPr>
                <w:rFonts w:hint="eastAsia" w:cs="Times New Roman"/>
                <w:snapToGrid w:val="0"/>
                <w:color w:val="auto"/>
                <w:kern w:val="0"/>
                <w:sz w:val="21"/>
                <w:szCs w:val="21"/>
                <w:highlight w:val="none"/>
                <w:lang w:val="en-US" w:eastAsia="zh-CN"/>
              </w:rPr>
              <w:t>当地</w:t>
            </w:r>
            <w:r>
              <w:rPr>
                <w:rFonts w:cs="Times New Roman"/>
                <w:snapToGrid w:val="0"/>
                <w:color w:val="auto"/>
                <w:kern w:val="0"/>
                <w:sz w:val="21"/>
                <w:szCs w:val="21"/>
                <w:highlight w:val="none"/>
              </w:rPr>
              <w:t>全年主导风向下风向，本项目符合卫生防护距离及动物防疫要求。项目周边无产生有害气体、烟雾、粉尘等污染源的工业企业。交通运输方便，市政供电，供水来源于</w:t>
            </w:r>
            <w:r>
              <w:rPr>
                <w:rFonts w:hint="eastAsia" w:cs="Times New Roman"/>
                <w:snapToGrid w:val="0"/>
                <w:color w:val="auto"/>
                <w:kern w:val="0"/>
                <w:sz w:val="21"/>
                <w:szCs w:val="21"/>
                <w:highlight w:val="none"/>
                <w:lang w:val="en-US" w:eastAsia="zh-CN"/>
              </w:rPr>
              <w:t>市政</w:t>
            </w:r>
            <w:r>
              <w:rPr>
                <w:rFonts w:cs="Times New Roman"/>
                <w:snapToGrid w:val="0"/>
                <w:color w:val="auto"/>
                <w:kern w:val="0"/>
                <w:sz w:val="21"/>
                <w:szCs w:val="21"/>
                <w:highlight w:val="none"/>
              </w:rPr>
              <w:t>供水管网，水电等各项设施完善。</w:t>
            </w:r>
          </w:p>
        </w:tc>
        <w:tc>
          <w:tcPr>
            <w:tcW w:w="750" w:type="dxa"/>
            <w:vAlign w:val="center"/>
          </w:tcPr>
          <w:p w14:paraId="1D4A850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符合</w:t>
            </w:r>
          </w:p>
        </w:tc>
      </w:tr>
      <w:bookmarkEnd w:id="24"/>
      <w:tr w14:paraId="4494CD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vMerge w:val="restart"/>
            <w:vAlign w:val="center"/>
          </w:tcPr>
          <w:p w14:paraId="305A74AB">
            <w:pPr>
              <w:adjustRightInd/>
              <w:snapToGrid/>
              <w:spacing w:line="360" w:lineRule="exact"/>
              <w:ind w:firstLine="0" w:firstLineChars="0"/>
              <w:rPr>
                <w:rFonts w:cs="Times New Roman"/>
                <w:snapToGrid w:val="0"/>
                <w:color w:val="auto"/>
                <w:kern w:val="0"/>
                <w:sz w:val="21"/>
                <w:highlight w:val="none"/>
                <w:lang w:val="zh-CN"/>
              </w:rPr>
            </w:pPr>
            <w:r>
              <w:rPr>
                <w:rFonts w:cs="Times New Roman"/>
                <w:snapToGrid w:val="0"/>
                <w:color w:val="auto"/>
                <w:kern w:val="0"/>
                <w:sz w:val="21"/>
                <w:highlight w:val="none"/>
                <w:lang w:val="zh-CN"/>
              </w:rPr>
              <w:t>《牛羊屠宰与分割车间设计规范》（GB51225-2017）</w:t>
            </w:r>
          </w:p>
        </w:tc>
        <w:tc>
          <w:tcPr>
            <w:tcW w:w="3706" w:type="dxa"/>
            <w:vAlign w:val="center"/>
          </w:tcPr>
          <w:p w14:paraId="22A42E41">
            <w:pPr>
              <w:adjustRightInd/>
              <w:snapToGrid/>
              <w:spacing w:line="360" w:lineRule="exact"/>
              <w:ind w:firstLine="0" w:firstLineChars="0"/>
              <w:rPr>
                <w:rFonts w:cs="Times New Roman"/>
                <w:snapToGrid w:val="0"/>
                <w:color w:val="auto"/>
                <w:kern w:val="0"/>
                <w:sz w:val="21"/>
                <w:szCs w:val="21"/>
                <w:highlight w:val="none"/>
              </w:rPr>
            </w:pPr>
            <w:r>
              <w:rPr>
                <w:rFonts w:cs="Times New Roman"/>
                <w:snapToGrid w:val="0"/>
                <w:color w:val="auto"/>
                <w:kern w:val="0"/>
                <w:sz w:val="21"/>
                <w:szCs w:val="21"/>
                <w:highlight w:val="none"/>
              </w:rPr>
              <w:t>3.1.1屠宰与分割车间所在厂区（以下简称“厂区”）必须具备可靠的水源和电源，周边交通运输方便，并符合当地城乡规划、卫生与环境保护部门的要求。</w:t>
            </w:r>
            <w:r>
              <w:rPr>
                <w:rFonts w:cs="Times New Roman"/>
                <w:snapToGrid w:val="0"/>
                <w:color w:val="auto"/>
                <w:kern w:val="0"/>
                <w:sz w:val="21"/>
                <w:szCs w:val="21"/>
                <w:highlight w:val="none"/>
              </w:rPr>
              <w:br w:type="textWrapping"/>
            </w:r>
            <w:r>
              <w:rPr>
                <w:rFonts w:cs="Times New Roman"/>
                <w:snapToGrid w:val="0"/>
                <w:color w:val="auto"/>
                <w:kern w:val="0"/>
                <w:sz w:val="21"/>
                <w:szCs w:val="21"/>
                <w:highlight w:val="none"/>
              </w:rPr>
              <w:t>3.1.2厂址周围应有良好的环境卫生条件。厂址应避开受污染的水体及产生有害气体、烟雾、粉尘或其他污染源的工业企业或场所。</w:t>
            </w:r>
          </w:p>
          <w:p w14:paraId="44763631">
            <w:pPr>
              <w:adjustRightInd/>
              <w:snapToGrid/>
              <w:spacing w:line="360" w:lineRule="exact"/>
              <w:ind w:firstLine="0" w:firstLineChars="0"/>
              <w:rPr>
                <w:rFonts w:cs="Times New Roman"/>
                <w:snapToGrid w:val="0"/>
                <w:color w:val="auto"/>
                <w:kern w:val="0"/>
                <w:sz w:val="21"/>
                <w:highlight w:val="none"/>
                <w:lang w:val="zh-CN"/>
              </w:rPr>
            </w:pPr>
            <w:r>
              <w:rPr>
                <w:rFonts w:cs="Times New Roman"/>
                <w:snapToGrid w:val="0"/>
                <w:color w:val="auto"/>
                <w:kern w:val="0"/>
                <w:sz w:val="21"/>
                <w:szCs w:val="21"/>
                <w:highlight w:val="none"/>
              </w:rPr>
              <w:t>3.1.4厂址应远离城市水源地和城市给水、取水口，其附近应有城市污水排放管网或允许排入的最终受纳水体。</w:t>
            </w:r>
          </w:p>
        </w:tc>
        <w:tc>
          <w:tcPr>
            <w:tcW w:w="3210" w:type="dxa"/>
            <w:vAlign w:val="center"/>
          </w:tcPr>
          <w:p w14:paraId="56760174">
            <w:pPr>
              <w:spacing w:line="360" w:lineRule="exact"/>
              <w:ind w:firstLine="420"/>
              <w:rPr>
                <w:rFonts w:cs="Times New Roman"/>
                <w:snapToGrid w:val="0"/>
                <w:color w:val="auto"/>
                <w:kern w:val="0"/>
                <w:sz w:val="21"/>
                <w:highlight w:val="none"/>
              </w:rPr>
            </w:pPr>
            <w:r>
              <w:rPr>
                <w:rFonts w:cs="Times New Roman"/>
                <w:snapToGrid w:val="0"/>
                <w:color w:val="auto"/>
                <w:kern w:val="0"/>
                <w:sz w:val="21"/>
                <w:highlight w:val="none"/>
                <w:lang w:val="zh-CN"/>
              </w:rPr>
              <w:t>本项目位于</w:t>
            </w:r>
            <w:r>
              <w:rPr>
                <w:rFonts w:hint="eastAsia" w:ascii="Times New Roman" w:hAnsi="Times New Roman" w:cs="Times New Roman"/>
                <w:snapToGrid w:val="0"/>
                <w:color w:val="auto"/>
                <w:kern w:val="0"/>
                <w:sz w:val="21"/>
                <w:highlight w:val="none"/>
                <w:lang w:val="en-US" w:eastAsia="zh-CN"/>
              </w:rPr>
              <w:t>黑龙江省双鸭山市岭东区长胜乡东兴村</w:t>
            </w:r>
            <w:r>
              <w:rPr>
                <w:rFonts w:cs="Times New Roman"/>
                <w:snapToGrid w:val="0"/>
                <w:color w:val="auto"/>
                <w:kern w:val="0"/>
                <w:sz w:val="21"/>
                <w:highlight w:val="none"/>
              </w:rPr>
              <w:t>，</w:t>
            </w:r>
            <w:r>
              <w:rPr>
                <w:rFonts w:cs="Times New Roman"/>
                <w:snapToGrid w:val="0"/>
                <w:color w:val="auto"/>
                <w:kern w:val="0"/>
                <w:sz w:val="21"/>
                <w:szCs w:val="21"/>
                <w:highlight w:val="none"/>
              </w:rPr>
              <w:t>交通运输方便，市政供电，供水来源于</w:t>
            </w:r>
            <w:r>
              <w:rPr>
                <w:rFonts w:hint="eastAsia" w:cs="Times New Roman"/>
                <w:snapToGrid w:val="0"/>
                <w:color w:val="auto"/>
                <w:kern w:val="0"/>
                <w:sz w:val="21"/>
                <w:szCs w:val="21"/>
                <w:highlight w:val="none"/>
                <w:lang w:val="en-US" w:eastAsia="zh-CN"/>
              </w:rPr>
              <w:t>市政</w:t>
            </w:r>
            <w:r>
              <w:rPr>
                <w:rFonts w:cs="Times New Roman"/>
                <w:snapToGrid w:val="0"/>
                <w:color w:val="auto"/>
                <w:kern w:val="0"/>
                <w:sz w:val="21"/>
                <w:szCs w:val="21"/>
                <w:highlight w:val="none"/>
              </w:rPr>
              <w:t>供水管网，水电等各项设施完善。当地城乡规划、卫生与环境保护部门的要求。项目周边无产生有害气体、烟雾、粉尘等污染源的工业企业。项目厂区位于</w:t>
            </w:r>
            <w:r>
              <w:rPr>
                <w:rFonts w:hint="eastAsia" w:cs="Times New Roman"/>
                <w:snapToGrid w:val="0"/>
                <w:color w:val="auto"/>
                <w:kern w:val="0"/>
                <w:sz w:val="21"/>
                <w:szCs w:val="21"/>
                <w:highlight w:val="none"/>
                <w:lang w:val="en-US" w:eastAsia="zh-CN"/>
              </w:rPr>
              <w:t>当地</w:t>
            </w:r>
            <w:r>
              <w:rPr>
                <w:rFonts w:cs="Times New Roman"/>
                <w:snapToGrid w:val="0"/>
                <w:color w:val="auto"/>
                <w:kern w:val="0"/>
                <w:sz w:val="21"/>
                <w:szCs w:val="21"/>
                <w:highlight w:val="none"/>
              </w:rPr>
              <w:t>全年主导风向下风向，</w:t>
            </w:r>
            <w:r>
              <w:rPr>
                <w:rFonts w:cs="Times New Roman"/>
                <w:snapToGrid w:val="0"/>
                <w:color w:val="auto"/>
                <w:kern w:val="0"/>
                <w:sz w:val="21"/>
                <w:highlight w:val="none"/>
              </w:rPr>
              <w:t>距离最近居民区</w:t>
            </w:r>
            <w:r>
              <w:rPr>
                <w:rFonts w:hint="eastAsia" w:cs="Times New Roman"/>
                <w:snapToGrid w:val="0"/>
                <w:color w:val="auto"/>
                <w:kern w:val="0"/>
                <w:sz w:val="21"/>
                <w:highlight w:val="none"/>
                <w:lang w:val="en-US" w:eastAsia="zh-CN"/>
              </w:rPr>
              <w:t>约100</w:t>
            </w:r>
            <w:r>
              <w:rPr>
                <w:rFonts w:cs="Times New Roman"/>
                <w:snapToGrid w:val="0"/>
                <w:color w:val="auto"/>
                <w:kern w:val="0"/>
                <w:sz w:val="21"/>
                <w:highlight w:val="none"/>
              </w:rPr>
              <w:t>m，符合</w:t>
            </w:r>
            <w:r>
              <w:rPr>
                <w:rFonts w:cs="Times New Roman"/>
                <w:snapToGrid w:val="0"/>
                <w:color w:val="auto"/>
                <w:kern w:val="0"/>
                <w:sz w:val="21"/>
                <w:szCs w:val="21"/>
                <w:highlight w:val="none"/>
              </w:rPr>
              <w:t>GB18078.1的规定。项目废水排入</w:t>
            </w:r>
            <w:r>
              <w:rPr>
                <w:rFonts w:hint="eastAsia" w:cs="Times New Roman"/>
                <w:snapToGrid w:val="0"/>
                <w:color w:val="auto"/>
                <w:kern w:val="0"/>
                <w:sz w:val="21"/>
                <w:szCs w:val="21"/>
                <w:highlight w:val="none"/>
                <w:lang w:val="en-US" w:eastAsia="zh-CN"/>
              </w:rPr>
              <w:t>厂区自建</w:t>
            </w:r>
            <w:r>
              <w:rPr>
                <w:rFonts w:cs="Times New Roman"/>
                <w:snapToGrid w:val="0"/>
                <w:color w:val="auto"/>
                <w:kern w:val="0"/>
                <w:sz w:val="21"/>
                <w:szCs w:val="21"/>
                <w:highlight w:val="none"/>
              </w:rPr>
              <w:t>污水处理</w:t>
            </w:r>
            <w:r>
              <w:rPr>
                <w:rFonts w:hint="eastAsia" w:cs="Times New Roman"/>
                <w:snapToGrid w:val="0"/>
                <w:color w:val="auto"/>
                <w:kern w:val="0"/>
                <w:sz w:val="21"/>
                <w:szCs w:val="21"/>
                <w:highlight w:val="none"/>
                <w:lang w:val="en-US" w:eastAsia="zh-CN"/>
              </w:rPr>
              <w:t>站</w:t>
            </w:r>
            <w:r>
              <w:rPr>
                <w:rFonts w:cs="Times New Roman"/>
                <w:snapToGrid w:val="0"/>
                <w:color w:val="auto"/>
                <w:kern w:val="0"/>
                <w:sz w:val="21"/>
                <w:szCs w:val="21"/>
                <w:highlight w:val="none"/>
              </w:rPr>
              <w:t>处理后排放</w:t>
            </w:r>
            <w:r>
              <w:rPr>
                <w:rFonts w:hint="eastAsia" w:cs="Times New Roman"/>
                <w:snapToGrid w:val="0"/>
                <w:color w:val="auto"/>
                <w:kern w:val="0"/>
                <w:sz w:val="21"/>
                <w:szCs w:val="21"/>
                <w:highlight w:val="none"/>
                <w:lang w:val="en-US" w:eastAsia="zh-CN"/>
              </w:rPr>
              <w:t>至市政管网</w:t>
            </w:r>
            <w:r>
              <w:rPr>
                <w:rFonts w:cs="Times New Roman"/>
                <w:snapToGrid w:val="0"/>
                <w:color w:val="auto"/>
                <w:kern w:val="0"/>
                <w:sz w:val="21"/>
                <w:szCs w:val="21"/>
                <w:highlight w:val="none"/>
              </w:rPr>
              <w:t>。</w:t>
            </w:r>
          </w:p>
        </w:tc>
        <w:tc>
          <w:tcPr>
            <w:tcW w:w="750" w:type="dxa"/>
            <w:vMerge w:val="restart"/>
            <w:vAlign w:val="center"/>
          </w:tcPr>
          <w:p w14:paraId="2BFDDAD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符合</w:t>
            </w:r>
          </w:p>
        </w:tc>
      </w:tr>
      <w:tr w14:paraId="4C7AF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68" w:hRule="atLeast"/>
          <w:jc w:val="center"/>
        </w:trPr>
        <w:tc>
          <w:tcPr>
            <w:tcW w:w="982" w:type="dxa"/>
            <w:vMerge w:val="continue"/>
            <w:vAlign w:val="center"/>
          </w:tcPr>
          <w:p w14:paraId="24AD1C33">
            <w:pPr>
              <w:adjustRightInd/>
              <w:snapToGrid/>
              <w:spacing w:line="360" w:lineRule="exact"/>
              <w:ind w:firstLine="0" w:firstLineChars="0"/>
              <w:rPr>
                <w:rFonts w:cs="Times New Roman"/>
                <w:snapToGrid w:val="0"/>
                <w:color w:val="auto"/>
                <w:kern w:val="0"/>
                <w:sz w:val="21"/>
                <w:highlight w:val="none"/>
                <w:lang w:val="zh-CN"/>
              </w:rPr>
            </w:pPr>
          </w:p>
        </w:tc>
        <w:tc>
          <w:tcPr>
            <w:tcW w:w="3706" w:type="dxa"/>
            <w:vAlign w:val="center"/>
          </w:tcPr>
          <w:p w14:paraId="1C823934">
            <w:pPr>
              <w:adjustRightInd/>
              <w:snapToGrid/>
              <w:spacing w:line="360" w:lineRule="exact"/>
              <w:ind w:firstLine="0" w:firstLineChars="0"/>
              <w:rPr>
                <w:rFonts w:ascii="Times New Roman" w:hAnsi="Times New Roman" w:eastAsia="宋体" w:cs="Times New Roman"/>
                <w:snapToGrid w:val="0"/>
                <w:color w:val="auto"/>
                <w:kern w:val="0"/>
                <w:sz w:val="21"/>
                <w:szCs w:val="21"/>
                <w:highlight w:val="none"/>
              </w:rPr>
            </w:pPr>
            <w:r>
              <w:rPr>
                <w:rFonts w:ascii="Times New Roman" w:hAnsi="Times New Roman" w:eastAsia="宋体" w:cs="Times New Roman"/>
                <w:snapToGrid w:val="0"/>
                <w:color w:val="auto"/>
                <w:kern w:val="0"/>
                <w:sz w:val="21"/>
                <w:szCs w:val="21"/>
                <w:highlight w:val="none"/>
              </w:rPr>
              <w:t>3.2.1厂区应划分为生产区和生活区。生产区内应明确区分非清洁区和清洁区。在严寒、寒冷和夏热冬冷地区，非清洁区不应布置在厂区夏季主导风向的上风侧，清洁区不应布置在厂区夏季主导风向的下风侧；在夏热冬暖和温和地区，非清洁区不应布置在厂区全年主导风向的上风侧，清洁区不应布置在厂区全年主导风向的下风侧。</w:t>
            </w:r>
          </w:p>
          <w:p w14:paraId="6E0CD038">
            <w:pPr>
              <w:adjustRightInd/>
              <w:snapToGrid/>
              <w:spacing w:line="360" w:lineRule="exact"/>
              <w:ind w:firstLine="0" w:firstLineChars="0"/>
              <w:rPr>
                <w:rFonts w:ascii="Times New Roman" w:hAnsi="Times New Roman" w:eastAsia="宋体" w:cs="Times New Roman"/>
                <w:snapToGrid w:val="0"/>
                <w:color w:val="auto"/>
                <w:kern w:val="0"/>
                <w:sz w:val="21"/>
                <w:szCs w:val="21"/>
                <w:highlight w:val="none"/>
              </w:rPr>
            </w:pPr>
            <w:r>
              <w:rPr>
                <w:rFonts w:ascii="Times New Roman" w:hAnsi="Times New Roman" w:eastAsia="宋体" w:cs="Times New Roman"/>
                <w:snapToGrid w:val="0"/>
                <w:color w:val="auto"/>
                <w:kern w:val="0"/>
                <w:sz w:val="21"/>
                <w:szCs w:val="21"/>
                <w:highlight w:val="none"/>
              </w:rPr>
              <w:t>3.2.2生产区活畜入口、废弃物的出口与产品出口应分开设置，</w:t>
            </w:r>
            <w:r>
              <w:rPr>
                <w:rFonts w:ascii="Times New Roman" w:hAnsi="Times New Roman" w:eastAsia="宋体" w:cs="Times New Roman"/>
                <w:snapToGrid w:val="0"/>
                <w:color w:val="auto"/>
                <w:kern w:val="0"/>
                <w:sz w:val="21"/>
                <w:szCs w:val="21"/>
                <w:highlight w:val="none"/>
              </w:rPr>
              <w:br w:type="textWrapping"/>
            </w:r>
            <w:r>
              <w:rPr>
                <w:rFonts w:ascii="Times New Roman" w:hAnsi="Times New Roman" w:eastAsia="宋体" w:cs="Times New Roman"/>
                <w:snapToGrid w:val="0"/>
                <w:color w:val="auto"/>
                <w:kern w:val="0"/>
                <w:sz w:val="21"/>
                <w:szCs w:val="21"/>
                <w:highlight w:val="none"/>
              </w:rPr>
              <w:t>活畜、废弃物与产品的运送通道不得共用。</w:t>
            </w:r>
            <w:r>
              <w:rPr>
                <w:rFonts w:ascii="Times New Roman" w:hAnsi="Times New Roman" w:eastAsia="宋体" w:cs="Times New Roman"/>
                <w:snapToGrid w:val="0"/>
                <w:color w:val="auto"/>
                <w:kern w:val="0"/>
                <w:sz w:val="21"/>
                <w:szCs w:val="21"/>
                <w:highlight w:val="none"/>
              </w:rPr>
              <w:br w:type="textWrapping"/>
            </w:r>
            <w:r>
              <w:rPr>
                <w:rFonts w:ascii="Times New Roman" w:hAnsi="Times New Roman" w:eastAsia="宋体" w:cs="Times New Roman"/>
                <w:snapToGrid w:val="0"/>
                <w:color w:val="auto"/>
                <w:kern w:val="0"/>
                <w:sz w:val="21"/>
                <w:szCs w:val="21"/>
                <w:highlight w:val="none"/>
              </w:rPr>
              <w:t>3.2.3厂区屠宰与分割车间及其生产辅助用房与设施的布局应满足生产工艺流程和食品卫生要求，不得使产品受到污染。</w:t>
            </w:r>
          </w:p>
          <w:p w14:paraId="7458FB50">
            <w:pPr>
              <w:adjustRightInd/>
              <w:snapToGrid/>
              <w:spacing w:line="360" w:lineRule="exact"/>
              <w:ind w:firstLine="0" w:firstLineChars="0"/>
              <w:rPr>
                <w:rFonts w:ascii="Times New Roman" w:hAnsi="Times New Roman" w:eastAsia="宋体" w:cs="Times New Roman"/>
                <w:snapToGrid w:val="0"/>
                <w:color w:val="auto"/>
                <w:kern w:val="0"/>
                <w:sz w:val="21"/>
                <w:szCs w:val="21"/>
                <w:highlight w:val="none"/>
                <w:lang w:val="zh-CN"/>
              </w:rPr>
            </w:pPr>
            <w:r>
              <w:rPr>
                <w:rFonts w:ascii="Times New Roman" w:hAnsi="Times New Roman" w:eastAsia="宋体" w:cs="Times New Roman"/>
                <w:snapToGrid w:val="0"/>
                <w:color w:val="auto"/>
                <w:kern w:val="0"/>
                <w:sz w:val="21"/>
                <w:szCs w:val="21"/>
                <w:highlight w:val="none"/>
              </w:rPr>
              <w:t>3.3.2 公路卸畜回车场附近应有洗车台。洗车台应设有冲洗消毒及排污设施，回车场和洗车台均应采用混</w:t>
            </w:r>
            <w:r>
              <w:rPr>
                <w:rFonts w:hint="default" w:ascii="Times New Roman" w:hAnsi="Times New Roman" w:eastAsia="宋体" w:cs="Times New Roman"/>
                <w:snapToGrid w:val="0"/>
                <w:color w:val="auto"/>
                <w:kern w:val="0"/>
                <w:sz w:val="21"/>
                <w:szCs w:val="21"/>
                <w:highlight w:val="none"/>
              </w:rPr>
              <w:t>凝土地面，洗车台下地面排水坡度不应小于2.5</w:t>
            </w:r>
            <w:r>
              <w:rPr>
                <w:rFonts w:hint="eastAsia" w:ascii="Times New Roman" w:hAnsi="Times New Roman" w:eastAsia="宋体" w:cs="Times New Roman"/>
                <w:snapToGrid w:val="0"/>
                <w:color w:val="auto"/>
                <w:kern w:val="0"/>
                <w:sz w:val="21"/>
                <w:szCs w:val="21"/>
                <w:highlight w:val="none"/>
                <w:lang w:val="en-US" w:eastAsia="zh-CN"/>
              </w:rPr>
              <w:t>%</w:t>
            </w:r>
            <w:r>
              <w:rPr>
                <w:rFonts w:hint="default" w:ascii="Times New Roman" w:hAnsi="Times New Roman" w:eastAsia="宋体" w:cs="Times New Roman"/>
                <w:snapToGrid w:val="0"/>
                <w:color w:val="auto"/>
                <w:kern w:val="0"/>
                <w:sz w:val="21"/>
                <w:szCs w:val="21"/>
                <w:highlight w:val="none"/>
              </w:rPr>
              <w:t>。</w:t>
            </w:r>
          </w:p>
        </w:tc>
        <w:tc>
          <w:tcPr>
            <w:tcW w:w="3210" w:type="dxa"/>
            <w:vAlign w:val="center"/>
          </w:tcPr>
          <w:p w14:paraId="1A71514B">
            <w:pPr>
              <w:spacing w:line="360" w:lineRule="exact"/>
              <w:ind w:firstLine="420"/>
              <w:rPr>
                <w:rFonts w:cs="Times New Roman"/>
                <w:snapToGrid w:val="0"/>
                <w:color w:val="auto"/>
                <w:kern w:val="0"/>
                <w:sz w:val="21"/>
                <w:szCs w:val="21"/>
                <w:highlight w:val="none"/>
              </w:rPr>
            </w:pPr>
            <w:r>
              <w:rPr>
                <w:rFonts w:cs="Times New Roman"/>
                <w:snapToGrid w:val="0"/>
                <w:color w:val="auto"/>
                <w:kern w:val="0"/>
                <w:sz w:val="21"/>
                <w:szCs w:val="21"/>
                <w:highlight w:val="none"/>
              </w:rPr>
              <w:t>厂区划分为生产区和生活区。生产区分为非清洁区和清洁区。非清洁区位于厂区全年主导风向下风向。本项目设置两个进出口，满足生产需求；厂区屠宰与分割车间及其生产辅助用房与设施的布局满足生产工艺流程和食品卫生要求，不会使产品受到污染。</w:t>
            </w:r>
          </w:p>
          <w:p w14:paraId="3751731C">
            <w:pPr>
              <w:spacing w:line="360" w:lineRule="exact"/>
              <w:ind w:firstLine="420"/>
              <w:rPr>
                <w:rFonts w:hint="eastAsia"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本项目厂区西侧应设置洗车台，</w:t>
            </w:r>
            <w:r>
              <w:rPr>
                <w:rFonts w:ascii="Times New Roman" w:hAnsi="Times New Roman" w:eastAsia="宋体" w:cs="Times New Roman"/>
                <w:snapToGrid w:val="0"/>
                <w:color w:val="auto"/>
                <w:kern w:val="0"/>
                <w:sz w:val="21"/>
                <w:szCs w:val="21"/>
                <w:highlight w:val="none"/>
              </w:rPr>
              <w:t>洗车台应设有冲洗消毒及</w:t>
            </w:r>
            <w:r>
              <w:rPr>
                <w:rFonts w:hint="eastAsia" w:ascii="Times New Roman" w:hAnsi="Times New Roman" w:eastAsia="宋体" w:cs="Times New Roman"/>
                <w:snapToGrid w:val="0"/>
                <w:color w:val="auto"/>
                <w:kern w:val="0"/>
                <w:sz w:val="21"/>
                <w:szCs w:val="21"/>
                <w:highlight w:val="none"/>
                <w:lang w:val="en-US" w:eastAsia="zh-CN"/>
              </w:rPr>
              <w:t>排水管网</w:t>
            </w:r>
            <w:r>
              <w:rPr>
                <w:rFonts w:ascii="Times New Roman" w:hAnsi="Times New Roman" w:eastAsia="宋体" w:cs="Times New Roman"/>
                <w:snapToGrid w:val="0"/>
                <w:color w:val="auto"/>
                <w:kern w:val="0"/>
                <w:sz w:val="21"/>
                <w:szCs w:val="21"/>
                <w:highlight w:val="none"/>
              </w:rPr>
              <w:t>，回车场和洗车台均应采用混</w:t>
            </w:r>
            <w:r>
              <w:rPr>
                <w:rFonts w:hint="default" w:ascii="Times New Roman" w:hAnsi="Times New Roman" w:eastAsia="宋体" w:cs="Times New Roman"/>
                <w:snapToGrid w:val="0"/>
                <w:color w:val="auto"/>
                <w:kern w:val="0"/>
                <w:sz w:val="21"/>
                <w:szCs w:val="21"/>
                <w:highlight w:val="none"/>
              </w:rPr>
              <w:t>凝土地面</w:t>
            </w:r>
            <w:r>
              <w:rPr>
                <w:rFonts w:hint="eastAsia" w:ascii="Times New Roman" w:hAnsi="Times New Roman" w:eastAsia="宋体" w:cs="Times New Roman"/>
                <w:snapToGrid w:val="0"/>
                <w:color w:val="auto"/>
                <w:kern w:val="0"/>
                <w:sz w:val="21"/>
                <w:szCs w:val="21"/>
                <w:highlight w:val="none"/>
                <w:lang w:eastAsia="zh-CN"/>
              </w:rPr>
              <w:t>，</w:t>
            </w:r>
            <w:r>
              <w:rPr>
                <w:rFonts w:hint="default" w:ascii="Times New Roman" w:hAnsi="Times New Roman" w:eastAsia="宋体" w:cs="Times New Roman"/>
                <w:snapToGrid w:val="0"/>
                <w:color w:val="auto"/>
                <w:kern w:val="0"/>
                <w:sz w:val="21"/>
                <w:szCs w:val="21"/>
                <w:highlight w:val="none"/>
              </w:rPr>
              <w:t>洗车台下地面排水坡度不应小于2.5</w:t>
            </w:r>
            <w:r>
              <w:rPr>
                <w:rFonts w:hint="eastAsia" w:ascii="Times New Roman" w:hAnsi="Times New Roman" w:eastAsia="宋体" w:cs="Times New Roman"/>
                <w:snapToGrid w:val="0"/>
                <w:color w:val="auto"/>
                <w:kern w:val="0"/>
                <w:sz w:val="21"/>
                <w:szCs w:val="21"/>
                <w:highlight w:val="none"/>
                <w:lang w:val="en-US" w:eastAsia="zh-CN"/>
              </w:rPr>
              <w:t>%</w:t>
            </w:r>
            <w:r>
              <w:rPr>
                <w:rFonts w:hint="default" w:ascii="Times New Roman" w:hAnsi="Times New Roman" w:eastAsia="宋体" w:cs="Times New Roman"/>
                <w:snapToGrid w:val="0"/>
                <w:color w:val="auto"/>
                <w:kern w:val="0"/>
                <w:sz w:val="21"/>
                <w:szCs w:val="21"/>
                <w:highlight w:val="none"/>
              </w:rPr>
              <w:t>。</w:t>
            </w:r>
          </w:p>
        </w:tc>
        <w:tc>
          <w:tcPr>
            <w:tcW w:w="750" w:type="dxa"/>
            <w:vMerge w:val="continue"/>
            <w:vAlign w:val="center"/>
          </w:tcPr>
          <w:p w14:paraId="4C50F91E">
            <w:pPr>
              <w:adjustRightInd/>
              <w:snapToGrid/>
              <w:spacing w:line="360" w:lineRule="exact"/>
              <w:ind w:firstLine="0" w:firstLineChars="0"/>
              <w:jc w:val="center"/>
              <w:rPr>
                <w:rFonts w:cs="Times New Roman"/>
                <w:snapToGrid w:val="0"/>
                <w:color w:val="auto"/>
                <w:kern w:val="0"/>
                <w:sz w:val="21"/>
                <w:highlight w:val="none"/>
                <w:lang w:val="zh-CN"/>
              </w:rPr>
            </w:pPr>
          </w:p>
        </w:tc>
      </w:tr>
      <w:tr w14:paraId="749857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vAlign w:val="center"/>
          </w:tcPr>
          <w:p w14:paraId="642671D0">
            <w:pPr>
              <w:adjustRightInd/>
              <w:snapToGrid/>
              <w:spacing w:line="360" w:lineRule="exact"/>
              <w:ind w:firstLine="0" w:firstLineChars="0"/>
              <w:rPr>
                <w:rFonts w:cs="Times New Roman"/>
                <w:snapToGrid w:val="0"/>
                <w:color w:val="auto"/>
                <w:kern w:val="0"/>
                <w:sz w:val="21"/>
                <w:highlight w:val="none"/>
                <w:lang w:val="zh-CN"/>
              </w:rPr>
            </w:pPr>
            <w:r>
              <w:rPr>
                <w:rFonts w:hint="eastAsia" w:ascii="Times New Roman" w:hAnsi="Times New Roman" w:eastAsia="宋体" w:cs="Times New Roman"/>
                <w:snapToGrid w:val="0"/>
                <w:color w:val="auto"/>
                <w:kern w:val="0"/>
                <w:sz w:val="21"/>
                <w:highlight w:val="none"/>
                <w:lang w:val="zh-CN" w:eastAsia="zh-CN"/>
              </w:rPr>
              <w:t>《冷库设计</w:t>
            </w:r>
            <w:r>
              <w:rPr>
                <w:rFonts w:hint="eastAsia" w:ascii="Times New Roman" w:hAnsi="Times New Roman" w:eastAsia="宋体" w:cs="Times New Roman"/>
                <w:snapToGrid w:val="0"/>
                <w:color w:val="auto"/>
                <w:kern w:val="0"/>
                <w:sz w:val="21"/>
                <w:highlight w:val="none"/>
                <w:lang w:val="en-US" w:eastAsia="zh-CN"/>
              </w:rPr>
              <w:t>标准</w:t>
            </w:r>
            <w:r>
              <w:rPr>
                <w:rFonts w:hint="eastAsia" w:ascii="Times New Roman" w:hAnsi="Times New Roman" w:eastAsia="宋体" w:cs="Times New Roman"/>
                <w:snapToGrid w:val="0"/>
                <w:color w:val="auto"/>
                <w:kern w:val="0"/>
                <w:sz w:val="21"/>
                <w:highlight w:val="none"/>
                <w:lang w:val="zh-CN" w:eastAsia="zh-CN"/>
              </w:rPr>
              <w:t>》（</w:t>
            </w:r>
            <w:r>
              <w:rPr>
                <w:rFonts w:hint="eastAsia" w:ascii="Times New Roman" w:hAnsi="Times New Roman" w:eastAsia="宋体" w:cs="Times New Roman"/>
                <w:snapToGrid w:val="0"/>
                <w:color w:val="auto"/>
                <w:kern w:val="0"/>
                <w:sz w:val="21"/>
                <w:highlight w:val="none"/>
                <w:lang w:val="en-US" w:eastAsia="zh-CN"/>
              </w:rPr>
              <w:t>GB50072-202</w:t>
            </w:r>
            <w:r>
              <w:rPr>
                <w:rFonts w:hint="eastAsia" w:ascii="Times New Roman" w:hAnsi="Times New Roman" w:eastAsia="宋体" w:cs="Times New Roman"/>
                <w:snapToGrid w:val="0"/>
                <w:color w:val="auto"/>
                <w:kern w:val="0"/>
                <w:sz w:val="21"/>
                <w:highlight w:val="none"/>
                <w:lang w:val="zh-CN" w:eastAsia="zh-CN"/>
              </w:rPr>
              <w:t>）</w:t>
            </w:r>
          </w:p>
        </w:tc>
        <w:tc>
          <w:tcPr>
            <w:tcW w:w="3706" w:type="dxa"/>
            <w:vAlign w:val="center"/>
          </w:tcPr>
          <w:p w14:paraId="449AD8A7">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冷库库址的选择应符合下列规定：</w:t>
            </w:r>
          </w:p>
          <w:p w14:paraId="670C2288">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1、应符合当地总体规划的要求；</w:t>
            </w:r>
          </w:p>
          <w:p w14:paraId="73FD993E">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2 、使用氨制冷系统的冷库库址宜选择在相邻集中居住区全年最大频率风向的下风侧；</w:t>
            </w:r>
          </w:p>
          <w:p w14:paraId="0DFAA231">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3 、库址周围应有良好的卫生条件，并应避开和远离有害气体、烟雾、粉尘及其他有污染源的地段；</w:t>
            </w:r>
          </w:p>
          <w:p w14:paraId="67B1E2D7">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4 、应结合物流流向和近远期发展等因素，选择在交通运输方便的区域；</w:t>
            </w:r>
          </w:p>
          <w:p w14:paraId="0A36F45C">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5、 宜具备可靠的水源和电源以及排水条件；</w:t>
            </w:r>
          </w:p>
          <w:p w14:paraId="22E90B27">
            <w:pPr>
              <w:adjustRightInd/>
              <w:snapToGrid/>
              <w:spacing w:line="360" w:lineRule="exact"/>
              <w:ind w:firstLine="0" w:firstLineChars="0"/>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6 、应避开洪水和泥石流易发地段以及其他地质条件不良地段；</w:t>
            </w:r>
          </w:p>
          <w:p w14:paraId="0D61C3A4">
            <w:pPr>
              <w:adjustRightInd/>
              <w:snapToGrid/>
              <w:spacing w:line="360" w:lineRule="exact"/>
              <w:ind w:firstLine="0" w:firstLineChars="0"/>
              <w:rPr>
                <w:rFonts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lang w:val="en-US" w:eastAsia="zh-CN"/>
              </w:rPr>
              <w:t>    7 、冷库库址还应综合考虑各类冷库的特殊要求</w:t>
            </w:r>
            <w:r>
              <w:rPr>
                <w:rFonts w:hint="eastAsia" w:cs="Times New Roman"/>
                <w:snapToGrid w:val="0"/>
                <w:color w:val="auto"/>
                <w:kern w:val="0"/>
                <w:sz w:val="21"/>
                <w:szCs w:val="21"/>
                <w:highlight w:val="none"/>
                <w:lang w:val="en-US" w:eastAsia="zh-CN"/>
              </w:rPr>
              <w:t>。</w:t>
            </w:r>
          </w:p>
        </w:tc>
        <w:tc>
          <w:tcPr>
            <w:tcW w:w="3210" w:type="dxa"/>
            <w:vAlign w:val="center"/>
          </w:tcPr>
          <w:p w14:paraId="6D521160">
            <w:pPr>
              <w:spacing w:line="360" w:lineRule="exact"/>
              <w:ind w:firstLine="420"/>
              <w:rPr>
                <w:rFonts w:hint="default" w:eastAsia="宋体" w:cs="Times New Roman"/>
                <w:snapToGrid w:val="0"/>
                <w:color w:val="auto"/>
                <w:kern w:val="0"/>
                <w:sz w:val="21"/>
                <w:szCs w:val="21"/>
                <w:highlight w:val="none"/>
                <w:lang w:val="en-US" w:eastAsia="zh-CN"/>
              </w:rPr>
            </w:pPr>
            <w:r>
              <w:rPr>
                <w:rFonts w:hint="eastAsia" w:ascii="Times New Roman" w:hAnsi="Times New Roman" w:eastAsia="宋体" w:cs="Times New Roman"/>
                <w:snapToGrid w:val="0"/>
                <w:color w:val="auto"/>
                <w:kern w:val="0"/>
                <w:sz w:val="21"/>
                <w:szCs w:val="21"/>
                <w:highlight w:val="none"/>
                <w:lang w:val="en-US" w:eastAsia="zh-CN"/>
              </w:rPr>
              <w:t>本项目</w:t>
            </w:r>
            <w:r>
              <w:rPr>
                <w:rFonts w:hint="eastAsia" w:ascii="Times New Roman" w:hAnsi="Times New Roman" w:cs="Times New Roman"/>
                <w:snapToGrid w:val="0"/>
                <w:color w:val="auto"/>
                <w:kern w:val="0"/>
                <w:sz w:val="21"/>
                <w:highlight w:val="none"/>
                <w:lang w:val="en-US" w:eastAsia="zh-CN"/>
              </w:rPr>
              <w:t>黑龙江省双鸭山市岭东区长胜乡东兴村，</w:t>
            </w:r>
            <w:r>
              <w:rPr>
                <w:rFonts w:hint="eastAsia" w:ascii="Times New Roman" w:hAnsi="Times New Roman" w:eastAsia="宋体" w:cs="Times New Roman"/>
                <w:snapToGrid w:val="0"/>
                <w:color w:val="auto"/>
                <w:kern w:val="0"/>
                <w:sz w:val="21"/>
                <w:szCs w:val="21"/>
                <w:highlight w:val="none"/>
                <w:lang w:val="en-US" w:eastAsia="zh-CN"/>
              </w:rPr>
              <w:t>有良好的卫生条件，远离有害气体、烟雾、粉尘及其他有污染源的地段；项目所在位置交通便利，具备可靠的水源和电源以及排水条件，不在洪水和泥石流易发地段以及其他地质条件不良地段。</w:t>
            </w:r>
            <w:r>
              <w:rPr>
                <w:rFonts w:hint="eastAsia" w:cs="Times New Roman"/>
                <w:snapToGrid w:val="0"/>
                <w:color w:val="auto"/>
                <w:kern w:val="0"/>
                <w:sz w:val="21"/>
                <w:szCs w:val="21"/>
                <w:highlight w:val="none"/>
                <w:lang w:val="en-US" w:eastAsia="zh-CN"/>
              </w:rPr>
              <w:t>冷库选址合理。</w:t>
            </w:r>
          </w:p>
        </w:tc>
        <w:tc>
          <w:tcPr>
            <w:tcW w:w="750" w:type="dxa"/>
            <w:vAlign w:val="center"/>
          </w:tcPr>
          <w:p w14:paraId="41D5A50B">
            <w:pPr>
              <w:adjustRightInd/>
              <w:snapToGrid/>
              <w:spacing w:line="360" w:lineRule="exact"/>
              <w:ind w:firstLine="0" w:firstLineChars="0"/>
              <w:jc w:val="center"/>
              <w:rPr>
                <w:rFonts w:hint="eastAsia" w:eastAsia="宋体" w:cs="Times New Roman"/>
                <w:snapToGrid w:val="0"/>
                <w:color w:val="auto"/>
                <w:kern w:val="0"/>
                <w:sz w:val="21"/>
                <w:highlight w:val="none"/>
                <w:lang w:val="en-US" w:eastAsia="zh-CN"/>
              </w:rPr>
            </w:pPr>
            <w:r>
              <w:rPr>
                <w:rFonts w:hint="eastAsia" w:cs="Times New Roman"/>
                <w:snapToGrid w:val="0"/>
                <w:color w:val="auto"/>
                <w:kern w:val="0"/>
                <w:sz w:val="21"/>
                <w:highlight w:val="none"/>
                <w:lang w:val="en-US" w:eastAsia="zh-CN"/>
              </w:rPr>
              <w:t>符合</w:t>
            </w:r>
          </w:p>
        </w:tc>
      </w:tr>
      <w:tr w14:paraId="53DB5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82" w:type="dxa"/>
            <w:vAlign w:val="center"/>
          </w:tcPr>
          <w:p w14:paraId="15D2F516">
            <w:pPr>
              <w:adjustRightInd/>
              <w:snapToGrid/>
              <w:spacing w:line="360" w:lineRule="exact"/>
              <w:ind w:firstLine="0" w:firstLineChars="0"/>
              <w:rPr>
                <w:rFonts w:hint="eastAsia" w:ascii="Times New Roman" w:hAnsi="Times New Roman" w:eastAsia="宋体" w:cs="Times New Roman"/>
                <w:snapToGrid w:val="0"/>
                <w:color w:val="auto"/>
                <w:kern w:val="0"/>
                <w:sz w:val="21"/>
                <w:highlight w:val="none"/>
                <w:lang w:val="zh-CN" w:eastAsia="zh-CN"/>
              </w:rPr>
            </w:pPr>
            <w:r>
              <w:rPr>
                <w:rFonts w:hint="eastAsia" w:ascii="Times New Roman" w:hAnsi="Times New Roman" w:eastAsia="宋体" w:cs="Times New Roman"/>
                <w:snapToGrid w:val="0"/>
                <w:color w:val="auto"/>
                <w:kern w:val="0"/>
                <w:sz w:val="21"/>
                <w:highlight w:val="none"/>
                <w:lang w:val="zh-CN" w:eastAsia="zh-CN"/>
              </w:rPr>
              <w:t>《食品安全国家标准 畜禽屠宰加工卫生规范》（GB12694-2016）</w:t>
            </w:r>
          </w:p>
        </w:tc>
        <w:tc>
          <w:tcPr>
            <w:tcW w:w="3706" w:type="dxa"/>
            <w:vAlign w:val="center"/>
          </w:tcPr>
          <w:p w14:paraId="70CDEA07">
            <w:pPr>
              <w:adjustRightInd/>
              <w:snapToGrid/>
              <w:spacing w:line="360" w:lineRule="exact"/>
              <w:ind w:firstLine="0" w:firstLineChars="0"/>
              <w:rPr>
                <w:rFonts w:ascii="Times New Roman" w:hAnsi="Times New Roman" w:eastAsia="宋体" w:cs="Times New Roman"/>
                <w:snapToGrid w:val="0"/>
                <w:color w:val="auto"/>
                <w:kern w:val="0"/>
                <w:sz w:val="21"/>
                <w:szCs w:val="21"/>
                <w:highlight w:val="none"/>
              </w:rPr>
            </w:pPr>
            <w:r>
              <w:rPr>
                <w:rFonts w:ascii="Times New Roman" w:hAnsi="Times New Roman" w:eastAsia="宋体" w:cs="Times New Roman"/>
                <w:snapToGrid w:val="0"/>
                <w:color w:val="auto"/>
                <w:kern w:val="0"/>
                <w:sz w:val="21"/>
                <w:szCs w:val="21"/>
                <w:highlight w:val="none"/>
              </w:rPr>
              <w:t>3.2.3厂址必须具备符合要求的水源和电源,应结合工艺要求因地制宜地确定,并应符合屠宰企业设置规划的要求。</w:t>
            </w:r>
          </w:p>
          <w:p w14:paraId="0F284DAC">
            <w:pPr>
              <w:adjustRightInd/>
              <w:snapToGrid/>
              <w:spacing w:line="360" w:lineRule="exact"/>
              <w:ind w:firstLine="0" w:firstLineChars="0"/>
              <w:rPr>
                <w:rFonts w:ascii="Times New Roman" w:hAnsi="Times New Roman" w:eastAsia="宋体" w:cs="Times New Roman"/>
                <w:snapToGrid w:val="0"/>
                <w:color w:val="auto"/>
                <w:kern w:val="0"/>
                <w:sz w:val="21"/>
                <w:szCs w:val="21"/>
                <w:highlight w:val="none"/>
              </w:rPr>
            </w:pPr>
            <w:r>
              <w:rPr>
                <w:rFonts w:ascii="Times New Roman" w:hAnsi="Times New Roman" w:eastAsia="宋体" w:cs="Times New Roman"/>
                <w:snapToGrid w:val="0"/>
                <w:color w:val="auto"/>
                <w:kern w:val="0"/>
                <w:sz w:val="21"/>
                <w:szCs w:val="21"/>
                <w:highlight w:val="none"/>
              </w:rPr>
              <w:t>3.3.1厂区主要道路应硬化(如混凝土或沥青路面等),路面平整、易冲洗,不积水。 3.3.2厂区应设有废弃物、垃圾暂存或处理设施,废弃物应及时清除或处理,避免对厂区环境造成污染。厂区内不应堆放废弃设备和其他杂物。3.3.3废弃物存放和处理排放应符合国家环保要求。3.3.4厂区内禁止饲养与屠宰加工无关的动物。4.1.1厂区应划分为生产区和非生产区。活畜禽、废弃物运送与成品出厂不得共用一个大门,场内不得共用一个通道。4.1.2生产区各车间的布局与设施应满足生产工艺流程和卫生要求。车间清洁区与非清洁区应分隔。4.1.3屠宰车间、分割车间的建筑面积与建筑设施应与生产规模相适应。车间内各加工区应按生产工艺流程划分明确,人流、物流互不干扰,并符合工艺、卫生及检疫检验要求。4.1.4屠宰企业应设有待宰圈(区)、隔离间、急宰间、实验(化验)室、官方兽医室、化学品存放间和无害化处理间。屠宰企业的厂区应设有畜禽和产品运输车辆和工具清洗、消毒的专门区域。4.1.5对于没有设立无害化处理间的屠宰企业,应委托具有资质的专业无害化处理场实施无害化处理。</w:t>
            </w:r>
          </w:p>
        </w:tc>
        <w:tc>
          <w:tcPr>
            <w:tcW w:w="3210" w:type="dxa"/>
            <w:vAlign w:val="center"/>
          </w:tcPr>
          <w:p w14:paraId="55CD7838">
            <w:pPr>
              <w:spacing w:line="360" w:lineRule="exact"/>
              <w:ind w:firstLine="420"/>
              <w:rPr>
                <w:rFonts w:hint="default"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本项目厂址均配备符合要求的水源及电源，项目范围内均做道路硬化，厂区内产生所有固体废物均分类收集按需处理，厂区内无与屠宰无关的活动，活牛羊，固体废物运输不采用同一个通道，</w:t>
            </w:r>
            <w:r>
              <w:rPr>
                <w:rFonts w:ascii="Times New Roman" w:hAnsi="Times New Roman" w:eastAsia="宋体" w:cs="Times New Roman"/>
                <w:snapToGrid w:val="0"/>
                <w:color w:val="auto"/>
                <w:kern w:val="0"/>
                <w:sz w:val="21"/>
                <w:szCs w:val="21"/>
                <w:highlight w:val="none"/>
              </w:rPr>
              <w:t>屠宰企业应设有待宰圈、隔离间、急宰间、化验室</w:t>
            </w:r>
            <w:r>
              <w:rPr>
                <w:rFonts w:hint="eastAsia" w:ascii="Times New Roman" w:hAnsi="Times New Roman" w:eastAsia="宋体" w:cs="Times New Roman"/>
                <w:snapToGrid w:val="0"/>
                <w:color w:val="auto"/>
                <w:kern w:val="0"/>
                <w:sz w:val="21"/>
                <w:szCs w:val="21"/>
                <w:highlight w:val="none"/>
                <w:lang w:val="en-US" w:eastAsia="zh-CN"/>
              </w:rPr>
              <w:t>等</w:t>
            </w:r>
            <w:r>
              <w:rPr>
                <w:rFonts w:ascii="Times New Roman" w:hAnsi="Times New Roman" w:eastAsia="宋体" w:cs="Times New Roman"/>
                <w:snapToGrid w:val="0"/>
                <w:color w:val="auto"/>
                <w:kern w:val="0"/>
                <w:sz w:val="21"/>
                <w:szCs w:val="21"/>
                <w:highlight w:val="none"/>
              </w:rPr>
              <w:t>。</w:t>
            </w:r>
            <w:r>
              <w:rPr>
                <w:rFonts w:hint="eastAsia" w:cs="Times New Roman"/>
                <w:snapToGrid w:val="0"/>
                <w:color w:val="auto"/>
                <w:kern w:val="0"/>
                <w:sz w:val="21"/>
                <w:szCs w:val="21"/>
                <w:highlight w:val="none"/>
                <w:lang w:val="en-US" w:eastAsia="zh-CN"/>
              </w:rPr>
              <w:t>符合</w:t>
            </w:r>
            <w:r>
              <w:rPr>
                <w:rFonts w:hint="eastAsia" w:ascii="Times New Roman" w:hAnsi="Times New Roman" w:eastAsia="宋体" w:cs="Times New Roman"/>
                <w:snapToGrid w:val="0"/>
                <w:color w:val="auto"/>
                <w:kern w:val="0"/>
                <w:sz w:val="21"/>
                <w:highlight w:val="none"/>
                <w:lang w:val="zh-CN" w:eastAsia="zh-CN"/>
              </w:rPr>
              <w:t>《食品安全国家标准 畜禽屠宰加工卫生规范》。</w:t>
            </w:r>
          </w:p>
        </w:tc>
        <w:tc>
          <w:tcPr>
            <w:tcW w:w="750" w:type="dxa"/>
            <w:vAlign w:val="center"/>
          </w:tcPr>
          <w:p w14:paraId="2658F673">
            <w:pPr>
              <w:adjustRightInd/>
              <w:snapToGrid/>
              <w:spacing w:line="360" w:lineRule="exact"/>
              <w:ind w:firstLine="0" w:firstLineChars="0"/>
              <w:jc w:val="center"/>
              <w:rPr>
                <w:rFonts w:hint="eastAsia" w:cs="Times New Roman"/>
                <w:snapToGrid w:val="0"/>
                <w:color w:val="auto"/>
                <w:kern w:val="0"/>
                <w:sz w:val="21"/>
                <w:highlight w:val="none"/>
                <w:lang w:val="en-US" w:eastAsia="zh-CN"/>
              </w:rPr>
            </w:pPr>
          </w:p>
        </w:tc>
      </w:tr>
      <w:bookmarkEnd w:id="22"/>
    </w:tbl>
    <w:p w14:paraId="0180809E">
      <w:pPr>
        <w:spacing w:before="156" w:beforeLines="50" w:line="500" w:lineRule="exact"/>
        <w:rPr>
          <w:rFonts w:hint="default" w:eastAsia="宋体" w:cs="Times New Roman"/>
          <w:snapToGrid w:val="0"/>
          <w:color w:val="auto"/>
          <w:kern w:val="0"/>
          <w:szCs w:val="24"/>
          <w:highlight w:val="none"/>
          <w:lang w:val="en-US" w:eastAsia="zh-CN"/>
        </w:rPr>
      </w:pPr>
      <w:r>
        <w:rPr>
          <w:rFonts w:cs="Times New Roman"/>
          <w:snapToGrid w:val="0"/>
          <w:color w:val="auto"/>
          <w:kern w:val="0"/>
          <w:szCs w:val="24"/>
          <w:highlight w:val="none"/>
        </w:rPr>
        <w:t>本项目</w:t>
      </w:r>
      <w:r>
        <w:rPr>
          <w:rFonts w:cs="Times New Roman"/>
          <w:snapToGrid w:val="0"/>
          <w:color w:val="auto"/>
          <w:kern w:val="0"/>
          <w:szCs w:val="24"/>
          <w:highlight w:val="none"/>
          <w:lang w:val="zh-CN"/>
        </w:rPr>
        <w:t>占地类型为</w:t>
      </w:r>
      <w:r>
        <w:rPr>
          <w:rFonts w:hint="eastAsia" w:cs="Times New Roman"/>
          <w:snapToGrid w:val="0"/>
          <w:color w:val="auto"/>
          <w:kern w:val="0"/>
          <w:szCs w:val="24"/>
          <w:highlight w:val="none"/>
          <w:lang w:val="en-US" w:eastAsia="zh-CN"/>
        </w:rPr>
        <w:t>建设</w:t>
      </w:r>
      <w:r>
        <w:rPr>
          <w:rFonts w:cs="Times New Roman"/>
          <w:snapToGrid w:val="0"/>
          <w:color w:val="auto"/>
          <w:kern w:val="0"/>
          <w:szCs w:val="24"/>
          <w:highlight w:val="none"/>
          <w:lang w:val="zh-CN"/>
        </w:rPr>
        <w:t>用地，用地性质符合</w:t>
      </w:r>
      <w:r>
        <w:rPr>
          <w:rFonts w:hint="eastAsia" w:cs="Times New Roman"/>
          <w:snapToGrid w:val="0"/>
          <w:color w:val="auto"/>
          <w:kern w:val="0"/>
          <w:szCs w:val="24"/>
          <w:highlight w:val="none"/>
          <w:lang w:val="en-US" w:eastAsia="zh-CN"/>
        </w:rPr>
        <w:t>牲畜定点屠宰场的</w:t>
      </w:r>
      <w:r>
        <w:rPr>
          <w:rFonts w:cs="Times New Roman"/>
          <w:snapToGrid w:val="0"/>
          <w:color w:val="auto"/>
          <w:kern w:val="0"/>
          <w:szCs w:val="24"/>
          <w:highlight w:val="none"/>
          <w:lang w:val="zh-CN"/>
        </w:rPr>
        <w:t>要求；</w:t>
      </w:r>
      <w:r>
        <w:rPr>
          <w:rFonts w:cs="Times New Roman"/>
          <w:snapToGrid w:val="0"/>
          <w:color w:val="auto"/>
          <w:kern w:val="0"/>
          <w:szCs w:val="24"/>
          <w:highlight w:val="none"/>
        </w:rPr>
        <w:t>且本项目符合《黑龙江省畜禽屠宰管理条例》、《畜类屠宰加工通用技术》（GB/T17237-2008）、《牛羊屠宰与分割车间设计规范》（</w:t>
      </w:r>
      <w:r>
        <w:rPr>
          <w:rFonts w:ascii="Times New Roman" w:hAnsi="Times New Roman" w:eastAsia="宋体" w:cs="Times New Roman"/>
          <w:snapToGrid w:val="0"/>
          <w:color w:val="auto"/>
          <w:kern w:val="0"/>
          <w:szCs w:val="24"/>
          <w:highlight w:val="none"/>
        </w:rPr>
        <w:t>GB51225-2017）</w:t>
      </w:r>
      <w:r>
        <w:rPr>
          <w:rFonts w:hint="eastAsia" w:ascii="Times New Roman" w:hAnsi="Times New Roman" w:eastAsia="宋体" w:cs="Times New Roman"/>
          <w:snapToGrid w:val="0"/>
          <w:color w:val="auto"/>
          <w:kern w:val="0"/>
          <w:szCs w:val="24"/>
          <w:highlight w:val="none"/>
          <w:lang w:eastAsia="zh-CN"/>
        </w:rPr>
        <w:t>、</w:t>
      </w:r>
      <w:r>
        <w:rPr>
          <w:rFonts w:hint="eastAsia" w:ascii="Times New Roman" w:hAnsi="Times New Roman" w:eastAsia="宋体" w:cs="Times New Roman"/>
          <w:snapToGrid w:val="0"/>
          <w:color w:val="auto"/>
          <w:kern w:val="0"/>
          <w:szCs w:val="24"/>
          <w:highlight w:val="none"/>
          <w:lang w:val="zh-CN" w:eastAsia="zh-CN"/>
        </w:rPr>
        <w:t>《冷库设计</w:t>
      </w:r>
      <w:r>
        <w:rPr>
          <w:rFonts w:hint="eastAsia" w:ascii="Times New Roman" w:hAnsi="Times New Roman" w:eastAsia="宋体" w:cs="Times New Roman"/>
          <w:snapToGrid w:val="0"/>
          <w:color w:val="auto"/>
          <w:kern w:val="0"/>
          <w:szCs w:val="24"/>
          <w:highlight w:val="none"/>
          <w:lang w:val="en-US" w:eastAsia="zh-CN"/>
        </w:rPr>
        <w:t>标准</w:t>
      </w:r>
      <w:r>
        <w:rPr>
          <w:rFonts w:hint="eastAsia" w:ascii="Times New Roman" w:hAnsi="Times New Roman" w:eastAsia="宋体" w:cs="Times New Roman"/>
          <w:snapToGrid w:val="0"/>
          <w:color w:val="auto"/>
          <w:kern w:val="0"/>
          <w:szCs w:val="24"/>
          <w:highlight w:val="none"/>
          <w:lang w:val="zh-CN" w:eastAsia="zh-CN"/>
        </w:rPr>
        <w:t>》（</w:t>
      </w:r>
      <w:r>
        <w:rPr>
          <w:rFonts w:hint="eastAsia" w:ascii="Times New Roman" w:hAnsi="Times New Roman" w:eastAsia="宋体" w:cs="Times New Roman"/>
          <w:snapToGrid w:val="0"/>
          <w:color w:val="auto"/>
          <w:kern w:val="0"/>
          <w:szCs w:val="24"/>
          <w:highlight w:val="none"/>
          <w:lang w:val="en-US" w:eastAsia="zh-CN"/>
        </w:rPr>
        <w:t>GB50072-202</w:t>
      </w:r>
      <w:r>
        <w:rPr>
          <w:rFonts w:hint="eastAsia" w:ascii="Times New Roman" w:hAnsi="Times New Roman" w:eastAsia="宋体" w:cs="Times New Roman"/>
          <w:snapToGrid w:val="0"/>
          <w:color w:val="auto"/>
          <w:kern w:val="0"/>
          <w:szCs w:val="24"/>
          <w:highlight w:val="none"/>
          <w:lang w:val="zh-CN" w:eastAsia="zh-CN"/>
        </w:rPr>
        <w:t>）</w:t>
      </w:r>
      <w:r>
        <w:rPr>
          <w:rFonts w:cs="Times New Roman"/>
          <w:snapToGrid w:val="0"/>
          <w:color w:val="auto"/>
          <w:kern w:val="0"/>
          <w:szCs w:val="24"/>
          <w:highlight w:val="none"/>
        </w:rPr>
        <w:t>及</w:t>
      </w:r>
      <w:r>
        <w:rPr>
          <w:rFonts w:cs="Times New Roman"/>
          <w:snapToGrid w:val="0"/>
          <w:color w:val="auto"/>
          <w:kern w:val="0"/>
          <w:szCs w:val="24"/>
          <w:highlight w:val="none"/>
          <w:lang w:val="zh-CN"/>
        </w:rPr>
        <w:t>《中共中央关于制定国民经济和社会发展第十四个五年规划和二〇三五年远景目标的建议》、《黑龙江省国民经济和社会发展第十四个五年规划和2035年远景目标纲要》</w:t>
      </w:r>
      <w:r>
        <w:rPr>
          <w:rFonts w:ascii="Times New Roman" w:hAnsi="Times New Roman" w:cs="Times New Roman"/>
          <w:snapToGrid w:val="0"/>
          <w:color w:val="auto"/>
          <w:kern w:val="0"/>
          <w:szCs w:val="24"/>
          <w:highlight w:val="none"/>
          <w:lang w:val="zh-CN"/>
        </w:rPr>
        <w:t>、《</w:t>
      </w:r>
      <w:r>
        <w:rPr>
          <w:rFonts w:ascii="Times New Roman" w:hAnsi="Times New Roman" w:cs="Times New Roman"/>
          <w:snapToGrid w:val="0"/>
          <w:color w:val="auto"/>
          <w:kern w:val="0"/>
          <w:szCs w:val="24"/>
          <w:highlight w:val="none"/>
        </w:rPr>
        <w:t>双鸭山市人民政府关于印发双鸭山市国民经济和社会发展第十四个五年规划和二〇三五年远景目标纲要的通知</w:t>
      </w:r>
      <w:r>
        <w:rPr>
          <w:rFonts w:ascii="Times New Roman" w:hAnsi="Times New Roman" w:cs="Times New Roman"/>
          <w:snapToGrid w:val="0"/>
          <w:color w:val="auto"/>
          <w:kern w:val="0"/>
          <w:szCs w:val="24"/>
          <w:highlight w:val="none"/>
          <w:lang w:val="zh-CN"/>
        </w:rPr>
        <w:t>》、</w:t>
      </w:r>
      <w:r>
        <w:rPr>
          <w:rFonts w:ascii="Times New Roman" w:hAnsi="Times New Roman" w:cs="Times New Roman"/>
          <w:snapToGrid w:val="0"/>
          <w:color w:val="auto"/>
          <w:kern w:val="0"/>
          <w:szCs w:val="24"/>
          <w:highlight w:val="none"/>
        </w:rPr>
        <w:t>《黑龙江省生态功能区划》、《黑龙江省主体功能区划》及“三线一单</w:t>
      </w:r>
      <w:r>
        <w:rPr>
          <w:rFonts w:cs="Times New Roman"/>
          <w:snapToGrid w:val="0"/>
          <w:color w:val="auto"/>
          <w:kern w:val="0"/>
          <w:szCs w:val="24"/>
          <w:highlight w:val="none"/>
        </w:rPr>
        <w:t>”等相关规划和政策。</w:t>
      </w:r>
    </w:p>
    <w:p w14:paraId="57FBECE7">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综上所述，项目选址符合相关规划及政策要求。因此，项目选址是合理可行的。</w:t>
      </w:r>
    </w:p>
    <w:p w14:paraId="23DC6280">
      <w:pPr>
        <w:pStyle w:val="4"/>
        <w:spacing w:after="156"/>
        <w:rPr>
          <w:rFonts w:ascii="Times New Roman" w:hAnsi="Times New Roman" w:cs="Times New Roman"/>
          <w:color w:val="auto"/>
          <w:highlight w:val="none"/>
        </w:rPr>
      </w:pPr>
      <w:bookmarkStart w:id="25" w:name="_Toc8835"/>
      <w:r>
        <w:rPr>
          <w:rFonts w:ascii="Times New Roman" w:hAnsi="Times New Roman" w:cs="Times New Roman"/>
          <w:color w:val="auto"/>
          <w:highlight w:val="none"/>
        </w:rPr>
        <w:t>1.4.5项目平面布置合理性分析</w:t>
      </w:r>
      <w:bookmarkEnd w:id="25"/>
    </w:p>
    <w:p w14:paraId="53C3D79C">
      <w:pPr>
        <w:rPr>
          <w:rFonts w:hint="default" w:ascii="Times New Roman" w:hAnsi="Times New Roman" w:eastAsia="宋体" w:cs="Times New Roman"/>
          <w:snapToGrid w:val="0"/>
          <w:color w:val="auto"/>
          <w:highlight w:val="none"/>
          <w:lang w:val="en-US" w:eastAsia="zh-CN"/>
        </w:rPr>
      </w:pPr>
      <w:r>
        <w:rPr>
          <w:i w:val="0"/>
          <w:iCs w:val="0"/>
          <w:color w:val="auto"/>
          <w:sz w:val="24"/>
          <w:highlight w:val="none"/>
        </w:rPr>
        <w:t>本项目为节约用地，使厂区外形美观，建筑物朝向合理，同时按工艺流程、防火、卫生及厂内运输等方面要求，确定出建筑物的间距、厂区道路及绿化，并进行主要生产工段的布置</w:t>
      </w:r>
      <w:r>
        <w:rPr>
          <w:rFonts w:hint="eastAsia"/>
          <w:i w:val="0"/>
          <w:iCs w:val="0"/>
          <w:color w:val="auto"/>
          <w:sz w:val="24"/>
          <w:highlight w:val="none"/>
          <w:lang w:eastAsia="zh-CN"/>
        </w:rPr>
        <w:t>：</w:t>
      </w:r>
      <w:r>
        <w:rPr>
          <w:rFonts w:hint="eastAsia" w:ascii="Times New Roman" w:hAnsi="Times New Roman" w:eastAsia="宋体"/>
          <w:i w:val="0"/>
          <w:iCs w:val="0"/>
          <w:color w:val="auto"/>
          <w:sz w:val="24"/>
          <w:highlight w:val="none"/>
          <w:lang w:val="en-US" w:eastAsia="zh-CN"/>
        </w:rPr>
        <w:t>生产车间位于厂区</w:t>
      </w:r>
      <w:r>
        <w:rPr>
          <w:rFonts w:hint="eastAsia"/>
          <w:i w:val="0"/>
          <w:iCs w:val="0"/>
          <w:color w:val="auto"/>
          <w:sz w:val="24"/>
          <w:highlight w:val="none"/>
          <w:lang w:val="en-US" w:eastAsia="zh-CN"/>
        </w:rPr>
        <w:t>南</w:t>
      </w:r>
      <w:r>
        <w:rPr>
          <w:rFonts w:hint="eastAsia" w:ascii="Times New Roman" w:hAnsi="Times New Roman" w:eastAsia="宋体"/>
          <w:i w:val="0"/>
          <w:iCs w:val="0"/>
          <w:color w:val="auto"/>
          <w:sz w:val="24"/>
          <w:highlight w:val="none"/>
          <w:lang w:val="en-US" w:eastAsia="zh-CN"/>
        </w:rPr>
        <w:t>侧，将生产车间按待宰、屠宰分割、冷藏的顺序合理设置；隔离</w:t>
      </w:r>
      <w:r>
        <w:rPr>
          <w:rFonts w:hint="eastAsia"/>
          <w:i w:val="0"/>
          <w:iCs w:val="0"/>
          <w:color w:val="auto"/>
          <w:sz w:val="24"/>
          <w:highlight w:val="none"/>
          <w:lang w:val="en-US" w:eastAsia="zh-CN"/>
        </w:rPr>
        <w:t>间</w:t>
      </w:r>
      <w:r>
        <w:rPr>
          <w:rFonts w:hint="eastAsia" w:ascii="Times New Roman" w:hAnsi="Times New Roman" w:eastAsia="宋体"/>
          <w:i w:val="0"/>
          <w:iCs w:val="0"/>
          <w:color w:val="auto"/>
          <w:sz w:val="24"/>
          <w:highlight w:val="none"/>
          <w:lang w:val="en-US" w:eastAsia="zh-CN"/>
        </w:rPr>
        <w:t>位</w:t>
      </w:r>
      <w:r>
        <w:rPr>
          <w:rFonts w:hint="eastAsia" w:cs="Times New Roman"/>
          <w:snapToGrid w:val="0"/>
          <w:color w:val="auto"/>
          <w:highlight w:val="none"/>
          <w:lang w:val="en-US" w:eastAsia="zh-CN"/>
        </w:rPr>
        <w:t>于厂区南侧待宰区内；固体废物暂存间位于厂区南侧待宰区内，污水处理站位于厂区东南侧、消防泵房及消防水池位于厂区西侧、车库位于厂区西侧紧邻消防泵房；制冷机房</w:t>
      </w:r>
      <w:r>
        <w:rPr>
          <w:rFonts w:cs="Times New Roman"/>
          <w:snapToGrid w:val="0"/>
          <w:color w:val="auto"/>
          <w:highlight w:val="none"/>
          <w:lang w:val="en-US"/>
        </w:rPr>
        <w:t>位于</w:t>
      </w:r>
      <w:r>
        <w:rPr>
          <w:rFonts w:hint="eastAsia" w:cs="Times New Roman"/>
          <w:snapToGrid w:val="0"/>
          <w:color w:val="auto"/>
          <w:highlight w:val="none"/>
          <w:lang w:val="en-US" w:eastAsia="zh-CN"/>
        </w:rPr>
        <w:t>生产车间东侧</w:t>
      </w:r>
      <w:r>
        <w:rPr>
          <w:rFonts w:hint="eastAsia" w:ascii="Times New Roman" w:hAnsi="Times New Roman" w:eastAsia="宋体" w:cs="Times New Roman"/>
          <w:snapToGrid w:val="0"/>
          <w:color w:val="auto"/>
          <w:highlight w:val="none"/>
          <w:lang w:val="en-US" w:eastAsia="zh-CN"/>
        </w:rPr>
        <w:t>。污水处理设施与屠宰车间间隔一定距离，并位于主导风向</w:t>
      </w:r>
      <w:r>
        <w:rPr>
          <w:rFonts w:hint="eastAsia" w:cs="Times New Roman"/>
          <w:snapToGrid w:val="0"/>
          <w:color w:val="auto"/>
          <w:highlight w:val="none"/>
          <w:lang w:val="en-US" w:eastAsia="zh-CN"/>
        </w:rPr>
        <w:t>侧</w:t>
      </w:r>
      <w:r>
        <w:rPr>
          <w:rFonts w:hint="eastAsia" w:ascii="Times New Roman" w:hAnsi="Times New Roman" w:eastAsia="宋体" w:cs="Times New Roman"/>
          <w:snapToGrid w:val="0"/>
          <w:color w:val="auto"/>
          <w:highlight w:val="none"/>
          <w:lang w:val="en-US" w:eastAsia="zh-CN"/>
        </w:rPr>
        <w:t>风向处。厂内各主要建筑物周边均设有环形通道，并在适当处设置有车辆回转场地，可满足货物运输的需要和消防通道的畅通。</w:t>
      </w:r>
      <w:r>
        <w:rPr>
          <w:rFonts w:hint="eastAsia" w:cs="Times New Roman"/>
          <w:snapToGrid w:val="0"/>
          <w:color w:val="auto"/>
          <w:highlight w:val="none"/>
          <w:lang w:val="en-US" w:eastAsia="zh-CN"/>
        </w:rPr>
        <w:t>本项目仅西侧100米处有几户居民，其余居民均已搬迁，搬迁后的平房等待政府规划利用，</w:t>
      </w:r>
      <w:r>
        <w:rPr>
          <w:rFonts w:hint="eastAsia" w:ascii="Times New Roman" w:hAnsi="Times New Roman" w:eastAsia="宋体" w:cs="Times New Roman"/>
          <w:snapToGrid w:val="0"/>
          <w:color w:val="auto"/>
          <w:highlight w:val="none"/>
          <w:lang w:val="en-US" w:eastAsia="zh-CN"/>
        </w:rPr>
        <w:t>从整体布局和环境影响上看，项目总平面布置合理（见附图</w:t>
      </w:r>
      <w:r>
        <w:rPr>
          <w:rFonts w:hint="eastAsia" w:cs="Times New Roman"/>
          <w:snapToGrid w:val="0"/>
          <w:color w:val="auto"/>
          <w:highlight w:val="none"/>
          <w:lang w:val="en-US" w:eastAsia="zh-CN"/>
        </w:rPr>
        <w:t>3、附图4</w:t>
      </w:r>
      <w:r>
        <w:rPr>
          <w:rFonts w:hint="eastAsia" w:ascii="Times New Roman" w:hAnsi="Times New Roman" w:eastAsia="宋体" w:cs="Times New Roman"/>
          <w:snapToGrid w:val="0"/>
          <w:color w:val="auto"/>
          <w:highlight w:val="none"/>
          <w:lang w:val="en-US" w:eastAsia="zh-CN"/>
        </w:rPr>
        <w:t>）。</w:t>
      </w:r>
    </w:p>
    <w:p w14:paraId="4F549CA7">
      <w:pPr>
        <w:pStyle w:val="4"/>
        <w:spacing w:after="156"/>
        <w:rPr>
          <w:rFonts w:cs="Times New Roman"/>
          <w:b/>
          <w:bCs/>
          <w:color w:val="auto"/>
          <w:highlight w:val="none"/>
        </w:rPr>
      </w:pPr>
      <w:bookmarkStart w:id="26" w:name="_Toc24961"/>
      <w:r>
        <w:rPr>
          <w:rFonts w:hint="eastAsia" w:cs="Times New Roman"/>
          <w:color w:val="auto"/>
          <w:highlight w:val="none"/>
          <w:lang w:val="en-US" w:eastAsia="zh-CN"/>
        </w:rPr>
        <w:t>1.4.6</w:t>
      </w:r>
      <w:r>
        <w:rPr>
          <w:rFonts w:cs="Times New Roman"/>
          <w:color w:val="auto"/>
          <w:highlight w:val="none"/>
        </w:rPr>
        <w:t>相关污染防治政策的符合性分析</w:t>
      </w:r>
      <w:bookmarkEnd w:id="26"/>
    </w:p>
    <w:p w14:paraId="71374111">
      <w:pPr>
        <w:spacing w:line="240" w:lineRule="auto"/>
        <w:ind w:firstLine="0" w:firstLineChars="0"/>
        <w:jc w:val="center"/>
        <w:rPr>
          <w:rFonts w:cs="Times New Roman"/>
          <w:b/>
          <w:bCs/>
          <w:color w:val="auto"/>
          <w:highlight w:val="none"/>
        </w:rPr>
      </w:pPr>
      <w:r>
        <w:rPr>
          <w:rFonts w:cs="Times New Roman"/>
          <w:b/>
          <w:bCs/>
          <w:color w:val="auto"/>
          <w:highlight w:val="none"/>
        </w:rPr>
        <w:t>表1.4-</w:t>
      </w:r>
      <w:r>
        <w:rPr>
          <w:rFonts w:hint="eastAsia" w:cs="Times New Roman"/>
          <w:b/>
          <w:bCs/>
          <w:color w:val="auto"/>
          <w:highlight w:val="none"/>
          <w:lang w:val="en-US" w:eastAsia="zh-CN"/>
        </w:rPr>
        <w:t>8</w:t>
      </w:r>
      <w:r>
        <w:rPr>
          <w:rFonts w:cs="Times New Roman"/>
          <w:b/>
          <w:bCs/>
          <w:color w:val="auto"/>
          <w:highlight w:val="none"/>
        </w:rPr>
        <w:t xml:space="preserve">  项目建设与相关政策符合性分析</w:t>
      </w:r>
    </w:p>
    <w:tbl>
      <w:tblPr>
        <w:tblStyle w:val="47"/>
        <w:tblW w:w="847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62"/>
        <w:gridCol w:w="3101"/>
        <w:gridCol w:w="2770"/>
        <w:gridCol w:w="645"/>
      </w:tblGrid>
      <w:tr w14:paraId="596308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1962" w:type="dxa"/>
            <w:vAlign w:val="center"/>
          </w:tcPr>
          <w:p w14:paraId="1BA44013">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名称</w:t>
            </w:r>
          </w:p>
        </w:tc>
        <w:tc>
          <w:tcPr>
            <w:tcW w:w="3101" w:type="dxa"/>
            <w:vAlign w:val="center"/>
          </w:tcPr>
          <w:p w14:paraId="348D4021">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相关要求</w:t>
            </w:r>
          </w:p>
        </w:tc>
        <w:tc>
          <w:tcPr>
            <w:tcW w:w="2770" w:type="dxa"/>
            <w:vAlign w:val="center"/>
          </w:tcPr>
          <w:p w14:paraId="5F0E19C6">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本项目情况</w:t>
            </w:r>
          </w:p>
        </w:tc>
        <w:tc>
          <w:tcPr>
            <w:tcW w:w="645" w:type="dxa"/>
            <w:vAlign w:val="center"/>
          </w:tcPr>
          <w:p w14:paraId="778572D9">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结论</w:t>
            </w:r>
          </w:p>
        </w:tc>
      </w:tr>
      <w:tr w14:paraId="330099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9" w:hRule="atLeast"/>
        </w:trPr>
        <w:tc>
          <w:tcPr>
            <w:tcW w:w="1962" w:type="dxa"/>
            <w:vAlign w:val="center"/>
          </w:tcPr>
          <w:p w14:paraId="7C85E2A3">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《黑龙江省大气污染防治条例》</w:t>
            </w:r>
          </w:p>
        </w:tc>
        <w:tc>
          <w:tcPr>
            <w:tcW w:w="3101" w:type="dxa"/>
            <w:vAlign w:val="center"/>
          </w:tcPr>
          <w:p w14:paraId="18301D85">
            <w:pPr>
              <w:spacing w:line="360" w:lineRule="exact"/>
              <w:ind w:firstLine="0" w:firstLineChars="0"/>
              <w:rPr>
                <w:rFonts w:cs="Times New Roman"/>
                <w:color w:val="auto"/>
                <w:kern w:val="0"/>
                <w:sz w:val="21"/>
                <w:szCs w:val="21"/>
                <w:highlight w:val="none"/>
              </w:rPr>
            </w:pPr>
            <w:r>
              <w:rPr>
                <w:rFonts w:cs="Times New Roman"/>
                <w:color w:val="auto"/>
                <w:kern w:val="0"/>
                <w:sz w:val="21"/>
                <w:szCs w:val="21"/>
                <w:highlight w:val="none"/>
              </w:rPr>
              <w:t>第十条 企业事业单位和其他生产经营者建设对大气环境有影响的项目，应当依法进行环境影响评价、公开环境影响评价文件；向大气排放污染物的，应当符合大气污染物排放标准，遵守重点大气污染物排放总量控制要求。</w:t>
            </w:r>
          </w:p>
        </w:tc>
        <w:tc>
          <w:tcPr>
            <w:tcW w:w="2770" w:type="dxa"/>
            <w:vAlign w:val="center"/>
          </w:tcPr>
          <w:p w14:paraId="094D936E">
            <w:pPr>
              <w:spacing w:line="360" w:lineRule="exact"/>
              <w:ind w:firstLine="0" w:firstLineChars="0"/>
              <w:rPr>
                <w:rFonts w:hint="eastAsia" w:eastAsia="宋体" w:cs="Times New Roman"/>
                <w:color w:val="auto"/>
                <w:kern w:val="0"/>
                <w:sz w:val="21"/>
                <w:szCs w:val="21"/>
                <w:highlight w:val="none"/>
                <w:lang w:eastAsia="zh-CN"/>
              </w:rPr>
            </w:pPr>
            <w:r>
              <w:rPr>
                <w:rFonts w:cs="Times New Roman"/>
                <w:color w:val="auto"/>
                <w:kern w:val="0"/>
                <w:sz w:val="21"/>
                <w:szCs w:val="21"/>
                <w:highlight w:val="none"/>
              </w:rPr>
              <w:t>本项目正在进行环境影响报告书的编制工作，并对建设内容规模等进行了公示，项目生产过程中对产生废气均采取处理措施，处理后达标排放</w:t>
            </w:r>
            <w:r>
              <w:rPr>
                <w:rFonts w:hint="eastAsia" w:cs="Times New Roman"/>
                <w:color w:val="auto"/>
                <w:kern w:val="0"/>
                <w:sz w:val="21"/>
                <w:szCs w:val="21"/>
                <w:highlight w:val="none"/>
                <w:lang w:eastAsia="zh-CN"/>
              </w:rPr>
              <w:t>。</w:t>
            </w:r>
          </w:p>
        </w:tc>
        <w:tc>
          <w:tcPr>
            <w:tcW w:w="645" w:type="dxa"/>
            <w:vAlign w:val="center"/>
          </w:tcPr>
          <w:p w14:paraId="315BA42A">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符合</w:t>
            </w:r>
          </w:p>
        </w:tc>
      </w:tr>
      <w:tr w14:paraId="76CBF1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962" w:type="dxa"/>
            <w:vAlign w:val="center"/>
          </w:tcPr>
          <w:p w14:paraId="2DD25310">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《黑龙江省水污染防治实施方案》（黑政发〔2016〕3号）</w:t>
            </w:r>
          </w:p>
        </w:tc>
        <w:tc>
          <w:tcPr>
            <w:tcW w:w="3101" w:type="dxa"/>
            <w:vAlign w:val="center"/>
          </w:tcPr>
          <w:p w14:paraId="0D222149">
            <w:pPr>
              <w:spacing w:line="360" w:lineRule="exact"/>
              <w:ind w:firstLine="0" w:firstLineChars="0"/>
              <w:rPr>
                <w:rFonts w:cs="Times New Roman"/>
                <w:color w:val="auto"/>
                <w:kern w:val="0"/>
                <w:sz w:val="21"/>
                <w:szCs w:val="21"/>
                <w:highlight w:val="none"/>
              </w:rPr>
            </w:pPr>
            <w:r>
              <w:rPr>
                <w:rFonts w:cs="Times New Roman"/>
                <w:color w:val="auto"/>
                <w:kern w:val="0"/>
                <w:sz w:val="21"/>
                <w:szCs w:val="21"/>
                <w:highlight w:val="none"/>
              </w:rPr>
              <w:t>（1）狠抓工业污染防治。</w:t>
            </w:r>
          </w:p>
          <w:p w14:paraId="000A4715">
            <w:pPr>
              <w:spacing w:line="360" w:lineRule="exact"/>
              <w:ind w:firstLine="0" w:firstLineChars="0"/>
              <w:rPr>
                <w:rFonts w:cs="Times New Roman"/>
                <w:color w:val="auto"/>
                <w:kern w:val="0"/>
                <w:sz w:val="21"/>
                <w:szCs w:val="21"/>
                <w:highlight w:val="none"/>
              </w:rPr>
            </w:pPr>
            <w:r>
              <w:rPr>
                <w:rFonts w:cs="Times New Roman"/>
                <w:color w:val="auto"/>
                <w:kern w:val="0"/>
                <w:sz w:val="21"/>
                <w:szCs w:val="21"/>
                <w:highlight w:val="none"/>
              </w:rPr>
              <w:t>（2）推进污泥处理处置。</w:t>
            </w:r>
          </w:p>
          <w:p w14:paraId="022B8429">
            <w:pPr>
              <w:spacing w:line="360" w:lineRule="exact"/>
              <w:ind w:firstLine="0" w:firstLineChars="0"/>
              <w:rPr>
                <w:rFonts w:cs="Times New Roman"/>
                <w:color w:val="auto"/>
                <w:kern w:val="0"/>
                <w:sz w:val="21"/>
                <w:szCs w:val="21"/>
                <w:highlight w:val="none"/>
              </w:rPr>
            </w:pPr>
            <w:r>
              <w:rPr>
                <w:rFonts w:cs="Times New Roman"/>
                <w:color w:val="auto"/>
                <w:kern w:val="0"/>
                <w:sz w:val="21"/>
                <w:szCs w:val="21"/>
                <w:highlight w:val="none"/>
              </w:rPr>
              <w:t>（3）防治地下水污染。石化生产存贮销售企业和工业园区、矿山开采区、垃圾填埋场等区域应进行必要的防渗处理。</w:t>
            </w:r>
          </w:p>
        </w:tc>
        <w:tc>
          <w:tcPr>
            <w:tcW w:w="2770" w:type="dxa"/>
            <w:vAlign w:val="center"/>
          </w:tcPr>
          <w:p w14:paraId="021699A9">
            <w:pPr>
              <w:spacing w:line="360" w:lineRule="exact"/>
              <w:ind w:firstLine="0" w:firstLineChars="0"/>
              <w:rPr>
                <w:rFonts w:cs="Times New Roman"/>
                <w:color w:val="auto"/>
                <w:kern w:val="0"/>
                <w:sz w:val="21"/>
                <w:szCs w:val="21"/>
                <w:highlight w:val="none"/>
              </w:rPr>
            </w:pPr>
            <w:r>
              <w:rPr>
                <w:rFonts w:cs="Times New Roman"/>
                <w:color w:val="auto"/>
                <w:kern w:val="0"/>
                <w:sz w:val="21"/>
                <w:szCs w:val="21"/>
                <w:highlight w:val="none"/>
              </w:rPr>
              <w:t>本项目屠宰废水经厂区自建的污水处理站进行处理，处理后满足GB13457-1992表3中的畜类屠宰加工三级标准及</w:t>
            </w:r>
            <w:r>
              <w:rPr>
                <w:rFonts w:hint="eastAsia" w:cs="Times New Roman"/>
                <w:color w:val="auto"/>
                <w:kern w:val="0"/>
                <w:sz w:val="21"/>
                <w:szCs w:val="21"/>
                <w:highlight w:val="none"/>
                <w:lang w:val="en-GB" w:eastAsia="zh-CN"/>
              </w:rPr>
              <w:t>双鸭山市畅源排水有限公司</w:t>
            </w:r>
            <w:r>
              <w:rPr>
                <w:rFonts w:cs="Times New Roman"/>
                <w:color w:val="auto"/>
                <w:kern w:val="0"/>
                <w:sz w:val="21"/>
                <w:szCs w:val="21"/>
                <w:highlight w:val="none"/>
              </w:rPr>
              <w:t>设计进水水质指标后，与生活污水和一同经市政污水管网进入</w:t>
            </w:r>
            <w:r>
              <w:rPr>
                <w:rFonts w:hint="eastAsia" w:cs="Times New Roman"/>
                <w:color w:val="auto"/>
                <w:kern w:val="0"/>
                <w:sz w:val="21"/>
                <w:szCs w:val="21"/>
                <w:highlight w:val="none"/>
                <w:lang w:val="en-GB" w:eastAsia="zh-CN"/>
              </w:rPr>
              <w:t>双鸭山市畅源排水有限公司</w:t>
            </w:r>
            <w:r>
              <w:rPr>
                <w:rFonts w:cs="Times New Roman"/>
                <w:color w:val="auto"/>
                <w:kern w:val="0"/>
                <w:sz w:val="21"/>
                <w:szCs w:val="21"/>
                <w:highlight w:val="none"/>
                <w:lang w:val="en-GB"/>
              </w:rPr>
              <w:t>处理，</w:t>
            </w:r>
            <w:r>
              <w:rPr>
                <w:rFonts w:cs="Times New Roman"/>
                <w:color w:val="auto"/>
                <w:kern w:val="0"/>
                <w:sz w:val="21"/>
                <w:szCs w:val="21"/>
                <w:highlight w:val="none"/>
              </w:rPr>
              <w:t>处理达标后</w:t>
            </w:r>
            <w:r>
              <w:rPr>
                <w:rFonts w:cs="Times New Roman"/>
                <w:color w:val="auto"/>
                <w:kern w:val="0"/>
                <w:sz w:val="21"/>
                <w:szCs w:val="21"/>
                <w:highlight w:val="none"/>
                <w:lang w:val="en-GB"/>
              </w:rPr>
              <w:t>排入</w:t>
            </w:r>
            <w:r>
              <w:rPr>
                <w:rFonts w:hint="eastAsia" w:cs="Times New Roman"/>
                <w:color w:val="auto"/>
                <w:kern w:val="0"/>
                <w:sz w:val="21"/>
                <w:szCs w:val="21"/>
                <w:highlight w:val="none"/>
                <w:lang w:val="en-GB" w:eastAsia="zh-CN"/>
              </w:rPr>
              <w:t>安邦河</w:t>
            </w:r>
            <w:r>
              <w:rPr>
                <w:rFonts w:cs="Times New Roman"/>
                <w:color w:val="auto"/>
                <w:kern w:val="0"/>
                <w:sz w:val="21"/>
                <w:szCs w:val="21"/>
                <w:highlight w:val="none"/>
              </w:rPr>
              <w:t>。厂区采取分区防渗的措施，符合国家、省市水十条的相关要求。</w:t>
            </w:r>
          </w:p>
        </w:tc>
        <w:tc>
          <w:tcPr>
            <w:tcW w:w="645" w:type="dxa"/>
            <w:vAlign w:val="center"/>
          </w:tcPr>
          <w:p w14:paraId="6C64B668">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符合</w:t>
            </w:r>
          </w:p>
        </w:tc>
      </w:tr>
      <w:tr w14:paraId="51B10D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962" w:type="dxa"/>
            <w:vAlign w:val="center"/>
          </w:tcPr>
          <w:p w14:paraId="5D243EC8">
            <w:pPr>
              <w:spacing w:line="360" w:lineRule="exact"/>
              <w:ind w:firstLine="0" w:firstLineChars="0"/>
              <w:jc w:val="center"/>
              <w:rPr>
                <w:rFonts w:cs="Times New Roman"/>
                <w:color w:val="auto"/>
                <w:kern w:val="0"/>
                <w:sz w:val="21"/>
                <w:szCs w:val="21"/>
                <w:highlight w:val="none"/>
              </w:rPr>
            </w:pPr>
            <w:r>
              <w:rPr>
                <w:rFonts w:hint="eastAsia" w:cs="Times New Roman"/>
                <w:color w:val="auto"/>
                <w:kern w:val="0"/>
                <w:sz w:val="21"/>
                <w:szCs w:val="21"/>
                <w:highlight w:val="none"/>
              </w:rPr>
              <w:t>《黑龙江省空气质量持续改善行动计划实施方案》</w:t>
            </w:r>
            <w:r>
              <w:rPr>
                <w:rFonts w:cs="Times New Roman"/>
                <w:color w:val="auto"/>
                <w:kern w:val="0"/>
                <w:sz w:val="21"/>
                <w:szCs w:val="21"/>
                <w:highlight w:val="none"/>
              </w:rPr>
              <w:t>黑政发〔2023〕19号</w:t>
            </w:r>
          </w:p>
        </w:tc>
        <w:tc>
          <w:tcPr>
            <w:tcW w:w="3101" w:type="dxa"/>
            <w:vAlign w:val="center"/>
          </w:tcPr>
          <w:p w14:paraId="10DA6A88">
            <w:pPr>
              <w:spacing w:line="360" w:lineRule="exact"/>
              <w:ind w:firstLine="0" w:firstLineChars="0"/>
              <w:jc w:val="center"/>
              <w:rPr>
                <w:rFonts w:hint="eastAsia" w:cs="Times New Roman"/>
                <w:color w:val="auto"/>
                <w:kern w:val="0"/>
                <w:sz w:val="21"/>
                <w:szCs w:val="21"/>
                <w:highlight w:val="none"/>
                <w:lang w:val="en-GB" w:eastAsia="zh-CN"/>
              </w:rPr>
            </w:pPr>
            <w:r>
              <w:rPr>
                <w:rFonts w:hint="eastAsia" w:cs="Times New Roman"/>
                <w:color w:val="auto"/>
                <w:kern w:val="0"/>
                <w:sz w:val="21"/>
                <w:szCs w:val="21"/>
                <w:highlight w:val="none"/>
                <w:lang w:val="en-GB" w:eastAsia="zh-CN"/>
              </w:rPr>
              <w:t>稳步推进大气氨污染防控。提升养殖业、种植业规模化和集约化水平，推进种养有机结合，提高畜禽粪污利用效率。鼓励生猪、鸡等圈舍封闭管理，推进粪污输送、存储及处理设施封闭，加强废气收集和处理。推广测土配方施肥、肥料机械深施和低蛋白日粮技术。加强氮肥、纯碱等行业氨排放治理，强化工业源烟气脱硫脱硝氨逃逸防控。</w:t>
            </w:r>
          </w:p>
        </w:tc>
        <w:tc>
          <w:tcPr>
            <w:tcW w:w="2770" w:type="dxa"/>
            <w:vAlign w:val="center"/>
          </w:tcPr>
          <w:p w14:paraId="6ECFBE03">
            <w:pPr>
              <w:spacing w:line="360" w:lineRule="exact"/>
              <w:ind w:firstLine="0" w:firstLineChars="0"/>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本项目运行期间产生污染物氨、硫化氢等，均通过活性炭吸附进行有效处理，无组织面源通过</w:t>
            </w:r>
            <w:r>
              <w:rPr>
                <w:rFonts w:hint="eastAsia" w:cs="Times New Roman"/>
                <w:color w:val="auto"/>
                <w:kern w:val="0"/>
                <w:sz w:val="21"/>
                <w:szCs w:val="21"/>
                <w:highlight w:val="none"/>
                <w:lang w:val="zh-CN" w:eastAsia="zh-CN"/>
              </w:rPr>
              <w:t>冲洗待地面，并定期喷洒除臭剂，可降低无组织恶臭。</w:t>
            </w:r>
          </w:p>
        </w:tc>
        <w:tc>
          <w:tcPr>
            <w:tcW w:w="645" w:type="dxa"/>
            <w:vAlign w:val="center"/>
          </w:tcPr>
          <w:p w14:paraId="485D6EE7">
            <w:pPr>
              <w:spacing w:line="360" w:lineRule="exact"/>
              <w:ind w:firstLine="0" w:firstLineChars="0"/>
              <w:jc w:val="center"/>
              <w:rPr>
                <w:rFonts w:cs="Times New Roman"/>
                <w:color w:val="auto"/>
                <w:kern w:val="0"/>
                <w:sz w:val="21"/>
                <w:szCs w:val="21"/>
                <w:highlight w:val="none"/>
              </w:rPr>
            </w:pPr>
          </w:p>
        </w:tc>
      </w:tr>
      <w:tr w14:paraId="077392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962" w:type="dxa"/>
            <w:vAlign w:val="center"/>
          </w:tcPr>
          <w:p w14:paraId="6BD67F42">
            <w:pPr>
              <w:spacing w:line="360" w:lineRule="exact"/>
              <w:ind w:firstLine="0" w:firstLineChars="0"/>
              <w:jc w:val="center"/>
              <w:rPr>
                <w:rFonts w:hint="eastAsia" w:cs="Times New Roman"/>
                <w:color w:val="auto"/>
                <w:kern w:val="0"/>
                <w:sz w:val="21"/>
                <w:szCs w:val="21"/>
                <w:highlight w:val="none"/>
              </w:rPr>
            </w:pPr>
            <w:r>
              <w:rPr>
                <w:rFonts w:hint="eastAsia" w:eastAsia="宋体"/>
                <w:color w:val="auto"/>
                <w:sz w:val="21"/>
                <w:szCs w:val="21"/>
                <w:highlight w:val="none"/>
                <w:lang w:val="en-US" w:eastAsia="zh-CN"/>
              </w:rPr>
              <w:t>《黑龙江省水污染防治条例</w:t>
            </w:r>
            <w:r>
              <w:rPr>
                <w:rFonts w:hint="eastAsia" w:ascii="Times New Roman" w:hAnsi="Times New Roman" w:eastAsia="宋体"/>
                <w:color w:val="auto"/>
                <w:sz w:val="21"/>
                <w:szCs w:val="21"/>
                <w:highlight w:val="none"/>
                <w:lang w:val="en-US" w:eastAsia="zh-CN"/>
              </w:rPr>
              <w:t>》（2023年11月2日黑龙江省第十四届人民代表大会常务委员会第八次会议通过）</w:t>
            </w:r>
          </w:p>
        </w:tc>
        <w:tc>
          <w:tcPr>
            <w:tcW w:w="3101" w:type="dxa"/>
            <w:vAlign w:val="center"/>
          </w:tcPr>
          <w:p w14:paraId="22A5584F">
            <w:pPr>
              <w:spacing w:line="360" w:lineRule="exact"/>
              <w:ind w:firstLine="0" w:firstLineChars="0"/>
              <w:jc w:val="center"/>
              <w:rPr>
                <w:rFonts w:hint="eastAsia" w:ascii="Times New Roman" w:hAnsi="Times New Roman" w:eastAsia="宋体" w:cs="Times New Roman"/>
                <w:color w:val="auto"/>
                <w:kern w:val="0"/>
                <w:sz w:val="21"/>
                <w:szCs w:val="21"/>
                <w:highlight w:val="none"/>
                <w:lang w:val="en-GB" w:eastAsia="zh-CN"/>
              </w:rPr>
            </w:pPr>
            <w:r>
              <w:rPr>
                <w:rFonts w:hint="eastAsia" w:ascii="Times New Roman" w:hAnsi="Times New Roman" w:eastAsia="宋体" w:cs="Times New Roman"/>
                <w:color w:val="auto"/>
                <w:kern w:val="0"/>
                <w:sz w:val="21"/>
                <w:szCs w:val="21"/>
                <w:highlight w:val="none"/>
                <w:lang w:val="en-GB" w:eastAsia="zh-CN"/>
              </w:rPr>
              <w:t>第三十三条：排放工业废水的企业应当采取有效措施，收集和处理产生的全部废水，防止污染环境。含有毒有害水污染物的工业废水应当分类收集和处理，不得稀释排放。</w:t>
            </w:r>
          </w:p>
        </w:tc>
        <w:tc>
          <w:tcPr>
            <w:tcW w:w="2770" w:type="dxa"/>
            <w:vAlign w:val="center"/>
          </w:tcPr>
          <w:p w14:paraId="2050CE21">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本项目产生的生产废水包括屠宰废水及车辆冲洗废水，均通过厂区自建污水处理站</w:t>
            </w:r>
            <w:r>
              <w:rPr>
                <w:rFonts w:hint="eastAsia" w:ascii="Times New Roman" w:hAnsi="Times New Roman" w:eastAsia="宋体" w:cs="Times New Roman"/>
                <w:color w:val="auto"/>
                <w:kern w:val="0"/>
                <w:sz w:val="21"/>
                <w:szCs w:val="21"/>
                <w:highlight w:val="none"/>
                <w:lang w:val="en-GB" w:eastAsia="zh-CN"/>
              </w:rPr>
              <w:t>处理后满足《肉类加工工业水污染物排放标准》（GB13457-92）表3标准限值</w:t>
            </w:r>
            <w:r>
              <w:rPr>
                <w:rFonts w:hint="eastAsia" w:cs="Times New Roman"/>
                <w:color w:val="auto"/>
                <w:kern w:val="0"/>
                <w:sz w:val="21"/>
                <w:szCs w:val="21"/>
                <w:highlight w:val="none"/>
                <w:lang w:val="en-GB" w:eastAsia="zh-CN"/>
              </w:rPr>
              <w:t>。</w:t>
            </w:r>
          </w:p>
        </w:tc>
        <w:tc>
          <w:tcPr>
            <w:tcW w:w="645" w:type="dxa"/>
            <w:vAlign w:val="center"/>
          </w:tcPr>
          <w:p w14:paraId="6F9D1C39">
            <w:pPr>
              <w:spacing w:line="360" w:lineRule="exact"/>
              <w:ind w:firstLine="0" w:firstLineChars="0"/>
              <w:jc w:val="center"/>
              <w:rPr>
                <w:rFonts w:cs="Times New Roman"/>
                <w:color w:val="auto"/>
                <w:kern w:val="0"/>
                <w:sz w:val="21"/>
                <w:szCs w:val="21"/>
                <w:highlight w:val="none"/>
              </w:rPr>
            </w:pPr>
          </w:p>
        </w:tc>
      </w:tr>
      <w:tr w14:paraId="703BB3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962" w:type="dxa"/>
            <w:vAlign w:val="center"/>
          </w:tcPr>
          <w:p w14:paraId="2998FB14">
            <w:pPr>
              <w:spacing w:line="360" w:lineRule="exact"/>
              <w:ind w:firstLine="0" w:firstLineChars="0"/>
              <w:jc w:val="center"/>
              <w:rPr>
                <w:rFonts w:hint="eastAsia"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双鸭山市空气质量</w:t>
            </w:r>
            <w:r>
              <w:rPr>
                <w:rFonts w:hint="eastAsia" w:ascii="Times New Roman" w:hAnsi="Times New Roman" w:eastAsia="宋体"/>
                <w:color w:val="auto"/>
                <w:sz w:val="21"/>
                <w:szCs w:val="21"/>
                <w:highlight w:val="none"/>
                <w:lang w:val="en-US" w:eastAsia="zh-CN"/>
              </w:rPr>
              <w:br w:type="textWrapping"/>
            </w:r>
            <w:r>
              <w:rPr>
                <w:rFonts w:hint="default" w:ascii="Times New Roman" w:hAnsi="Times New Roman" w:eastAsia="宋体"/>
                <w:color w:val="auto"/>
                <w:sz w:val="21"/>
                <w:szCs w:val="21"/>
                <w:highlight w:val="none"/>
                <w:lang w:val="en-US" w:eastAsia="zh-CN"/>
              </w:rPr>
              <w:t>持续改善行动计划贯彻落实方案</w:t>
            </w:r>
          </w:p>
        </w:tc>
        <w:tc>
          <w:tcPr>
            <w:tcW w:w="3101" w:type="dxa"/>
            <w:shd w:val="clear" w:color="auto" w:fill="auto"/>
            <w:vAlign w:val="center"/>
          </w:tcPr>
          <w:p w14:paraId="5EB09E0F">
            <w:pPr>
              <w:spacing w:line="360" w:lineRule="exact"/>
              <w:ind w:firstLine="0" w:firstLineChars="0"/>
              <w:jc w:val="center"/>
              <w:rPr>
                <w:rFonts w:hint="eastAsia" w:ascii="Times New Roman" w:hAnsi="Times New Roman" w:eastAsia="宋体" w:cs="Times New Roman"/>
                <w:color w:val="auto"/>
                <w:kern w:val="0"/>
                <w:sz w:val="21"/>
                <w:szCs w:val="21"/>
                <w:highlight w:val="none"/>
                <w:lang w:val="en-GB" w:eastAsia="zh-CN" w:bidi="ar-SA"/>
              </w:rPr>
            </w:pPr>
            <w:r>
              <w:rPr>
                <w:rFonts w:hint="eastAsia" w:cs="Times New Roman"/>
                <w:color w:val="auto"/>
                <w:kern w:val="0"/>
                <w:sz w:val="21"/>
                <w:szCs w:val="21"/>
                <w:highlight w:val="none"/>
                <w:lang w:val="en-GB" w:eastAsia="zh-CN"/>
              </w:rPr>
              <w:t>稳步推进大气氨污染防控。提升养殖业、种植业规模化和集约化水平，推进种养有机结合，提高畜禽粪污利用效率。鼓励生猪、鸡等圈舍封闭管理，推进粪污输送、存储及处理设施封闭，加强废气收集和处理。推广测土配方施肥、肥料机械深施和低蛋白日粮技术。加强氮肥、纯碱等行业氨排放治理，强化工业源烟气脱硫脱硝氨逃逸防控。</w:t>
            </w:r>
          </w:p>
        </w:tc>
        <w:tc>
          <w:tcPr>
            <w:tcW w:w="2770" w:type="dxa"/>
            <w:shd w:val="clear" w:color="auto" w:fill="auto"/>
            <w:vAlign w:val="center"/>
          </w:tcPr>
          <w:p w14:paraId="7D8182BF">
            <w:pPr>
              <w:spacing w:line="360" w:lineRule="exact"/>
              <w:ind w:firstLine="0" w:firstLineChars="0"/>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本项目运行期间产生污染物氨、硫化氢等，均通过活性炭吸附进行有效处理，无组织面源通过</w:t>
            </w:r>
            <w:r>
              <w:rPr>
                <w:rFonts w:hint="eastAsia" w:cs="Times New Roman"/>
                <w:color w:val="auto"/>
                <w:kern w:val="0"/>
                <w:sz w:val="21"/>
                <w:szCs w:val="21"/>
                <w:highlight w:val="none"/>
                <w:lang w:val="zh-CN" w:eastAsia="zh-CN"/>
              </w:rPr>
              <w:t>冲洗待地面，并定期喷洒除臭剂，可降低无组织恶臭。</w:t>
            </w:r>
          </w:p>
        </w:tc>
        <w:tc>
          <w:tcPr>
            <w:tcW w:w="645" w:type="dxa"/>
            <w:vAlign w:val="center"/>
          </w:tcPr>
          <w:p w14:paraId="45027BD3">
            <w:pPr>
              <w:spacing w:line="360" w:lineRule="exact"/>
              <w:ind w:firstLine="0" w:firstLineChars="0"/>
              <w:jc w:val="center"/>
              <w:rPr>
                <w:rFonts w:cs="Times New Roman"/>
                <w:color w:val="auto"/>
                <w:kern w:val="0"/>
                <w:sz w:val="21"/>
                <w:szCs w:val="21"/>
                <w:highlight w:val="none"/>
              </w:rPr>
            </w:pPr>
          </w:p>
        </w:tc>
      </w:tr>
      <w:tr w14:paraId="35656A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962" w:type="dxa"/>
            <w:vAlign w:val="center"/>
          </w:tcPr>
          <w:p w14:paraId="70C9A30F">
            <w:pPr>
              <w:spacing w:line="360" w:lineRule="exact"/>
              <w:ind w:firstLine="0" w:firstLineChars="0"/>
              <w:jc w:val="center"/>
              <w:rPr>
                <w:rFonts w:hint="eastAsia" w:ascii="Times New Roman" w:hAnsi="Times New Roman" w:eastAsia="宋体" w:cs="Times New Roman"/>
                <w:color w:val="auto"/>
                <w:kern w:val="0"/>
                <w:sz w:val="21"/>
                <w:szCs w:val="21"/>
                <w:highlight w:val="none"/>
                <w:lang w:val="en-GB" w:eastAsia="zh-CN"/>
              </w:rPr>
            </w:pPr>
            <w:r>
              <w:rPr>
                <w:rFonts w:hint="eastAsia" w:ascii="Times New Roman" w:hAnsi="Times New Roman" w:eastAsia="宋体" w:cs="Times New Roman"/>
                <w:color w:val="auto"/>
                <w:kern w:val="0"/>
                <w:sz w:val="21"/>
                <w:szCs w:val="21"/>
                <w:highlight w:val="none"/>
                <w:lang w:val="en-GB" w:eastAsia="zh-CN"/>
              </w:rPr>
              <w:t>动物防疫条件审查办法中华人民共和国农业农村部令</w:t>
            </w:r>
          </w:p>
          <w:p w14:paraId="1B38D793">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GB" w:eastAsia="zh-CN"/>
              </w:rPr>
              <w:t>2022年第8号</w:t>
            </w:r>
          </w:p>
        </w:tc>
        <w:tc>
          <w:tcPr>
            <w:tcW w:w="3101" w:type="dxa"/>
            <w:shd w:val="clear" w:color="auto" w:fill="auto"/>
            <w:vAlign w:val="center"/>
          </w:tcPr>
          <w:p w14:paraId="2A3A3720">
            <w:pPr>
              <w:spacing w:line="360" w:lineRule="exact"/>
              <w:ind w:firstLine="0" w:firstLineChars="0"/>
              <w:jc w:val="center"/>
              <w:rPr>
                <w:rFonts w:hint="eastAsia" w:ascii="Times New Roman" w:hAnsi="Times New Roman" w:eastAsia="宋体" w:cs="Times New Roman"/>
                <w:color w:val="auto"/>
                <w:kern w:val="0"/>
                <w:sz w:val="21"/>
                <w:szCs w:val="21"/>
                <w:highlight w:val="none"/>
                <w:lang w:val="en-GB" w:eastAsia="zh-CN"/>
              </w:rPr>
            </w:pPr>
            <w:r>
              <w:rPr>
                <w:rFonts w:hint="eastAsia" w:ascii="Times New Roman" w:hAnsi="Times New Roman" w:eastAsia="宋体" w:cs="Times New Roman"/>
                <w:color w:val="auto"/>
                <w:kern w:val="0"/>
                <w:sz w:val="21"/>
                <w:szCs w:val="21"/>
                <w:highlight w:val="none"/>
                <w:lang w:val="en-US" w:eastAsia="zh-CN"/>
              </w:rPr>
              <w:t>第六条</w:t>
            </w:r>
            <w:r>
              <w:rPr>
                <w:rFonts w:hint="eastAsia" w:ascii="Times New Roman" w:hAnsi="Times New Roman" w:eastAsia="宋体" w:cs="Times New Roman"/>
                <w:color w:val="auto"/>
                <w:kern w:val="0"/>
                <w:sz w:val="21"/>
                <w:szCs w:val="21"/>
                <w:highlight w:val="none"/>
                <w:lang w:val="en-GB" w:eastAsia="zh-CN"/>
              </w:rPr>
              <w:t>（二）场区周围建有围墙等隔离设施；场区出入口处设置运输车辆消毒通道或者消毒池，并单独设置人员消毒通道；生产经营区与生活办公区分开，并有隔离设施；生产经营区入口处设置人员更衣消毒室；</w:t>
            </w:r>
          </w:p>
          <w:p w14:paraId="5CEA66AE">
            <w:pPr>
              <w:spacing w:line="360" w:lineRule="exact"/>
              <w:ind w:firstLine="0" w:firstLineChars="0"/>
              <w:jc w:val="center"/>
              <w:rPr>
                <w:rFonts w:hint="eastAsia" w:ascii="Times New Roman" w:hAnsi="Times New Roman" w:eastAsia="宋体" w:cs="Times New Roman"/>
                <w:color w:val="auto"/>
                <w:kern w:val="0"/>
                <w:sz w:val="21"/>
                <w:szCs w:val="21"/>
                <w:highlight w:val="none"/>
                <w:lang w:val="en-GB" w:eastAsia="zh-CN"/>
              </w:rPr>
            </w:pPr>
            <w:r>
              <w:rPr>
                <w:rFonts w:hint="eastAsia" w:ascii="Times New Roman" w:hAnsi="Times New Roman" w:eastAsia="宋体" w:cs="Times New Roman"/>
                <w:color w:val="auto"/>
                <w:kern w:val="0"/>
                <w:sz w:val="21"/>
                <w:szCs w:val="21"/>
                <w:highlight w:val="none"/>
                <w:lang w:val="en-US" w:eastAsia="zh-CN"/>
              </w:rPr>
              <w:t>第七条</w:t>
            </w:r>
            <w:r>
              <w:rPr>
                <w:rFonts w:hint="eastAsia" w:ascii="Times New Roman" w:hAnsi="Times New Roman" w:eastAsia="宋体" w:cs="Times New Roman"/>
                <w:color w:val="auto"/>
                <w:kern w:val="0"/>
                <w:sz w:val="21"/>
                <w:szCs w:val="21"/>
                <w:highlight w:val="none"/>
                <w:lang w:val="en-GB" w:eastAsia="zh-CN"/>
              </w:rPr>
              <w:t>（三）配备符合国家规定的病死动物和病害动物产品无害化处理设施设备或者冷藏冷冻等暂存设施设备；</w:t>
            </w:r>
          </w:p>
        </w:tc>
        <w:tc>
          <w:tcPr>
            <w:tcW w:w="2770" w:type="dxa"/>
            <w:shd w:val="clear" w:color="auto" w:fill="auto"/>
            <w:vAlign w:val="center"/>
          </w:tcPr>
          <w:p w14:paraId="02CEBB6E">
            <w:pPr>
              <w:spacing w:line="360" w:lineRule="exact"/>
              <w:ind w:firstLine="0" w:firstLineChars="0"/>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本项目</w:t>
            </w:r>
            <w:r>
              <w:rPr>
                <w:rFonts w:hint="eastAsia" w:ascii="Times New Roman" w:hAnsi="Times New Roman" w:eastAsia="宋体" w:cs="Times New Roman"/>
                <w:color w:val="auto"/>
                <w:kern w:val="0"/>
                <w:sz w:val="21"/>
                <w:szCs w:val="21"/>
                <w:highlight w:val="none"/>
                <w:lang w:val="en-GB" w:eastAsia="zh-CN"/>
              </w:rPr>
              <w:t>生产经营区与生活办公区分开，</w:t>
            </w:r>
            <w:r>
              <w:rPr>
                <w:rFonts w:hint="eastAsia" w:cs="Times New Roman"/>
                <w:color w:val="auto"/>
                <w:kern w:val="0"/>
                <w:sz w:val="21"/>
                <w:szCs w:val="21"/>
                <w:highlight w:val="none"/>
                <w:lang w:val="en-US" w:eastAsia="zh-CN"/>
              </w:rPr>
              <w:t>生产车间位于一楼，办公区位于二楼，配备工作</w:t>
            </w:r>
            <w:r>
              <w:rPr>
                <w:rFonts w:hint="eastAsia" w:ascii="Times New Roman" w:hAnsi="Times New Roman" w:eastAsia="宋体" w:cs="Times New Roman"/>
                <w:color w:val="auto"/>
                <w:kern w:val="0"/>
                <w:sz w:val="21"/>
                <w:szCs w:val="21"/>
                <w:highlight w:val="none"/>
                <w:lang w:val="en-GB" w:eastAsia="zh-CN"/>
              </w:rPr>
              <w:t>人员更衣消毒室，</w:t>
            </w:r>
            <w:r>
              <w:rPr>
                <w:rFonts w:hint="eastAsia" w:cs="Times New Roman"/>
                <w:color w:val="auto"/>
                <w:kern w:val="0"/>
                <w:sz w:val="21"/>
                <w:szCs w:val="21"/>
                <w:highlight w:val="none"/>
                <w:lang w:val="en-US" w:eastAsia="zh-CN"/>
              </w:rPr>
              <w:t>并设立隔离间用于隔离检疫未通过的牛羊，</w:t>
            </w:r>
            <w:r>
              <w:rPr>
                <w:rFonts w:hint="eastAsia" w:ascii="Times New Roman" w:hAnsi="Times New Roman" w:eastAsia="宋体" w:cs="Times New Roman"/>
                <w:color w:val="auto"/>
                <w:kern w:val="0"/>
                <w:sz w:val="21"/>
                <w:szCs w:val="21"/>
                <w:highlight w:val="none"/>
                <w:lang w:val="en-GB" w:eastAsia="zh-CN"/>
              </w:rPr>
              <w:t>病死动物和病害动物产品</w:t>
            </w:r>
            <w:r>
              <w:rPr>
                <w:rFonts w:hint="eastAsia" w:ascii="Times New Roman" w:hAnsi="Times New Roman" w:eastAsia="宋体" w:cs="Times New Roman"/>
                <w:color w:val="auto"/>
                <w:kern w:val="0"/>
                <w:sz w:val="21"/>
                <w:szCs w:val="21"/>
                <w:highlight w:val="none"/>
                <w:lang w:val="en-US" w:eastAsia="zh-CN"/>
              </w:rPr>
              <w:t>均存放于冷藏库。</w:t>
            </w:r>
          </w:p>
        </w:tc>
        <w:tc>
          <w:tcPr>
            <w:tcW w:w="645" w:type="dxa"/>
            <w:vAlign w:val="center"/>
          </w:tcPr>
          <w:p w14:paraId="499BE418">
            <w:pPr>
              <w:spacing w:line="360" w:lineRule="exact"/>
              <w:ind w:firstLine="0" w:firstLineChars="0"/>
              <w:jc w:val="center"/>
              <w:rPr>
                <w:rFonts w:cs="Times New Roman"/>
                <w:color w:val="auto"/>
                <w:kern w:val="0"/>
                <w:sz w:val="21"/>
                <w:szCs w:val="21"/>
                <w:highlight w:val="none"/>
              </w:rPr>
            </w:pPr>
          </w:p>
        </w:tc>
      </w:tr>
      <w:tr w14:paraId="21F3A2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962" w:type="dxa"/>
            <w:vAlign w:val="center"/>
          </w:tcPr>
          <w:p w14:paraId="1B257695">
            <w:pPr>
              <w:spacing w:line="360" w:lineRule="exact"/>
              <w:ind w:firstLine="0" w:firstLineChars="0"/>
              <w:jc w:val="center"/>
              <w:rPr>
                <w:rFonts w:hint="eastAsia" w:ascii="Times New Roman" w:hAnsi="Times New Roman" w:eastAsia="宋体" w:cs="Times New Roman"/>
                <w:color w:val="auto"/>
                <w:kern w:val="0"/>
                <w:sz w:val="21"/>
                <w:szCs w:val="21"/>
                <w:highlight w:val="none"/>
                <w:lang w:val="en-GB" w:eastAsia="zh-CN"/>
              </w:rPr>
            </w:pPr>
            <w:r>
              <w:rPr>
                <w:rFonts w:hint="default" w:ascii="Times New Roman" w:hAnsi="Times New Roman" w:eastAsia="宋体" w:cs="Times New Roman"/>
                <w:color w:val="auto"/>
                <w:kern w:val="0"/>
                <w:sz w:val="21"/>
                <w:szCs w:val="21"/>
                <w:highlight w:val="none"/>
                <w:lang w:val="en-GB" w:eastAsia="zh-CN"/>
              </w:rPr>
              <w:t>双鸭山市城市总体规划（2010-2030）</w:t>
            </w:r>
          </w:p>
        </w:tc>
        <w:tc>
          <w:tcPr>
            <w:tcW w:w="3101" w:type="dxa"/>
            <w:shd w:val="clear" w:color="auto" w:fill="auto"/>
            <w:vAlign w:val="center"/>
          </w:tcPr>
          <w:p w14:paraId="76384097">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GB" w:eastAsia="zh-CN"/>
              </w:rPr>
              <w:t>综合产业组团：南部、中部、北部三个产业组团，以煤炭、新材料、建材</w:t>
            </w:r>
            <w:r>
              <w:rPr>
                <w:rFonts w:hint="eastAsia" w:ascii="Times New Roman" w:hAnsi="Times New Roman" w:eastAsia="宋体" w:cs="Times New Roman"/>
                <w:color w:val="auto"/>
                <w:kern w:val="0"/>
                <w:sz w:val="21"/>
                <w:szCs w:val="21"/>
                <w:highlight w:val="none"/>
                <w:lang w:val="en-GB" w:eastAsia="zh-CN"/>
              </w:rPr>
              <w:t>、</w:t>
            </w:r>
            <w:r>
              <w:rPr>
                <w:rFonts w:hint="default" w:ascii="Times New Roman" w:hAnsi="Times New Roman" w:eastAsia="宋体" w:cs="Times New Roman"/>
                <w:color w:val="auto"/>
                <w:kern w:val="0"/>
                <w:sz w:val="21"/>
                <w:szCs w:val="21"/>
                <w:highlight w:val="none"/>
                <w:lang w:val="en-GB" w:eastAsia="zh-CN"/>
              </w:rPr>
              <w:t>农副产品加工等综合型产业发展为主。减少对周边居住区和生态环境的破坏，提升发展质量和土地利用效率。</w:t>
            </w:r>
          </w:p>
        </w:tc>
        <w:tc>
          <w:tcPr>
            <w:tcW w:w="2770" w:type="dxa"/>
            <w:shd w:val="clear" w:color="auto" w:fill="auto"/>
            <w:vAlign w:val="center"/>
          </w:tcPr>
          <w:p w14:paraId="1DB4C00A">
            <w:pPr>
              <w:spacing w:line="360" w:lineRule="exact"/>
              <w:ind w:firstLine="0" w:firstLineChars="0"/>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本项目为屠宰类项目内含肉类分割，属于副产品加工类，本项目产生的废水废气及噪声、固体废物等污染均可得到有效处置，不会对厂区周围敏感点造成影响，且本项目利用原双鸭山市岭东客运站用地，提升了土地利用效率， 符合双鸭山市总体规划。</w:t>
            </w:r>
          </w:p>
        </w:tc>
        <w:tc>
          <w:tcPr>
            <w:tcW w:w="645" w:type="dxa"/>
            <w:vAlign w:val="center"/>
          </w:tcPr>
          <w:p w14:paraId="0CE65675">
            <w:pPr>
              <w:spacing w:line="360" w:lineRule="exact"/>
              <w:ind w:firstLine="0" w:firstLineChars="0"/>
              <w:jc w:val="center"/>
              <w:rPr>
                <w:rFonts w:cs="Times New Roman"/>
                <w:color w:val="auto"/>
                <w:kern w:val="0"/>
                <w:sz w:val="21"/>
                <w:szCs w:val="21"/>
                <w:highlight w:val="none"/>
              </w:rPr>
            </w:pPr>
          </w:p>
        </w:tc>
      </w:tr>
    </w:tbl>
    <w:p w14:paraId="4C3E3BAC">
      <w:pPr>
        <w:pStyle w:val="3"/>
        <w:spacing w:before="156" w:after="156"/>
        <w:rPr>
          <w:rFonts w:cs="Times New Roman"/>
          <w:color w:val="auto"/>
          <w:highlight w:val="none"/>
        </w:rPr>
      </w:pPr>
      <w:bookmarkStart w:id="27" w:name="_Toc8164"/>
      <w:r>
        <w:rPr>
          <w:rFonts w:cs="Times New Roman"/>
          <w:color w:val="auto"/>
          <w:highlight w:val="none"/>
        </w:rPr>
        <w:t>1.5关注的主要环境问题及环境影响</w:t>
      </w:r>
      <w:bookmarkEnd w:id="27"/>
    </w:p>
    <w:p w14:paraId="12A72D00">
      <w:pPr>
        <w:spacing w:line="500" w:lineRule="exact"/>
        <w:rPr>
          <w:rFonts w:cs="Times New Roman"/>
          <w:color w:val="auto"/>
          <w:highlight w:val="none"/>
        </w:rPr>
      </w:pPr>
      <w:r>
        <w:rPr>
          <w:rFonts w:cs="Times New Roman"/>
          <w:color w:val="auto"/>
          <w:highlight w:val="none"/>
        </w:rPr>
        <w:t>根据本项目工程特点和项目周边环境现状，关注的主要问题如下：</w:t>
      </w:r>
    </w:p>
    <w:p w14:paraId="49997517">
      <w:pPr>
        <w:numPr>
          <w:ilvl w:val="0"/>
          <w:numId w:val="7"/>
        </w:numPr>
        <w:spacing w:line="500" w:lineRule="exact"/>
        <w:ind w:firstLine="482"/>
        <w:rPr>
          <w:rFonts w:cs="Times New Roman"/>
          <w:b/>
          <w:bCs/>
          <w:color w:val="auto"/>
          <w:highlight w:val="none"/>
        </w:rPr>
      </w:pPr>
      <w:r>
        <w:rPr>
          <w:rFonts w:cs="Times New Roman"/>
          <w:b/>
          <w:bCs/>
          <w:color w:val="auto"/>
          <w:highlight w:val="none"/>
        </w:rPr>
        <w:t>废气</w:t>
      </w:r>
    </w:p>
    <w:p w14:paraId="0ADD3F71">
      <w:pPr>
        <w:widowControl/>
        <w:rPr>
          <w:rFonts w:cs="Times New Roman"/>
          <w:color w:val="auto"/>
          <w:kern w:val="0"/>
          <w:szCs w:val="24"/>
          <w:highlight w:val="none"/>
          <w:lang w:bidi="ar"/>
        </w:rPr>
      </w:pPr>
      <w:r>
        <w:rPr>
          <w:rFonts w:cs="Times New Roman"/>
          <w:color w:val="auto"/>
          <w:spacing w:val="-3"/>
          <w:szCs w:val="24"/>
          <w:highlight w:val="none"/>
        </w:rPr>
        <w:t>本项目运营期废气主要为</w:t>
      </w:r>
      <w:r>
        <w:rPr>
          <w:rFonts w:hint="eastAsia" w:cs="Times New Roman"/>
          <w:snapToGrid w:val="0"/>
          <w:color w:val="auto"/>
          <w:highlight w:val="none"/>
          <w:lang w:val="zh-CN"/>
        </w:rPr>
        <w:t>待宰圈</w:t>
      </w:r>
      <w:r>
        <w:rPr>
          <w:rFonts w:cs="Times New Roman"/>
          <w:snapToGrid w:val="0"/>
          <w:color w:val="auto"/>
          <w:highlight w:val="none"/>
          <w:lang w:val="zh-CN"/>
        </w:rPr>
        <w:t>、</w:t>
      </w:r>
      <w:r>
        <w:rPr>
          <w:rFonts w:hint="eastAsia" w:cs="Times New Roman"/>
          <w:snapToGrid w:val="0"/>
          <w:color w:val="auto"/>
          <w:highlight w:val="none"/>
          <w:lang w:val="en-US" w:eastAsia="zh-CN"/>
        </w:rPr>
        <w:t>急宰间、</w:t>
      </w:r>
      <w:r>
        <w:rPr>
          <w:rFonts w:cs="Times New Roman"/>
          <w:snapToGrid w:val="0"/>
          <w:color w:val="auto"/>
          <w:highlight w:val="none"/>
          <w:lang w:val="zh-CN"/>
        </w:rPr>
        <w:t>屠宰车间</w:t>
      </w:r>
      <w:r>
        <w:rPr>
          <w:rFonts w:hint="eastAsia" w:cs="Times New Roman"/>
          <w:snapToGrid w:val="0"/>
          <w:color w:val="auto"/>
          <w:highlight w:val="none"/>
          <w:lang w:val="en-US" w:eastAsia="zh-CN"/>
        </w:rPr>
        <w:t>、</w:t>
      </w:r>
      <w:r>
        <w:rPr>
          <w:rFonts w:cs="Times New Roman"/>
          <w:snapToGrid w:val="0"/>
          <w:color w:val="auto"/>
          <w:highlight w:val="none"/>
          <w:lang w:val="zh-CN"/>
        </w:rPr>
        <w:t>污水处理站</w:t>
      </w:r>
      <w:r>
        <w:rPr>
          <w:rFonts w:cs="Times New Roman"/>
          <w:color w:val="auto"/>
          <w:spacing w:val="12"/>
          <w:szCs w:val="24"/>
          <w:highlight w:val="none"/>
        </w:rPr>
        <w:t>、隔离</w:t>
      </w:r>
      <w:r>
        <w:rPr>
          <w:rFonts w:hint="eastAsia" w:cs="Times New Roman"/>
          <w:color w:val="auto"/>
          <w:spacing w:val="12"/>
          <w:szCs w:val="24"/>
          <w:highlight w:val="none"/>
          <w:lang w:val="en-US" w:eastAsia="zh-CN"/>
        </w:rPr>
        <w:t>间</w:t>
      </w:r>
      <w:r>
        <w:rPr>
          <w:rFonts w:cs="Times New Roman"/>
          <w:color w:val="auto"/>
          <w:spacing w:val="12"/>
          <w:szCs w:val="24"/>
          <w:highlight w:val="none"/>
        </w:rPr>
        <w:t>及</w:t>
      </w:r>
      <w:r>
        <w:rPr>
          <w:rFonts w:hint="eastAsia" w:cs="Times New Roman"/>
          <w:color w:val="auto"/>
          <w:spacing w:val="12"/>
          <w:szCs w:val="24"/>
          <w:highlight w:val="none"/>
          <w:lang w:val="en-US" w:eastAsia="zh-CN"/>
        </w:rPr>
        <w:t>固体废物</w:t>
      </w:r>
      <w:r>
        <w:rPr>
          <w:rFonts w:cs="Times New Roman"/>
          <w:snapToGrid w:val="0"/>
          <w:color w:val="auto"/>
          <w:highlight w:val="none"/>
        </w:rPr>
        <w:t>暂存间</w:t>
      </w:r>
      <w:r>
        <w:rPr>
          <w:rFonts w:cs="Times New Roman"/>
          <w:snapToGrid w:val="0"/>
          <w:color w:val="auto"/>
          <w:highlight w:val="none"/>
          <w:lang w:val="zh-CN"/>
        </w:rPr>
        <w:t>产生的恶臭废气</w:t>
      </w:r>
      <w:r>
        <w:rPr>
          <w:rFonts w:hint="eastAsia" w:cs="Times New Roman"/>
          <w:snapToGrid w:val="0"/>
          <w:color w:val="auto"/>
          <w:highlight w:val="none"/>
          <w:lang w:val="zh-CN"/>
        </w:rPr>
        <w:t>。</w:t>
      </w:r>
      <w:r>
        <w:rPr>
          <w:rFonts w:cs="Times New Roman"/>
          <w:color w:val="auto"/>
          <w:highlight w:val="none"/>
        </w:rPr>
        <w:t>主要</w:t>
      </w:r>
      <w:r>
        <w:rPr>
          <w:rFonts w:cs="Times New Roman"/>
          <w:color w:val="auto"/>
          <w:kern w:val="0"/>
          <w:szCs w:val="24"/>
          <w:highlight w:val="none"/>
          <w:lang w:bidi="ar"/>
        </w:rPr>
        <w:t>污染物为NH</w:t>
      </w:r>
      <w:r>
        <w:rPr>
          <w:rFonts w:cs="Times New Roman"/>
          <w:color w:val="auto"/>
          <w:kern w:val="0"/>
          <w:sz w:val="16"/>
          <w:szCs w:val="16"/>
          <w:highlight w:val="none"/>
          <w:lang w:bidi="ar"/>
        </w:rPr>
        <w:t>3</w:t>
      </w:r>
      <w:r>
        <w:rPr>
          <w:rFonts w:cs="Times New Roman"/>
          <w:color w:val="auto"/>
          <w:kern w:val="0"/>
          <w:szCs w:val="24"/>
          <w:highlight w:val="none"/>
          <w:lang w:bidi="ar"/>
        </w:rPr>
        <w:t>、H</w:t>
      </w:r>
      <w:r>
        <w:rPr>
          <w:rFonts w:cs="Times New Roman"/>
          <w:color w:val="auto"/>
          <w:kern w:val="0"/>
          <w:sz w:val="16"/>
          <w:szCs w:val="16"/>
          <w:highlight w:val="none"/>
          <w:lang w:bidi="ar"/>
        </w:rPr>
        <w:t>2</w:t>
      </w:r>
      <w:r>
        <w:rPr>
          <w:rFonts w:cs="Times New Roman"/>
          <w:color w:val="auto"/>
          <w:kern w:val="0"/>
          <w:szCs w:val="24"/>
          <w:highlight w:val="none"/>
          <w:lang w:bidi="ar"/>
        </w:rPr>
        <w:t>S、臭气浓度。</w:t>
      </w:r>
    </w:p>
    <w:p w14:paraId="26CA346B">
      <w:pPr>
        <w:widowControl/>
        <w:rPr>
          <w:rFonts w:ascii="Times New Roman" w:hAnsi="Times New Roman" w:eastAsia="宋体" w:cs="Times New Roman"/>
          <w:snapToGrid w:val="0"/>
          <w:color w:val="auto"/>
          <w:highlight w:val="none"/>
        </w:rPr>
      </w:pPr>
      <w:r>
        <w:rPr>
          <w:rFonts w:cs="Times New Roman"/>
          <w:color w:val="auto"/>
          <w:highlight w:val="none"/>
        </w:rPr>
        <w:t>屠宰车间产生的废气</w:t>
      </w:r>
      <w:r>
        <w:rPr>
          <w:rFonts w:hint="eastAsia" w:cs="Times New Roman"/>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color w:val="auto"/>
          <w:highlight w:val="none"/>
          <w:lang w:eastAsia="zh-CN"/>
        </w:rPr>
        <w:t>集中收集后</w:t>
      </w:r>
      <w:r>
        <w:rPr>
          <w:rFonts w:cs="Times New Roman"/>
          <w:color w:val="auto"/>
          <w:highlight w:val="none"/>
        </w:rPr>
        <w:t>（收集率约90%左右），通过</w:t>
      </w:r>
      <w:r>
        <w:rPr>
          <w:rFonts w:hint="eastAsia" w:cs="Times New Roman"/>
          <w:color w:val="auto"/>
          <w:highlight w:val="none"/>
          <w:lang w:val="en-US" w:eastAsia="zh-CN"/>
        </w:rPr>
        <w:t>冷凝除湿器+</w:t>
      </w:r>
      <w:r>
        <w:rPr>
          <w:rFonts w:cs="Times New Roman"/>
          <w:color w:val="auto"/>
          <w:highlight w:val="none"/>
        </w:rPr>
        <w:t>活性炭净化装置（</w:t>
      </w:r>
      <w:r>
        <w:rPr>
          <w:rFonts w:hint="eastAsia" w:cs="Times New Roman"/>
          <w:color w:val="auto"/>
          <w:highlight w:val="none"/>
          <w:lang w:eastAsia="zh-CN"/>
        </w:rPr>
        <w:t>净化效率80%</w:t>
      </w:r>
      <w:r>
        <w:rPr>
          <w:rFonts w:cs="Times New Roman"/>
          <w:color w:val="auto"/>
          <w:highlight w:val="none"/>
        </w:rPr>
        <w:t>）处理后，经15m高的排气筒DA001排放；</w:t>
      </w:r>
      <w:r>
        <w:rPr>
          <w:rFonts w:hint="eastAsia" w:cs="Times New Roman"/>
          <w:color w:val="auto"/>
          <w:highlight w:val="none"/>
          <w:lang w:val="en-US" w:eastAsia="zh-CN"/>
        </w:rPr>
        <w:t>急宰间、隔离间及固体废物暂存间</w:t>
      </w:r>
      <w:r>
        <w:rPr>
          <w:rFonts w:cs="Times New Roman"/>
          <w:color w:val="auto"/>
          <w:highlight w:val="none"/>
        </w:rPr>
        <w:t>废气</w:t>
      </w:r>
      <w:r>
        <w:rPr>
          <w:rFonts w:hint="eastAsia" w:cs="Times New Roman"/>
          <w:color w:val="auto"/>
          <w:highlight w:val="none"/>
          <w:lang w:eastAsia="zh-CN"/>
        </w:rPr>
        <w:t>采用微负压集中收集后</w:t>
      </w:r>
      <w:r>
        <w:rPr>
          <w:rFonts w:cs="Times New Roman"/>
          <w:color w:val="auto"/>
          <w:highlight w:val="none"/>
        </w:rPr>
        <w:t>（收集率约90%左右），通过一套活性炭净化装置（</w:t>
      </w:r>
      <w:r>
        <w:rPr>
          <w:rFonts w:hint="eastAsia" w:cs="Times New Roman"/>
          <w:color w:val="auto"/>
          <w:highlight w:val="none"/>
          <w:lang w:eastAsia="zh-CN"/>
        </w:rPr>
        <w:t>净化效率80%</w:t>
      </w:r>
      <w:r>
        <w:rPr>
          <w:rFonts w:cs="Times New Roman"/>
          <w:color w:val="auto"/>
          <w:highlight w:val="none"/>
        </w:rPr>
        <w:t>），净化后的废气</w:t>
      </w:r>
      <w:r>
        <w:rPr>
          <w:rFonts w:hint="eastAsia" w:cs="Times New Roman"/>
          <w:color w:val="auto"/>
          <w:highlight w:val="none"/>
          <w:lang w:val="en-US" w:eastAsia="zh-CN"/>
        </w:rPr>
        <w:t>与屠宰车间产生的废气一同</w:t>
      </w:r>
      <w:r>
        <w:rPr>
          <w:rFonts w:cs="Times New Roman"/>
          <w:color w:val="auto"/>
          <w:highlight w:val="none"/>
        </w:rPr>
        <w:t>通过15m排气筒DA00</w:t>
      </w:r>
      <w:r>
        <w:rPr>
          <w:rFonts w:hint="eastAsia" w:cs="Times New Roman"/>
          <w:color w:val="auto"/>
          <w:highlight w:val="none"/>
          <w:lang w:val="en-US" w:eastAsia="zh-CN"/>
        </w:rPr>
        <w:t>1</w:t>
      </w:r>
      <w:r>
        <w:rPr>
          <w:rFonts w:cs="Times New Roman"/>
          <w:color w:val="auto"/>
          <w:highlight w:val="none"/>
        </w:rPr>
        <w:t>排放；</w:t>
      </w:r>
      <w:r>
        <w:rPr>
          <w:rFonts w:cs="Times New Roman"/>
          <w:color w:val="auto"/>
          <w:szCs w:val="24"/>
          <w:highlight w:val="none"/>
        </w:rPr>
        <w:t>污水处理站产生的废气，经负压收集</w:t>
      </w:r>
      <w:r>
        <w:rPr>
          <w:rFonts w:cs="Times New Roman"/>
          <w:color w:val="auto"/>
          <w:highlight w:val="none"/>
        </w:rPr>
        <w:t>（收集率约90%左右）</w:t>
      </w:r>
      <w:r>
        <w:rPr>
          <w:rFonts w:cs="Times New Roman"/>
          <w:color w:val="auto"/>
          <w:szCs w:val="24"/>
          <w:highlight w:val="none"/>
        </w:rPr>
        <w:t>至活性炭吸附装置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color w:val="auto"/>
          <w:szCs w:val="24"/>
          <w:highlight w:val="none"/>
        </w:rPr>
        <w:t>进行处理，处理后经15m高的排气筒DA00</w:t>
      </w:r>
      <w:r>
        <w:rPr>
          <w:rFonts w:hint="eastAsia" w:cs="Times New Roman"/>
          <w:color w:val="auto"/>
          <w:szCs w:val="24"/>
          <w:highlight w:val="none"/>
          <w:lang w:val="en-US" w:eastAsia="zh-CN"/>
        </w:rPr>
        <w:t>2</w:t>
      </w:r>
      <w:r>
        <w:rPr>
          <w:rFonts w:cs="Times New Roman"/>
          <w:color w:val="auto"/>
          <w:szCs w:val="24"/>
          <w:highlight w:val="none"/>
        </w:rPr>
        <w:t>排放；</w:t>
      </w:r>
      <w:r>
        <w:rPr>
          <w:rFonts w:cs="Times New Roman"/>
          <w:snapToGrid w:val="0"/>
          <w:color w:val="auto"/>
          <w:highlight w:val="none"/>
        </w:rPr>
        <w:t>DA001</w:t>
      </w:r>
      <w:r>
        <w:rPr>
          <w:rFonts w:hint="eastAsia" w:cs="Times New Roman"/>
          <w:snapToGrid w:val="0"/>
          <w:color w:val="auto"/>
          <w:highlight w:val="none"/>
          <w:lang w:eastAsia="zh-CN"/>
        </w:rPr>
        <w:t>、</w:t>
      </w:r>
      <w:r>
        <w:rPr>
          <w:rFonts w:cs="Times New Roman"/>
          <w:snapToGrid w:val="0"/>
          <w:color w:val="auto"/>
          <w:highlight w:val="none"/>
        </w:rPr>
        <w:t>DA00</w:t>
      </w:r>
      <w:r>
        <w:rPr>
          <w:rFonts w:hint="eastAsia" w:cs="Times New Roman"/>
          <w:snapToGrid w:val="0"/>
          <w:color w:val="auto"/>
          <w:highlight w:val="none"/>
          <w:lang w:val="en-US" w:eastAsia="zh-CN"/>
        </w:rPr>
        <w:t>2</w:t>
      </w:r>
      <w:r>
        <w:rPr>
          <w:rFonts w:cs="Times New Roman"/>
          <w:snapToGrid w:val="0"/>
          <w:color w:val="auto"/>
          <w:highlight w:val="none"/>
        </w:rPr>
        <w:t>排气筒排放速率及浓度均可满足《恶臭污染物排放标准》（GB14554-93）表2中排放标准限值</w:t>
      </w:r>
      <w:r>
        <w:rPr>
          <w:rFonts w:hint="eastAsia"/>
          <w:color w:val="auto"/>
          <w:highlight w:val="none"/>
          <w:lang w:val="en-US" w:eastAsia="zh-CN"/>
        </w:rPr>
        <w:t>及恶臭污染物厂界标准值</w:t>
      </w:r>
      <w:r>
        <w:rPr>
          <w:rFonts w:cs="Times New Roman"/>
          <w:snapToGrid w:val="0"/>
          <w:color w:val="auto"/>
          <w:highlight w:val="none"/>
        </w:rPr>
        <w:t>。</w:t>
      </w:r>
    </w:p>
    <w:p w14:paraId="56ED6A46">
      <w:pPr>
        <w:widowControl/>
        <w:rPr>
          <w:rFonts w:hint="eastAsia" w:ascii="Times New Roman" w:hAnsi="Times New Roman" w:eastAsia="宋体" w:cs="Times New Roman"/>
          <w:snapToGrid w:val="0"/>
          <w:color w:val="auto"/>
          <w:highlight w:val="none"/>
          <w:lang w:eastAsia="zh-CN"/>
        </w:rPr>
      </w:pPr>
      <w:r>
        <w:rPr>
          <w:rFonts w:cs="Times New Roman"/>
          <w:snapToGrid w:val="0"/>
          <w:color w:val="auto"/>
          <w:highlight w:val="none"/>
          <w:lang w:val="zh-CN"/>
        </w:rPr>
        <w:t>同时</w:t>
      </w:r>
      <w:r>
        <w:rPr>
          <w:rFonts w:cs="Times New Roman"/>
          <w:color w:val="auto"/>
          <w:highlight w:val="none"/>
        </w:rPr>
        <w:t>屠宰车间及时清洗清运，</w:t>
      </w:r>
      <w:r>
        <w:rPr>
          <w:rFonts w:cs="Times New Roman"/>
          <w:color w:val="auto"/>
          <w:highlight w:val="none"/>
        </w:rPr>
        <w:t>定期喷洒除臭剂</w:t>
      </w:r>
      <w:r>
        <w:rPr>
          <w:rFonts w:hint="eastAsia" w:cs="Times New Roman"/>
          <w:color w:val="auto"/>
          <w:highlight w:val="none"/>
          <w:lang w:val="en-US" w:eastAsia="zh-CN"/>
        </w:rPr>
        <w:t>作来为控制恶臭的辅助性手段</w:t>
      </w:r>
      <w:r>
        <w:rPr>
          <w:rFonts w:cs="Times New Roman"/>
          <w:snapToGrid w:val="0"/>
          <w:color w:val="auto"/>
          <w:highlight w:val="none"/>
          <w:lang w:val="zh-CN"/>
        </w:rPr>
        <w:t>；</w:t>
      </w:r>
      <w:r>
        <w:rPr>
          <w:rFonts w:hint="eastAsia" w:cs="Times New Roman"/>
          <w:snapToGrid w:val="0"/>
          <w:color w:val="auto"/>
          <w:highlight w:val="none"/>
          <w:lang w:eastAsia="zh-CN"/>
        </w:rPr>
        <w:t>待宰圈</w:t>
      </w:r>
      <w:r>
        <w:rPr>
          <w:rFonts w:hint="eastAsia" w:cs="Times New Roman"/>
          <w:snapToGrid w:val="0"/>
          <w:color w:val="auto"/>
          <w:highlight w:val="none"/>
        </w:rPr>
        <w:t>设置专人管理</w:t>
      </w:r>
      <w:r>
        <w:rPr>
          <w:rFonts w:cs="Times New Roman"/>
          <w:snapToGrid w:val="0"/>
          <w:color w:val="auto"/>
          <w:highlight w:val="none"/>
        </w:rPr>
        <w:t>，及时清理地面上的粪便及尿液，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rPr>
        <w:t>定期冲洗待地面</w:t>
      </w:r>
      <w:r>
        <w:rPr>
          <w:rFonts w:cs="Times New Roman"/>
          <w:snapToGrid w:val="0"/>
          <w:color w:val="auto"/>
          <w:highlight w:val="none"/>
        </w:rPr>
        <w:t>，同时定期喷洒</w:t>
      </w:r>
      <w:r>
        <w:rPr>
          <w:rFonts w:hint="eastAsia" w:cs="Times New Roman"/>
          <w:snapToGrid w:val="0"/>
          <w:color w:val="auto"/>
          <w:highlight w:val="none"/>
          <w:lang w:val="en-US" w:eastAsia="zh-CN"/>
        </w:rPr>
        <w:t>环保型</w:t>
      </w:r>
      <w:r>
        <w:rPr>
          <w:rFonts w:cs="Times New Roman"/>
          <w:snapToGrid w:val="0"/>
          <w:color w:val="auto"/>
          <w:highlight w:val="none"/>
        </w:rPr>
        <w:t>除臭剂，减少恶臭源的散发；屠宰车间及时清洗清运</w:t>
      </w:r>
      <w:r>
        <w:rPr>
          <w:rFonts w:hint="eastAsia" w:cs="Times New Roman"/>
          <w:snapToGrid w:val="0"/>
          <w:color w:val="auto"/>
          <w:highlight w:val="none"/>
        </w:rPr>
        <w:t>，</w:t>
      </w:r>
      <w:r>
        <w:rPr>
          <w:rFonts w:cs="Times New Roman"/>
          <w:snapToGrid w:val="0"/>
          <w:color w:val="auto"/>
          <w:highlight w:val="none"/>
        </w:rPr>
        <w:t>定期喷洒</w:t>
      </w:r>
      <w:r>
        <w:rPr>
          <w:rFonts w:hint="eastAsia" w:cs="Times New Roman"/>
          <w:snapToGrid w:val="0"/>
          <w:color w:val="auto"/>
          <w:highlight w:val="none"/>
          <w:lang w:val="en-US" w:eastAsia="zh-CN"/>
        </w:rPr>
        <w:t>环保型</w:t>
      </w:r>
      <w:r>
        <w:rPr>
          <w:rFonts w:cs="Times New Roman"/>
          <w:snapToGrid w:val="0"/>
          <w:color w:val="auto"/>
          <w:highlight w:val="none"/>
        </w:rPr>
        <w:t>除臭剂；对于污水处理站产生恶臭区域加盖、喷洒</w:t>
      </w:r>
      <w:r>
        <w:rPr>
          <w:rFonts w:hint="eastAsia" w:cs="Times New Roman"/>
          <w:snapToGrid w:val="0"/>
          <w:color w:val="auto"/>
          <w:highlight w:val="none"/>
          <w:lang w:val="en-US" w:eastAsia="zh-CN"/>
        </w:rPr>
        <w:t>环保型</w:t>
      </w:r>
      <w:r>
        <w:rPr>
          <w:rFonts w:cs="Times New Roman"/>
          <w:snapToGrid w:val="0"/>
          <w:color w:val="auto"/>
          <w:highlight w:val="none"/>
        </w:rPr>
        <w:t>除臭剂，来降低污水处理站恶臭对厂区内外的影响；固废暂存间内废物暂存于加盖的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内，正常情况下为密封，仅输送生产废物时，将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rPr>
        <w:t>，</w:t>
      </w:r>
      <w:r>
        <w:rPr>
          <w:rFonts w:hint="eastAsia" w:cs="Times New Roman"/>
          <w:snapToGrid w:val="0"/>
          <w:color w:val="auto"/>
          <w:highlight w:val="none"/>
          <w:lang w:val="en-US" w:eastAsia="zh-CN"/>
        </w:rPr>
        <w:t>并放置新的转运桶用于存放下一个周期的固体废物，定期喷洒环保型除臭剂，</w:t>
      </w:r>
      <w:r>
        <w:rPr>
          <w:rFonts w:hint="eastAsia" w:cs="Times New Roman"/>
          <w:snapToGrid w:val="0"/>
          <w:color w:val="auto"/>
          <w:highlight w:val="none"/>
          <w:lang w:val="en-US"/>
        </w:rPr>
        <w:t>减少恶臭的释放</w:t>
      </w:r>
      <w:r>
        <w:rPr>
          <w:rFonts w:hint="eastAsia" w:cs="Times New Roman"/>
          <w:snapToGrid w:val="0"/>
          <w:color w:val="auto"/>
          <w:highlight w:val="none"/>
          <w:lang w:val="en-US" w:eastAsia="zh-CN"/>
        </w:rPr>
        <w:t>。</w:t>
      </w:r>
    </w:p>
    <w:p w14:paraId="76201784">
      <w:pPr>
        <w:widowControl/>
        <w:spacing w:line="500" w:lineRule="exact"/>
        <w:ind w:firstLine="468"/>
        <w:jc w:val="left"/>
        <w:rPr>
          <w:rFonts w:cs="Times New Roman"/>
          <w:color w:val="auto"/>
          <w:kern w:val="0"/>
          <w:szCs w:val="24"/>
          <w:highlight w:val="none"/>
          <w:lang w:bidi="ar"/>
        </w:rPr>
      </w:pPr>
      <w:r>
        <w:rPr>
          <w:rFonts w:hint="eastAsia" w:cs="Times New Roman"/>
          <w:color w:val="auto"/>
          <w:szCs w:val="24"/>
          <w:highlight w:val="none"/>
          <w:lang w:val="en-US" w:eastAsia="zh-CN"/>
        </w:rPr>
        <w:t>经与企业核实，项目生产过程中牛皮、羊皮均整张剥离，不涉及脱毛等工艺，无需热水。出于环保角度考虑，本项目牛羊肉清洗均采用高压冷水冲洗工艺能更好地保持肉的原始色泽和汁液，提升产品的嫩度和风味。职工淋浴洗漱期间使用热水来自30kw电锅炉，无废气污染物产生。</w:t>
      </w:r>
      <w:r>
        <w:rPr>
          <w:rFonts w:cs="Times New Roman"/>
          <w:color w:val="auto"/>
          <w:szCs w:val="24"/>
          <w:highlight w:val="none"/>
        </w:rPr>
        <w:t>本次评价重点分析废气</w:t>
      </w:r>
      <w:r>
        <w:rPr>
          <w:rFonts w:hint="eastAsia" w:cs="Times New Roman"/>
          <w:color w:val="auto"/>
          <w:szCs w:val="24"/>
          <w:highlight w:val="none"/>
          <w:lang w:val="en-US" w:eastAsia="zh-CN"/>
        </w:rPr>
        <w:t>污染</w:t>
      </w:r>
      <w:r>
        <w:rPr>
          <w:rFonts w:cs="Times New Roman"/>
          <w:color w:val="auto"/>
          <w:szCs w:val="24"/>
          <w:highlight w:val="none"/>
        </w:rPr>
        <w:t>源强、治理措施的可行性及对周边大气环境的影响。</w:t>
      </w:r>
    </w:p>
    <w:p w14:paraId="38901F9A">
      <w:pPr>
        <w:numPr>
          <w:ilvl w:val="0"/>
          <w:numId w:val="7"/>
        </w:numPr>
        <w:spacing w:line="500" w:lineRule="exact"/>
        <w:ind w:firstLine="482"/>
        <w:rPr>
          <w:rFonts w:cs="Times New Roman"/>
          <w:b/>
          <w:bCs/>
          <w:color w:val="auto"/>
          <w:highlight w:val="none"/>
        </w:rPr>
      </w:pPr>
      <w:r>
        <w:rPr>
          <w:rFonts w:cs="Times New Roman"/>
          <w:b/>
          <w:bCs/>
          <w:color w:val="auto"/>
          <w:highlight w:val="none"/>
        </w:rPr>
        <w:t>废水</w:t>
      </w:r>
    </w:p>
    <w:p w14:paraId="3D165D34">
      <w:pPr>
        <w:widowControl/>
        <w:spacing w:line="500" w:lineRule="exact"/>
        <w:ind w:firstLine="468"/>
        <w:jc w:val="left"/>
        <w:rPr>
          <w:rFonts w:cs="Times New Roman"/>
          <w:color w:val="auto"/>
          <w:szCs w:val="24"/>
          <w:highlight w:val="none"/>
        </w:rPr>
      </w:pPr>
      <w:r>
        <w:rPr>
          <w:rFonts w:cs="Times New Roman"/>
          <w:color w:val="auto"/>
          <w:spacing w:val="-3"/>
          <w:szCs w:val="24"/>
          <w:highlight w:val="none"/>
          <w:lang w:val="zh-CN"/>
        </w:rPr>
        <w:t>本项</w:t>
      </w:r>
      <w:r>
        <w:rPr>
          <w:rFonts w:cs="Times New Roman"/>
          <w:snapToGrid w:val="0"/>
          <w:color w:val="auto"/>
          <w:highlight w:val="none"/>
          <w:lang w:val="zh-CN"/>
        </w:rPr>
        <w:t>目运营期产生的废水包括生产废水和生活污水。其中，生产废水</w:t>
      </w:r>
      <w:r>
        <w:rPr>
          <w:rFonts w:hint="eastAsia" w:cs="Times New Roman"/>
          <w:snapToGrid w:val="0"/>
          <w:color w:val="auto"/>
          <w:highlight w:val="none"/>
          <w:lang w:val="zh-CN"/>
        </w:rPr>
        <w:t>包括</w:t>
      </w:r>
      <w:r>
        <w:rPr>
          <w:rFonts w:cs="Times New Roman"/>
          <w:snapToGrid w:val="0"/>
          <w:color w:val="auto"/>
          <w:highlight w:val="none"/>
          <w:lang w:val="zh-CN"/>
        </w:rPr>
        <w:t>屠宰废水</w:t>
      </w:r>
      <w:r>
        <w:rPr>
          <w:rFonts w:hint="eastAsia" w:cs="Times New Roman"/>
          <w:snapToGrid w:val="0"/>
          <w:color w:val="auto"/>
          <w:highlight w:val="none"/>
          <w:lang w:val="zh-CN"/>
        </w:rPr>
        <w:t>、</w:t>
      </w:r>
      <w:r>
        <w:rPr>
          <w:rFonts w:hint="eastAsia" w:cs="Times New Roman"/>
          <w:snapToGrid w:val="0"/>
          <w:color w:val="auto"/>
          <w:highlight w:val="none"/>
          <w:lang w:val="en-US" w:eastAsia="zh-CN"/>
        </w:rPr>
        <w:t>车辆冲洗废水</w:t>
      </w:r>
      <w:r>
        <w:rPr>
          <w:rFonts w:cs="Times New Roman"/>
          <w:snapToGrid w:val="0"/>
          <w:color w:val="auto"/>
          <w:highlight w:val="none"/>
          <w:lang w:val="zh-CN"/>
        </w:rPr>
        <w:t>，</w:t>
      </w:r>
      <w:r>
        <w:rPr>
          <w:rFonts w:cs="Times New Roman"/>
          <w:snapToGrid w:val="0"/>
          <w:color w:val="auto"/>
          <w:highlight w:val="none"/>
        </w:rPr>
        <w:t>主要污染物为</w:t>
      </w:r>
      <w:r>
        <w:rPr>
          <w:rFonts w:hint="eastAsia" w:cs="Times New Roman"/>
          <w:snapToGrid w:val="0"/>
          <w:color w:val="auto"/>
          <w:highlight w:val="none"/>
          <w:lang w:val="en-US" w:eastAsia="zh-CN"/>
        </w:rPr>
        <w:t>pH值、</w:t>
      </w:r>
      <w:r>
        <w:rPr>
          <w:rFonts w:cs="Times New Roman"/>
          <w:snapToGrid w:val="0"/>
          <w:color w:val="auto"/>
          <w:highlight w:val="none"/>
        </w:rPr>
        <w:t>COD、氨氮、BOD</w:t>
      </w:r>
      <w:r>
        <w:rPr>
          <w:rFonts w:cs="Times New Roman"/>
          <w:snapToGrid w:val="0"/>
          <w:color w:val="auto"/>
          <w:highlight w:val="none"/>
          <w:vertAlign w:val="subscript"/>
        </w:rPr>
        <w:t>5</w:t>
      </w:r>
      <w:r>
        <w:rPr>
          <w:rFonts w:cs="Times New Roman"/>
          <w:snapToGrid w:val="0"/>
          <w:color w:val="auto"/>
          <w:highlight w:val="none"/>
        </w:rPr>
        <w:t>、SS、</w:t>
      </w:r>
      <w:r>
        <w:rPr>
          <w:rFonts w:cs="Times New Roman"/>
          <w:color w:val="auto"/>
          <w:kern w:val="0"/>
          <w:szCs w:val="24"/>
          <w:highlight w:val="none"/>
          <w:lang w:bidi="ar"/>
        </w:rPr>
        <w:t>动植物油、</w:t>
      </w:r>
      <w:r>
        <w:rPr>
          <w:rFonts w:cs="Times New Roman"/>
          <w:snapToGrid w:val="0"/>
          <w:color w:val="auto"/>
          <w:highlight w:val="none"/>
        </w:rPr>
        <w:t>总氮</w:t>
      </w:r>
      <w:r>
        <w:rPr>
          <w:rFonts w:hint="eastAsia" w:cs="Times New Roman"/>
          <w:snapToGrid w:val="0"/>
          <w:color w:val="auto"/>
          <w:highlight w:val="none"/>
          <w:lang w:eastAsia="zh-CN"/>
        </w:rPr>
        <w:t>、</w:t>
      </w:r>
      <w:r>
        <w:rPr>
          <w:rFonts w:cs="Times New Roman"/>
          <w:snapToGrid w:val="0"/>
          <w:color w:val="auto"/>
          <w:highlight w:val="none"/>
        </w:rPr>
        <w:t>总磷</w:t>
      </w:r>
      <w:r>
        <w:rPr>
          <w:rFonts w:hint="eastAsia" w:cs="Times New Roman"/>
          <w:snapToGrid w:val="0"/>
          <w:color w:val="auto"/>
          <w:highlight w:val="none"/>
          <w:lang w:val="en-US" w:eastAsia="zh-CN"/>
        </w:rPr>
        <w:t>及大肠菌群数</w:t>
      </w:r>
      <w:r>
        <w:rPr>
          <w:rFonts w:cs="Times New Roman"/>
          <w:snapToGrid w:val="0"/>
          <w:color w:val="auto"/>
          <w:highlight w:val="none"/>
        </w:rPr>
        <w:t>；</w:t>
      </w:r>
      <w:r>
        <w:rPr>
          <w:rFonts w:cs="Times New Roman"/>
          <w:snapToGrid w:val="0"/>
          <w:color w:val="auto"/>
          <w:highlight w:val="none"/>
          <w:lang w:val="zh-CN"/>
        </w:rPr>
        <w:t>生活污水为员工日常生活污水，主要污染物为</w:t>
      </w:r>
      <w:r>
        <w:rPr>
          <w:rFonts w:cs="Times New Roman"/>
          <w:snapToGrid w:val="0"/>
          <w:color w:val="auto"/>
          <w:highlight w:val="none"/>
        </w:rPr>
        <w:t>COD、氨氮。</w:t>
      </w:r>
      <w:r>
        <w:rPr>
          <w:rFonts w:hint="eastAsia" w:cs="Times New Roman"/>
          <w:color w:val="auto"/>
          <w:kern w:val="0"/>
          <w:highlight w:val="none"/>
          <w:lang w:eastAsia="zh-CN"/>
        </w:rPr>
        <w:t>屠宰废水、车辆冲洗水经污水处理</w:t>
      </w:r>
      <w:r>
        <w:rPr>
          <w:rFonts w:hint="eastAsia" w:cs="Times New Roman"/>
          <w:snapToGrid w:val="0"/>
          <w:color w:val="auto"/>
          <w:highlight w:val="none"/>
          <w:lang w:val="zh-CN" w:eastAsia="zh-CN"/>
        </w:rPr>
        <w:t>站处理后，</w:t>
      </w:r>
      <w:r>
        <w:rPr>
          <w:rFonts w:cs="Times New Roman"/>
          <w:snapToGrid w:val="0"/>
          <w:color w:val="auto"/>
          <w:highlight w:val="none"/>
          <w:lang w:val="zh-CN"/>
        </w:rPr>
        <w:t>水污染物浓度和排水量均</w:t>
      </w:r>
      <w:r>
        <w:rPr>
          <w:rFonts w:cs="Times New Roman"/>
          <w:snapToGrid w:val="0"/>
          <w:color w:val="auto"/>
          <w:highlight w:val="none"/>
          <w:lang w:val="en-GB"/>
        </w:rPr>
        <w:t>达到《肉类加工工业水污染物排放标准》（GB13457-9</w:t>
      </w:r>
      <w:r>
        <w:rPr>
          <w:rFonts w:cs="Times New Roman"/>
          <w:color w:val="auto"/>
          <w:kern w:val="0"/>
          <w:highlight w:val="none"/>
          <w:lang w:val="en-GB"/>
        </w:rPr>
        <w:t>2）</w:t>
      </w:r>
      <w:r>
        <w:rPr>
          <w:rFonts w:cs="Times New Roman"/>
          <w:color w:val="auto"/>
          <w:kern w:val="0"/>
          <w:highlight w:val="none"/>
        </w:rPr>
        <w:t>表3</w:t>
      </w:r>
      <w:r>
        <w:rPr>
          <w:rFonts w:cs="Times New Roman"/>
          <w:color w:val="auto"/>
          <w:kern w:val="0"/>
          <w:highlight w:val="none"/>
          <w:lang w:val="en-GB"/>
        </w:rPr>
        <w:t>中畜类屠宰加工三级标准，</w:t>
      </w:r>
      <w:r>
        <w:rPr>
          <w:rFonts w:cs="Times New Roman"/>
          <w:color w:val="auto"/>
          <w:kern w:val="0"/>
          <w:highlight w:val="none"/>
        </w:rPr>
        <w:t>与生活污水一同经污水管网进入</w:t>
      </w:r>
      <w:r>
        <w:rPr>
          <w:rFonts w:hint="eastAsia" w:cs="Times New Roman"/>
          <w:color w:val="auto"/>
          <w:kern w:val="0"/>
          <w:highlight w:val="none"/>
          <w:lang w:val="en-GB" w:eastAsia="zh-CN"/>
        </w:rPr>
        <w:t>双鸭山市畅源排水有限公司</w:t>
      </w:r>
      <w:r>
        <w:rPr>
          <w:rFonts w:cs="Times New Roman"/>
          <w:color w:val="auto"/>
          <w:kern w:val="0"/>
          <w:highlight w:val="none"/>
        </w:rPr>
        <w:t>处理，处理达标后排放，</w:t>
      </w:r>
      <w:r>
        <w:rPr>
          <w:rFonts w:cs="Times New Roman"/>
          <w:snapToGrid w:val="0"/>
          <w:color w:val="auto"/>
          <w:highlight w:val="none"/>
          <w:lang w:val="en-GB"/>
        </w:rPr>
        <w:t>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r>
        <w:rPr>
          <w:rFonts w:cs="Times New Roman"/>
          <w:color w:val="auto"/>
          <w:szCs w:val="24"/>
          <w:highlight w:val="none"/>
        </w:rPr>
        <w:t>本次评价重点分析废水水量、水质及处理措施的可行性和依托污水处理厂的可行性。</w:t>
      </w:r>
    </w:p>
    <w:p w14:paraId="726B5A4C">
      <w:pPr>
        <w:widowControl/>
        <w:spacing w:line="500" w:lineRule="exact"/>
        <w:ind w:firstLine="470"/>
        <w:jc w:val="left"/>
        <w:rPr>
          <w:rFonts w:cs="Times New Roman"/>
          <w:b/>
          <w:bCs/>
          <w:color w:val="auto"/>
          <w:spacing w:val="-3"/>
          <w:szCs w:val="24"/>
          <w:highlight w:val="none"/>
        </w:rPr>
      </w:pPr>
      <w:r>
        <w:rPr>
          <w:rFonts w:cs="Times New Roman"/>
          <w:b/>
          <w:bCs/>
          <w:color w:val="auto"/>
          <w:spacing w:val="-3"/>
          <w:szCs w:val="24"/>
          <w:highlight w:val="none"/>
        </w:rPr>
        <w:t>3、地下水</w:t>
      </w:r>
    </w:p>
    <w:p w14:paraId="5996E07E">
      <w:pPr>
        <w:widowControl/>
        <w:spacing w:line="500" w:lineRule="exact"/>
        <w:rPr>
          <w:rFonts w:hint="default" w:eastAsia="宋体" w:cs="Times New Roman"/>
          <w:color w:val="auto"/>
          <w:szCs w:val="24"/>
          <w:highlight w:val="none"/>
          <w:lang w:val="en-US" w:eastAsia="zh-CN"/>
        </w:rPr>
      </w:pPr>
      <w:r>
        <w:rPr>
          <w:rFonts w:cs="Times New Roman"/>
          <w:color w:val="auto"/>
          <w:szCs w:val="24"/>
          <w:highlight w:val="none"/>
        </w:rPr>
        <w:t>本项目污水处理站各构筑物渗漏后通过包气带进入地下水含水层，项目建成后对地下水可能产生的潜在的污染源将会对地下水产生影响。在正常生产情况下对区域地下水体不会产生大的影响，但在生产过程中仍存在着一些潜在的事故隐患，具有污染环境、危害工程安全的潜在因素。本项目废水泄露可能会对地下水造成不利影响，本次评价重点分析地下水污染防治措施的可行性及对周边地下水环境的影响。</w:t>
      </w:r>
      <w:r>
        <w:rPr>
          <w:rFonts w:hint="eastAsia" w:cs="Times New Roman"/>
          <w:color w:val="auto"/>
          <w:szCs w:val="24"/>
          <w:highlight w:val="none"/>
          <w:lang w:val="en-US" w:eastAsia="zh-CN"/>
        </w:rPr>
        <w:t>本项目采取分区防渗后对地下水影响较小。</w:t>
      </w:r>
    </w:p>
    <w:p w14:paraId="0FCD740E">
      <w:pPr>
        <w:spacing w:line="500" w:lineRule="exact"/>
        <w:ind w:left="480" w:leftChars="200" w:firstLine="0" w:firstLineChars="0"/>
        <w:rPr>
          <w:rFonts w:cs="Times New Roman"/>
          <w:b/>
          <w:bCs/>
          <w:color w:val="auto"/>
          <w:highlight w:val="none"/>
        </w:rPr>
      </w:pPr>
      <w:r>
        <w:rPr>
          <w:rFonts w:cs="Times New Roman"/>
          <w:b/>
          <w:bCs/>
          <w:color w:val="auto"/>
          <w:highlight w:val="none"/>
        </w:rPr>
        <w:t>4、固废</w:t>
      </w:r>
    </w:p>
    <w:p w14:paraId="1076CD7B">
      <w:pPr>
        <w:widowControl/>
        <w:jc w:val="left"/>
        <w:rPr>
          <w:rFonts w:cs="Times New Roman"/>
          <w:color w:val="auto"/>
          <w:szCs w:val="24"/>
          <w:highlight w:val="none"/>
        </w:rPr>
      </w:pPr>
      <w:r>
        <w:rPr>
          <w:rFonts w:cs="Times New Roman"/>
          <w:color w:val="auto"/>
          <w:szCs w:val="24"/>
          <w:highlight w:val="none"/>
        </w:rPr>
        <w:t>本项目运营期产生的固体废物为一般固体废物及危险废物，一般固体废物主要包括检疫不合格品、病死牛羊、粪便、边角料、胃容物及肠内物、污泥（含栅渣）、</w:t>
      </w:r>
      <w:r>
        <w:rPr>
          <w:rFonts w:hint="eastAsia" w:cs="Times New Roman"/>
          <w:color w:val="auto"/>
          <w:szCs w:val="24"/>
          <w:highlight w:val="none"/>
          <w:lang w:val="en-US" w:eastAsia="zh-CN"/>
        </w:rPr>
        <w:t>隔油池废油脂、</w:t>
      </w:r>
      <w:r>
        <w:rPr>
          <w:rFonts w:cs="Times New Roman"/>
          <w:color w:val="auto"/>
          <w:szCs w:val="24"/>
          <w:highlight w:val="none"/>
        </w:rPr>
        <w:t>废包装以及生活垃圾；</w:t>
      </w:r>
      <w:r>
        <w:rPr>
          <w:rFonts w:hint="eastAsia" w:cs="Times New Roman"/>
          <w:color w:val="auto"/>
          <w:szCs w:val="24"/>
          <w:highlight w:val="none"/>
          <w:lang w:eastAsia="zh-CN"/>
        </w:rPr>
        <w:t>危险废物主要为检疫废物、废润滑油及含油抹布、</w:t>
      </w:r>
      <w:r>
        <w:rPr>
          <w:rFonts w:cs="Times New Roman"/>
          <w:color w:val="auto"/>
          <w:szCs w:val="24"/>
          <w:highlight w:val="none"/>
        </w:rPr>
        <w:t>废活性炭、</w:t>
      </w:r>
      <w:r>
        <w:rPr>
          <w:rFonts w:hint="eastAsia" w:cs="Times New Roman"/>
          <w:color w:val="auto"/>
          <w:szCs w:val="24"/>
          <w:highlight w:val="none"/>
          <w:lang w:val="en-US" w:eastAsia="zh-CN"/>
        </w:rPr>
        <w:t>在线监测废液、</w:t>
      </w:r>
      <w:r>
        <w:rPr>
          <w:rFonts w:hint="eastAsia" w:cs="Times New Roman"/>
          <w:color w:val="auto"/>
          <w:szCs w:val="24"/>
          <w:highlight w:val="none"/>
          <w:lang w:eastAsia="zh-CN"/>
        </w:rPr>
        <w:t>劳保手套</w:t>
      </w:r>
      <w:r>
        <w:rPr>
          <w:rFonts w:cs="Times New Roman"/>
          <w:color w:val="auto"/>
          <w:szCs w:val="24"/>
          <w:highlight w:val="none"/>
        </w:rPr>
        <w:t>。</w:t>
      </w:r>
      <w:r>
        <w:rPr>
          <w:rFonts w:cs="Times New Roman"/>
          <w:color w:val="auto"/>
          <w:kern w:val="0"/>
          <w:szCs w:val="24"/>
          <w:highlight w:val="none"/>
          <w:lang w:bidi="ar"/>
        </w:rPr>
        <w:t>本项目固体废物100%处置，本项目运营期产生的固体废物对周围环境影响较小。</w:t>
      </w:r>
    </w:p>
    <w:p w14:paraId="5CCAE76B">
      <w:pPr>
        <w:widowControl/>
        <w:spacing w:line="500" w:lineRule="exact"/>
        <w:rPr>
          <w:rFonts w:cs="Times New Roman"/>
          <w:color w:val="auto"/>
          <w:szCs w:val="24"/>
          <w:highlight w:val="none"/>
        </w:rPr>
      </w:pPr>
      <w:r>
        <w:rPr>
          <w:rFonts w:cs="Times New Roman"/>
          <w:color w:val="auto"/>
          <w:szCs w:val="24"/>
          <w:highlight w:val="none"/>
        </w:rPr>
        <w:t>本次评价重点分析固体废物处置的可行性。</w:t>
      </w:r>
    </w:p>
    <w:p w14:paraId="0C10BCE1">
      <w:pPr>
        <w:spacing w:line="500" w:lineRule="exact"/>
        <w:ind w:left="480" w:leftChars="200" w:firstLine="0" w:firstLineChars="0"/>
        <w:rPr>
          <w:rFonts w:cs="Times New Roman"/>
          <w:b/>
          <w:bCs/>
          <w:color w:val="auto"/>
          <w:highlight w:val="none"/>
        </w:rPr>
      </w:pPr>
      <w:r>
        <w:rPr>
          <w:rFonts w:cs="Times New Roman"/>
          <w:b/>
          <w:bCs/>
          <w:color w:val="auto"/>
          <w:highlight w:val="none"/>
        </w:rPr>
        <w:t>5、噪声</w:t>
      </w:r>
    </w:p>
    <w:p w14:paraId="32C891C8">
      <w:pPr>
        <w:widowControl/>
        <w:jc w:val="left"/>
        <w:rPr>
          <w:rFonts w:cs="Times New Roman"/>
          <w:color w:val="auto"/>
          <w:highlight w:val="none"/>
        </w:rPr>
      </w:pPr>
      <w:r>
        <w:rPr>
          <w:rFonts w:cs="Times New Roman"/>
          <w:snapToGrid w:val="0"/>
          <w:color w:val="auto"/>
          <w:highlight w:val="none"/>
          <w:lang w:val="zh-CN"/>
        </w:rPr>
        <w:t>本项目运营期噪声主要为设备噪声和牛、羊嚎叫，设备主要为风机、泵类等。</w:t>
      </w:r>
      <w:r>
        <w:rPr>
          <w:rFonts w:cs="Times New Roman"/>
          <w:color w:val="auto"/>
          <w:kern w:val="0"/>
          <w:szCs w:val="24"/>
          <w:highlight w:val="none"/>
          <w:lang w:bidi="ar"/>
        </w:rPr>
        <w:t>经采取选用低噪声设备、减振、隔声等措施后，噪声可满足《工业企业厂界环境噪声排放标准》（GB12348-2008）中</w:t>
      </w:r>
      <w:r>
        <w:rPr>
          <w:rFonts w:hint="eastAsia" w:cs="Times New Roman"/>
          <w:color w:val="auto"/>
          <w:kern w:val="0"/>
          <w:szCs w:val="24"/>
          <w:highlight w:val="none"/>
          <w:lang w:val="en-US" w:eastAsia="zh-CN" w:bidi="ar"/>
        </w:rPr>
        <w:t>2</w:t>
      </w:r>
      <w:r>
        <w:rPr>
          <w:rFonts w:cs="Times New Roman"/>
          <w:color w:val="auto"/>
          <w:kern w:val="0"/>
          <w:szCs w:val="24"/>
          <w:highlight w:val="none"/>
          <w:lang w:bidi="ar"/>
        </w:rPr>
        <w:t>类标准要求，</w:t>
      </w:r>
      <w:r>
        <w:rPr>
          <w:rFonts w:cs="Times New Roman"/>
          <w:color w:val="auto"/>
          <w:szCs w:val="24"/>
          <w:highlight w:val="none"/>
        </w:rPr>
        <w:t>实现厂界达标</w:t>
      </w:r>
      <w:r>
        <w:rPr>
          <w:rFonts w:cs="Times New Roman"/>
          <w:color w:val="auto"/>
          <w:kern w:val="0"/>
          <w:szCs w:val="24"/>
          <w:highlight w:val="none"/>
          <w:lang w:bidi="ar"/>
        </w:rPr>
        <w:t>，</w:t>
      </w:r>
      <w:r>
        <w:rPr>
          <w:rFonts w:hint="eastAsia" w:cs="Times New Roman"/>
          <w:color w:val="auto"/>
          <w:kern w:val="0"/>
          <w:szCs w:val="24"/>
          <w:highlight w:val="none"/>
          <w:lang w:val="en-US" w:eastAsia="zh-CN" w:bidi="ar"/>
        </w:rPr>
        <w:t>经预测，</w:t>
      </w:r>
      <w:r>
        <w:rPr>
          <w:rFonts w:hint="eastAsia" w:cs="Times New Roman"/>
          <w:color w:val="auto"/>
          <w:szCs w:val="24"/>
          <w:highlight w:val="none"/>
          <w:lang w:val="en-US" w:eastAsia="zh-CN"/>
        </w:rPr>
        <w:t>厂区西侧敏感点噪声满足《声环境质量标准》（GB3096-2008）中2类标准，</w:t>
      </w:r>
      <w:r>
        <w:rPr>
          <w:rFonts w:cs="Times New Roman"/>
          <w:color w:val="auto"/>
          <w:kern w:val="0"/>
          <w:szCs w:val="24"/>
          <w:highlight w:val="none"/>
          <w:lang w:bidi="ar"/>
        </w:rPr>
        <w:t>因此本项目运营期对周围声环境质量影响较小。</w:t>
      </w:r>
    </w:p>
    <w:p w14:paraId="11E48479">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本次评价重点分析噪声控制措施的可行性及厂界的达标可行性。</w:t>
      </w:r>
    </w:p>
    <w:p w14:paraId="7AC97500">
      <w:pPr>
        <w:spacing w:line="500" w:lineRule="exact"/>
        <w:ind w:left="480" w:leftChars="200" w:firstLine="0" w:firstLineChars="0"/>
        <w:rPr>
          <w:rFonts w:cs="Times New Roman"/>
          <w:b/>
          <w:bCs/>
          <w:color w:val="auto"/>
          <w:highlight w:val="none"/>
        </w:rPr>
      </w:pPr>
      <w:r>
        <w:rPr>
          <w:rFonts w:cs="Times New Roman"/>
          <w:b/>
          <w:bCs/>
          <w:color w:val="auto"/>
          <w:highlight w:val="none"/>
        </w:rPr>
        <w:t>6、环境风险</w:t>
      </w:r>
    </w:p>
    <w:p w14:paraId="07ED15ED">
      <w:pPr>
        <w:widowControl/>
        <w:jc w:val="left"/>
        <w:rPr>
          <w:rFonts w:cs="Times New Roman"/>
          <w:color w:val="auto"/>
          <w:kern w:val="0"/>
          <w:szCs w:val="24"/>
          <w:highlight w:val="none"/>
          <w:lang w:bidi="ar"/>
        </w:rPr>
      </w:pPr>
      <w:r>
        <w:rPr>
          <w:rFonts w:cs="Times New Roman"/>
          <w:color w:val="auto"/>
          <w:kern w:val="0"/>
          <w:szCs w:val="24"/>
          <w:highlight w:val="none"/>
          <w:lang w:bidi="ar"/>
        </w:rPr>
        <w:t>本项目环境风险主要为</w:t>
      </w:r>
      <w:r>
        <w:rPr>
          <w:rFonts w:hint="eastAsia" w:cs="Times New Roman"/>
          <w:snapToGrid w:val="0"/>
          <w:color w:val="auto"/>
          <w:kern w:val="0"/>
          <w:szCs w:val="24"/>
          <w:highlight w:val="none"/>
          <w:lang w:val="en-US" w:eastAsia="zh-CN"/>
        </w:rPr>
        <w:t>污水处理站消毒工艺中使用的次氯酸钠，</w:t>
      </w:r>
      <w:r>
        <w:rPr>
          <w:rFonts w:hint="default" w:ascii="Times New Roman" w:hAnsi="Times New Roman" w:cs="Times New Roman" w:eastAsiaTheme="minorEastAsia"/>
          <w:color w:val="auto"/>
          <w:spacing w:val="0"/>
          <w:w w:val="100"/>
          <w:position w:val="0"/>
          <w:sz w:val="24"/>
          <w:szCs w:val="24"/>
          <w:highlight w:val="none"/>
          <w:lang w:val="en-US" w:eastAsia="zh-CN"/>
        </w:rPr>
        <w:t>屠宰车间和待宰圈产生的</w:t>
      </w:r>
      <w:r>
        <w:rPr>
          <w:rFonts w:hint="default" w:ascii="Times New Roman" w:hAnsi="Times New Roman" w:eastAsia="宋体" w:cs="Times New Roman"/>
          <w:color w:val="auto"/>
          <w:sz w:val="24"/>
          <w:szCs w:val="24"/>
          <w:highlight w:val="none"/>
          <w:lang w:val="en-US" w:eastAsia="zh-CN"/>
        </w:rPr>
        <w:t>氨气和硫化氢</w:t>
      </w:r>
      <w:r>
        <w:rPr>
          <w:rFonts w:hint="eastAsia" w:ascii="Times New Roman" w:hAnsi="Times New Roman" w:eastAsia="宋体" w:cs="Times New Roman"/>
          <w:color w:val="auto"/>
          <w:sz w:val="24"/>
          <w:szCs w:val="24"/>
          <w:highlight w:val="none"/>
          <w:lang w:val="en-US" w:eastAsia="zh-CN"/>
        </w:rPr>
        <w:t>，危险废物（废润滑油）、在线监测废液。</w:t>
      </w:r>
      <w:r>
        <w:rPr>
          <w:rFonts w:cs="Times New Roman"/>
          <w:color w:val="auto"/>
          <w:kern w:val="0"/>
          <w:szCs w:val="24"/>
          <w:highlight w:val="none"/>
          <w:lang w:bidi="ar"/>
        </w:rPr>
        <w:t>建设单位运营过程中应从多方面积极采取防护措施，企业建立健全环境应急预案体系，加强环境应急预案演练、评估与修订。本项目设有</w:t>
      </w:r>
      <w:r>
        <w:rPr>
          <w:rFonts w:hint="eastAsia" w:cs="Times New Roman"/>
          <w:color w:val="auto"/>
          <w:kern w:val="0"/>
          <w:szCs w:val="24"/>
          <w:highlight w:val="none"/>
          <w:lang w:val="en-US" w:eastAsia="zh-CN" w:bidi="ar"/>
        </w:rPr>
        <w:t>50m</w:t>
      </w:r>
      <w:r>
        <w:rPr>
          <w:rFonts w:hint="eastAsia" w:cs="Times New Roman"/>
          <w:color w:val="auto"/>
          <w:kern w:val="0"/>
          <w:szCs w:val="24"/>
          <w:highlight w:val="none"/>
          <w:vertAlign w:val="superscript"/>
          <w:lang w:val="en-US" w:eastAsia="zh-CN" w:bidi="ar"/>
        </w:rPr>
        <w:t>3</w:t>
      </w:r>
      <w:r>
        <w:rPr>
          <w:rFonts w:cs="Times New Roman"/>
          <w:color w:val="auto"/>
          <w:kern w:val="0"/>
          <w:szCs w:val="24"/>
          <w:highlight w:val="none"/>
          <w:lang w:bidi="ar"/>
        </w:rPr>
        <w:t>事故池，能够有效防止事故过程中产生的可能严重污染水体的生产废水、废液直接排入水体。一旦突发环境风险事故，立即按应急预案提到的紧急处理、救援、监测方案等进行紧急救援，项目可以有效的防范风险事故发生或对事故的发生进行有效处置，防止环境污染事故发生。</w:t>
      </w:r>
    </w:p>
    <w:p w14:paraId="3164D992">
      <w:pPr>
        <w:spacing w:line="500" w:lineRule="exact"/>
        <w:rPr>
          <w:rFonts w:cs="Times New Roman"/>
          <w:snapToGrid w:val="0"/>
          <w:color w:val="auto"/>
          <w:highlight w:val="none"/>
          <w:lang w:val="zh-CN"/>
        </w:rPr>
      </w:pPr>
      <w:r>
        <w:rPr>
          <w:rFonts w:cs="Times New Roman"/>
          <w:snapToGrid w:val="0"/>
          <w:color w:val="auto"/>
          <w:highlight w:val="none"/>
          <w:lang w:val="zh-CN"/>
        </w:rPr>
        <w:t>根据《建设项目环境风险评价技术导则》（HJ/T169-2018）附录B，本项目环境风险评价Q＜1，</w:t>
      </w:r>
      <w:r>
        <w:rPr>
          <w:rFonts w:hint="eastAsia" w:cs="Times New Roman"/>
          <w:snapToGrid w:val="0"/>
          <w:color w:val="auto"/>
          <w:highlight w:val="none"/>
          <w:lang w:val="en-US" w:eastAsia="zh-CN"/>
        </w:rPr>
        <w:t>本</w:t>
      </w:r>
      <w:r>
        <w:rPr>
          <w:rFonts w:cs="Times New Roman"/>
          <w:snapToGrid w:val="0"/>
          <w:color w:val="auto"/>
          <w:highlight w:val="none"/>
          <w:lang w:val="zh-CN"/>
        </w:rPr>
        <w:t>项目环境风险潜势为Ⅰ，风险评价等级为简单分析。针对本项目</w:t>
      </w:r>
      <w:r>
        <w:rPr>
          <w:rFonts w:cs="Times New Roman"/>
          <w:color w:val="auto"/>
          <w:szCs w:val="24"/>
          <w:highlight w:val="none"/>
        </w:rPr>
        <w:t>事故状态下</w:t>
      </w:r>
      <w:r>
        <w:rPr>
          <w:rFonts w:hint="eastAsia" w:cs="Times New Roman"/>
          <w:color w:val="auto"/>
          <w:szCs w:val="24"/>
          <w:highlight w:val="none"/>
          <w:lang w:val="en-US" w:eastAsia="zh-CN"/>
        </w:rPr>
        <w:t>次氯酸钠</w:t>
      </w:r>
      <w:r>
        <w:rPr>
          <w:rFonts w:cs="Times New Roman"/>
          <w:color w:val="auto"/>
          <w:szCs w:val="24"/>
          <w:highlight w:val="none"/>
        </w:rPr>
        <w:t>挥发</w:t>
      </w:r>
      <w:r>
        <w:rPr>
          <w:rFonts w:cs="Times New Roman"/>
          <w:color w:val="auto"/>
          <w:highlight w:val="none"/>
        </w:rPr>
        <w:t>，分析本项目需安全监督的重点部位、易发生事故环节和可能引发的事故后果及对保护目标的影响程度，提出防范措施和对策。</w:t>
      </w:r>
    </w:p>
    <w:p w14:paraId="6FF5FBA1">
      <w:pPr>
        <w:pStyle w:val="3"/>
        <w:spacing w:before="156" w:after="156"/>
        <w:rPr>
          <w:rFonts w:cs="Times New Roman"/>
          <w:color w:val="auto"/>
          <w:highlight w:val="none"/>
        </w:rPr>
      </w:pPr>
      <w:bookmarkStart w:id="28" w:name="_Toc23254"/>
      <w:r>
        <w:rPr>
          <w:rFonts w:cs="Times New Roman"/>
          <w:color w:val="auto"/>
          <w:highlight w:val="none"/>
        </w:rPr>
        <w:t>1.6环境影响评价主要结论</w:t>
      </w:r>
      <w:bookmarkEnd w:id="28"/>
    </w:p>
    <w:p w14:paraId="070A6F9E">
      <w:pPr>
        <w:pStyle w:val="117"/>
        <w:rPr>
          <w:rFonts w:cs="Times New Roman"/>
          <w:snapToGrid w:val="0"/>
          <w:color w:val="auto"/>
          <w:kern w:val="0"/>
          <w:highlight w:val="none"/>
        </w:rPr>
      </w:pPr>
      <w:r>
        <w:rPr>
          <w:rFonts w:cs="Times New Roman"/>
          <w:snapToGrid w:val="0"/>
          <w:color w:val="auto"/>
          <w:kern w:val="0"/>
          <w:highlight w:val="none"/>
        </w:rPr>
        <w:t>本工程的建设符合国家产业政策，项目选址环境可行，平面布局科学；通过对本工程施工期及运营期产生的污染源强及对环境的影响进行预测、分析，结果表明本工程所采用的生产工艺技术合理，符合行业环保政策要求。该项目拟采取的“三废”治理方案有效、合理，技术经济上可行，在切实落实本环评报告中提出的各项污染物防治措施以及生产设施正常运行状况下，各污染物排放不会改变周围环境质量现状水平，环境风险处可接受水平。</w:t>
      </w:r>
    </w:p>
    <w:p w14:paraId="41A80DA6">
      <w:pPr>
        <w:pStyle w:val="117"/>
        <w:rPr>
          <w:rFonts w:cs="Times New Roman"/>
          <w:snapToGrid w:val="0"/>
          <w:color w:val="auto"/>
          <w:kern w:val="0"/>
          <w:highlight w:val="none"/>
        </w:rPr>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cs="Times New Roman"/>
          <w:snapToGrid w:val="0"/>
          <w:color w:val="auto"/>
          <w:kern w:val="0"/>
          <w:highlight w:val="none"/>
        </w:rPr>
        <w:t>本次评价认为，在严格执行国家各项环保规章制度，按“三同时”要求严格落实各项污控措施对策条件下，并切实落实本报告书所提出的各项污染物防治措施，保证环保设施正常运转的前提下，从环境保护的角度上看，本工程的建设是可行的。</w:t>
      </w:r>
    </w:p>
    <w:p w14:paraId="7BFA5048">
      <w:pPr>
        <w:pStyle w:val="2"/>
        <w:rPr>
          <w:rFonts w:cs="Times New Roman"/>
          <w:color w:val="auto"/>
          <w:highlight w:val="none"/>
        </w:rPr>
      </w:pPr>
      <w:bookmarkStart w:id="29" w:name="_Toc472585612"/>
      <w:bookmarkStart w:id="30" w:name="_Toc436918979"/>
      <w:bookmarkStart w:id="31" w:name="_Toc439236474"/>
      <w:bookmarkStart w:id="32" w:name="_Toc477190960"/>
      <w:bookmarkStart w:id="33" w:name="_Toc20256"/>
      <w:r>
        <w:rPr>
          <w:rFonts w:cs="Times New Roman"/>
          <w:color w:val="auto"/>
          <w:highlight w:val="none"/>
        </w:rPr>
        <w:t>2</w:t>
      </w:r>
      <w:bookmarkEnd w:id="29"/>
      <w:bookmarkEnd w:id="30"/>
      <w:bookmarkEnd w:id="31"/>
      <w:bookmarkEnd w:id="32"/>
      <w:r>
        <w:rPr>
          <w:rFonts w:cs="Times New Roman"/>
          <w:color w:val="auto"/>
          <w:highlight w:val="none"/>
        </w:rPr>
        <w:t>总则</w:t>
      </w:r>
      <w:bookmarkEnd w:id="33"/>
    </w:p>
    <w:p w14:paraId="1BED93A5">
      <w:pPr>
        <w:pStyle w:val="3"/>
        <w:spacing w:before="156" w:after="156"/>
        <w:rPr>
          <w:rFonts w:cs="Times New Roman"/>
          <w:color w:val="auto"/>
          <w:highlight w:val="none"/>
        </w:rPr>
      </w:pPr>
      <w:bookmarkStart w:id="34" w:name="_Toc11413"/>
      <w:r>
        <w:rPr>
          <w:rFonts w:cs="Times New Roman"/>
          <w:color w:val="auto"/>
          <w:highlight w:val="none"/>
        </w:rPr>
        <w:t>2.1</w:t>
      </w:r>
      <w:bookmarkStart w:id="35" w:name="_Toc477190961"/>
      <w:bookmarkStart w:id="36" w:name="_Toc436918980"/>
      <w:bookmarkStart w:id="37" w:name="_Toc439236475"/>
      <w:bookmarkStart w:id="38" w:name="_Toc472585613"/>
      <w:r>
        <w:rPr>
          <w:rFonts w:cs="Times New Roman"/>
          <w:color w:val="auto"/>
          <w:highlight w:val="none"/>
        </w:rPr>
        <w:t>编制依据</w:t>
      </w:r>
      <w:bookmarkEnd w:id="34"/>
      <w:bookmarkEnd w:id="35"/>
      <w:bookmarkEnd w:id="36"/>
      <w:bookmarkEnd w:id="37"/>
      <w:bookmarkEnd w:id="38"/>
    </w:p>
    <w:p w14:paraId="73759BCB">
      <w:pPr>
        <w:pStyle w:val="4"/>
        <w:spacing w:after="156"/>
        <w:rPr>
          <w:rFonts w:hint="default" w:eastAsia="黑体" w:cs="Times New Roman"/>
          <w:color w:val="auto"/>
          <w:highlight w:val="none"/>
          <w:lang w:val="en-US" w:eastAsia="zh-CN"/>
        </w:rPr>
      </w:pPr>
      <w:bookmarkStart w:id="39" w:name="_Toc10281"/>
      <w:r>
        <w:rPr>
          <w:rFonts w:cs="Times New Roman"/>
          <w:color w:val="auto"/>
          <w:highlight w:val="none"/>
        </w:rPr>
        <w:t>2.1.1相关环境保护法律、法规</w:t>
      </w:r>
      <w:r>
        <w:rPr>
          <w:rFonts w:hint="eastAsia" w:cs="Times New Roman"/>
          <w:color w:val="auto"/>
          <w:highlight w:val="none"/>
          <w:lang w:eastAsia="zh-CN"/>
        </w:rPr>
        <w:t>、</w:t>
      </w:r>
      <w:r>
        <w:rPr>
          <w:rFonts w:hint="eastAsia" w:cs="Times New Roman"/>
          <w:color w:val="auto"/>
          <w:highlight w:val="none"/>
          <w:lang w:val="en-US" w:eastAsia="zh-CN"/>
        </w:rPr>
        <w:t>条例</w:t>
      </w:r>
      <w:bookmarkEnd w:id="39"/>
    </w:p>
    <w:p w14:paraId="3FDEB61E">
      <w:pPr>
        <w:pStyle w:val="117"/>
        <w:rPr>
          <w:rFonts w:ascii="Times New Roman" w:hAnsi="Times New Roman" w:eastAsia="宋体" w:cs="Times New Roman"/>
          <w:snapToGrid w:val="0"/>
          <w:color w:val="auto"/>
          <w:kern w:val="0"/>
          <w:highlight w:val="none"/>
        </w:rPr>
      </w:pPr>
      <w:bookmarkStart w:id="40" w:name="_Toc233779584"/>
      <w:r>
        <w:rPr>
          <w:rFonts w:hint="eastAsia" w:ascii="Times New Roman" w:hAnsi="Times New Roman" w:eastAsia="宋体" w:cs="Times New Roman"/>
          <w:snapToGrid w:val="0"/>
          <w:color w:val="auto"/>
          <w:kern w:val="0"/>
          <w:highlight w:val="none"/>
        </w:rPr>
        <w:t>（</w:t>
      </w: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w:t>
      </w:r>
      <w:r>
        <w:rPr>
          <w:rFonts w:ascii="Times New Roman" w:hAnsi="Times New Roman" w:eastAsia="宋体" w:cs="Times New Roman"/>
          <w:snapToGrid w:val="0"/>
          <w:color w:val="auto"/>
          <w:kern w:val="0"/>
          <w:highlight w:val="none"/>
        </w:rPr>
        <w:t>《中华人民共和国环境保护法》（</w:t>
      </w:r>
      <w:r>
        <w:rPr>
          <w:rFonts w:hint="eastAsia" w:ascii="Times New Roman" w:hAnsi="Times New Roman" w:eastAsia="宋体" w:cs="Times New Roman"/>
          <w:snapToGrid w:val="0"/>
          <w:color w:val="auto"/>
          <w:kern w:val="0"/>
          <w:highlight w:val="none"/>
        </w:rPr>
        <w:t>2014年修正，</w:t>
      </w:r>
      <w:r>
        <w:rPr>
          <w:rFonts w:ascii="Times New Roman" w:hAnsi="Times New Roman" w:eastAsia="宋体" w:cs="Times New Roman"/>
          <w:snapToGrid w:val="0"/>
          <w:color w:val="auto"/>
          <w:kern w:val="0"/>
          <w:highlight w:val="none"/>
        </w:rPr>
        <w:t>2015年1月1日起施行）；</w:t>
      </w:r>
    </w:p>
    <w:p w14:paraId="0010E531">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（2）《中华人民共和国环境影响评价法》（</w:t>
      </w:r>
      <w:r>
        <w:rPr>
          <w:rFonts w:hint="eastAsia" w:ascii="Times New Roman" w:hAnsi="Times New Roman" w:eastAsia="宋体" w:cs="Times New Roman"/>
          <w:snapToGrid w:val="0"/>
          <w:color w:val="auto"/>
          <w:kern w:val="0"/>
          <w:highlight w:val="none"/>
        </w:rPr>
        <w:t>2018年修正，</w:t>
      </w:r>
      <w:r>
        <w:rPr>
          <w:rFonts w:ascii="Times New Roman" w:hAnsi="Times New Roman" w:eastAsia="宋体" w:cs="Times New Roman"/>
          <w:snapToGrid w:val="0"/>
          <w:color w:val="auto"/>
          <w:kern w:val="0"/>
          <w:highlight w:val="none"/>
        </w:rPr>
        <w:t>2018年12月29日起施行）；</w:t>
      </w:r>
    </w:p>
    <w:p w14:paraId="29B684AF">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（3）《中华人民共和国大气污染防治法》（</w:t>
      </w:r>
      <w:r>
        <w:rPr>
          <w:rFonts w:hint="eastAsia" w:ascii="Times New Roman" w:hAnsi="Times New Roman" w:eastAsia="宋体" w:cs="Times New Roman"/>
          <w:snapToGrid w:val="0"/>
          <w:color w:val="auto"/>
          <w:kern w:val="0"/>
          <w:highlight w:val="none"/>
        </w:rPr>
        <w:t>2018年修正，</w:t>
      </w:r>
      <w:r>
        <w:rPr>
          <w:rFonts w:ascii="Times New Roman" w:hAnsi="Times New Roman" w:eastAsia="宋体" w:cs="Times New Roman"/>
          <w:snapToGrid w:val="0"/>
          <w:color w:val="auto"/>
          <w:kern w:val="0"/>
          <w:highlight w:val="none"/>
        </w:rPr>
        <w:t>2018年10月26日起施行）；</w:t>
      </w:r>
    </w:p>
    <w:p w14:paraId="3EB97AD0">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（4）《中华人民共和国水污染防治法》（</w:t>
      </w:r>
      <w:r>
        <w:rPr>
          <w:rFonts w:hint="eastAsia" w:ascii="Times New Roman" w:hAnsi="Times New Roman" w:eastAsia="宋体" w:cs="Times New Roman"/>
          <w:snapToGrid w:val="0"/>
          <w:color w:val="auto"/>
          <w:kern w:val="0"/>
          <w:highlight w:val="none"/>
        </w:rPr>
        <w:t>2017年修正，</w:t>
      </w:r>
      <w:r>
        <w:rPr>
          <w:rFonts w:ascii="Times New Roman" w:hAnsi="Times New Roman" w:eastAsia="宋体" w:cs="Times New Roman"/>
          <w:snapToGrid w:val="0"/>
          <w:color w:val="auto"/>
          <w:kern w:val="0"/>
          <w:highlight w:val="none"/>
        </w:rPr>
        <w:t>2018年1月1日起施行）；</w:t>
      </w:r>
    </w:p>
    <w:p w14:paraId="4865B54A">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（5）《中华人民共和国噪声污染防治法》（</w:t>
      </w:r>
      <w:r>
        <w:rPr>
          <w:rFonts w:hint="eastAsia" w:ascii="Times New Roman" w:hAnsi="Times New Roman" w:eastAsia="宋体" w:cs="Times New Roman"/>
          <w:snapToGrid w:val="0"/>
          <w:color w:val="auto"/>
          <w:kern w:val="0"/>
          <w:highlight w:val="none"/>
        </w:rPr>
        <w:t>2022年6月5日起施行</w:t>
      </w:r>
      <w:r>
        <w:rPr>
          <w:rFonts w:ascii="Times New Roman" w:hAnsi="Times New Roman" w:eastAsia="宋体" w:cs="Times New Roman"/>
          <w:snapToGrid w:val="0"/>
          <w:color w:val="auto"/>
          <w:kern w:val="0"/>
          <w:highlight w:val="none"/>
        </w:rPr>
        <w:t>）；</w:t>
      </w:r>
    </w:p>
    <w:p w14:paraId="6BF55347">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（6）《中华人民共和国固体废物污染环境防治法》（</w:t>
      </w:r>
      <w:r>
        <w:rPr>
          <w:rFonts w:hint="eastAsia" w:ascii="Times New Roman" w:hAnsi="Times New Roman" w:eastAsia="宋体" w:cs="Times New Roman"/>
          <w:snapToGrid w:val="0"/>
          <w:color w:val="auto"/>
          <w:kern w:val="0"/>
          <w:highlight w:val="none"/>
        </w:rPr>
        <w:t>2020年4月29日修订，2020</w:t>
      </w:r>
      <w:r>
        <w:rPr>
          <w:rFonts w:ascii="Times New Roman" w:hAnsi="Times New Roman" w:eastAsia="宋体" w:cs="Times New Roman"/>
          <w:snapToGrid w:val="0"/>
          <w:color w:val="auto"/>
          <w:kern w:val="0"/>
          <w:highlight w:val="none"/>
        </w:rPr>
        <w:t>年</w:t>
      </w:r>
      <w:r>
        <w:rPr>
          <w:rFonts w:hint="eastAsia" w:ascii="Times New Roman" w:hAnsi="Times New Roman" w:eastAsia="宋体" w:cs="Times New Roman"/>
          <w:snapToGrid w:val="0"/>
          <w:color w:val="auto"/>
          <w:kern w:val="0"/>
          <w:highlight w:val="none"/>
        </w:rPr>
        <w:t>9</w:t>
      </w:r>
      <w:r>
        <w:rPr>
          <w:rFonts w:ascii="Times New Roman" w:hAnsi="Times New Roman" w:eastAsia="宋体" w:cs="Times New Roman"/>
          <w:snapToGrid w:val="0"/>
          <w:color w:val="auto"/>
          <w:kern w:val="0"/>
          <w:highlight w:val="none"/>
        </w:rPr>
        <w:t>月</w:t>
      </w:r>
      <w:r>
        <w:rPr>
          <w:rFonts w:hint="eastAsia" w:ascii="Times New Roman" w:hAnsi="Times New Roman" w:eastAsia="宋体" w:cs="Times New Roman"/>
          <w:snapToGrid w:val="0"/>
          <w:color w:val="auto"/>
          <w:kern w:val="0"/>
          <w:highlight w:val="none"/>
        </w:rPr>
        <w:t>1</w:t>
      </w:r>
      <w:r>
        <w:rPr>
          <w:rFonts w:ascii="Times New Roman" w:hAnsi="Times New Roman" w:eastAsia="宋体" w:cs="Times New Roman"/>
          <w:snapToGrid w:val="0"/>
          <w:color w:val="auto"/>
          <w:kern w:val="0"/>
          <w:highlight w:val="none"/>
        </w:rPr>
        <w:t>日起施行）；</w:t>
      </w:r>
    </w:p>
    <w:p w14:paraId="41EF58A6">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（7）《中华人民共和国土壤污染防治法》（2019年1月1日起施行）；</w:t>
      </w:r>
    </w:p>
    <w:p w14:paraId="62264876">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8</w:t>
      </w:r>
      <w:r>
        <w:rPr>
          <w:rFonts w:ascii="Times New Roman" w:hAnsi="Times New Roman" w:eastAsia="宋体" w:cs="Times New Roman"/>
          <w:snapToGrid w:val="0"/>
          <w:color w:val="auto"/>
          <w:kern w:val="0"/>
          <w:highlight w:val="none"/>
        </w:rPr>
        <w:t>）《中华人民共和国清洁生产促进法》（</w:t>
      </w:r>
      <w:r>
        <w:rPr>
          <w:rFonts w:hint="eastAsia" w:ascii="Times New Roman" w:hAnsi="Times New Roman" w:eastAsia="宋体" w:cs="Times New Roman"/>
          <w:snapToGrid w:val="0"/>
          <w:color w:val="auto"/>
          <w:kern w:val="0"/>
          <w:highlight w:val="none"/>
        </w:rPr>
        <w:t>2012年修正，2012年7月1日起施行</w:t>
      </w:r>
      <w:r>
        <w:rPr>
          <w:rFonts w:ascii="Times New Roman" w:hAnsi="Times New Roman" w:eastAsia="宋体" w:cs="Times New Roman"/>
          <w:snapToGrid w:val="0"/>
          <w:color w:val="auto"/>
          <w:kern w:val="0"/>
          <w:highlight w:val="none"/>
        </w:rPr>
        <w:t>）；</w:t>
      </w:r>
    </w:p>
    <w:p w14:paraId="1EC96F58">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（9）《中华人民共和国循环经济促进法》（2018年修正，2018年10月26日</w:t>
      </w:r>
      <w:r>
        <w:rPr>
          <w:rFonts w:ascii="Times New Roman" w:hAnsi="Times New Roman" w:eastAsia="宋体" w:cs="Times New Roman"/>
          <w:snapToGrid w:val="0"/>
          <w:color w:val="auto"/>
          <w:kern w:val="0"/>
          <w:highlight w:val="none"/>
        </w:rPr>
        <w:t>施行</w:t>
      </w:r>
      <w:r>
        <w:rPr>
          <w:rFonts w:hint="eastAsia" w:ascii="Times New Roman" w:hAnsi="Times New Roman" w:eastAsia="宋体" w:cs="Times New Roman"/>
          <w:snapToGrid w:val="0"/>
          <w:color w:val="auto"/>
          <w:kern w:val="0"/>
          <w:highlight w:val="none"/>
        </w:rPr>
        <w:t>）；</w:t>
      </w:r>
    </w:p>
    <w:p w14:paraId="5A83162A">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10</w:t>
      </w:r>
      <w:r>
        <w:rPr>
          <w:rFonts w:ascii="Times New Roman" w:hAnsi="Times New Roman" w:eastAsia="宋体" w:cs="Times New Roman"/>
          <w:snapToGrid w:val="0"/>
          <w:color w:val="auto"/>
          <w:kern w:val="0"/>
          <w:highlight w:val="none"/>
        </w:rPr>
        <w:t>）《中华人民共和国水法》（2016</w:t>
      </w:r>
      <w:r>
        <w:rPr>
          <w:rFonts w:hint="eastAsia" w:ascii="Times New Roman" w:hAnsi="Times New Roman" w:eastAsia="宋体" w:cs="Times New Roman"/>
          <w:snapToGrid w:val="0"/>
          <w:color w:val="auto"/>
          <w:kern w:val="0"/>
          <w:highlight w:val="none"/>
        </w:rPr>
        <w:t>年</w:t>
      </w:r>
      <w:r>
        <w:rPr>
          <w:rFonts w:ascii="Times New Roman" w:hAnsi="Times New Roman" w:eastAsia="宋体" w:cs="Times New Roman"/>
          <w:snapToGrid w:val="0"/>
          <w:color w:val="auto"/>
          <w:kern w:val="0"/>
          <w:highlight w:val="none"/>
        </w:rPr>
        <w:t>7</w:t>
      </w:r>
      <w:r>
        <w:rPr>
          <w:rFonts w:hint="eastAsia" w:ascii="Times New Roman" w:hAnsi="Times New Roman" w:eastAsia="宋体" w:cs="Times New Roman"/>
          <w:snapToGrid w:val="0"/>
          <w:color w:val="auto"/>
          <w:kern w:val="0"/>
          <w:highlight w:val="none"/>
        </w:rPr>
        <w:t>月</w:t>
      </w:r>
      <w:r>
        <w:rPr>
          <w:rFonts w:ascii="Times New Roman" w:hAnsi="Times New Roman" w:eastAsia="宋体" w:cs="Times New Roman"/>
          <w:snapToGrid w:val="0"/>
          <w:color w:val="auto"/>
          <w:kern w:val="0"/>
          <w:highlight w:val="none"/>
        </w:rPr>
        <w:t>2</w:t>
      </w:r>
      <w:r>
        <w:rPr>
          <w:rFonts w:hint="eastAsia" w:ascii="Times New Roman" w:hAnsi="Times New Roman" w:eastAsia="宋体" w:cs="Times New Roman"/>
          <w:snapToGrid w:val="0"/>
          <w:color w:val="auto"/>
          <w:kern w:val="0"/>
          <w:highlight w:val="none"/>
        </w:rPr>
        <w:t>日修订</w:t>
      </w:r>
      <w:r>
        <w:rPr>
          <w:rFonts w:ascii="Times New Roman" w:hAnsi="Times New Roman" w:eastAsia="宋体" w:cs="Times New Roman"/>
          <w:snapToGrid w:val="0"/>
          <w:color w:val="auto"/>
          <w:kern w:val="0"/>
          <w:highlight w:val="none"/>
        </w:rPr>
        <w:t>）；</w:t>
      </w:r>
    </w:p>
    <w:p w14:paraId="52362DFB">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11</w:t>
      </w:r>
      <w:r>
        <w:rPr>
          <w:rFonts w:ascii="Times New Roman" w:hAnsi="Times New Roman" w:eastAsia="宋体" w:cs="Times New Roman"/>
          <w:snapToGrid w:val="0"/>
          <w:color w:val="auto"/>
          <w:kern w:val="0"/>
          <w:highlight w:val="none"/>
        </w:rPr>
        <w:t>）《中华人民共和国节约能源法》（</w:t>
      </w:r>
      <w:r>
        <w:rPr>
          <w:rFonts w:hint="eastAsia" w:ascii="Times New Roman" w:hAnsi="Times New Roman" w:eastAsia="宋体" w:cs="Times New Roman"/>
          <w:snapToGrid w:val="0"/>
          <w:color w:val="auto"/>
          <w:kern w:val="0"/>
          <w:highlight w:val="none"/>
        </w:rPr>
        <w:t>2018年修正，2018年10月26日</w:t>
      </w:r>
      <w:r>
        <w:rPr>
          <w:rFonts w:ascii="Times New Roman" w:hAnsi="Times New Roman" w:eastAsia="宋体" w:cs="Times New Roman"/>
          <w:snapToGrid w:val="0"/>
          <w:color w:val="auto"/>
          <w:kern w:val="0"/>
          <w:highlight w:val="none"/>
        </w:rPr>
        <w:t>施行）；</w:t>
      </w:r>
    </w:p>
    <w:p w14:paraId="2A711901">
      <w:pPr>
        <w:pStyle w:val="117"/>
        <w:rPr>
          <w:rFonts w:hint="eastAsia"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2</w:t>
      </w:r>
      <w:r>
        <w:rPr>
          <w:rFonts w:ascii="Times New Roman" w:hAnsi="Times New Roman" w:eastAsia="宋体" w:cs="Times New Roman"/>
          <w:snapToGrid w:val="0"/>
          <w:color w:val="auto"/>
          <w:kern w:val="0"/>
          <w:highlight w:val="none"/>
        </w:rPr>
        <w:t>）《中华人民共和国环境保护税法》（</w:t>
      </w:r>
      <w:r>
        <w:rPr>
          <w:rFonts w:hint="eastAsia" w:ascii="Times New Roman" w:hAnsi="Times New Roman" w:eastAsia="宋体" w:cs="Times New Roman"/>
          <w:snapToGrid w:val="0"/>
          <w:color w:val="auto"/>
          <w:kern w:val="0"/>
          <w:highlight w:val="none"/>
        </w:rPr>
        <w:t>2018年修正，2018年10月26日起施行</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w:t>
      </w:r>
    </w:p>
    <w:p w14:paraId="06AB70DA">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（13）《中华人民共和国黑土地保护法》（2022年8月1日起施行）；</w:t>
      </w:r>
    </w:p>
    <w:p w14:paraId="142F275D">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4</w:t>
      </w:r>
      <w:r>
        <w:rPr>
          <w:rFonts w:ascii="Times New Roman" w:hAnsi="Times New Roman" w:eastAsia="宋体" w:cs="Times New Roman"/>
          <w:snapToGrid w:val="0"/>
          <w:color w:val="auto"/>
          <w:kern w:val="0"/>
          <w:highlight w:val="none"/>
        </w:rPr>
        <w:t>）《危险化学品安全管理条例》（国务院令第591号，2013年12月7日</w:t>
      </w:r>
      <w:r>
        <w:rPr>
          <w:rFonts w:hint="eastAsia" w:ascii="Times New Roman" w:hAnsi="Times New Roman" w:eastAsia="宋体" w:cs="Times New Roman"/>
          <w:snapToGrid w:val="0"/>
          <w:color w:val="auto"/>
          <w:kern w:val="0"/>
          <w:highlight w:val="none"/>
        </w:rPr>
        <w:t>）</w:t>
      </w:r>
      <w:r>
        <w:rPr>
          <w:rFonts w:ascii="Times New Roman" w:hAnsi="Times New Roman" w:eastAsia="宋体" w:cs="Times New Roman"/>
          <w:snapToGrid w:val="0"/>
          <w:color w:val="auto"/>
          <w:kern w:val="0"/>
          <w:highlight w:val="none"/>
        </w:rPr>
        <w:t>；</w:t>
      </w:r>
    </w:p>
    <w:p w14:paraId="460141AF">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5</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《排污许可管理条例》（中华人民共和国国务院令，第736号）；</w:t>
      </w:r>
    </w:p>
    <w:p w14:paraId="4A41DA73">
      <w:pPr>
        <w:pStyle w:val="117"/>
        <w:rPr>
          <w:rFonts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（16）</w:t>
      </w:r>
      <w:r>
        <w:rPr>
          <w:rFonts w:ascii="Times New Roman" w:hAnsi="Times New Roman" w:eastAsia="宋体" w:cs="Times New Roman"/>
          <w:snapToGrid w:val="0"/>
          <w:color w:val="auto"/>
          <w:kern w:val="0"/>
          <w:highlight w:val="none"/>
        </w:rPr>
        <w:t>《国务院关于印发大气污染防治行动计划的通知》（国发〔2013〕37 号）；</w:t>
      </w:r>
    </w:p>
    <w:p w14:paraId="6B84CB00">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7</w:t>
      </w:r>
      <w:r>
        <w:rPr>
          <w:rFonts w:ascii="Times New Roman" w:hAnsi="Times New Roman" w:eastAsia="宋体" w:cs="Times New Roman"/>
          <w:snapToGrid w:val="0"/>
          <w:color w:val="auto"/>
          <w:kern w:val="0"/>
          <w:highlight w:val="none"/>
        </w:rPr>
        <w:t>）《国务院关于印发水污染防治行动计划的通知》（国发〔2015〕17号）；</w:t>
      </w:r>
    </w:p>
    <w:p w14:paraId="58DAC3B1">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8</w:t>
      </w:r>
      <w:r>
        <w:rPr>
          <w:rFonts w:ascii="Times New Roman" w:hAnsi="Times New Roman" w:eastAsia="宋体" w:cs="Times New Roman"/>
          <w:snapToGrid w:val="0"/>
          <w:color w:val="auto"/>
          <w:kern w:val="0"/>
          <w:highlight w:val="none"/>
        </w:rPr>
        <w:t>）《国务院关于印发土壤污染防治行动计划的通知》（国发〔2016〕31号）；</w:t>
      </w:r>
    </w:p>
    <w:p w14:paraId="6A98BFB8">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（1</w:t>
      </w:r>
      <w:r>
        <w:rPr>
          <w:rFonts w:hint="eastAsia" w:ascii="Times New Roman" w:hAnsi="Times New Roman" w:eastAsia="宋体" w:cs="Times New Roman"/>
          <w:snapToGrid w:val="0"/>
          <w:color w:val="auto"/>
          <w:kern w:val="0"/>
          <w:highlight w:val="none"/>
        </w:rPr>
        <w:t>9</w:t>
      </w:r>
      <w:r>
        <w:rPr>
          <w:rFonts w:ascii="Times New Roman" w:hAnsi="Times New Roman" w:eastAsia="宋体" w:cs="Times New Roman"/>
          <w:snapToGrid w:val="0"/>
          <w:color w:val="auto"/>
          <w:kern w:val="0"/>
          <w:highlight w:val="none"/>
        </w:rPr>
        <w:t>）《国务院办公厅关于印发控制污染物排放许可制实施方案的通知》（国办发〔2016〕81号）；</w:t>
      </w:r>
    </w:p>
    <w:p w14:paraId="00035572">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（20）《地下水管理条例》（中华人民共和国国务院令 第748号 ）；</w:t>
      </w:r>
    </w:p>
    <w:p w14:paraId="22A4F7F6">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（21）《环境保护综合名录》（2021年版）（环办综合函</w:t>
      </w:r>
      <w:r>
        <w:rPr>
          <w:rFonts w:ascii="Times New Roman" w:hAnsi="Times New Roman" w:eastAsia="宋体" w:cs="Times New Roman"/>
          <w:snapToGrid w:val="0"/>
          <w:color w:val="auto"/>
          <w:kern w:val="0"/>
          <w:highlight w:val="none"/>
        </w:rPr>
        <w:t>〔20</w:t>
      </w:r>
      <w:r>
        <w:rPr>
          <w:rFonts w:hint="eastAsia" w:ascii="Times New Roman" w:hAnsi="Times New Roman" w:eastAsia="宋体" w:cs="Times New Roman"/>
          <w:snapToGrid w:val="0"/>
          <w:color w:val="auto"/>
          <w:kern w:val="0"/>
          <w:highlight w:val="none"/>
        </w:rPr>
        <w:t>21</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495号）</w:t>
      </w:r>
      <w:r>
        <w:rPr>
          <w:rFonts w:ascii="Times New Roman" w:hAnsi="Times New Roman" w:eastAsia="宋体" w:cs="Times New Roman"/>
          <w:snapToGrid w:val="0"/>
          <w:color w:val="auto"/>
          <w:kern w:val="0"/>
          <w:highlight w:val="none"/>
        </w:rPr>
        <w:t>；</w:t>
      </w:r>
    </w:p>
    <w:p w14:paraId="101A8362">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22</w:t>
      </w:r>
      <w:r>
        <w:rPr>
          <w:rFonts w:ascii="Times New Roman" w:hAnsi="Times New Roman" w:eastAsia="宋体" w:cs="Times New Roman"/>
          <w:snapToGrid w:val="0"/>
          <w:color w:val="auto"/>
          <w:kern w:val="0"/>
          <w:highlight w:val="none"/>
        </w:rPr>
        <w:t>）《印发&lt;关于加强工业节水工作的意见&gt;的通知》（国家经济贸易委员会、水利部、建设部、科学技术部、国家环境保护总局、国家税务局，国经贸资源〔20</w:t>
      </w:r>
      <w:r>
        <w:rPr>
          <w:rFonts w:hint="eastAsia" w:ascii="Times New Roman" w:hAnsi="Times New Roman" w:eastAsia="宋体" w:cs="Times New Roman"/>
          <w:snapToGrid w:val="0"/>
          <w:color w:val="auto"/>
          <w:kern w:val="0"/>
          <w:highlight w:val="none"/>
        </w:rPr>
        <w:t>00</w:t>
      </w:r>
      <w:r>
        <w:rPr>
          <w:rFonts w:ascii="Times New Roman" w:hAnsi="Times New Roman" w:eastAsia="宋体" w:cs="Times New Roman"/>
          <w:snapToGrid w:val="0"/>
          <w:color w:val="auto"/>
          <w:kern w:val="0"/>
          <w:highlight w:val="none"/>
        </w:rPr>
        <w:t>〕1015号，2000年10月25日）；</w:t>
      </w:r>
    </w:p>
    <w:p w14:paraId="3BA116E6">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（2</w:t>
      </w:r>
      <w:r>
        <w:rPr>
          <w:rFonts w:hint="eastAsia" w:ascii="Times New Roman" w:hAnsi="Times New Roman" w:eastAsia="宋体" w:cs="Times New Roman"/>
          <w:snapToGrid w:val="0"/>
          <w:color w:val="auto"/>
          <w:kern w:val="0"/>
          <w:highlight w:val="none"/>
        </w:rPr>
        <w:t>3</w:t>
      </w:r>
      <w:r>
        <w:rPr>
          <w:rFonts w:ascii="Times New Roman" w:hAnsi="Times New Roman" w:eastAsia="宋体" w:cs="Times New Roman"/>
          <w:snapToGrid w:val="0"/>
          <w:color w:val="auto"/>
          <w:kern w:val="0"/>
          <w:highlight w:val="none"/>
        </w:rPr>
        <w:t>）《国务院关于落实科学发展观加强环境保护的决定》（国发〔20</w:t>
      </w:r>
      <w:r>
        <w:rPr>
          <w:rFonts w:hint="eastAsia" w:ascii="Times New Roman" w:hAnsi="Times New Roman" w:eastAsia="宋体" w:cs="Times New Roman"/>
          <w:snapToGrid w:val="0"/>
          <w:color w:val="auto"/>
          <w:kern w:val="0"/>
          <w:highlight w:val="none"/>
        </w:rPr>
        <w:t>05</w:t>
      </w:r>
      <w:r>
        <w:rPr>
          <w:rFonts w:ascii="Times New Roman" w:hAnsi="Times New Roman" w:eastAsia="宋体" w:cs="Times New Roman"/>
          <w:snapToGrid w:val="0"/>
          <w:color w:val="auto"/>
          <w:kern w:val="0"/>
          <w:highlight w:val="none"/>
        </w:rPr>
        <w:t>〕39号）；</w:t>
      </w:r>
    </w:p>
    <w:p w14:paraId="13D17AEF">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（2</w:t>
      </w:r>
      <w:r>
        <w:rPr>
          <w:rFonts w:hint="eastAsia" w:ascii="Times New Roman" w:hAnsi="Times New Roman" w:eastAsia="宋体" w:cs="Times New Roman"/>
          <w:snapToGrid w:val="0"/>
          <w:color w:val="auto"/>
          <w:kern w:val="0"/>
          <w:highlight w:val="none"/>
        </w:rPr>
        <w:t>4</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《国家危险废物名录》（202</w:t>
      </w:r>
      <w:r>
        <w:rPr>
          <w:rFonts w:hint="eastAsia" w:ascii="Times New Roman" w:hAnsi="Times New Roman" w:eastAsia="宋体" w:cs="Times New Roman"/>
          <w:snapToGrid w:val="0"/>
          <w:color w:val="auto"/>
          <w:kern w:val="0"/>
          <w:highlight w:val="none"/>
          <w:lang w:val="en-US" w:eastAsia="zh-CN"/>
        </w:rPr>
        <w:t>5</w:t>
      </w:r>
      <w:r>
        <w:rPr>
          <w:rFonts w:hint="eastAsia" w:ascii="Times New Roman" w:hAnsi="Times New Roman" w:eastAsia="宋体" w:cs="Times New Roman"/>
          <w:snapToGrid w:val="0"/>
          <w:color w:val="auto"/>
          <w:kern w:val="0"/>
          <w:highlight w:val="none"/>
        </w:rPr>
        <w:t>年版）（生态环境部令第</w:t>
      </w:r>
      <w:r>
        <w:rPr>
          <w:rFonts w:hint="eastAsia" w:ascii="Times New Roman" w:hAnsi="Times New Roman" w:eastAsia="宋体" w:cs="Times New Roman"/>
          <w:snapToGrid w:val="0"/>
          <w:color w:val="auto"/>
          <w:kern w:val="0"/>
          <w:highlight w:val="none"/>
          <w:lang w:val="en-US" w:eastAsia="zh-CN"/>
        </w:rPr>
        <w:t>36</w:t>
      </w:r>
      <w:r>
        <w:rPr>
          <w:rFonts w:hint="eastAsia" w:ascii="Times New Roman" w:hAnsi="Times New Roman" w:eastAsia="宋体" w:cs="Times New Roman"/>
          <w:snapToGrid w:val="0"/>
          <w:color w:val="auto"/>
          <w:kern w:val="0"/>
          <w:highlight w:val="none"/>
        </w:rPr>
        <w:t>号，202</w:t>
      </w:r>
      <w:r>
        <w:rPr>
          <w:rFonts w:hint="eastAsia" w:ascii="Times New Roman" w:hAnsi="Times New Roman" w:eastAsia="宋体" w:cs="Times New Roman"/>
          <w:snapToGrid w:val="0"/>
          <w:color w:val="auto"/>
          <w:kern w:val="0"/>
          <w:highlight w:val="none"/>
          <w:lang w:val="en-US" w:eastAsia="zh-CN"/>
        </w:rPr>
        <w:t>5</w:t>
      </w:r>
      <w:r>
        <w:rPr>
          <w:rFonts w:hint="eastAsia" w:ascii="Times New Roman" w:hAnsi="Times New Roman" w:eastAsia="宋体" w:cs="Times New Roman"/>
          <w:snapToGrid w:val="0"/>
          <w:color w:val="auto"/>
          <w:kern w:val="0"/>
          <w:highlight w:val="none"/>
        </w:rPr>
        <w:t>年1月1日起施行）</w:t>
      </w:r>
      <w:r>
        <w:rPr>
          <w:rFonts w:ascii="Times New Roman" w:hAnsi="Times New Roman" w:eastAsia="宋体" w:cs="Times New Roman"/>
          <w:snapToGrid w:val="0"/>
          <w:color w:val="auto"/>
          <w:kern w:val="0"/>
          <w:highlight w:val="none"/>
        </w:rPr>
        <w:t>；</w:t>
      </w:r>
    </w:p>
    <w:p w14:paraId="77F616BC">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（25）《危险废物转移管理办法》（生态环境部 公安部 交通运输部 部令 第23号，自2022年1月1日起施行）；</w:t>
      </w:r>
    </w:p>
    <w:p w14:paraId="6DAC1BF9">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26</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《产业结构调整指导</w:t>
      </w:r>
      <w:r>
        <w:rPr>
          <w:rFonts w:ascii="Times New Roman" w:hAnsi="Times New Roman" w:eastAsia="宋体" w:cs="Times New Roman"/>
          <w:snapToGrid w:val="0"/>
          <w:color w:val="auto"/>
          <w:kern w:val="0"/>
          <w:highlight w:val="none"/>
        </w:rPr>
        <w:t>目录（2024本）》；</w:t>
      </w:r>
    </w:p>
    <w:p w14:paraId="62576BAC">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27</w:t>
      </w:r>
      <w:r>
        <w:rPr>
          <w:rFonts w:ascii="Times New Roman" w:hAnsi="Times New Roman" w:eastAsia="宋体" w:cs="Times New Roman"/>
          <w:snapToGrid w:val="0"/>
          <w:color w:val="auto"/>
          <w:kern w:val="0"/>
          <w:highlight w:val="none"/>
        </w:rPr>
        <w:t>）《关于进一步加强环境影响评价管理防范环境风险的通知》（环发〔20</w:t>
      </w:r>
      <w:r>
        <w:rPr>
          <w:rFonts w:hint="eastAsia" w:ascii="Times New Roman" w:hAnsi="Times New Roman" w:eastAsia="宋体" w:cs="Times New Roman"/>
          <w:snapToGrid w:val="0"/>
          <w:color w:val="auto"/>
          <w:kern w:val="0"/>
          <w:highlight w:val="none"/>
        </w:rPr>
        <w:t>12</w:t>
      </w:r>
      <w:r>
        <w:rPr>
          <w:rFonts w:ascii="Times New Roman" w:hAnsi="Times New Roman" w:eastAsia="宋体" w:cs="Times New Roman"/>
          <w:snapToGrid w:val="0"/>
          <w:color w:val="auto"/>
          <w:kern w:val="0"/>
          <w:highlight w:val="none"/>
        </w:rPr>
        <w:t>〕77号）；</w:t>
      </w:r>
    </w:p>
    <w:p w14:paraId="451047E0">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28</w:t>
      </w:r>
      <w:r>
        <w:rPr>
          <w:rFonts w:ascii="Times New Roman" w:hAnsi="Times New Roman" w:eastAsia="宋体" w:cs="Times New Roman"/>
          <w:snapToGrid w:val="0"/>
          <w:color w:val="auto"/>
          <w:kern w:val="0"/>
          <w:highlight w:val="none"/>
        </w:rPr>
        <w:t>）《关于切实加强风险防范严格环境影响评价管理的通知》（环发〔201</w:t>
      </w:r>
      <w:r>
        <w:rPr>
          <w:rFonts w:hint="eastAsia" w:ascii="Times New Roman" w:hAnsi="Times New Roman" w:eastAsia="宋体" w:cs="Times New Roman"/>
          <w:snapToGrid w:val="0"/>
          <w:color w:val="auto"/>
          <w:kern w:val="0"/>
          <w:highlight w:val="none"/>
        </w:rPr>
        <w:t>2</w:t>
      </w:r>
      <w:r>
        <w:rPr>
          <w:rFonts w:ascii="Times New Roman" w:hAnsi="Times New Roman" w:eastAsia="宋体" w:cs="Times New Roman"/>
          <w:snapToGrid w:val="0"/>
          <w:color w:val="auto"/>
          <w:kern w:val="0"/>
          <w:highlight w:val="none"/>
        </w:rPr>
        <w:t>〕98号）；</w:t>
      </w:r>
    </w:p>
    <w:p w14:paraId="5D4AEB59">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29</w:t>
      </w:r>
      <w:r>
        <w:rPr>
          <w:rFonts w:ascii="Times New Roman" w:hAnsi="Times New Roman" w:eastAsia="宋体" w:cs="Times New Roman"/>
          <w:snapToGrid w:val="0"/>
          <w:color w:val="auto"/>
          <w:kern w:val="0"/>
          <w:highlight w:val="none"/>
        </w:rPr>
        <w:t>）《关于做好环境影响评价制度与排污许可制衔接相关工作的通知》（环办环评〔201</w:t>
      </w:r>
      <w:r>
        <w:rPr>
          <w:rFonts w:hint="eastAsia" w:ascii="Times New Roman" w:hAnsi="Times New Roman" w:eastAsia="宋体" w:cs="Times New Roman"/>
          <w:snapToGrid w:val="0"/>
          <w:color w:val="auto"/>
          <w:kern w:val="0"/>
          <w:highlight w:val="none"/>
        </w:rPr>
        <w:t>7</w:t>
      </w:r>
      <w:r>
        <w:rPr>
          <w:rFonts w:ascii="Times New Roman" w:hAnsi="Times New Roman" w:eastAsia="宋体" w:cs="Times New Roman"/>
          <w:snapToGrid w:val="0"/>
          <w:color w:val="auto"/>
          <w:kern w:val="0"/>
          <w:highlight w:val="none"/>
        </w:rPr>
        <w:t>〕84号）；</w:t>
      </w:r>
    </w:p>
    <w:p w14:paraId="5FE9BE0D">
      <w:pPr>
        <w:pStyle w:val="117"/>
        <w:rPr>
          <w:rFonts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30</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《环境影响评价公众参与办法》（生态环境部令 第4号，自2019年1月1日起施行）；</w:t>
      </w:r>
    </w:p>
    <w:p w14:paraId="3B5FE2C7">
      <w:pPr>
        <w:pStyle w:val="117"/>
        <w:rPr>
          <w:rFonts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（31）</w:t>
      </w:r>
      <w:r>
        <w:rPr>
          <w:rFonts w:ascii="Times New Roman" w:hAnsi="Times New Roman" w:eastAsia="宋体" w:cs="Times New Roman"/>
          <w:snapToGrid w:val="0"/>
          <w:color w:val="auto"/>
          <w:kern w:val="0"/>
          <w:highlight w:val="none"/>
        </w:rPr>
        <w:t>《建设项目环境保护管理条例》（中华人民共和国国务院令第682号，2017年10月1日）；</w:t>
      </w:r>
    </w:p>
    <w:p w14:paraId="43E6ACBC">
      <w:pPr>
        <w:pStyle w:val="117"/>
        <w:rPr>
          <w:rFonts w:hint="eastAsia"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32</w:t>
      </w: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《建设项目环境影响评价分类管理名录（2021年版）》（生态环境部部令第16号，2021年1月1日起施行）</w:t>
      </w:r>
      <w:r>
        <w:rPr>
          <w:rFonts w:ascii="Times New Roman" w:hAnsi="Times New Roman" w:eastAsia="宋体" w:cs="Times New Roman"/>
          <w:snapToGrid w:val="0"/>
          <w:color w:val="auto"/>
          <w:kern w:val="0"/>
          <w:highlight w:val="none"/>
        </w:rPr>
        <w:t>；</w:t>
      </w:r>
    </w:p>
    <w:p w14:paraId="7D701034">
      <w:pPr>
        <w:pStyle w:val="117"/>
        <w:rPr>
          <w:rFonts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（33）</w:t>
      </w:r>
      <w:r>
        <w:rPr>
          <w:rFonts w:ascii="Times New Roman" w:hAnsi="Times New Roman" w:eastAsia="宋体" w:cs="Times New Roman"/>
          <w:snapToGrid w:val="0"/>
          <w:color w:val="auto"/>
          <w:kern w:val="0"/>
          <w:highlight w:val="none"/>
        </w:rPr>
        <w:t>《黑龙江省环境保护条例》（2018年4月26日修正）；</w:t>
      </w:r>
    </w:p>
    <w:p w14:paraId="1C2DB280">
      <w:pPr>
        <w:pStyle w:val="117"/>
        <w:rPr>
          <w:rFonts w:hint="eastAsia" w:ascii="Times New Roman" w:hAnsi="Times New Roman" w:eastAsia="宋体" w:cs="Times New Roman"/>
          <w:snapToGrid w:val="0"/>
          <w:color w:val="auto"/>
          <w:kern w:val="0"/>
          <w:highlight w:val="none"/>
        </w:rPr>
      </w:pPr>
      <w:r>
        <w:rPr>
          <w:rFonts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rPr>
        <w:t>34</w:t>
      </w:r>
      <w:r>
        <w:rPr>
          <w:rFonts w:ascii="Times New Roman" w:hAnsi="Times New Roman" w:eastAsia="宋体" w:cs="Times New Roman"/>
          <w:snapToGrid w:val="0"/>
          <w:color w:val="auto"/>
          <w:kern w:val="0"/>
          <w:highlight w:val="none"/>
        </w:rPr>
        <w:t>）《黑龙江省大气污染防治条例》（</w:t>
      </w:r>
      <w:r>
        <w:rPr>
          <w:rFonts w:hint="eastAsia" w:ascii="Times New Roman" w:hAnsi="Times New Roman" w:eastAsia="宋体" w:cs="Times New Roman"/>
          <w:snapToGrid w:val="0"/>
          <w:color w:val="auto"/>
          <w:kern w:val="0"/>
          <w:highlight w:val="none"/>
        </w:rPr>
        <w:t>2018年12月27日修正</w:t>
      </w:r>
      <w:r>
        <w:rPr>
          <w:rFonts w:ascii="Times New Roman" w:hAnsi="Times New Roman" w:eastAsia="宋体" w:cs="Times New Roman"/>
          <w:snapToGrid w:val="0"/>
          <w:color w:val="auto"/>
          <w:kern w:val="0"/>
          <w:highlight w:val="none"/>
        </w:rPr>
        <w:t>）；</w:t>
      </w:r>
    </w:p>
    <w:p w14:paraId="26FB7E06">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（35）</w:t>
      </w:r>
      <w:r>
        <w:rPr>
          <w:rFonts w:ascii="Times New Roman" w:hAnsi="Times New Roman" w:eastAsia="宋体" w:cs="Times New Roman"/>
          <w:snapToGrid w:val="0"/>
          <w:color w:val="auto"/>
          <w:kern w:val="0"/>
          <w:highlight w:val="none"/>
        </w:rPr>
        <w:t>《黑龙江省空气质量持续改善行动计划实施方案》的通知（黑政发〔2023〕19号）符合性分析；</w:t>
      </w:r>
    </w:p>
    <w:p w14:paraId="72BE5C07">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（36）</w:t>
      </w:r>
      <w:r>
        <w:rPr>
          <w:rFonts w:ascii="Times New Roman" w:hAnsi="Times New Roman" w:eastAsia="宋体" w:cs="Times New Roman"/>
          <w:snapToGrid w:val="0"/>
          <w:color w:val="auto"/>
          <w:kern w:val="0"/>
          <w:highlight w:val="none"/>
        </w:rPr>
        <w:t>《黑龙江省水污染防治实施方案》（黑政发〔2016〕3号）</w:t>
      </w:r>
      <w:r>
        <w:rPr>
          <w:rFonts w:hint="eastAsia" w:ascii="Times New Roman" w:hAnsi="Times New Roman" w:eastAsia="宋体" w:cs="Times New Roman"/>
          <w:snapToGrid w:val="0"/>
          <w:color w:val="auto"/>
          <w:kern w:val="0"/>
          <w:highlight w:val="none"/>
        </w:rPr>
        <w:t>；</w:t>
      </w:r>
    </w:p>
    <w:p w14:paraId="1AB5327F">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（37）《黑龙江省畜禽屠宰管理条例》（2021年修订）；</w:t>
      </w:r>
    </w:p>
    <w:p w14:paraId="17D1C313">
      <w:pPr>
        <w:pStyle w:val="117"/>
        <w:rPr>
          <w:rFonts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（38）</w:t>
      </w:r>
      <w:r>
        <w:rPr>
          <w:rFonts w:ascii="Times New Roman" w:hAnsi="Times New Roman" w:eastAsia="宋体" w:cs="Times New Roman"/>
          <w:snapToGrid w:val="0"/>
          <w:color w:val="auto"/>
          <w:kern w:val="0"/>
          <w:highlight w:val="none"/>
        </w:rPr>
        <w:t>《屠宰及肉类加工业污染防治可行技术指南》（HJ1285-2023）；</w:t>
      </w:r>
    </w:p>
    <w:p w14:paraId="573E6D17">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（39）《黑龙江省人民政府关于实施“三线一单”生态环境分区管控的意见》（黑政发〔2020〕14号）；</w:t>
      </w:r>
    </w:p>
    <w:p w14:paraId="417057E0">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（40）《</w:t>
      </w:r>
      <w:r>
        <w:rPr>
          <w:rFonts w:hint="eastAsia" w:ascii="Times New Roman" w:hAnsi="Times New Roman" w:eastAsia="宋体" w:cs="Times New Roman"/>
          <w:snapToGrid w:val="0"/>
          <w:color w:val="auto"/>
          <w:kern w:val="0"/>
          <w:highlight w:val="none"/>
          <w:lang w:val="en-US" w:eastAsia="zh-CN"/>
        </w:rPr>
        <w:t>双鸭山</w:t>
      </w:r>
      <w:r>
        <w:rPr>
          <w:rFonts w:hint="eastAsia" w:ascii="Times New Roman" w:hAnsi="Times New Roman" w:eastAsia="宋体" w:cs="Times New Roman"/>
          <w:snapToGrid w:val="0"/>
          <w:color w:val="auto"/>
          <w:kern w:val="0"/>
          <w:highlight w:val="none"/>
          <w:lang w:eastAsia="zh-CN"/>
        </w:rPr>
        <w:t>市</w:t>
      </w:r>
      <w:r>
        <w:rPr>
          <w:rFonts w:hint="eastAsia" w:ascii="Times New Roman" w:hAnsi="Times New Roman" w:eastAsia="宋体" w:cs="Times New Roman"/>
          <w:snapToGrid w:val="0"/>
          <w:color w:val="auto"/>
          <w:kern w:val="0"/>
          <w:highlight w:val="none"/>
        </w:rPr>
        <w:t>人民政府关于加强“三线一单”生态环境分区管控的实施意见》（</w:t>
      </w:r>
      <w:r>
        <w:rPr>
          <w:rFonts w:hint="eastAsia" w:ascii="Times New Roman" w:hAnsi="Times New Roman" w:eastAsia="宋体" w:cs="Times New Roman"/>
          <w:snapToGrid w:val="0"/>
          <w:color w:val="auto"/>
          <w:kern w:val="0"/>
          <w:highlight w:val="none"/>
          <w:lang w:val="en-US" w:eastAsia="zh-CN"/>
        </w:rPr>
        <w:t>双政规</w:t>
      </w:r>
      <w:r>
        <w:rPr>
          <w:rFonts w:hint="eastAsia" w:ascii="Times New Roman" w:hAnsi="Times New Roman" w:eastAsia="宋体" w:cs="Times New Roman"/>
          <w:snapToGrid w:val="0"/>
          <w:color w:val="auto"/>
          <w:kern w:val="0"/>
          <w:highlight w:val="none"/>
        </w:rPr>
        <w:t>〔2021〕</w:t>
      </w:r>
      <w:r>
        <w:rPr>
          <w:rFonts w:hint="eastAsia" w:ascii="Times New Roman" w:hAnsi="Times New Roman" w:eastAsia="宋体" w:cs="Times New Roman"/>
          <w:snapToGrid w:val="0"/>
          <w:color w:val="auto"/>
          <w:kern w:val="0"/>
          <w:highlight w:val="none"/>
          <w:lang w:val="en-US" w:eastAsia="zh-CN"/>
        </w:rPr>
        <w:t>2</w:t>
      </w:r>
      <w:r>
        <w:rPr>
          <w:rFonts w:hint="eastAsia" w:ascii="Times New Roman" w:hAnsi="Times New Roman" w:eastAsia="宋体" w:cs="Times New Roman"/>
          <w:snapToGrid w:val="0"/>
          <w:color w:val="auto"/>
          <w:kern w:val="0"/>
          <w:highlight w:val="none"/>
        </w:rPr>
        <w:t>号）；</w:t>
      </w:r>
    </w:p>
    <w:p w14:paraId="6BBA0173">
      <w:pPr>
        <w:pStyle w:val="117"/>
        <w:rPr>
          <w:rFonts w:hint="eastAsia" w:ascii="Times New Roman" w:hAnsi="Times New Roman" w:eastAsia="宋体" w:cs="Times New Roman"/>
          <w:snapToGrid w:val="0"/>
          <w:color w:val="auto"/>
          <w:kern w:val="0"/>
          <w:highlight w:val="none"/>
        </w:rPr>
      </w:pPr>
      <w:r>
        <w:rPr>
          <w:rFonts w:hint="eastAsia" w:ascii="Times New Roman" w:hAnsi="Times New Roman" w:eastAsia="宋体" w:cs="Times New Roman"/>
          <w:snapToGrid w:val="0"/>
          <w:color w:val="auto"/>
          <w:kern w:val="0"/>
          <w:highlight w:val="none"/>
        </w:rPr>
        <w:t>（41）《</w:t>
      </w:r>
      <w:r>
        <w:rPr>
          <w:rFonts w:hint="eastAsia" w:ascii="Times New Roman" w:hAnsi="Times New Roman" w:eastAsia="宋体" w:cs="Times New Roman"/>
          <w:snapToGrid w:val="0"/>
          <w:color w:val="auto"/>
          <w:kern w:val="0"/>
          <w:highlight w:val="none"/>
          <w:lang w:val="en-US" w:eastAsia="zh-CN"/>
        </w:rPr>
        <w:t>双鸭山市</w:t>
      </w:r>
      <w:r>
        <w:rPr>
          <w:rFonts w:hint="eastAsia" w:ascii="Times New Roman" w:hAnsi="Times New Roman" w:eastAsia="宋体" w:cs="Times New Roman"/>
          <w:snapToGrid w:val="0"/>
          <w:color w:val="auto"/>
          <w:kern w:val="0"/>
          <w:highlight w:val="none"/>
        </w:rPr>
        <w:t>生态环境准入清单》（2023年版）；</w:t>
      </w:r>
    </w:p>
    <w:p w14:paraId="7FA4CBC9">
      <w:pPr>
        <w:pStyle w:val="117"/>
        <w:rPr>
          <w:rFonts w:hint="default" w:ascii="Times New Roman" w:hAnsi="Times New Roman" w:eastAsia="宋体" w:cs="Times New Roman"/>
          <w:snapToGrid w:val="0"/>
          <w:color w:val="auto"/>
          <w:kern w:val="0"/>
          <w:highlight w:val="none"/>
          <w:lang w:val="en-US" w:eastAsia="zh-CN"/>
        </w:rPr>
      </w:pPr>
      <w:r>
        <w:rPr>
          <w:rFonts w:hint="eastAsia" w:ascii="Times New Roman" w:hAnsi="Times New Roman" w:eastAsia="宋体" w:cs="Times New Roman"/>
          <w:snapToGrid w:val="0"/>
          <w:color w:val="auto"/>
          <w:kern w:val="0"/>
          <w:highlight w:val="none"/>
        </w:rPr>
        <w:t>（42）</w:t>
      </w:r>
      <w:r>
        <w:rPr>
          <w:rFonts w:hint="eastAsia" w:ascii="Times New Roman" w:hAnsi="Times New Roman" w:eastAsia="宋体" w:cs="Times New Roman"/>
          <w:snapToGrid w:val="0"/>
          <w:color w:val="auto"/>
          <w:kern w:val="0"/>
          <w:highlight w:val="none"/>
          <w:lang w:eastAsia="zh-CN"/>
        </w:rPr>
        <w:t>关于印发《双鸭山市“十四五”生态环境保护规划》的通知</w:t>
      </w:r>
      <w:r>
        <w:rPr>
          <w:rFonts w:hint="eastAsia" w:ascii="Times New Roman" w:hAnsi="Times New Roman" w:eastAsia="宋体" w:cs="Times New Roman"/>
          <w:snapToGrid w:val="0"/>
          <w:color w:val="auto"/>
          <w:kern w:val="0"/>
          <w:highlight w:val="none"/>
        </w:rPr>
        <w:t>（</w:t>
      </w:r>
      <w:r>
        <w:rPr>
          <w:rFonts w:hint="eastAsia" w:ascii="Times New Roman" w:hAnsi="Times New Roman" w:eastAsia="宋体" w:cs="Times New Roman"/>
          <w:snapToGrid w:val="0"/>
          <w:color w:val="auto"/>
          <w:kern w:val="0"/>
          <w:highlight w:val="none"/>
          <w:lang w:eastAsia="zh-CN"/>
        </w:rPr>
        <w:t>双政规〔2022〕9号</w:t>
      </w:r>
      <w:r>
        <w:rPr>
          <w:rFonts w:hint="eastAsia" w:ascii="Times New Roman" w:hAnsi="Times New Roman" w:eastAsia="宋体" w:cs="Times New Roman"/>
          <w:snapToGrid w:val="0"/>
          <w:color w:val="auto"/>
          <w:kern w:val="0"/>
          <w:highlight w:val="none"/>
        </w:rPr>
        <w:t>）。</w:t>
      </w:r>
    </w:p>
    <w:bookmarkEnd w:id="40"/>
    <w:p w14:paraId="4CCA2FAC">
      <w:pPr>
        <w:pStyle w:val="4"/>
        <w:spacing w:after="156"/>
        <w:rPr>
          <w:rFonts w:cs="Times New Roman"/>
          <w:color w:val="auto"/>
          <w:highlight w:val="none"/>
        </w:rPr>
      </w:pPr>
      <w:bookmarkStart w:id="41" w:name="_Toc28866"/>
      <w:r>
        <w:rPr>
          <w:rFonts w:cs="Times New Roman"/>
          <w:color w:val="auto"/>
          <w:highlight w:val="none"/>
        </w:rPr>
        <w:t>2.1.</w:t>
      </w:r>
      <w:r>
        <w:rPr>
          <w:rFonts w:hint="eastAsia" w:cs="Times New Roman"/>
          <w:color w:val="auto"/>
          <w:highlight w:val="none"/>
          <w:lang w:val="en-US" w:eastAsia="zh-CN"/>
        </w:rPr>
        <w:t>2</w:t>
      </w:r>
      <w:r>
        <w:rPr>
          <w:rFonts w:cs="Times New Roman"/>
          <w:color w:val="auto"/>
          <w:highlight w:val="none"/>
        </w:rPr>
        <w:t>技术导则与规范</w:t>
      </w:r>
      <w:bookmarkEnd w:id="41"/>
    </w:p>
    <w:p w14:paraId="386A2DDF">
      <w:pPr>
        <w:spacing w:line="500" w:lineRule="exact"/>
        <w:rPr>
          <w:rFonts w:cs="Times New Roman"/>
          <w:color w:val="auto"/>
          <w:szCs w:val="24"/>
          <w:highlight w:val="none"/>
        </w:rPr>
      </w:pPr>
      <w:r>
        <w:rPr>
          <w:rFonts w:cs="Times New Roman"/>
          <w:color w:val="auto"/>
          <w:szCs w:val="24"/>
          <w:highlight w:val="none"/>
        </w:rPr>
        <w:t>（1）《建设项目环境影响评价技术导则  总纲》（HJ2.1-2016）；</w:t>
      </w:r>
    </w:p>
    <w:p w14:paraId="54E84DAD">
      <w:pPr>
        <w:spacing w:line="500" w:lineRule="exact"/>
        <w:rPr>
          <w:rFonts w:cs="Times New Roman"/>
          <w:color w:val="auto"/>
          <w:szCs w:val="24"/>
          <w:highlight w:val="none"/>
        </w:rPr>
      </w:pPr>
      <w:r>
        <w:rPr>
          <w:rFonts w:cs="Times New Roman"/>
          <w:color w:val="auto"/>
          <w:szCs w:val="24"/>
          <w:highlight w:val="none"/>
        </w:rPr>
        <w:t>（2）《环境影响评价技术导则  大气环境》（HJ2.2-2018）；</w:t>
      </w:r>
    </w:p>
    <w:p w14:paraId="6CFC917C">
      <w:pPr>
        <w:spacing w:line="500" w:lineRule="exact"/>
        <w:rPr>
          <w:rFonts w:cs="Times New Roman"/>
          <w:color w:val="auto"/>
          <w:szCs w:val="24"/>
          <w:highlight w:val="none"/>
        </w:rPr>
      </w:pPr>
      <w:r>
        <w:rPr>
          <w:rFonts w:cs="Times New Roman"/>
          <w:color w:val="auto"/>
          <w:szCs w:val="24"/>
          <w:highlight w:val="none"/>
        </w:rPr>
        <w:t>（3）《环境影响评价技术导则  地表水环境》（HJ2.3-2018）；</w:t>
      </w:r>
    </w:p>
    <w:p w14:paraId="1BA4D045">
      <w:pPr>
        <w:spacing w:line="500" w:lineRule="exact"/>
        <w:rPr>
          <w:rFonts w:cs="Times New Roman"/>
          <w:color w:val="auto"/>
          <w:szCs w:val="24"/>
          <w:highlight w:val="none"/>
        </w:rPr>
      </w:pPr>
      <w:r>
        <w:rPr>
          <w:rFonts w:cs="Times New Roman"/>
          <w:color w:val="auto"/>
          <w:szCs w:val="24"/>
          <w:highlight w:val="none"/>
        </w:rPr>
        <w:t>（4）《环境影响评价技术导则  声环境》（HJ2.4-2021）；</w:t>
      </w:r>
    </w:p>
    <w:p w14:paraId="3582B991">
      <w:pPr>
        <w:spacing w:line="500" w:lineRule="exact"/>
        <w:rPr>
          <w:rFonts w:cs="Times New Roman"/>
          <w:color w:val="auto"/>
          <w:szCs w:val="24"/>
          <w:highlight w:val="none"/>
        </w:rPr>
      </w:pPr>
      <w:r>
        <w:rPr>
          <w:rFonts w:cs="Times New Roman"/>
          <w:color w:val="auto"/>
          <w:szCs w:val="24"/>
          <w:highlight w:val="none"/>
        </w:rPr>
        <w:t>（5）《环境影响评价技术导则  地下水环境》（HJ610-2016）；</w:t>
      </w:r>
    </w:p>
    <w:p w14:paraId="6C2F535F">
      <w:pPr>
        <w:spacing w:line="500" w:lineRule="exact"/>
        <w:rPr>
          <w:rFonts w:cs="Times New Roman"/>
          <w:color w:val="auto"/>
          <w:szCs w:val="24"/>
          <w:highlight w:val="none"/>
        </w:rPr>
      </w:pPr>
      <w:r>
        <w:rPr>
          <w:rFonts w:cs="Times New Roman"/>
          <w:color w:val="auto"/>
          <w:szCs w:val="24"/>
          <w:highlight w:val="none"/>
        </w:rPr>
        <w:t>（6）《环境影响评价技术导则  生态影响》（HJ19-2022）；</w:t>
      </w:r>
    </w:p>
    <w:p w14:paraId="07A3642B">
      <w:pPr>
        <w:spacing w:line="500" w:lineRule="exact"/>
        <w:rPr>
          <w:rFonts w:cs="Times New Roman"/>
          <w:color w:val="auto"/>
          <w:szCs w:val="24"/>
          <w:highlight w:val="none"/>
        </w:rPr>
      </w:pPr>
      <w:r>
        <w:rPr>
          <w:rFonts w:cs="Times New Roman"/>
          <w:color w:val="auto"/>
          <w:szCs w:val="24"/>
          <w:highlight w:val="none"/>
        </w:rPr>
        <w:t xml:space="preserve">（7）《环境影响评价技术导则 </w:t>
      </w:r>
      <w:r>
        <w:rPr>
          <w:rFonts w:hint="eastAsia" w:cs="Times New Roman"/>
          <w:color w:val="auto"/>
          <w:szCs w:val="24"/>
          <w:highlight w:val="none"/>
          <w:lang w:val="en-US" w:eastAsia="zh-CN"/>
        </w:rPr>
        <w:t xml:space="preserve"> </w:t>
      </w:r>
      <w:r>
        <w:rPr>
          <w:rFonts w:cs="Times New Roman"/>
          <w:color w:val="auto"/>
          <w:szCs w:val="24"/>
          <w:highlight w:val="none"/>
        </w:rPr>
        <w:t>土壤环境（试行）》（HJ 964-2018）；</w:t>
      </w:r>
    </w:p>
    <w:p w14:paraId="1FB6EA4A">
      <w:pPr>
        <w:spacing w:line="500" w:lineRule="exact"/>
        <w:rPr>
          <w:rFonts w:cs="Times New Roman"/>
          <w:color w:val="auto"/>
          <w:szCs w:val="24"/>
          <w:highlight w:val="none"/>
        </w:rPr>
      </w:pPr>
      <w:r>
        <w:rPr>
          <w:rFonts w:cs="Times New Roman"/>
          <w:color w:val="auto"/>
          <w:szCs w:val="24"/>
          <w:highlight w:val="none"/>
        </w:rPr>
        <w:t>（8）《建设项目环境风险评价技术导则》（HJ169-2018）；</w:t>
      </w:r>
    </w:p>
    <w:p w14:paraId="2D2DE55D">
      <w:pPr>
        <w:spacing w:line="500" w:lineRule="exact"/>
        <w:rPr>
          <w:rFonts w:cs="Times New Roman"/>
          <w:color w:val="auto"/>
          <w:szCs w:val="24"/>
          <w:highlight w:val="none"/>
        </w:rPr>
      </w:pPr>
      <w:r>
        <w:rPr>
          <w:rFonts w:cs="Times New Roman"/>
          <w:color w:val="auto"/>
          <w:szCs w:val="24"/>
          <w:highlight w:val="none"/>
        </w:rPr>
        <w:t>（9）《一般工业固体废物贮存和填埋污染控制标准》(GB18599-2020)；</w:t>
      </w:r>
    </w:p>
    <w:p w14:paraId="7D86923F">
      <w:pPr>
        <w:spacing w:line="500" w:lineRule="exact"/>
        <w:rPr>
          <w:rFonts w:cs="Times New Roman"/>
          <w:color w:val="auto"/>
          <w:szCs w:val="24"/>
          <w:highlight w:val="none"/>
        </w:rPr>
      </w:pPr>
      <w:r>
        <w:rPr>
          <w:rFonts w:cs="Times New Roman"/>
          <w:color w:val="auto"/>
          <w:szCs w:val="24"/>
          <w:highlight w:val="none"/>
        </w:rPr>
        <w:t>（10）《屠宰及肉类加工业污染防治可行技术指南》（HJ1285-2023）；</w:t>
      </w:r>
    </w:p>
    <w:p w14:paraId="6BB6BAD4">
      <w:pPr>
        <w:spacing w:line="500" w:lineRule="exact"/>
        <w:rPr>
          <w:rFonts w:cs="Times New Roman"/>
          <w:color w:val="auto"/>
          <w:szCs w:val="24"/>
          <w:highlight w:val="none"/>
        </w:rPr>
      </w:pPr>
      <w:r>
        <w:rPr>
          <w:rFonts w:cs="Times New Roman"/>
          <w:color w:val="auto"/>
          <w:szCs w:val="24"/>
          <w:highlight w:val="none"/>
        </w:rPr>
        <w:t>（11）《排污单位自行监测技术指南  总则》（HJ 819-2017）；</w:t>
      </w:r>
    </w:p>
    <w:p w14:paraId="46EF5F51">
      <w:pPr>
        <w:spacing w:line="500" w:lineRule="exact"/>
        <w:rPr>
          <w:rFonts w:hint="eastAsia" w:eastAsia="宋体" w:cs="Times New Roman"/>
          <w:color w:val="auto"/>
          <w:szCs w:val="24"/>
          <w:highlight w:val="none"/>
          <w:lang w:eastAsia="zh-CN"/>
        </w:rPr>
      </w:pPr>
      <w:r>
        <w:rPr>
          <w:rFonts w:cs="Times New Roman"/>
          <w:color w:val="auto"/>
          <w:szCs w:val="24"/>
          <w:highlight w:val="none"/>
        </w:rPr>
        <w:t>（12）《排污许可证申请与核发技术规范  农副食品加工工业-屠宰及肉类加工工业》（HJ860.3-2018）；</w:t>
      </w:r>
    </w:p>
    <w:p w14:paraId="20DAAE97">
      <w:pPr>
        <w:spacing w:line="500" w:lineRule="exact"/>
        <w:rPr>
          <w:rFonts w:hint="eastAsia" w:eastAsia="宋体" w:cs="Times New Roman"/>
          <w:color w:val="auto"/>
          <w:szCs w:val="24"/>
          <w:highlight w:val="none"/>
          <w:lang w:eastAsia="zh-CN"/>
        </w:rPr>
      </w:pPr>
      <w:r>
        <w:rPr>
          <w:rFonts w:eastAsia="宋体" w:cs="Times New Roman"/>
          <w:color w:val="auto"/>
          <w:szCs w:val="24"/>
          <w:highlight w:val="none"/>
        </w:rPr>
        <w:t>（13）《排污单位自行监测技术指南 农副食品加工业》（HJ 986-2018）</w:t>
      </w:r>
      <w:r>
        <w:rPr>
          <w:rFonts w:hint="eastAsia" w:eastAsia="宋体" w:cs="Times New Roman"/>
          <w:color w:val="auto"/>
          <w:szCs w:val="24"/>
          <w:highlight w:val="none"/>
          <w:lang w:eastAsia="zh-CN"/>
        </w:rPr>
        <w:t>；</w:t>
      </w:r>
    </w:p>
    <w:p w14:paraId="727E24E8">
      <w:pPr>
        <w:spacing w:line="500" w:lineRule="exact"/>
        <w:rPr>
          <w:rFonts w:eastAsia="宋体" w:cs="Times New Roman"/>
          <w:color w:val="auto"/>
          <w:szCs w:val="24"/>
          <w:highlight w:val="none"/>
        </w:rPr>
      </w:pPr>
      <w:r>
        <w:rPr>
          <w:rFonts w:hint="eastAsia" w:eastAsia="宋体" w:cs="Times New Roman"/>
          <w:color w:val="auto"/>
          <w:szCs w:val="24"/>
          <w:highlight w:val="none"/>
          <w:lang w:eastAsia="zh-CN"/>
        </w:rPr>
        <w:t>（</w:t>
      </w:r>
      <w:r>
        <w:rPr>
          <w:rFonts w:hint="eastAsia" w:eastAsia="宋体" w:cs="Times New Roman"/>
          <w:color w:val="auto"/>
          <w:szCs w:val="24"/>
          <w:highlight w:val="none"/>
          <w:lang w:val="en-US" w:eastAsia="zh-CN"/>
        </w:rPr>
        <w:t>1</w:t>
      </w:r>
      <w:r>
        <w:rPr>
          <w:rFonts w:hint="eastAsia" w:cs="Times New Roman"/>
          <w:color w:val="auto"/>
          <w:szCs w:val="24"/>
          <w:highlight w:val="none"/>
          <w:lang w:val="en-US" w:eastAsia="zh-CN"/>
        </w:rPr>
        <w:t>4</w:t>
      </w:r>
      <w:r>
        <w:rPr>
          <w:rFonts w:hint="eastAsia" w:eastAsia="宋体" w:cs="Times New Roman"/>
          <w:color w:val="auto"/>
          <w:szCs w:val="24"/>
          <w:highlight w:val="none"/>
          <w:lang w:eastAsia="zh-CN"/>
        </w:rPr>
        <w:t>）</w:t>
      </w:r>
      <w:r>
        <w:rPr>
          <w:rFonts w:hint="eastAsia" w:eastAsia="宋体" w:cs="Times New Roman"/>
          <w:color w:val="auto"/>
          <w:szCs w:val="24"/>
          <w:highlight w:val="none"/>
        </w:rPr>
        <w:t>《关于做好环境影响评价制度与排污许可制衔接相关工作的通知》（环办环评[2017]84号，2017年11月15日）；</w:t>
      </w:r>
    </w:p>
    <w:p w14:paraId="6B3EB9A6">
      <w:pPr>
        <w:spacing w:line="500" w:lineRule="exact"/>
        <w:rPr>
          <w:rFonts w:hint="eastAsia" w:eastAsia="宋体" w:cs="Times New Roman"/>
          <w:color w:val="auto"/>
          <w:szCs w:val="24"/>
          <w:highlight w:val="none"/>
        </w:rPr>
      </w:pPr>
      <w:r>
        <w:rPr>
          <w:rFonts w:hint="eastAsia" w:eastAsia="宋体" w:cs="Times New Roman"/>
          <w:color w:val="auto"/>
          <w:szCs w:val="24"/>
          <w:highlight w:val="none"/>
          <w:lang w:eastAsia="zh-CN"/>
        </w:rPr>
        <w:t>（</w:t>
      </w:r>
      <w:r>
        <w:rPr>
          <w:rFonts w:hint="eastAsia" w:eastAsia="宋体" w:cs="Times New Roman"/>
          <w:color w:val="auto"/>
          <w:szCs w:val="24"/>
          <w:highlight w:val="none"/>
          <w:lang w:val="en-US" w:eastAsia="zh-CN"/>
        </w:rPr>
        <w:t>1</w:t>
      </w:r>
      <w:r>
        <w:rPr>
          <w:rFonts w:hint="eastAsia" w:cs="Times New Roman"/>
          <w:color w:val="auto"/>
          <w:szCs w:val="24"/>
          <w:highlight w:val="none"/>
          <w:lang w:val="en-US" w:eastAsia="zh-CN"/>
        </w:rPr>
        <w:t>5</w:t>
      </w:r>
      <w:r>
        <w:rPr>
          <w:rFonts w:hint="eastAsia" w:eastAsia="宋体" w:cs="Times New Roman"/>
          <w:color w:val="auto"/>
          <w:szCs w:val="24"/>
          <w:highlight w:val="none"/>
          <w:lang w:eastAsia="zh-CN"/>
        </w:rPr>
        <w:t>）</w:t>
      </w:r>
      <w:r>
        <w:rPr>
          <w:rFonts w:hint="eastAsia" w:eastAsia="宋体" w:cs="Times New Roman"/>
          <w:color w:val="auto"/>
          <w:szCs w:val="24"/>
          <w:highlight w:val="none"/>
        </w:rPr>
        <w:t>《固定污染源排污许可分类管理名录（2019年版）》（生态环境部令第11号，2019年12月20日）</w:t>
      </w:r>
    </w:p>
    <w:p w14:paraId="262091CD">
      <w:pPr>
        <w:spacing w:line="500" w:lineRule="exact"/>
        <w:rPr>
          <w:rFonts w:eastAsia="宋体" w:cs="Times New Roman"/>
          <w:color w:val="auto"/>
          <w:szCs w:val="24"/>
          <w:highlight w:val="none"/>
        </w:rPr>
      </w:pPr>
      <w:r>
        <w:rPr>
          <w:rFonts w:hint="eastAsia" w:eastAsia="宋体" w:cs="Times New Roman"/>
          <w:color w:val="auto"/>
          <w:szCs w:val="24"/>
          <w:highlight w:val="none"/>
          <w:lang w:eastAsia="zh-CN"/>
        </w:rPr>
        <w:t>（</w:t>
      </w:r>
      <w:r>
        <w:rPr>
          <w:rFonts w:hint="eastAsia" w:eastAsia="宋体" w:cs="Times New Roman"/>
          <w:color w:val="auto"/>
          <w:szCs w:val="24"/>
          <w:highlight w:val="none"/>
          <w:lang w:val="en-US" w:eastAsia="zh-CN"/>
        </w:rPr>
        <w:t>1</w:t>
      </w:r>
      <w:r>
        <w:rPr>
          <w:rFonts w:hint="eastAsia" w:cs="Times New Roman"/>
          <w:color w:val="auto"/>
          <w:szCs w:val="24"/>
          <w:highlight w:val="none"/>
          <w:lang w:val="en-US" w:eastAsia="zh-CN"/>
        </w:rPr>
        <w:t>6</w:t>
      </w:r>
      <w:r>
        <w:rPr>
          <w:rFonts w:hint="eastAsia" w:eastAsia="宋体" w:cs="Times New Roman"/>
          <w:color w:val="auto"/>
          <w:szCs w:val="24"/>
          <w:highlight w:val="none"/>
          <w:lang w:eastAsia="zh-CN"/>
        </w:rPr>
        <w:t>）</w:t>
      </w:r>
      <w:r>
        <w:rPr>
          <w:rFonts w:eastAsia="宋体" w:cs="Times New Roman"/>
          <w:color w:val="auto"/>
          <w:szCs w:val="24"/>
          <w:highlight w:val="none"/>
        </w:rPr>
        <w:t>《畜类屠宰加工通用技术条件》（GB/T17237-2008）；</w:t>
      </w:r>
    </w:p>
    <w:p w14:paraId="534F5194">
      <w:pPr>
        <w:spacing w:line="500" w:lineRule="exact"/>
        <w:rPr>
          <w:rFonts w:hint="eastAsia" w:eastAsia="宋体" w:cs="Times New Roman"/>
          <w:color w:val="auto"/>
          <w:szCs w:val="24"/>
          <w:highlight w:val="none"/>
          <w:lang w:eastAsia="zh-CN"/>
        </w:rPr>
      </w:pPr>
      <w:r>
        <w:rPr>
          <w:rFonts w:hint="eastAsia" w:eastAsia="宋体" w:cs="Times New Roman"/>
          <w:color w:val="auto"/>
          <w:szCs w:val="24"/>
          <w:highlight w:val="none"/>
          <w:lang w:val="zh-CN"/>
        </w:rPr>
        <w:t>（</w:t>
      </w:r>
      <w:r>
        <w:rPr>
          <w:rFonts w:hint="eastAsia" w:eastAsia="宋体" w:cs="Times New Roman"/>
          <w:color w:val="auto"/>
          <w:szCs w:val="24"/>
          <w:highlight w:val="none"/>
          <w:lang w:val="en-US" w:eastAsia="zh-CN"/>
        </w:rPr>
        <w:t>1</w:t>
      </w:r>
      <w:r>
        <w:rPr>
          <w:rFonts w:hint="eastAsia" w:cs="Times New Roman"/>
          <w:color w:val="auto"/>
          <w:szCs w:val="24"/>
          <w:highlight w:val="none"/>
          <w:lang w:val="en-US" w:eastAsia="zh-CN"/>
        </w:rPr>
        <w:t>7</w:t>
      </w:r>
      <w:r>
        <w:rPr>
          <w:rFonts w:hint="eastAsia" w:eastAsia="宋体" w:cs="Times New Roman"/>
          <w:color w:val="auto"/>
          <w:szCs w:val="24"/>
          <w:highlight w:val="none"/>
          <w:lang w:val="zh-CN"/>
        </w:rPr>
        <w:t>）《牛羊屠宰与分割车间设计规范》（GB51225-2017）；</w:t>
      </w:r>
    </w:p>
    <w:p w14:paraId="5C1FA793">
      <w:pPr>
        <w:spacing w:line="500" w:lineRule="exact"/>
        <w:rPr>
          <w:rFonts w:cs="Times New Roman"/>
          <w:color w:val="auto"/>
          <w:szCs w:val="24"/>
          <w:highlight w:val="none"/>
        </w:rPr>
      </w:pPr>
      <w:r>
        <w:rPr>
          <w:rFonts w:cs="Times New Roman"/>
          <w:color w:val="auto"/>
          <w:szCs w:val="24"/>
          <w:highlight w:val="none"/>
        </w:rPr>
        <w:t>（</w:t>
      </w:r>
      <w:r>
        <w:rPr>
          <w:rFonts w:hint="eastAsia" w:cs="Times New Roman"/>
          <w:color w:val="auto"/>
          <w:szCs w:val="24"/>
          <w:highlight w:val="none"/>
          <w:lang w:val="en-US" w:eastAsia="zh-CN"/>
        </w:rPr>
        <w:t>18</w:t>
      </w:r>
      <w:r>
        <w:rPr>
          <w:rFonts w:cs="Times New Roman"/>
          <w:color w:val="auto"/>
          <w:szCs w:val="24"/>
          <w:highlight w:val="none"/>
        </w:rPr>
        <w:t>）《水污染治理工程技术导则》(HJ 2015-2012)；</w:t>
      </w:r>
    </w:p>
    <w:p w14:paraId="13EA2B78">
      <w:pPr>
        <w:spacing w:line="500" w:lineRule="exact"/>
        <w:rPr>
          <w:rFonts w:cs="Times New Roman"/>
          <w:color w:val="auto"/>
          <w:szCs w:val="24"/>
          <w:highlight w:val="none"/>
        </w:rPr>
      </w:pPr>
      <w:r>
        <w:rPr>
          <w:rFonts w:cs="Times New Roman"/>
          <w:color w:val="auto"/>
          <w:szCs w:val="24"/>
          <w:highlight w:val="none"/>
        </w:rPr>
        <w:t>（</w:t>
      </w:r>
      <w:r>
        <w:rPr>
          <w:rFonts w:hint="eastAsia" w:cs="Times New Roman"/>
          <w:color w:val="auto"/>
          <w:szCs w:val="24"/>
          <w:highlight w:val="none"/>
          <w:lang w:val="en-US" w:eastAsia="zh-CN"/>
        </w:rPr>
        <w:t>19</w:t>
      </w:r>
      <w:r>
        <w:rPr>
          <w:rFonts w:cs="Times New Roman"/>
          <w:color w:val="auto"/>
          <w:szCs w:val="24"/>
          <w:highlight w:val="none"/>
        </w:rPr>
        <w:t>）《大气污染治理工程技术导则》（HJ2000-2010）；</w:t>
      </w:r>
    </w:p>
    <w:p w14:paraId="661CC9A5">
      <w:pPr>
        <w:spacing w:line="500" w:lineRule="exact"/>
        <w:rPr>
          <w:rFonts w:cs="Times New Roman"/>
          <w:color w:val="auto"/>
          <w:szCs w:val="24"/>
          <w:highlight w:val="none"/>
        </w:rPr>
      </w:pPr>
      <w:r>
        <w:rPr>
          <w:rFonts w:cs="Times New Roman"/>
          <w:color w:val="auto"/>
          <w:szCs w:val="24"/>
          <w:highlight w:val="none"/>
        </w:rPr>
        <w:t>（</w:t>
      </w:r>
      <w:r>
        <w:rPr>
          <w:rFonts w:hint="eastAsia" w:cs="Times New Roman"/>
          <w:color w:val="auto"/>
          <w:szCs w:val="24"/>
          <w:highlight w:val="none"/>
          <w:lang w:val="en-US" w:eastAsia="zh-CN"/>
        </w:rPr>
        <w:t>20</w:t>
      </w:r>
      <w:r>
        <w:rPr>
          <w:rFonts w:cs="Times New Roman"/>
          <w:color w:val="auto"/>
          <w:szCs w:val="24"/>
          <w:highlight w:val="none"/>
        </w:rPr>
        <w:t>）《国家危险废物名录（202</w:t>
      </w:r>
      <w:r>
        <w:rPr>
          <w:rFonts w:hint="eastAsia" w:cs="Times New Roman"/>
          <w:color w:val="auto"/>
          <w:szCs w:val="24"/>
          <w:highlight w:val="none"/>
          <w:lang w:val="en-US" w:eastAsia="zh-CN"/>
        </w:rPr>
        <w:t>5</w:t>
      </w:r>
      <w:r>
        <w:rPr>
          <w:rFonts w:cs="Times New Roman"/>
          <w:color w:val="auto"/>
          <w:szCs w:val="24"/>
          <w:highlight w:val="none"/>
        </w:rPr>
        <w:t>年版）》（202</w:t>
      </w:r>
      <w:r>
        <w:rPr>
          <w:rFonts w:hint="eastAsia" w:cs="Times New Roman"/>
          <w:color w:val="auto"/>
          <w:szCs w:val="24"/>
          <w:highlight w:val="none"/>
          <w:lang w:val="en-US" w:eastAsia="zh-CN"/>
        </w:rPr>
        <w:t>5</w:t>
      </w:r>
      <w:r>
        <w:rPr>
          <w:rFonts w:cs="Times New Roman"/>
          <w:color w:val="auto"/>
          <w:szCs w:val="24"/>
          <w:highlight w:val="none"/>
        </w:rPr>
        <w:t>年1月1日实施）；</w:t>
      </w:r>
    </w:p>
    <w:p w14:paraId="41257765">
      <w:pPr>
        <w:spacing w:line="500" w:lineRule="exact"/>
        <w:rPr>
          <w:rFonts w:hint="eastAsia" w:cs="Times New Roman"/>
          <w:color w:val="auto"/>
          <w:szCs w:val="24"/>
          <w:highlight w:val="none"/>
          <w:lang w:eastAsia="zh-CN"/>
        </w:rPr>
      </w:pPr>
      <w:r>
        <w:rPr>
          <w:rFonts w:cs="Times New Roman"/>
          <w:color w:val="auto"/>
          <w:szCs w:val="24"/>
          <w:highlight w:val="none"/>
        </w:rPr>
        <w:t>（</w:t>
      </w:r>
      <w:r>
        <w:rPr>
          <w:rFonts w:hint="eastAsia" w:cs="Times New Roman"/>
          <w:color w:val="auto"/>
          <w:szCs w:val="24"/>
          <w:highlight w:val="none"/>
          <w:lang w:val="en-US" w:eastAsia="zh-CN"/>
        </w:rPr>
        <w:t>21</w:t>
      </w:r>
      <w:r>
        <w:rPr>
          <w:rFonts w:cs="Times New Roman"/>
          <w:color w:val="auto"/>
          <w:szCs w:val="24"/>
          <w:highlight w:val="none"/>
        </w:rPr>
        <w:t>）《建设项目危险废物环境影响评价指南》（公告2017 第43号）</w:t>
      </w:r>
      <w:r>
        <w:rPr>
          <w:rFonts w:hint="eastAsia" w:cs="Times New Roman"/>
          <w:color w:val="auto"/>
          <w:szCs w:val="24"/>
          <w:highlight w:val="none"/>
          <w:lang w:eastAsia="zh-CN"/>
        </w:rPr>
        <w:t>；</w:t>
      </w:r>
    </w:p>
    <w:p w14:paraId="397E5520">
      <w:pPr>
        <w:spacing w:line="500" w:lineRule="exact"/>
        <w:rPr>
          <w:rFonts w:cs="Times New Roman"/>
          <w:color w:val="auto"/>
          <w:highlight w:val="none"/>
        </w:rPr>
      </w:pPr>
      <w:r>
        <w:rPr>
          <w:rFonts w:hint="eastAsia" w:cs="Times New Roman"/>
          <w:color w:val="auto"/>
          <w:szCs w:val="24"/>
          <w:highlight w:val="none"/>
          <w:lang w:eastAsia="zh-CN"/>
        </w:rPr>
        <w:t>（</w:t>
      </w:r>
      <w:r>
        <w:rPr>
          <w:rFonts w:hint="eastAsia" w:cs="Times New Roman"/>
          <w:color w:val="auto"/>
          <w:szCs w:val="24"/>
          <w:highlight w:val="none"/>
          <w:lang w:val="en-US" w:eastAsia="zh-CN"/>
        </w:rPr>
        <w:t>22</w:t>
      </w:r>
      <w:r>
        <w:rPr>
          <w:rFonts w:hint="eastAsia" w:cs="Times New Roman"/>
          <w:color w:val="auto"/>
          <w:szCs w:val="24"/>
          <w:highlight w:val="none"/>
          <w:lang w:eastAsia="zh-CN"/>
        </w:rPr>
        <w:t>）《</w:t>
      </w:r>
      <w:r>
        <w:rPr>
          <w:rFonts w:hint="eastAsia" w:cs="Times New Roman"/>
          <w:color w:val="auto"/>
          <w:szCs w:val="24"/>
          <w:highlight w:val="none"/>
        </w:rPr>
        <w:t>病死畜禽和病害畜禽产品无害化处理管理办法</w:t>
      </w:r>
      <w:r>
        <w:rPr>
          <w:rFonts w:hint="eastAsia" w:cs="Times New Roman"/>
          <w:color w:val="auto"/>
          <w:szCs w:val="24"/>
          <w:highlight w:val="none"/>
          <w:lang w:eastAsia="zh-CN"/>
        </w:rPr>
        <w:t>》</w:t>
      </w:r>
      <w:r>
        <w:rPr>
          <w:rFonts w:hint="eastAsia" w:cs="Times New Roman"/>
          <w:color w:val="auto"/>
          <w:szCs w:val="24"/>
          <w:highlight w:val="none"/>
        </w:rPr>
        <w:t>（中华人民共和国农业农村部令 2022年第3号）</w:t>
      </w:r>
      <w:r>
        <w:rPr>
          <w:rFonts w:cs="Times New Roman"/>
          <w:color w:val="auto"/>
          <w:szCs w:val="24"/>
          <w:highlight w:val="none"/>
        </w:rPr>
        <w:t>。</w:t>
      </w:r>
    </w:p>
    <w:p w14:paraId="47ADC4FE">
      <w:pPr>
        <w:pStyle w:val="4"/>
        <w:spacing w:after="156"/>
        <w:rPr>
          <w:rFonts w:cs="Times New Roman"/>
          <w:color w:val="auto"/>
          <w:highlight w:val="none"/>
        </w:rPr>
      </w:pPr>
      <w:bookmarkStart w:id="42" w:name="_Toc16236"/>
      <w:r>
        <w:rPr>
          <w:rFonts w:cs="Times New Roman"/>
          <w:color w:val="auto"/>
          <w:highlight w:val="none"/>
        </w:rPr>
        <w:t>2.1.</w:t>
      </w:r>
      <w:r>
        <w:rPr>
          <w:rFonts w:hint="eastAsia" w:cs="Times New Roman"/>
          <w:color w:val="auto"/>
          <w:highlight w:val="none"/>
          <w:lang w:val="en-US" w:eastAsia="zh-CN"/>
        </w:rPr>
        <w:t>3</w:t>
      </w:r>
      <w:r>
        <w:rPr>
          <w:rFonts w:cs="Times New Roman"/>
          <w:color w:val="auto"/>
          <w:highlight w:val="none"/>
        </w:rPr>
        <w:t>建设项目有关文件</w:t>
      </w:r>
      <w:bookmarkEnd w:id="42"/>
    </w:p>
    <w:p w14:paraId="264400DA">
      <w:pPr>
        <w:numPr>
          <w:ilvl w:val="0"/>
          <w:numId w:val="8"/>
        </w:numPr>
        <w:spacing w:line="500" w:lineRule="exact"/>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w:t>
      </w:r>
      <w:r>
        <w:rPr>
          <w:rFonts w:hint="eastAsia" w:ascii="Times New Roman" w:hAnsi="Times New Roman" w:eastAsia="宋体" w:cs="Times New Roman"/>
          <w:color w:val="auto"/>
          <w:szCs w:val="24"/>
          <w:highlight w:val="none"/>
          <w:lang w:val="en-US" w:eastAsia="zh-CN"/>
        </w:rPr>
        <w:t>双鸭山市兴昌屠宰有限公司建设项目</w:t>
      </w:r>
      <w:r>
        <w:rPr>
          <w:rFonts w:ascii="Times New Roman" w:hAnsi="Times New Roman" w:eastAsia="宋体" w:cs="Times New Roman"/>
          <w:color w:val="auto"/>
          <w:szCs w:val="24"/>
          <w:highlight w:val="none"/>
        </w:rPr>
        <w:t xml:space="preserve">可行性研究报告》； </w:t>
      </w:r>
    </w:p>
    <w:p w14:paraId="29B7DA56">
      <w:pPr>
        <w:numPr>
          <w:ilvl w:val="0"/>
          <w:numId w:val="8"/>
        </w:numPr>
        <w:spacing w:line="500" w:lineRule="exact"/>
        <w:rPr>
          <w:rFonts w:ascii="Times New Roman" w:hAnsi="Times New Roman" w:eastAsia="宋体" w:cs="Times New Roman"/>
          <w:color w:val="auto"/>
          <w:szCs w:val="24"/>
          <w:highlight w:val="none"/>
        </w:rPr>
      </w:pPr>
      <w:r>
        <w:rPr>
          <w:rFonts w:hint="eastAsia" w:cs="Times New Roman"/>
          <w:color w:val="auto"/>
          <w:szCs w:val="24"/>
          <w:highlight w:val="none"/>
          <w:lang w:val="en-US" w:eastAsia="zh-CN"/>
        </w:rPr>
        <w:t>由建设单位提供的其他相关材料</w:t>
      </w:r>
    </w:p>
    <w:p w14:paraId="10FE1D30">
      <w:pPr>
        <w:pStyle w:val="3"/>
        <w:spacing w:before="156" w:after="156"/>
        <w:rPr>
          <w:rFonts w:cs="Times New Roman"/>
          <w:color w:val="auto"/>
          <w:highlight w:val="none"/>
        </w:rPr>
      </w:pPr>
      <w:bookmarkStart w:id="43" w:name="_Toc61529192"/>
      <w:bookmarkStart w:id="44" w:name="_Toc2753"/>
      <w:r>
        <w:rPr>
          <w:rFonts w:cs="Times New Roman"/>
          <w:color w:val="auto"/>
          <w:highlight w:val="none"/>
        </w:rPr>
        <w:t>2.2 评价因子与评价标准</w:t>
      </w:r>
      <w:bookmarkEnd w:id="43"/>
      <w:bookmarkEnd w:id="44"/>
    </w:p>
    <w:p w14:paraId="0AAD4D7C">
      <w:pPr>
        <w:pStyle w:val="4"/>
        <w:spacing w:after="156"/>
        <w:rPr>
          <w:rFonts w:cs="Times New Roman"/>
          <w:color w:val="auto"/>
          <w:highlight w:val="none"/>
        </w:rPr>
      </w:pPr>
      <w:bookmarkStart w:id="45" w:name="_Toc12473"/>
      <w:r>
        <w:rPr>
          <w:rFonts w:cs="Times New Roman"/>
          <w:color w:val="auto"/>
          <w:highlight w:val="none"/>
        </w:rPr>
        <w:t>2.2.1 评价因子</w:t>
      </w:r>
      <w:bookmarkEnd w:id="45"/>
    </w:p>
    <w:p w14:paraId="643ECD96">
      <w:pPr>
        <w:pStyle w:val="5"/>
        <w:rPr>
          <w:color w:val="auto"/>
          <w:highlight w:val="none"/>
        </w:rPr>
      </w:pPr>
      <w:bookmarkStart w:id="46" w:name="_Toc22265"/>
      <w:bookmarkStart w:id="47" w:name="_Toc30814"/>
      <w:bookmarkStart w:id="48" w:name="_Toc14886"/>
      <w:r>
        <w:rPr>
          <w:color w:val="auto"/>
          <w:highlight w:val="none"/>
        </w:rPr>
        <w:t>2.2.1.1 环境影响因素识别</w:t>
      </w:r>
      <w:bookmarkEnd w:id="46"/>
      <w:bookmarkEnd w:id="47"/>
      <w:bookmarkEnd w:id="48"/>
    </w:p>
    <w:p w14:paraId="6C43336A">
      <w:pPr>
        <w:spacing w:before="156" w:beforeLines="50"/>
        <w:rPr>
          <w:rFonts w:cs="Times New Roman"/>
          <w:b/>
          <w:color w:val="auto"/>
          <w:szCs w:val="24"/>
          <w:highlight w:val="none"/>
        </w:rPr>
      </w:pPr>
      <w:r>
        <w:rPr>
          <w:rFonts w:cs="Times New Roman"/>
          <w:color w:val="auto"/>
          <w:szCs w:val="24"/>
          <w:highlight w:val="none"/>
        </w:rPr>
        <w:t>根据工程的特点和工程所在地的环境特征，以及工程环境影响的性质与影响程度，对工程的环境影响进行了识别，识别结果详见表2.2-1。</w:t>
      </w:r>
    </w:p>
    <w:p w14:paraId="1262D99C">
      <w:pPr>
        <w:spacing w:line="240" w:lineRule="auto"/>
        <w:ind w:firstLine="0" w:firstLineChars="0"/>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2-1  环境影响因素识别结果</w:t>
      </w:r>
    </w:p>
    <w:tbl>
      <w:tblPr>
        <w:tblStyle w:val="47"/>
        <w:tblW w:w="5043"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0" w:type="dxa"/>
          <w:bottom w:w="0" w:type="dxa"/>
          <w:right w:w="0" w:type="dxa"/>
        </w:tblCellMar>
      </w:tblPr>
      <w:tblGrid>
        <w:gridCol w:w="633"/>
        <w:gridCol w:w="1657"/>
        <w:gridCol w:w="920"/>
        <w:gridCol w:w="892"/>
        <w:gridCol w:w="865"/>
        <w:gridCol w:w="1032"/>
        <w:gridCol w:w="1067"/>
        <w:gridCol w:w="1311"/>
      </w:tblGrid>
      <w:tr w14:paraId="205E91D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534" w:hRule="atLeast"/>
          <w:jc w:val="center"/>
        </w:trPr>
        <w:tc>
          <w:tcPr>
            <w:tcW w:w="378" w:type="pct"/>
            <w:vMerge w:val="restart"/>
            <w:tcBorders>
              <w:top w:val="single" w:color="auto" w:sz="12" w:space="0"/>
              <w:left w:val="nil"/>
              <w:bottom w:val="single" w:color="auto" w:sz="6" w:space="0"/>
              <w:right w:val="single" w:color="auto" w:sz="6" w:space="0"/>
            </w:tcBorders>
            <w:vAlign w:val="center"/>
          </w:tcPr>
          <w:p w14:paraId="71721C5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工程</w:t>
            </w:r>
          </w:p>
          <w:p w14:paraId="165D6AB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阶段</w:t>
            </w:r>
          </w:p>
        </w:tc>
        <w:tc>
          <w:tcPr>
            <w:tcW w:w="989" w:type="pct"/>
            <w:vMerge w:val="restart"/>
            <w:tcBorders>
              <w:top w:val="single" w:color="auto" w:sz="12" w:space="0"/>
              <w:left w:val="single" w:color="auto" w:sz="6" w:space="0"/>
              <w:bottom w:val="single" w:color="auto" w:sz="6" w:space="0"/>
              <w:right w:val="single" w:color="auto" w:sz="6" w:space="0"/>
            </w:tcBorders>
            <w:vAlign w:val="center"/>
          </w:tcPr>
          <w:p w14:paraId="00E22D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工程作用因素</w:t>
            </w:r>
          </w:p>
        </w:tc>
        <w:tc>
          <w:tcPr>
            <w:tcW w:w="3632" w:type="pct"/>
            <w:gridSpan w:val="6"/>
            <w:tcBorders>
              <w:top w:val="single" w:color="auto" w:sz="12" w:space="0"/>
              <w:left w:val="single" w:color="auto" w:sz="6" w:space="0"/>
              <w:bottom w:val="single" w:color="auto" w:sz="6" w:space="0"/>
              <w:right w:val="nil"/>
            </w:tcBorders>
            <w:vAlign w:val="center"/>
          </w:tcPr>
          <w:p w14:paraId="773954C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工程引起的环境影响及影响程度</w:t>
            </w:r>
          </w:p>
        </w:tc>
      </w:tr>
      <w:tr w14:paraId="3DFC111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534" w:hRule="atLeast"/>
          <w:jc w:val="center"/>
        </w:trPr>
        <w:tc>
          <w:tcPr>
            <w:tcW w:w="378" w:type="pct"/>
            <w:vMerge w:val="continue"/>
            <w:tcBorders>
              <w:top w:val="single" w:color="auto" w:sz="12" w:space="0"/>
              <w:left w:val="nil"/>
              <w:bottom w:val="single" w:color="auto" w:sz="6" w:space="0"/>
              <w:right w:val="single" w:color="auto" w:sz="6" w:space="0"/>
            </w:tcBorders>
            <w:vAlign w:val="center"/>
          </w:tcPr>
          <w:p w14:paraId="4A356A50">
            <w:pPr>
              <w:widowControl/>
              <w:spacing w:line="360" w:lineRule="exact"/>
              <w:ind w:firstLine="0" w:firstLineChars="0"/>
              <w:jc w:val="center"/>
              <w:rPr>
                <w:rFonts w:cs="Times New Roman"/>
                <w:color w:val="auto"/>
                <w:sz w:val="21"/>
                <w:szCs w:val="21"/>
                <w:highlight w:val="none"/>
              </w:rPr>
            </w:pPr>
          </w:p>
        </w:tc>
        <w:tc>
          <w:tcPr>
            <w:tcW w:w="989" w:type="pct"/>
            <w:vMerge w:val="continue"/>
            <w:tcBorders>
              <w:top w:val="single" w:color="auto" w:sz="12" w:space="0"/>
              <w:left w:val="single" w:color="auto" w:sz="6" w:space="0"/>
              <w:bottom w:val="single" w:color="auto" w:sz="6" w:space="0"/>
              <w:right w:val="single" w:color="auto" w:sz="6" w:space="0"/>
            </w:tcBorders>
            <w:vAlign w:val="center"/>
          </w:tcPr>
          <w:p w14:paraId="12F410C8">
            <w:pPr>
              <w:widowControl/>
              <w:spacing w:line="360" w:lineRule="exact"/>
              <w:ind w:firstLine="0" w:firstLineChars="0"/>
              <w:jc w:val="center"/>
              <w:rPr>
                <w:rFonts w:cs="Times New Roman"/>
                <w:color w:val="auto"/>
                <w:sz w:val="21"/>
                <w:szCs w:val="21"/>
                <w:highlight w:val="none"/>
              </w:rPr>
            </w:pPr>
          </w:p>
        </w:tc>
        <w:tc>
          <w:tcPr>
            <w:tcW w:w="549" w:type="pct"/>
            <w:tcBorders>
              <w:top w:val="single" w:color="auto" w:sz="6" w:space="0"/>
              <w:left w:val="single" w:color="auto" w:sz="6" w:space="0"/>
              <w:bottom w:val="single" w:color="auto" w:sz="6" w:space="0"/>
              <w:right w:val="single" w:color="auto" w:sz="6" w:space="0"/>
            </w:tcBorders>
            <w:vAlign w:val="center"/>
          </w:tcPr>
          <w:p w14:paraId="2C22C2E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地下水</w:t>
            </w:r>
          </w:p>
        </w:tc>
        <w:tc>
          <w:tcPr>
            <w:tcW w:w="532" w:type="pct"/>
            <w:tcBorders>
              <w:top w:val="single" w:color="auto" w:sz="6" w:space="0"/>
              <w:left w:val="single" w:color="auto" w:sz="6" w:space="0"/>
              <w:bottom w:val="single" w:color="auto" w:sz="6" w:space="0"/>
              <w:right w:val="single" w:color="auto" w:sz="6" w:space="0"/>
            </w:tcBorders>
            <w:vAlign w:val="center"/>
          </w:tcPr>
          <w:p w14:paraId="73F272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地表水</w:t>
            </w:r>
          </w:p>
        </w:tc>
        <w:tc>
          <w:tcPr>
            <w:tcW w:w="516" w:type="pct"/>
            <w:tcBorders>
              <w:top w:val="single" w:color="auto" w:sz="6" w:space="0"/>
              <w:left w:val="single" w:color="auto" w:sz="6" w:space="0"/>
              <w:bottom w:val="single" w:color="auto" w:sz="6" w:space="0"/>
              <w:right w:val="single" w:color="auto" w:sz="6" w:space="0"/>
            </w:tcBorders>
            <w:vAlign w:val="center"/>
          </w:tcPr>
          <w:p w14:paraId="15EA1E9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土壤</w:t>
            </w:r>
          </w:p>
        </w:tc>
        <w:tc>
          <w:tcPr>
            <w:tcW w:w="616" w:type="pct"/>
            <w:tcBorders>
              <w:top w:val="single" w:color="auto" w:sz="6" w:space="0"/>
              <w:left w:val="single" w:color="auto" w:sz="6" w:space="0"/>
              <w:bottom w:val="single" w:color="auto" w:sz="6" w:space="0"/>
              <w:right w:val="single" w:color="auto" w:sz="6" w:space="0"/>
            </w:tcBorders>
            <w:vAlign w:val="center"/>
          </w:tcPr>
          <w:p w14:paraId="222A510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声环境</w:t>
            </w:r>
          </w:p>
        </w:tc>
        <w:tc>
          <w:tcPr>
            <w:tcW w:w="637" w:type="pct"/>
            <w:tcBorders>
              <w:top w:val="single" w:color="auto" w:sz="6" w:space="0"/>
              <w:left w:val="single" w:color="auto" w:sz="6" w:space="0"/>
              <w:bottom w:val="single" w:color="auto" w:sz="6" w:space="0"/>
              <w:right w:val="nil"/>
            </w:tcBorders>
            <w:vAlign w:val="center"/>
          </w:tcPr>
          <w:p w14:paraId="1055293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空气环境</w:t>
            </w:r>
          </w:p>
        </w:tc>
        <w:tc>
          <w:tcPr>
            <w:tcW w:w="779" w:type="pct"/>
            <w:tcBorders>
              <w:top w:val="single" w:color="auto" w:sz="6" w:space="0"/>
              <w:left w:val="single" w:color="auto" w:sz="6" w:space="0"/>
              <w:bottom w:val="single" w:color="auto" w:sz="6" w:space="0"/>
              <w:right w:val="nil"/>
            </w:tcBorders>
            <w:vAlign w:val="center"/>
          </w:tcPr>
          <w:p w14:paraId="2B644A4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生态环境</w:t>
            </w:r>
          </w:p>
        </w:tc>
      </w:tr>
      <w:tr w14:paraId="7CDE115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restart"/>
            <w:tcBorders>
              <w:top w:val="single" w:color="auto" w:sz="6" w:space="0"/>
              <w:left w:val="nil"/>
              <w:bottom w:val="single" w:color="auto" w:sz="6" w:space="0"/>
              <w:right w:val="single" w:color="auto" w:sz="6" w:space="0"/>
            </w:tcBorders>
            <w:vAlign w:val="center"/>
          </w:tcPr>
          <w:p w14:paraId="15330FA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施</w:t>
            </w:r>
          </w:p>
          <w:p w14:paraId="5ECDB6D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w:t>
            </w:r>
          </w:p>
          <w:p w14:paraId="08D261B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期</w:t>
            </w:r>
          </w:p>
        </w:tc>
        <w:tc>
          <w:tcPr>
            <w:tcW w:w="989" w:type="pct"/>
            <w:tcBorders>
              <w:top w:val="single" w:color="auto" w:sz="6" w:space="0"/>
              <w:left w:val="single" w:color="auto" w:sz="6" w:space="0"/>
              <w:bottom w:val="single" w:color="auto" w:sz="6" w:space="0"/>
              <w:right w:val="single" w:color="auto" w:sz="6" w:space="0"/>
            </w:tcBorders>
            <w:vAlign w:val="center"/>
          </w:tcPr>
          <w:p w14:paraId="4CCFB1B9">
            <w:pPr>
              <w:spacing w:line="360" w:lineRule="exact"/>
              <w:ind w:firstLine="0" w:firstLineChars="0"/>
              <w:jc w:val="center"/>
              <w:rPr>
                <w:rFonts w:cs="Times New Roman"/>
                <w:color w:val="auto"/>
                <w:sz w:val="21"/>
                <w:szCs w:val="21"/>
                <w:highlight w:val="none"/>
              </w:rPr>
            </w:pPr>
            <w:r>
              <w:rPr>
                <w:rFonts w:cs="Times New Roman"/>
                <w:color w:val="auto"/>
                <w:kern w:val="0"/>
                <w:sz w:val="21"/>
                <w:szCs w:val="21"/>
                <w:highlight w:val="none"/>
              </w:rPr>
              <w:t>物料堆存</w:t>
            </w:r>
          </w:p>
        </w:tc>
        <w:tc>
          <w:tcPr>
            <w:tcW w:w="549" w:type="pct"/>
            <w:tcBorders>
              <w:top w:val="single" w:color="auto" w:sz="6" w:space="0"/>
              <w:left w:val="single" w:color="auto" w:sz="6" w:space="0"/>
              <w:bottom w:val="single" w:color="auto" w:sz="6" w:space="0"/>
              <w:right w:val="single" w:color="auto" w:sz="6" w:space="0"/>
            </w:tcBorders>
            <w:vAlign w:val="center"/>
          </w:tcPr>
          <w:p w14:paraId="71AF277E">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655D3EF5">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7F428EAE">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19595F44">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1A7CB1B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57AAFF4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3A1E44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continue"/>
            <w:tcBorders>
              <w:top w:val="single" w:color="auto" w:sz="6" w:space="0"/>
              <w:left w:val="nil"/>
              <w:bottom w:val="single" w:color="auto" w:sz="6" w:space="0"/>
              <w:right w:val="single" w:color="auto" w:sz="6" w:space="0"/>
            </w:tcBorders>
            <w:vAlign w:val="center"/>
          </w:tcPr>
          <w:p w14:paraId="7D53F222">
            <w:pPr>
              <w:widowControl/>
              <w:spacing w:line="360" w:lineRule="exact"/>
              <w:ind w:firstLine="0" w:firstLineChars="0"/>
              <w:jc w:val="center"/>
              <w:rPr>
                <w:rFonts w:cs="Times New Roman"/>
                <w:color w:val="auto"/>
                <w:sz w:val="21"/>
                <w:szCs w:val="21"/>
                <w:highlight w:val="none"/>
              </w:rPr>
            </w:pPr>
          </w:p>
        </w:tc>
        <w:tc>
          <w:tcPr>
            <w:tcW w:w="989" w:type="pct"/>
            <w:tcBorders>
              <w:top w:val="single" w:color="auto" w:sz="6" w:space="0"/>
              <w:left w:val="single" w:color="auto" w:sz="6" w:space="0"/>
              <w:bottom w:val="single" w:color="auto" w:sz="6" w:space="0"/>
              <w:right w:val="single" w:color="auto" w:sz="6" w:space="0"/>
            </w:tcBorders>
            <w:vAlign w:val="center"/>
          </w:tcPr>
          <w:p w14:paraId="783AAE21">
            <w:pPr>
              <w:spacing w:line="360" w:lineRule="exact"/>
              <w:ind w:firstLine="0" w:firstLineChars="0"/>
              <w:jc w:val="center"/>
              <w:rPr>
                <w:rFonts w:cs="Times New Roman"/>
                <w:color w:val="auto"/>
                <w:sz w:val="21"/>
                <w:szCs w:val="21"/>
                <w:highlight w:val="none"/>
              </w:rPr>
            </w:pPr>
            <w:r>
              <w:rPr>
                <w:rFonts w:cs="Times New Roman"/>
                <w:color w:val="auto"/>
                <w:kern w:val="0"/>
                <w:sz w:val="21"/>
                <w:szCs w:val="21"/>
                <w:highlight w:val="none"/>
              </w:rPr>
              <w:t>材料运输</w:t>
            </w:r>
          </w:p>
        </w:tc>
        <w:tc>
          <w:tcPr>
            <w:tcW w:w="549" w:type="pct"/>
            <w:tcBorders>
              <w:top w:val="single" w:color="auto" w:sz="6" w:space="0"/>
              <w:left w:val="single" w:color="auto" w:sz="6" w:space="0"/>
              <w:bottom w:val="single" w:color="auto" w:sz="6" w:space="0"/>
              <w:right w:val="single" w:color="auto" w:sz="6" w:space="0"/>
            </w:tcBorders>
            <w:vAlign w:val="center"/>
          </w:tcPr>
          <w:p w14:paraId="5CE04EBC">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09A4BE75">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7C7E2769">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1AADC0E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099A326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52252F4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05E609E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continue"/>
            <w:tcBorders>
              <w:top w:val="single" w:color="auto" w:sz="6" w:space="0"/>
              <w:left w:val="nil"/>
              <w:bottom w:val="single" w:color="auto" w:sz="6" w:space="0"/>
              <w:right w:val="single" w:color="auto" w:sz="6" w:space="0"/>
            </w:tcBorders>
            <w:vAlign w:val="center"/>
          </w:tcPr>
          <w:p w14:paraId="5DE22160">
            <w:pPr>
              <w:widowControl/>
              <w:spacing w:line="360" w:lineRule="exact"/>
              <w:ind w:firstLine="0" w:firstLineChars="0"/>
              <w:jc w:val="center"/>
              <w:rPr>
                <w:rFonts w:cs="Times New Roman"/>
                <w:color w:val="auto"/>
                <w:sz w:val="21"/>
                <w:szCs w:val="21"/>
                <w:highlight w:val="none"/>
              </w:rPr>
            </w:pPr>
          </w:p>
        </w:tc>
        <w:tc>
          <w:tcPr>
            <w:tcW w:w="989" w:type="pct"/>
            <w:tcBorders>
              <w:top w:val="single" w:color="auto" w:sz="6" w:space="0"/>
              <w:left w:val="single" w:color="auto" w:sz="6" w:space="0"/>
              <w:bottom w:val="single" w:color="auto" w:sz="6" w:space="0"/>
              <w:right w:val="single" w:color="auto" w:sz="6" w:space="0"/>
            </w:tcBorders>
            <w:vAlign w:val="center"/>
          </w:tcPr>
          <w:p w14:paraId="1A2C6B4A">
            <w:pPr>
              <w:spacing w:line="360" w:lineRule="exact"/>
              <w:ind w:firstLine="0" w:firstLineChars="0"/>
              <w:jc w:val="center"/>
              <w:rPr>
                <w:rFonts w:cs="Times New Roman"/>
                <w:color w:val="auto"/>
                <w:sz w:val="21"/>
                <w:szCs w:val="21"/>
                <w:highlight w:val="none"/>
              </w:rPr>
            </w:pPr>
            <w:r>
              <w:rPr>
                <w:rFonts w:cs="Times New Roman"/>
                <w:color w:val="auto"/>
                <w:kern w:val="0"/>
                <w:sz w:val="21"/>
                <w:szCs w:val="21"/>
                <w:highlight w:val="none"/>
              </w:rPr>
              <w:t>建筑施工</w:t>
            </w:r>
          </w:p>
        </w:tc>
        <w:tc>
          <w:tcPr>
            <w:tcW w:w="549" w:type="pct"/>
            <w:tcBorders>
              <w:top w:val="single" w:color="auto" w:sz="6" w:space="0"/>
              <w:left w:val="single" w:color="auto" w:sz="6" w:space="0"/>
              <w:bottom w:val="single" w:color="auto" w:sz="6" w:space="0"/>
              <w:right w:val="single" w:color="auto" w:sz="6" w:space="0"/>
            </w:tcBorders>
            <w:vAlign w:val="center"/>
          </w:tcPr>
          <w:p w14:paraId="753589E1">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4955A1EC">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04DE5BCC">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6474768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1DE3C3D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1A85D14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1B66C57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restart"/>
            <w:tcBorders>
              <w:top w:val="single" w:color="auto" w:sz="6" w:space="0"/>
              <w:left w:val="nil"/>
              <w:bottom w:val="single" w:color="auto" w:sz="6" w:space="0"/>
              <w:right w:val="single" w:color="auto" w:sz="6" w:space="0"/>
            </w:tcBorders>
            <w:vAlign w:val="center"/>
          </w:tcPr>
          <w:p w14:paraId="38C128A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营</w:t>
            </w:r>
          </w:p>
          <w:p w14:paraId="16D92D9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运</w:t>
            </w:r>
          </w:p>
          <w:p w14:paraId="65CCA93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期</w:t>
            </w:r>
          </w:p>
        </w:tc>
        <w:tc>
          <w:tcPr>
            <w:tcW w:w="989" w:type="pct"/>
            <w:tcBorders>
              <w:top w:val="single" w:color="auto" w:sz="6" w:space="0"/>
              <w:left w:val="single" w:color="auto" w:sz="6" w:space="0"/>
              <w:bottom w:val="single" w:color="auto" w:sz="6" w:space="0"/>
              <w:right w:val="single" w:color="auto" w:sz="6" w:space="0"/>
            </w:tcBorders>
            <w:vAlign w:val="center"/>
          </w:tcPr>
          <w:p w14:paraId="1ED8CAA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污（废）水排放</w:t>
            </w:r>
          </w:p>
        </w:tc>
        <w:tc>
          <w:tcPr>
            <w:tcW w:w="549" w:type="pct"/>
            <w:tcBorders>
              <w:top w:val="single" w:color="auto" w:sz="6" w:space="0"/>
              <w:left w:val="single" w:color="auto" w:sz="6" w:space="0"/>
              <w:bottom w:val="single" w:color="auto" w:sz="6" w:space="0"/>
              <w:right w:val="single" w:color="auto" w:sz="6" w:space="0"/>
            </w:tcBorders>
            <w:vAlign w:val="center"/>
          </w:tcPr>
          <w:p w14:paraId="5C45137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635D285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4ED5501C">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4B867683">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02F7E1F8">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3BFB82DC">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r>
      <w:tr w14:paraId="4C6DB4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continue"/>
            <w:tcBorders>
              <w:top w:val="single" w:color="auto" w:sz="6" w:space="0"/>
              <w:left w:val="nil"/>
              <w:bottom w:val="single" w:color="auto" w:sz="6" w:space="0"/>
              <w:right w:val="single" w:color="auto" w:sz="6" w:space="0"/>
            </w:tcBorders>
            <w:vAlign w:val="center"/>
          </w:tcPr>
          <w:p w14:paraId="53DD077B">
            <w:pPr>
              <w:widowControl/>
              <w:spacing w:line="360" w:lineRule="exact"/>
              <w:ind w:firstLine="0" w:firstLineChars="0"/>
              <w:jc w:val="center"/>
              <w:rPr>
                <w:rFonts w:cs="Times New Roman"/>
                <w:color w:val="auto"/>
                <w:sz w:val="21"/>
                <w:szCs w:val="21"/>
                <w:highlight w:val="none"/>
              </w:rPr>
            </w:pPr>
          </w:p>
        </w:tc>
        <w:tc>
          <w:tcPr>
            <w:tcW w:w="989" w:type="pct"/>
            <w:tcBorders>
              <w:top w:val="single" w:color="auto" w:sz="6" w:space="0"/>
              <w:left w:val="single" w:color="auto" w:sz="6" w:space="0"/>
              <w:bottom w:val="single" w:color="auto" w:sz="6" w:space="0"/>
              <w:right w:val="single" w:color="auto" w:sz="6" w:space="0"/>
            </w:tcBorders>
            <w:vAlign w:val="center"/>
          </w:tcPr>
          <w:p w14:paraId="7A1CAC6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废气排放</w:t>
            </w:r>
          </w:p>
        </w:tc>
        <w:tc>
          <w:tcPr>
            <w:tcW w:w="549" w:type="pct"/>
            <w:tcBorders>
              <w:top w:val="single" w:color="auto" w:sz="6" w:space="0"/>
              <w:left w:val="single" w:color="auto" w:sz="6" w:space="0"/>
              <w:bottom w:val="single" w:color="auto" w:sz="6" w:space="0"/>
              <w:right w:val="single" w:color="auto" w:sz="6" w:space="0"/>
            </w:tcBorders>
            <w:vAlign w:val="center"/>
          </w:tcPr>
          <w:p w14:paraId="41CDA62D">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0DF348E3">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3B88C88F">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192F6B47">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5BEBFC2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070948EB">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r>
      <w:tr w14:paraId="04FD3B5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continue"/>
            <w:tcBorders>
              <w:top w:val="single" w:color="auto" w:sz="6" w:space="0"/>
              <w:left w:val="nil"/>
              <w:bottom w:val="single" w:color="auto" w:sz="6" w:space="0"/>
              <w:right w:val="single" w:color="auto" w:sz="6" w:space="0"/>
            </w:tcBorders>
            <w:vAlign w:val="center"/>
          </w:tcPr>
          <w:p w14:paraId="7BE8DAFA">
            <w:pPr>
              <w:widowControl/>
              <w:spacing w:line="360" w:lineRule="exact"/>
              <w:ind w:firstLine="0" w:firstLineChars="0"/>
              <w:jc w:val="center"/>
              <w:rPr>
                <w:rFonts w:cs="Times New Roman"/>
                <w:color w:val="auto"/>
                <w:sz w:val="21"/>
                <w:szCs w:val="21"/>
                <w:highlight w:val="none"/>
              </w:rPr>
            </w:pPr>
          </w:p>
        </w:tc>
        <w:tc>
          <w:tcPr>
            <w:tcW w:w="989" w:type="pct"/>
            <w:tcBorders>
              <w:top w:val="single" w:color="auto" w:sz="6" w:space="0"/>
              <w:left w:val="single" w:color="auto" w:sz="6" w:space="0"/>
              <w:bottom w:val="single" w:color="auto" w:sz="6" w:space="0"/>
              <w:right w:val="single" w:color="auto" w:sz="6" w:space="0"/>
            </w:tcBorders>
            <w:vAlign w:val="center"/>
          </w:tcPr>
          <w:p w14:paraId="633A4EE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w:t>
            </w:r>
          </w:p>
        </w:tc>
        <w:tc>
          <w:tcPr>
            <w:tcW w:w="549" w:type="pct"/>
            <w:tcBorders>
              <w:top w:val="single" w:color="auto" w:sz="6" w:space="0"/>
              <w:left w:val="single" w:color="auto" w:sz="6" w:space="0"/>
              <w:bottom w:val="single" w:color="auto" w:sz="6" w:space="0"/>
              <w:right w:val="single" w:color="auto" w:sz="6" w:space="0"/>
            </w:tcBorders>
            <w:vAlign w:val="center"/>
          </w:tcPr>
          <w:p w14:paraId="18671A91">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12BA84D5">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0F1075FF">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1CC9E8D9">
            <w:pPr>
              <w:spacing w:line="360" w:lineRule="exact"/>
              <w:ind w:firstLine="0" w:firstLineChars="0"/>
              <w:jc w:val="center"/>
              <w:rPr>
                <w:rFonts w:cs="Times New Roman"/>
                <w:b/>
                <w:color w:val="auto"/>
                <w:sz w:val="21"/>
                <w:szCs w:val="21"/>
                <w:highlight w:val="none"/>
              </w:rPr>
            </w:pPr>
            <w:r>
              <w:rPr>
                <w:rFonts w:cs="Times New Roman"/>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62899F01">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2A00A147">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r>
      <w:tr w14:paraId="460288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continue"/>
            <w:tcBorders>
              <w:top w:val="single" w:color="auto" w:sz="6" w:space="0"/>
              <w:left w:val="nil"/>
              <w:bottom w:val="single" w:color="auto" w:sz="6" w:space="0"/>
              <w:right w:val="single" w:color="auto" w:sz="6" w:space="0"/>
            </w:tcBorders>
            <w:vAlign w:val="center"/>
          </w:tcPr>
          <w:p w14:paraId="3959AEED">
            <w:pPr>
              <w:widowControl/>
              <w:spacing w:line="360" w:lineRule="exact"/>
              <w:ind w:firstLine="0" w:firstLineChars="0"/>
              <w:jc w:val="center"/>
              <w:rPr>
                <w:rFonts w:cs="Times New Roman"/>
                <w:color w:val="auto"/>
                <w:sz w:val="21"/>
                <w:szCs w:val="21"/>
                <w:highlight w:val="none"/>
              </w:rPr>
            </w:pPr>
          </w:p>
        </w:tc>
        <w:tc>
          <w:tcPr>
            <w:tcW w:w="989" w:type="pct"/>
            <w:tcBorders>
              <w:top w:val="single" w:color="auto" w:sz="6" w:space="0"/>
              <w:left w:val="single" w:color="auto" w:sz="6" w:space="0"/>
              <w:bottom w:val="single" w:color="auto" w:sz="6" w:space="0"/>
              <w:right w:val="single" w:color="auto" w:sz="6" w:space="0"/>
            </w:tcBorders>
            <w:vAlign w:val="center"/>
          </w:tcPr>
          <w:p w14:paraId="763382B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固体废物排放</w:t>
            </w:r>
          </w:p>
        </w:tc>
        <w:tc>
          <w:tcPr>
            <w:tcW w:w="549" w:type="pct"/>
            <w:tcBorders>
              <w:top w:val="single" w:color="auto" w:sz="6" w:space="0"/>
              <w:left w:val="single" w:color="auto" w:sz="6" w:space="0"/>
              <w:bottom w:val="single" w:color="auto" w:sz="6" w:space="0"/>
              <w:right w:val="single" w:color="auto" w:sz="6" w:space="0"/>
            </w:tcBorders>
            <w:vAlign w:val="center"/>
          </w:tcPr>
          <w:p w14:paraId="5BDD163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504CFF03">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736CF2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46046778">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5807D054">
            <w:pPr>
              <w:spacing w:line="360" w:lineRule="exact"/>
              <w:ind w:firstLine="0" w:firstLineChars="0"/>
              <w:jc w:val="center"/>
              <w:rPr>
                <w:rFonts w:cs="Times New Roman"/>
                <w:color w:val="auto"/>
                <w:sz w:val="21"/>
                <w:szCs w:val="21"/>
                <w:highlight w:val="none"/>
              </w:rPr>
            </w:pPr>
            <w:r>
              <w:rPr>
                <w:rFonts w:cs="Times New Roman"/>
                <w:b/>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7CA853D0">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r>
      <w:tr w14:paraId="6B9F825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470" w:hRule="atLeast"/>
          <w:jc w:val="center"/>
        </w:trPr>
        <w:tc>
          <w:tcPr>
            <w:tcW w:w="378" w:type="pct"/>
            <w:vMerge w:val="continue"/>
            <w:tcBorders>
              <w:top w:val="single" w:color="auto" w:sz="6" w:space="0"/>
              <w:left w:val="nil"/>
              <w:bottom w:val="single" w:color="auto" w:sz="6" w:space="0"/>
              <w:right w:val="single" w:color="auto" w:sz="6" w:space="0"/>
            </w:tcBorders>
            <w:vAlign w:val="center"/>
          </w:tcPr>
          <w:p w14:paraId="132AAAA8">
            <w:pPr>
              <w:widowControl/>
              <w:spacing w:line="360" w:lineRule="exact"/>
              <w:ind w:firstLine="0" w:firstLineChars="0"/>
              <w:jc w:val="center"/>
              <w:rPr>
                <w:rFonts w:cs="Times New Roman"/>
                <w:color w:val="auto"/>
                <w:sz w:val="21"/>
                <w:szCs w:val="21"/>
                <w:highlight w:val="none"/>
              </w:rPr>
            </w:pPr>
          </w:p>
        </w:tc>
        <w:tc>
          <w:tcPr>
            <w:tcW w:w="989" w:type="pct"/>
            <w:tcBorders>
              <w:top w:val="single" w:color="auto" w:sz="6" w:space="0"/>
              <w:left w:val="single" w:color="auto" w:sz="6" w:space="0"/>
              <w:bottom w:val="single" w:color="auto" w:sz="6" w:space="0"/>
              <w:right w:val="single" w:color="auto" w:sz="6" w:space="0"/>
            </w:tcBorders>
            <w:vAlign w:val="center"/>
          </w:tcPr>
          <w:p w14:paraId="7FECDFB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环境风险</w:t>
            </w:r>
          </w:p>
        </w:tc>
        <w:tc>
          <w:tcPr>
            <w:tcW w:w="549" w:type="pct"/>
            <w:tcBorders>
              <w:top w:val="single" w:color="auto" w:sz="6" w:space="0"/>
              <w:left w:val="single" w:color="auto" w:sz="6" w:space="0"/>
              <w:bottom w:val="single" w:color="auto" w:sz="6" w:space="0"/>
              <w:right w:val="single" w:color="auto" w:sz="6" w:space="0"/>
            </w:tcBorders>
            <w:vAlign w:val="center"/>
          </w:tcPr>
          <w:p w14:paraId="51ECCCD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32" w:type="pct"/>
            <w:tcBorders>
              <w:top w:val="single" w:color="auto" w:sz="6" w:space="0"/>
              <w:left w:val="single" w:color="auto" w:sz="6" w:space="0"/>
              <w:bottom w:val="single" w:color="auto" w:sz="6" w:space="0"/>
              <w:right w:val="single" w:color="auto" w:sz="6" w:space="0"/>
            </w:tcBorders>
            <w:vAlign w:val="center"/>
          </w:tcPr>
          <w:p w14:paraId="158B8FAA">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c>
          <w:tcPr>
            <w:tcW w:w="516" w:type="pct"/>
            <w:tcBorders>
              <w:top w:val="single" w:color="auto" w:sz="6" w:space="0"/>
              <w:left w:val="single" w:color="auto" w:sz="6" w:space="0"/>
              <w:bottom w:val="single" w:color="auto" w:sz="6" w:space="0"/>
              <w:right w:val="single" w:color="auto" w:sz="6" w:space="0"/>
            </w:tcBorders>
            <w:vAlign w:val="center"/>
          </w:tcPr>
          <w:p w14:paraId="4745BAB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616" w:type="pct"/>
            <w:tcBorders>
              <w:top w:val="single" w:color="auto" w:sz="6" w:space="0"/>
              <w:left w:val="single" w:color="auto" w:sz="6" w:space="0"/>
              <w:bottom w:val="single" w:color="auto" w:sz="6" w:space="0"/>
              <w:right w:val="single" w:color="auto" w:sz="6" w:space="0"/>
            </w:tcBorders>
            <w:vAlign w:val="center"/>
          </w:tcPr>
          <w:p w14:paraId="1512DF81">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c>
          <w:tcPr>
            <w:tcW w:w="637" w:type="pct"/>
            <w:tcBorders>
              <w:top w:val="single" w:color="auto" w:sz="6" w:space="0"/>
              <w:left w:val="single" w:color="auto" w:sz="6" w:space="0"/>
              <w:bottom w:val="single" w:color="auto" w:sz="6" w:space="0"/>
              <w:right w:val="nil"/>
            </w:tcBorders>
            <w:vAlign w:val="center"/>
          </w:tcPr>
          <w:p w14:paraId="34DB29D0">
            <w:pPr>
              <w:spacing w:line="360" w:lineRule="exact"/>
              <w:ind w:firstLine="0" w:firstLineChars="0"/>
              <w:jc w:val="center"/>
              <w:rPr>
                <w:rFonts w:cs="Times New Roman"/>
                <w:b/>
                <w:color w:val="auto"/>
                <w:sz w:val="21"/>
                <w:szCs w:val="21"/>
                <w:highlight w:val="none"/>
              </w:rPr>
            </w:pPr>
            <w:r>
              <w:rPr>
                <w:rFonts w:cs="Times New Roman"/>
                <w:color w:val="auto"/>
                <w:sz w:val="21"/>
                <w:szCs w:val="21"/>
                <w:highlight w:val="none"/>
              </w:rPr>
              <w:t>△</w:t>
            </w:r>
          </w:p>
        </w:tc>
        <w:tc>
          <w:tcPr>
            <w:tcW w:w="779" w:type="pct"/>
            <w:tcBorders>
              <w:top w:val="single" w:color="auto" w:sz="6" w:space="0"/>
              <w:left w:val="single" w:color="auto" w:sz="6" w:space="0"/>
              <w:bottom w:val="single" w:color="auto" w:sz="6" w:space="0"/>
              <w:right w:val="nil"/>
            </w:tcBorders>
            <w:vAlign w:val="center"/>
          </w:tcPr>
          <w:p w14:paraId="612774F2">
            <w:pPr>
              <w:spacing w:line="360" w:lineRule="exact"/>
              <w:ind w:firstLine="0" w:firstLineChars="0"/>
              <w:jc w:val="center"/>
              <w:rPr>
                <w:rFonts w:cs="Times New Roman"/>
                <w:b/>
                <w:color w:val="auto"/>
                <w:sz w:val="21"/>
                <w:szCs w:val="21"/>
                <w:highlight w:val="none"/>
              </w:rPr>
            </w:pPr>
            <w:r>
              <w:rPr>
                <w:rFonts w:cs="Times New Roman"/>
                <w:b/>
                <w:color w:val="auto"/>
                <w:sz w:val="21"/>
                <w:szCs w:val="21"/>
                <w:highlight w:val="none"/>
              </w:rPr>
              <w:t>×</w:t>
            </w:r>
          </w:p>
        </w:tc>
      </w:tr>
      <w:tr w14:paraId="12BA122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cantSplit/>
          <w:trHeight w:val="598" w:hRule="atLeast"/>
          <w:jc w:val="center"/>
        </w:trPr>
        <w:tc>
          <w:tcPr>
            <w:tcW w:w="1367" w:type="pct"/>
            <w:gridSpan w:val="2"/>
            <w:tcBorders>
              <w:top w:val="single" w:color="auto" w:sz="6" w:space="0"/>
              <w:left w:val="nil"/>
              <w:bottom w:val="single" w:color="auto" w:sz="12" w:space="0"/>
              <w:right w:val="single" w:color="auto" w:sz="6" w:space="0"/>
            </w:tcBorders>
            <w:vAlign w:val="center"/>
          </w:tcPr>
          <w:p w14:paraId="5BA81D4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项目总体影响</w:t>
            </w:r>
          </w:p>
        </w:tc>
        <w:tc>
          <w:tcPr>
            <w:tcW w:w="549" w:type="pct"/>
            <w:tcBorders>
              <w:top w:val="single" w:color="auto" w:sz="6" w:space="0"/>
              <w:left w:val="single" w:color="auto" w:sz="6" w:space="0"/>
              <w:bottom w:val="single" w:color="auto" w:sz="12" w:space="0"/>
              <w:right w:val="single" w:color="auto" w:sz="6" w:space="0"/>
            </w:tcBorders>
            <w:vAlign w:val="center"/>
          </w:tcPr>
          <w:p w14:paraId="39B6CD0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32" w:type="pct"/>
            <w:tcBorders>
              <w:top w:val="single" w:color="auto" w:sz="6" w:space="0"/>
              <w:left w:val="single" w:color="auto" w:sz="6" w:space="0"/>
              <w:bottom w:val="single" w:color="auto" w:sz="12" w:space="0"/>
              <w:right w:val="single" w:color="auto" w:sz="6" w:space="0"/>
            </w:tcBorders>
            <w:vAlign w:val="center"/>
          </w:tcPr>
          <w:p w14:paraId="242D1B9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16" w:type="pct"/>
            <w:tcBorders>
              <w:top w:val="single" w:color="auto" w:sz="6" w:space="0"/>
              <w:left w:val="single" w:color="auto" w:sz="6" w:space="0"/>
              <w:bottom w:val="single" w:color="auto" w:sz="12" w:space="0"/>
              <w:right w:val="single" w:color="auto" w:sz="6" w:space="0"/>
            </w:tcBorders>
            <w:vAlign w:val="center"/>
          </w:tcPr>
          <w:p w14:paraId="316D850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616" w:type="pct"/>
            <w:tcBorders>
              <w:top w:val="single" w:color="auto" w:sz="6" w:space="0"/>
              <w:left w:val="single" w:color="auto" w:sz="6" w:space="0"/>
              <w:bottom w:val="single" w:color="auto" w:sz="12" w:space="0"/>
              <w:right w:val="single" w:color="auto" w:sz="6" w:space="0"/>
            </w:tcBorders>
            <w:vAlign w:val="center"/>
          </w:tcPr>
          <w:p w14:paraId="64E0016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637" w:type="pct"/>
            <w:tcBorders>
              <w:top w:val="single" w:color="auto" w:sz="6" w:space="0"/>
              <w:left w:val="single" w:color="auto" w:sz="6" w:space="0"/>
              <w:bottom w:val="single" w:color="auto" w:sz="12" w:space="0"/>
              <w:right w:val="nil"/>
            </w:tcBorders>
            <w:vAlign w:val="center"/>
          </w:tcPr>
          <w:p w14:paraId="60299E4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779" w:type="pct"/>
            <w:tcBorders>
              <w:top w:val="single" w:color="auto" w:sz="6" w:space="0"/>
              <w:left w:val="single" w:color="auto" w:sz="6" w:space="0"/>
              <w:bottom w:val="single" w:color="auto" w:sz="12" w:space="0"/>
              <w:right w:val="nil"/>
            </w:tcBorders>
            <w:vAlign w:val="center"/>
          </w:tcPr>
          <w:p w14:paraId="66F5DE7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r>
    </w:tbl>
    <w:p w14:paraId="0A213069">
      <w:pPr>
        <w:pStyle w:val="82"/>
        <w:ind w:firstLine="420"/>
        <w:rPr>
          <w:rFonts w:ascii="Times New Roman" w:hAnsi="Times New Roman" w:cs="Times New Roman"/>
          <w:snapToGrid w:val="0"/>
          <w:color w:val="auto"/>
          <w:sz w:val="21"/>
          <w:szCs w:val="21"/>
          <w:highlight w:val="none"/>
        </w:rPr>
      </w:pPr>
      <w:r>
        <w:rPr>
          <w:rFonts w:ascii="Times New Roman" w:hAnsi="Times New Roman" w:cs="Times New Roman"/>
          <w:color w:val="auto"/>
          <w:sz w:val="21"/>
          <w:szCs w:val="21"/>
          <w:highlight w:val="none"/>
        </w:rPr>
        <w:t>×无影响；△轻微影响、○较大影响、●有重大影响；★—正面影响。</w:t>
      </w:r>
    </w:p>
    <w:p w14:paraId="6F13AE20">
      <w:pPr>
        <w:pStyle w:val="452"/>
        <w:spacing w:before="0" w:beforeLines="0" w:after="0" w:afterLines="0"/>
        <w:outlineLvl w:val="3"/>
        <w:rPr>
          <w:rFonts w:eastAsia="宋体" w:cs="Times New Roman"/>
          <w:b/>
          <w:color w:val="auto"/>
          <w:highlight w:val="none"/>
        </w:rPr>
      </w:pPr>
      <w:bookmarkStart w:id="49" w:name="_Toc20702"/>
      <w:bookmarkStart w:id="50" w:name="_Toc32565"/>
      <w:bookmarkStart w:id="51" w:name="_Toc28590"/>
      <w:r>
        <w:rPr>
          <w:rFonts w:eastAsia="宋体" w:cs="Times New Roman"/>
          <w:b/>
          <w:color w:val="auto"/>
          <w:highlight w:val="none"/>
        </w:rPr>
        <w:t>2.2.1.2 评价因子的确定</w:t>
      </w:r>
      <w:bookmarkEnd w:id="49"/>
      <w:bookmarkEnd w:id="50"/>
      <w:bookmarkEnd w:id="51"/>
    </w:p>
    <w:p w14:paraId="72676A38">
      <w:pPr>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b/>
          <w:color w:val="auto"/>
          <w:szCs w:val="24"/>
          <w:highlight w:val="none"/>
        </w:rPr>
      </w:pPr>
      <w:r>
        <w:rPr>
          <w:rFonts w:cs="Times New Roman"/>
          <w:color w:val="auto"/>
          <w:szCs w:val="24"/>
          <w:highlight w:val="none"/>
        </w:rPr>
        <w:t>根据项目所在地环境特征和项目特点，考虑到建设项目可能对自然环境、社会环境、人群生活质量的影响，重点分析评价建设项目生产过程中产生的各类污染物对区域环境的影响。对本项目主要环境污染问题的分析进行筛选，根据筛选结果，确定本项目污染源，评价因子见表2</w:t>
      </w:r>
      <w:r>
        <w:rPr>
          <w:rFonts w:hint="eastAsia" w:cs="Times New Roman"/>
          <w:color w:val="auto"/>
          <w:szCs w:val="24"/>
          <w:highlight w:val="none"/>
          <w:lang w:val="en-US" w:eastAsia="zh-CN"/>
        </w:rPr>
        <w:t>.</w:t>
      </w:r>
      <w:r>
        <w:rPr>
          <w:rFonts w:cs="Times New Roman"/>
          <w:color w:val="auto"/>
          <w:szCs w:val="24"/>
          <w:highlight w:val="none"/>
        </w:rPr>
        <w:t>2-2</w:t>
      </w:r>
      <w:r>
        <w:rPr>
          <w:rFonts w:hint="eastAsia" w:cs="Times New Roman"/>
          <w:color w:val="auto"/>
          <w:szCs w:val="24"/>
          <w:highlight w:val="none"/>
          <w:lang w:val="en-US" w:eastAsia="zh-CN"/>
        </w:rPr>
        <w:t>和2.2-3</w:t>
      </w:r>
      <w:r>
        <w:rPr>
          <w:rFonts w:cs="Times New Roman"/>
          <w:color w:val="auto"/>
          <w:szCs w:val="24"/>
          <w:highlight w:val="none"/>
        </w:rPr>
        <w:t>。</w:t>
      </w:r>
    </w:p>
    <w:p w14:paraId="4207A1DB">
      <w:pPr>
        <w:keepNext w:val="0"/>
        <w:keepLines w:val="0"/>
        <w:pageBreakBefore w:val="0"/>
        <w:widowControl w:val="0"/>
        <w:kinsoku/>
        <w:wordWrap/>
        <w:overflowPunct/>
        <w:topLinePunct w:val="0"/>
        <w:autoSpaceDE/>
        <w:autoSpaceDN/>
        <w:bidi w:val="0"/>
        <w:adjustRightInd w:val="0"/>
        <w:snapToGrid w:val="0"/>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2-2   项目环境影响评价因子一览表</w:t>
      </w:r>
    </w:p>
    <w:tbl>
      <w:tblPr>
        <w:tblStyle w:val="47"/>
        <w:tblW w:w="851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8"/>
        <w:gridCol w:w="914"/>
        <w:gridCol w:w="1519"/>
        <w:gridCol w:w="2611"/>
        <w:gridCol w:w="2771"/>
      </w:tblGrid>
      <w:tr w14:paraId="6EE5B2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49" w:hRule="atLeast"/>
          <w:jc w:val="center"/>
        </w:trPr>
        <w:tc>
          <w:tcPr>
            <w:tcW w:w="698" w:type="dxa"/>
            <w:vAlign w:val="center"/>
          </w:tcPr>
          <w:p w14:paraId="0462766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评价时段</w:t>
            </w:r>
          </w:p>
        </w:tc>
        <w:tc>
          <w:tcPr>
            <w:tcW w:w="914" w:type="dxa"/>
            <w:vAlign w:val="center"/>
          </w:tcPr>
          <w:p w14:paraId="54075C8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w:t>
            </w:r>
          </w:p>
          <w:p w14:paraId="5867CEC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要素</w:t>
            </w:r>
          </w:p>
        </w:tc>
        <w:tc>
          <w:tcPr>
            <w:tcW w:w="1519" w:type="dxa"/>
            <w:vAlign w:val="center"/>
          </w:tcPr>
          <w:p w14:paraId="184E371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评价内容</w:t>
            </w:r>
          </w:p>
        </w:tc>
        <w:tc>
          <w:tcPr>
            <w:tcW w:w="2611" w:type="dxa"/>
            <w:vAlign w:val="center"/>
          </w:tcPr>
          <w:p w14:paraId="279C1C1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现状评价因子</w:t>
            </w:r>
          </w:p>
        </w:tc>
        <w:tc>
          <w:tcPr>
            <w:tcW w:w="2771" w:type="dxa"/>
            <w:vAlign w:val="center"/>
          </w:tcPr>
          <w:p w14:paraId="13C8AEA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预测评价因子</w:t>
            </w:r>
          </w:p>
        </w:tc>
      </w:tr>
      <w:tr w14:paraId="172B41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698" w:type="dxa"/>
            <w:vMerge w:val="restart"/>
            <w:vAlign w:val="center"/>
          </w:tcPr>
          <w:p w14:paraId="2D4EC99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施工期</w:t>
            </w:r>
          </w:p>
        </w:tc>
        <w:tc>
          <w:tcPr>
            <w:tcW w:w="914" w:type="dxa"/>
            <w:vAlign w:val="center"/>
          </w:tcPr>
          <w:p w14:paraId="0A60219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w:t>
            </w:r>
          </w:p>
          <w:p w14:paraId="28AD0DC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空气</w:t>
            </w:r>
          </w:p>
        </w:tc>
        <w:tc>
          <w:tcPr>
            <w:tcW w:w="1519" w:type="dxa"/>
            <w:vAlign w:val="center"/>
          </w:tcPr>
          <w:p w14:paraId="6EC604B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施工扬尘对环境空气影响</w:t>
            </w:r>
          </w:p>
        </w:tc>
        <w:tc>
          <w:tcPr>
            <w:tcW w:w="2611" w:type="dxa"/>
            <w:vAlign w:val="center"/>
          </w:tcPr>
          <w:p w14:paraId="0E463D0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TSP</w:t>
            </w:r>
          </w:p>
        </w:tc>
        <w:tc>
          <w:tcPr>
            <w:tcW w:w="2771" w:type="dxa"/>
            <w:vAlign w:val="center"/>
          </w:tcPr>
          <w:p w14:paraId="05866DC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TSP</w:t>
            </w:r>
          </w:p>
        </w:tc>
      </w:tr>
      <w:tr w14:paraId="1F4FD3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98" w:type="dxa"/>
            <w:vMerge w:val="continue"/>
            <w:vAlign w:val="center"/>
          </w:tcPr>
          <w:p w14:paraId="5238287E">
            <w:pPr>
              <w:widowControl/>
              <w:spacing w:line="360" w:lineRule="exact"/>
              <w:ind w:firstLine="0" w:firstLineChars="0"/>
              <w:jc w:val="center"/>
              <w:rPr>
                <w:rFonts w:cs="Times New Roman"/>
                <w:color w:val="auto"/>
                <w:sz w:val="21"/>
                <w:szCs w:val="21"/>
                <w:highlight w:val="none"/>
              </w:rPr>
            </w:pPr>
          </w:p>
        </w:tc>
        <w:tc>
          <w:tcPr>
            <w:tcW w:w="914" w:type="dxa"/>
            <w:vAlign w:val="center"/>
          </w:tcPr>
          <w:p w14:paraId="3D7CDE4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水环境</w:t>
            </w:r>
          </w:p>
        </w:tc>
        <w:tc>
          <w:tcPr>
            <w:tcW w:w="1519" w:type="dxa"/>
            <w:vAlign w:val="center"/>
          </w:tcPr>
          <w:p w14:paraId="673ED58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施工废水对水环境影响</w:t>
            </w:r>
          </w:p>
        </w:tc>
        <w:tc>
          <w:tcPr>
            <w:tcW w:w="2611" w:type="dxa"/>
            <w:vAlign w:val="center"/>
          </w:tcPr>
          <w:p w14:paraId="0C2CFF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COD、氨氮、SS</w:t>
            </w:r>
          </w:p>
        </w:tc>
        <w:tc>
          <w:tcPr>
            <w:tcW w:w="2771" w:type="dxa"/>
            <w:vAlign w:val="center"/>
          </w:tcPr>
          <w:p w14:paraId="78B9312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COD、氨氮、SS</w:t>
            </w:r>
          </w:p>
        </w:tc>
      </w:tr>
      <w:tr w14:paraId="2AA5CB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1F64E66C">
            <w:pPr>
              <w:widowControl/>
              <w:spacing w:line="360" w:lineRule="exact"/>
              <w:ind w:firstLine="0" w:firstLineChars="0"/>
              <w:jc w:val="center"/>
              <w:rPr>
                <w:rFonts w:cs="Times New Roman"/>
                <w:color w:val="auto"/>
                <w:sz w:val="21"/>
                <w:szCs w:val="21"/>
                <w:highlight w:val="none"/>
              </w:rPr>
            </w:pPr>
          </w:p>
        </w:tc>
        <w:tc>
          <w:tcPr>
            <w:tcW w:w="914" w:type="dxa"/>
            <w:vAlign w:val="center"/>
          </w:tcPr>
          <w:p w14:paraId="52441C7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声环境</w:t>
            </w:r>
          </w:p>
        </w:tc>
        <w:tc>
          <w:tcPr>
            <w:tcW w:w="1519" w:type="dxa"/>
            <w:vAlign w:val="center"/>
          </w:tcPr>
          <w:p w14:paraId="1114767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施工噪声对声环境的影响</w:t>
            </w:r>
          </w:p>
        </w:tc>
        <w:tc>
          <w:tcPr>
            <w:tcW w:w="2611" w:type="dxa"/>
            <w:vAlign w:val="center"/>
          </w:tcPr>
          <w:p w14:paraId="17B34BA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L</w:t>
            </w:r>
            <w:r>
              <w:rPr>
                <w:rFonts w:cs="Times New Roman"/>
                <w:color w:val="auto"/>
                <w:sz w:val="21"/>
                <w:szCs w:val="21"/>
                <w:highlight w:val="none"/>
                <w:vertAlign w:val="subscript"/>
              </w:rPr>
              <w:t>Aeq</w:t>
            </w:r>
          </w:p>
        </w:tc>
        <w:tc>
          <w:tcPr>
            <w:tcW w:w="2771" w:type="dxa"/>
            <w:vAlign w:val="center"/>
          </w:tcPr>
          <w:p w14:paraId="5ACADE7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L</w:t>
            </w:r>
            <w:r>
              <w:rPr>
                <w:rFonts w:cs="Times New Roman"/>
                <w:color w:val="auto"/>
                <w:sz w:val="21"/>
                <w:szCs w:val="21"/>
                <w:highlight w:val="none"/>
                <w:vertAlign w:val="subscript"/>
              </w:rPr>
              <w:t>Aeq</w:t>
            </w:r>
          </w:p>
        </w:tc>
      </w:tr>
      <w:tr w14:paraId="167488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138FDB4C">
            <w:pPr>
              <w:widowControl/>
              <w:spacing w:line="360" w:lineRule="exact"/>
              <w:ind w:firstLine="0" w:firstLineChars="0"/>
              <w:jc w:val="center"/>
              <w:rPr>
                <w:rFonts w:cs="Times New Roman"/>
                <w:color w:val="auto"/>
                <w:sz w:val="21"/>
                <w:szCs w:val="21"/>
                <w:highlight w:val="none"/>
              </w:rPr>
            </w:pPr>
          </w:p>
        </w:tc>
        <w:tc>
          <w:tcPr>
            <w:tcW w:w="914" w:type="dxa"/>
            <w:vAlign w:val="center"/>
          </w:tcPr>
          <w:p w14:paraId="08CA74B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固体废物</w:t>
            </w:r>
          </w:p>
        </w:tc>
        <w:tc>
          <w:tcPr>
            <w:tcW w:w="1519" w:type="dxa"/>
            <w:vAlign w:val="center"/>
          </w:tcPr>
          <w:p w14:paraId="40056BB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施工固体废物的处置</w:t>
            </w:r>
          </w:p>
        </w:tc>
        <w:tc>
          <w:tcPr>
            <w:tcW w:w="2611" w:type="dxa"/>
            <w:vAlign w:val="center"/>
          </w:tcPr>
          <w:p w14:paraId="0AF51FE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771" w:type="dxa"/>
            <w:vAlign w:val="center"/>
          </w:tcPr>
          <w:p w14:paraId="776DDCE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生活垃圾和建筑垃圾</w:t>
            </w:r>
          </w:p>
        </w:tc>
      </w:tr>
      <w:tr w14:paraId="1EFEF0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restart"/>
            <w:vAlign w:val="center"/>
          </w:tcPr>
          <w:p w14:paraId="28AD29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营运期</w:t>
            </w:r>
          </w:p>
        </w:tc>
        <w:tc>
          <w:tcPr>
            <w:tcW w:w="914" w:type="dxa"/>
            <w:vAlign w:val="center"/>
          </w:tcPr>
          <w:p w14:paraId="78D6ADB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空气环境</w:t>
            </w:r>
          </w:p>
        </w:tc>
        <w:tc>
          <w:tcPr>
            <w:tcW w:w="1519" w:type="dxa"/>
            <w:vAlign w:val="center"/>
          </w:tcPr>
          <w:p w14:paraId="1916BB2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废气对空气环境的影响</w:t>
            </w:r>
          </w:p>
        </w:tc>
        <w:tc>
          <w:tcPr>
            <w:tcW w:w="2611" w:type="dxa"/>
            <w:vAlign w:val="center"/>
          </w:tcPr>
          <w:p w14:paraId="6C52023A">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SO</w:t>
            </w:r>
            <w:r>
              <w:rPr>
                <w:rFonts w:cs="Times New Roman"/>
                <w:color w:val="auto"/>
                <w:sz w:val="21"/>
                <w:szCs w:val="21"/>
                <w:highlight w:val="none"/>
                <w:vertAlign w:val="subscript"/>
              </w:rPr>
              <w:t>2</w:t>
            </w:r>
            <w:r>
              <w:rPr>
                <w:rFonts w:cs="Times New Roman"/>
                <w:color w:val="auto"/>
                <w:sz w:val="21"/>
                <w:szCs w:val="21"/>
                <w:highlight w:val="none"/>
              </w:rPr>
              <w:t>、NO</w:t>
            </w:r>
            <w:r>
              <w:rPr>
                <w:rFonts w:cs="Times New Roman"/>
                <w:color w:val="auto"/>
                <w:sz w:val="21"/>
                <w:szCs w:val="21"/>
                <w:highlight w:val="none"/>
                <w:vertAlign w:val="subscript"/>
              </w:rPr>
              <w:t>2</w:t>
            </w:r>
            <w:r>
              <w:rPr>
                <w:rFonts w:cs="Times New Roman"/>
                <w:color w:val="auto"/>
                <w:sz w:val="21"/>
                <w:szCs w:val="21"/>
                <w:highlight w:val="none"/>
              </w:rPr>
              <w:t>、PM</w:t>
            </w:r>
            <w:r>
              <w:rPr>
                <w:rFonts w:cs="Times New Roman"/>
                <w:color w:val="auto"/>
                <w:sz w:val="21"/>
                <w:szCs w:val="21"/>
                <w:highlight w:val="none"/>
                <w:vertAlign w:val="subscript"/>
              </w:rPr>
              <w:t>10</w:t>
            </w:r>
            <w:r>
              <w:rPr>
                <w:rFonts w:cs="Times New Roman"/>
                <w:color w:val="auto"/>
                <w:sz w:val="21"/>
                <w:szCs w:val="21"/>
                <w:highlight w:val="none"/>
              </w:rPr>
              <w:t>、PM</w:t>
            </w:r>
            <w:r>
              <w:rPr>
                <w:rFonts w:cs="Times New Roman"/>
                <w:color w:val="auto"/>
                <w:sz w:val="21"/>
                <w:szCs w:val="21"/>
                <w:highlight w:val="none"/>
                <w:vertAlign w:val="subscript"/>
              </w:rPr>
              <w:t>2.5</w:t>
            </w:r>
            <w:r>
              <w:rPr>
                <w:rFonts w:cs="Times New Roman"/>
                <w:color w:val="auto"/>
                <w:sz w:val="21"/>
                <w:szCs w:val="21"/>
                <w:highlight w:val="none"/>
              </w:rPr>
              <w:t>、CO、O</w:t>
            </w:r>
            <w:r>
              <w:rPr>
                <w:rFonts w:cs="Times New Roman"/>
                <w:color w:val="auto"/>
                <w:sz w:val="21"/>
                <w:szCs w:val="21"/>
                <w:highlight w:val="none"/>
                <w:vertAlign w:val="subscript"/>
              </w:rPr>
              <w:t>3</w:t>
            </w:r>
            <w:r>
              <w:rPr>
                <w:rFonts w:cs="Times New Roman"/>
                <w:color w:val="auto"/>
                <w:sz w:val="21"/>
                <w:szCs w:val="21"/>
                <w:highlight w:val="none"/>
              </w:rPr>
              <w:t>、氨、硫化氢</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臭气浓度、TSP</w:t>
            </w:r>
          </w:p>
        </w:tc>
        <w:tc>
          <w:tcPr>
            <w:tcW w:w="2771" w:type="dxa"/>
            <w:vAlign w:val="center"/>
          </w:tcPr>
          <w:p w14:paraId="737D099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氨、硫化氢、</w:t>
            </w:r>
            <w:r>
              <w:rPr>
                <w:rFonts w:hint="eastAsia" w:cs="Times New Roman"/>
                <w:color w:val="auto"/>
                <w:sz w:val="21"/>
                <w:szCs w:val="21"/>
                <w:highlight w:val="none"/>
                <w:lang w:val="en-US" w:eastAsia="zh-CN"/>
              </w:rPr>
              <w:t>臭气浓度</w:t>
            </w:r>
          </w:p>
        </w:tc>
      </w:tr>
      <w:tr w14:paraId="6EBC23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0BE6AED5">
            <w:pPr>
              <w:widowControl/>
              <w:spacing w:line="360" w:lineRule="exact"/>
              <w:ind w:firstLine="0" w:firstLineChars="0"/>
              <w:jc w:val="center"/>
              <w:rPr>
                <w:rFonts w:cs="Times New Roman"/>
                <w:color w:val="auto"/>
                <w:sz w:val="21"/>
                <w:szCs w:val="21"/>
                <w:highlight w:val="none"/>
              </w:rPr>
            </w:pPr>
          </w:p>
        </w:tc>
        <w:tc>
          <w:tcPr>
            <w:tcW w:w="914" w:type="dxa"/>
            <w:vMerge w:val="restart"/>
            <w:vAlign w:val="center"/>
          </w:tcPr>
          <w:p w14:paraId="0C3137F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水环境</w:t>
            </w:r>
          </w:p>
        </w:tc>
        <w:tc>
          <w:tcPr>
            <w:tcW w:w="1519" w:type="dxa"/>
            <w:vAlign w:val="center"/>
          </w:tcPr>
          <w:p w14:paraId="66F9494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废水对地表水环境的影响</w:t>
            </w:r>
          </w:p>
        </w:tc>
        <w:tc>
          <w:tcPr>
            <w:tcW w:w="2611" w:type="dxa"/>
            <w:vAlign w:val="center"/>
          </w:tcPr>
          <w:p w14:paraId="1C72DA91">
            <w:pPr>
              <w:pStyle w:val="485"/>
              <w:keepNext w:val="0"/>
              <w:keepLines w:val="0"/>
              <w:pageBreakBefore w:val="0"/>
              <w:widowControl w:val="0"/>
              <w:kinsoku/>
              <w:wordWrap/>
              <w:overflowPunct/>
              <w:topLinePunct w:val="0"/>
              <w:autoSpaceDE/>
              <w:autoSpaceDN/>
              <w:bidi w:val="0"/>
              <w:adjustRightInd w:val="0"/>
              <w:snapToGrid w:val="0"/>
              <w:spacing w:line="360" w:lineRule="exact"/>
              <w:ind w:left="0" w:leftChars="0" w:firstLine="0" w:firstLineChars="0"/>
              <w:jc w:val="center"/>
              <w:textAlignment w:val="auto"/>
              <w:rPr>
                <w:rFonts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高锰酸盐指数、氨氮、化学需氧量和总磷等</w:t>
            </w:r>
          </w:p>
        </w:tc>
        <w:tc>
          <w:tcPr>
            <w:tcW w:w="2771" w:type="dxa"/>
            <w:vAlign w:val="center"/>
          </w:tcPr>
          <w:p w14:paraId="04874171">
            <w:pPr>
              <w:pStyle w:val="485"/>
              <w:keepNext w:val="0"/>
              <w:keepLines w:val="0"/>
              <w:pageBreakBefore w:val="0"/>
              <w:widowControl w:val="0"/>
              <w:kinsoku/>
              <w:wordWrap/>
              <w:overflowPunct/>
              <w:topLinePunct w:val="0"/>
              <w:autoSpaceDE/>
              <w:autoSpaceDN/>
              <w:bidi w:val="0"/>
              <w:adjustRightInd w:val="0"/>
              <w:snapToGrid w:val="0"/>
              <w:spacing w:line="360" w:lineRule="exact"/>
              <w:ind w:left="0" w:leftChars="0" w:firstLine="0" w:firstLineChars="0"/>
              <w:jc w:val="center"/>
              <w:textAlignment w:val="auto"/>
              <w:rPr>
                <w:rFonts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pH</w:t>
            </w:r>
            <w:r>
              <w:rPr>
                <w:rFonts w:hint="eastAsia" w:ascii="Times New Roman" w:hAnsi="Times New Roman" w:eastAsia="宋体" w:cs="Times New Roman"/>
                <w:color w:val="auto"/>
                <w:kern w:val="0"/>
                <w:sz w:val="21"/>
                <w:szCs w:val="21"/>
                <w:highlight w:val="none"/>
                <w:lang w:val="en-US" w:eastAsia="zh-CN" w:bidi="ar-SA"/>
              </w:rPr>
              <w:t>值、化学需氧量、五日生化需氧量、悬浮物、氨氮、动植物油、粪大肠菌群数</w:t>
            </w:r>
          </w:p>
        </w:tc>
      </w:tr>
      <w:tr w14:paraId="7090E6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0409FBD9">
            <w:pPr>
              <w:widowControl/>
              <w:spacing w:line="360" w:lineRule="exact"/>
              <w:ind w:firstLine="0" w:firstLineChars="0"/>
              <w:jc w:val="center"/>
              <w:rPr>
                <w:rFonts w:cs="Times New Roman"/>
                <w:color w:val="auto"/>
                <w:sz w:val="21"/>
                <w:szCs w:val="21"/>
                <w:highlight w:val="none"/>
              </w:rPr>
            </w:pPr>
          </w:p>
        </w:tc>
        <w:tc>
          <w:tcPr>
            <w:tcW w:w="914" w:type="dxa"/>
            <w:vMerge w:val="continue"/>
            <w:vAlign w:val="center"/>
          </w:tcPr>
          <w:p w14:paraId="2DE76962">
            <w:pPr>
              <w:widowControl/>
              <w:spacing w:line="360" w:lineRule="exact"/>
              <w:ind w:firstLine="0" w:firstLineChars="0"/>
              <w:jc w:val="center"/>
              <w:rPr>
                <w:rFonts w:cs="Times New Roman"/>
                <w:color w:val="auto"/>
                <w:sz w:val="21"/>
                <w:szCs w:val="21"/>
                <w:highlight w:val="none"/>
              </w:rPr>
            </w:pPr>
          </w:p>
        </w:tc>
        <w:tc>
          <w:tcPr>
            <w:tcW w:w="1519" w:type="dxa"/>
            <w:vAlign w:val="center"/>
          </w:tcPr>
          <w:p w14:paraId="2FF969C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废水对地下水体的影响</w:t>
            </w:r>
          </w:p>
        </w:tc>
        <w:tc>
          <w:tcPr>
            <w:tcW w:w="2611" w:type="dxa"/>
            <w:vAlign w:val="center"/>
          </w:tcPr>
          <w:p w14:paraId="39416188">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kern w:val="0"/>
                <w:sz w:val="21"/>
                <w:szCs w:val="21"/>
                <w:highlight w:val="none"/>
              </w:rPr>
              <w:t>pH、氨氮、硝酸盐、亚硝酸盐氮、挥发酚、氰化物、砷、汞、铬（六价）、总硬度、铅、氟化物、镉、铁、锰、溶解性总固体、总大肠菌群、菌落总数、耗氧量（COD</w:t>
            </w:r>
            <w:r>
              <w:rPr>
                <w:rFonts w:cs="Times New Roman"/>
                <w:color w:val="auto"/>
                <w:kern w:val="0"/>
                <w:sz w:val="21"/>
                <w:szCs w:val="21"/>
                <w:highlight w:val="none"/>
                <w:vertAlign w:val="subscript"/>
              </w:rPr>
              <w:t>Mn</w:t>
            </w:r>
            <w:r>
              <w:rPr>
                <w:rFonts w:cs="Times New Roman"/>
                <w:color w:val="auto"/>
                <w:kern w:val="0"/>
                <w:sz w:val="21"/>
                <w:szCs w:val="21"/>
                <w:highlight w:val="none"/>
              </w:rPr>
              <w:t>法，以O</w:t>
            </w:r>
            <w:r>
              <w:rPr>
                <w:rFonts w:cs="Times New Roman"/>
                <w:color w:val="auto"/>
                <w:kern w:val="0"/>
                <w:sz w:val="21"/>
                <w:szCs w:val="21"/>
                <w:highlight w:val="none"/>
                <w:vertAlign w:val="subscript"/>
              </w:rPr>
              <w:t>2</w:t>
            </w:r>
            <w:r>
              <w:rPr>
                <w:rFonts w:cs="Times New Roman"/>
                <w:color w:val="auto"/>
                <w:kern w:val="0"/>
                <w:sz w:val="21"/>
                <w:szCs w:val="21"/>
                <w:highlight w:val="none"/>
              </w:rPr>
              <w:t>计）、K</w:t>
            </w:r>
            <w:r>
              <w:rPr>
                <w:rFonts w:cs="Times New Roman"/>
                <w:color w:val="auto"/>
                <w:kern w:val="0"/>
                <w:sz w:val="21"/>
                <w:szCs w:val="21"/>
                <w:highlight w:val="none"/>
                <w:vertAlign w:val="superscript"/>
              </w:rPr>
              <w:t>+</w:t>
            </w:r>
            <w:r>
              <w:rPr>
                <w:rFonts w:cs="Times New Roman"/>
                <w:color w:val="auto"/>
                <w:kern w:val="0"/>
                <w:sz w:val="21"/>
                <w:szCs w:val="21"/>
                <w:highlight w:val="none"/>
              </w:rPr>
              <w:t>、Na</w:t>
            </w:r>
            <w:r>
              <w:rPr>
                <w:rFonts w:cs="Times New Roman"/>
                <w:color w:val="auto"/>
                <w:kern w:val="0"/>
                <w:sz w:val="21"/>
                <w:szCs w:val="21"/>
                <w:highlight w:val="none"/>
                <w:vertAlign w:val="superscript"/>
              </w:rPr>
              <w:t>+</w:t>
            </w:r>
            <w:r>
              <w:rPr>
                <w:rFonts w:cs="Times New Roman"/>
                <w:color w:val="auto"/>
                <w:kern w:val="0"/>
                <w:sz w:val="21"/>
                <w:szCs w:val="21"/>
                <w:highlight w:val="none"/>
              </w:rPr>
              <w:t>、Ca</w:t>
            </w:r>
            <w:r>
              <w:rPr>
                <w:rFonts w:cs="Times New Roman"/>
                <w:color w:val="auto"/>
                <w:kern w:val="0"/>
                <w:sz w:val="21"/>
                <w:szCs w:val="21"/>
                <w:highlight w:val="none"/>
                <w:vertAlign w:val="superscript"/>
              </w:rPr>
              <w:t>+</w:t>
            </w:r>
            <w:r>
              <w:rPr>
                <w:rFonts w:cs="Times New Roman"/>
                <w:color w:val="auto"/>
                <w:kern w:val="0"/>
                <w:sz w:val="21"/>
                <w:szCs w:val="21"/>
                <w:highlight w:val="none"/>
              </w:rPr>
              <w:t>、Mg</w:t>
            </w:r>
            <w:r>
              <w:rPr>
                <w:rFonts w:cs="Times New Roman"/>
                <w:color w:val="auto"/>
                <w:kern w:val="0"/>
                <w:sz w:val="21"/>
                <w:szCs w:val="21"/>
                <w:highlight w:val="none"/>
                <w:vertAlign w:val="superscript"/>
              </w:rPr>
              <w:t>2+</w:t>
            </w:r>
            <w:r>
              <w:rPr>
                <w:rFonts w:cs="Times New Roman"/>
                <w:color w:val="auto"/>
                <w:kern w:val="0"/>
                <w:sz w:val="21"/>
                <w:szCs w:val="21"/>
                <w:highlight w:val="none"/>
              </w:rPr>
              <w:t>、CO</w:t>
            </w:r>
            <w:r>
              <w:rPr>
                <w:rFonts w:cs="Times New Roman"/>
                <w:color w:val="auto"/>
                <w:kern w:val="0"/>
                <w:sz w:val="21"/>
                <w:szCs w:val="21"/>
                <w:highlight w:val="none"/>
                <w:vertAlign w:val="subscript"/>
              </w:rPr>
              <w:t>3</w:t>
            </w:r>
            <w:r>
              <w:rPr>
                <w:rFonts w:cs="Times New Roman"/>
                <w:color w:val="auto"/>
                <w:kern w:val="0"/>
                <w:sz w:val="21"/>
                <w:szCs w:val="21"/>
                <w:highlight w:val="none"/>
                <w:vertAlign w:val="superscript"/>
              </w:rPr>
              <w:t>2-</w:t>
            </w:r>
            <w:r>
              <w:rPr>
                <w:rFonts w:cs="Times New Roman"/>
                <w:color w:val="auto"/>
                <w:kern w:val="0"/>
                <w:sz w:val="21"/>
                <w:szCs w:val="21"/>
                <w:highlight w:val="none"/>
              </w:rPr>
              <w:t>、HCO</w:t>
            </w:r>
            <w:r>
              <w:rPr>
                <w:rFonts w:cs="Times New Roman"/>
                <w:color w:val="auto"/>
                <w:kern w:val="0"/>
                <w:sz w:val="21"/>
                <w:szCs w:val="21"/>
                <w:highlight w:val="none"/>
                <w:vertAlign w:val="subscript"/>
              </w:rPr>
              <w:t>3</w:t>
            </w:r>
            <w:r>
              <w:rPr>
                <w:rFonts w:cs="Times New Roman"/>
                <w:color w:val="auto"/>
                <w:kern w:val="0"/>
                <w:sz w:val="21"/>
                <w:szCs w:val="21"/>
                <w:highlight w:val="none"/>
                <w:vertAlign w:val="superscript"/>
              </w:rPr>
              <w:t>-</w:t>
            </w:r>
            <w:r>
              <w:rPr>
                <w:rFonts w:cs="Times New Roman"/>
                <w:color w:val="auto"/>
                <w:kern w:val="0"/>
                <w:sz w:val="21"/>
                <w:szCs w:val="21"/>
                <w:highlight w:val="none"/>
              </w:rPr>
              <w:t>、Cl</w:t>
            </w:r>
            <w:r>
              <w:rPr>
                <w:rFonts w:cs="Times New Roman"/>
                <w:color w:val="auto"/>
                <w:kern w:val="0"/>
                <w:sz w:val="21"/>
                <w:szCs w:val="21"/>
                <w:highlight w:val="none"/>
                <w:vertAlign w:val="superscript"/>
              </w:rPr>
              <w:t>-</w:t>
            </w:r>
            <w:r>
              <w:rPr>
                <w:rFonts w:cs="Times New Roman"/>
                <w:color w:val="auto"/>
                <w:kern w:val="0"/>
                <w:sz w:val="21"/>
                <w:szCs w:val="21"/>
                <w:highlight w:val="none"/>
              </w:rPr>
              <w:t>、SO</w:t>
            </w:r>
            <w:r>
              <w:rPr>
                <w:rFonts w:cs="Times New Roman"/>
                <w:color w:val="auto"/>
                <w:kern w:val="0"/>
                <w:sz w:val="21"/>
                <w:szCs w:val="21"/>
                <w:highlight w:val="none"/>
                <w:vertAlign w:val="subscript"/>
              </w:rPr>
              <w:t>4</w:t>
            </w:r>
            <w:r>
              <w:rPr>
                <w:rFonts w:cs="Times New Roman"/>
                <w:color w:val="auto"/>
                <w:kern w:val="0"/>
                <w:sz w:val="21"/>
                <w:szCs w:val="21"/>
                <w:highlight w:val="none"/>
                <w:vertAlign w:val="superscript"/>
              </w:rPr>
              <w:t>2-</w:t>
            </w:r>
          </w:p>
        </w:tc>
        <w:tc>
          <w:tcPr>
            <w:tcW w:w="2771" w:type="dxa"/>
            <w:vAlign w:val="center"/>
          </w:tcPr>
          <w:p w14:paraId="6AFC2AF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COD、氨氮</w:t>
            </w:r>
          </w:p>
        </w:tc>
      </w:tr>
      <w:tr w14:paraId="2BEDA4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58E0DB6D">
            <w:pPr>
              <w:widowControl/>
              <w:spacing w:line="360" w:lineRule="exact"/>
              <w:ind w:firstLine="0" w:firstLineChars="0"/>
              <w:jc w:val="center"/>
              <w:rPr>
                <w:rFonts w:cs="Times New Roman"/>
                <w:color w:val="auto"/>
                <w:sz w:val="21"/>
                <w:szCs w:val="21"/>
                <w:highlight w:val="none"/>
              </w:rPr>
            </w:pPr>
          </w:p>
        </w:tc>
        <w:tc>
          <w:tcPr>
            <w:tcW w:w="914" w:type="dxa"/>
            <w:vAlign w:val="center"/>
          </w:tcPr>
          <w:p w14:paraId="565A557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声环境</w:t>
            </w:r>
          </w:p>
        </w:tc>
        <w:tc>
          <w:tcPr>
            <w:tcW w:w="1519" w:type="dxa"/>
            <w:vAlign w:val="center"/>
          </w:tcPr>
          <w:p w14:paraId="1621A26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噪声对厂区四周影响</w:t>
            </w:r>
          </w:p>
        </w:tc>
        <w:tc>
          <w:tcPr>
            <w:tcW w:w="2611" w:type="dxa"/>
            <w:vAlign w:val="center"/>
          </w:tcPr>
          <w:p w14:paraId="773EAB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LeqdB（A）</w:t>
            </w:r>
          </w:p>
        </w:tc>
        <w:tc>
          <w:tcPr>
            <w:tcW w:w="2771" w:type="dxa"/>
            <w:vAlign w:val="center"/>
          </w:tcPr>
          <w:p w14:paraId="2748192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LeqdB（A）</w:t>
            </w:r>
          </w:p>
        </w:tc>
      </w:tr>
      <w:tr w14:paraId="2722FE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7A512D47">
            <w:pPr>
              <w:widowControl/>
              <w:spacing w:line="360" w:lineRule="exact"/>
              <w:ind w:firstLine="0" w:firstLineChars="0"/>
              <w:jc w:val="center"/>
              <w:rPr>
                <w:rFonts w:cs="Times New Roman"/>
                <w:color w:val="auto"/>
                <w:sz w:val="21"/>
                <w:szCs w:val="21"/>
                <w:highlight w:val="none"/>
              </w:rPr>
            </w:pPr>
          </w:p>
        </w:tc>
        <w:tc>
          <w:tcPr>
            <w:tcW w:w="914" w:type="dxa"/>
            <w:vAlign w:val="center"/>
          </w:tcPr>
          <w:p w14:paraId="4F3CCE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固体废物</w:t>
            </w:r>
          </w:p>
        </w:tc>
        <w:tc>
          <w:tcPr>
            <w:tcW w:w="1519" w:type="dxa"/>
            <w:vAlign w:val="center"/>
          </w:tcPr>
          <w:p w14:paraId="5D2B863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固废对周围环境的影响</w:t>
            </w:r>
          </w:p>
        </w:tc>
        <w:tc>
          <w:tcPr>
            <w:tcW w:w="2611" w:type="dxa"/>
            <w:vAlign w:val="center"/>
          </w:tcPr>
          <w:p w14:paraId="169EAA8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771" w:type="dxa"/>
            <w:vAlign w:val="center"/>
          </w:tcPr>
          <w:p w14:paraId="425373D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一般固体废物主要包括检疫不合格品、病死牛羊、粪便、边角料、胃容物及肠内物、隔油池废油脂、污泥（含栅渣）、废包装以及生活垃圾；危险废物主要为检疫废物、废活性炭、废润滑油及含油抹布、劳保手套、在线监测废液</w:t>
            </w:r>
          </w:p>
        </w:tc>
      </w:tr>
      <w:tr w14:paraId="4BA79C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98" w:type="dxa"/>
            <w:vMerge w:val="continue"/>
            <w:vAlign w:val="center"/>
          </w:tcPr>
          <w:p w14:paraId="63883735">
            <w:pPr>
              <w:widowControl/>
              <w:spacing w:line="360" w:lineRule="exact"/>
              <w:ind w:firstLine="0" w:firstLineChars="0"/>
              <w:jc w:val="center"/>
              <w:rPr>
                <w:rFonts w:cs="Times New Roman"/>
                <w:color w:val="auto"/>
                <w:sz w:val="21"/>
                <w:szCs w:val="21"/>
                <w:highlight w:val="none"/>
              </w:rPr>
            </w:pPr>
          </w:p>
        </w:tc>
        <w:tc>
          <w:tcPr>
            <w:tcW w:w="914" w:type="dxa"/>
            <w:vAlign w:val="center"/>
          </w:tcPr>
          <w:p w14:paraId="2D7F88E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环境风险</w:t>
            </w:r>
          </w:p>
        </w:tc>
        <w:tc>
          <w:tcPr>
            <w:tcW w:w="1519" w:type="dxa"/>
            <w:vAlign w:val="center"/>
          </w:tcPr>
          <w:p w14:paraId="222D2E1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环境风险对周围环境的影响</w:t>
            </w:r>
          </w:p>
        </w:tc>
        <w:tc>
          <w:tcPr>
            <w:tcW w:w="2611" w:type="dxa"/>
            <w:vAlign w:val="center"/>
          </w:tcPr>
          <w:p w14:paraId="045055A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771" w:type="dxa"/>
            <w:vAlign w:val="center"/>
          </w:tcPr>
          <w:p w14:paraId="215A2433">
            <w:pPr>
              <w:spacing w:line="360" w:lineRule="exact"/>
              <w:ind w:firstLine="0" w:firstLineChars="0"/>
              <w:jc w:val="center"/>
              <w:rPr>
                <w:rFonts w:hint="default" w:cs="Times New Roman"/>
                <w:color w:val="auto"/>
                <w:sz w:val="21"/>
                <w:szCs w:val="21"/>
                <w:highlight w:val="none"/>
                <w:lang w:val="en-US"/>
              </w:rPr>
            </w:pPr>
            <w:r>
              <w:rPr>
                <w:rFonts w:hint="eastAsia" w:cs="Times New Roman"/>
                <w:color w:val="auto"/>
                <w:sz w:val="21"/>
                <w:szCs w:val="21"/>
                <w:highlight w:val="none"/>
                <w:lang w:val="en-US" w:eastAsia="zh-CN"/>
              </w:rPr>
              <w:t>次氯酸钠、氨、硫化氢、废润滑油、在线监测废液</w:t>
            </w:r>
          </w:p>
        </w:tc>
      </w:tr>
    </w:tbl>
    <w:p w14:paraId="782FE879">
      <w:pPr>
        <w:spacing w:line="240" w:lineRule="auto"/>
        <w:ind w:firstLine="0" w:firstLineChars="0"/>
        <w:jc w:val="center"/>
        <w:rPr>
          <w:rFonts w:hint="eastAsia" w:cs="Times New Roman"/>
          <w:b/>
          <w:color w:val="auto"/>
          <w:szCs w:val="24"/>
          <w:highlight w:val="none"/>
          <w:lang w:val="en-US" w:eastAsia="zh-CN"/>
        </w:rPr>
      </w:pPr>
    </w:p>
    <w:p w14:paraId="08C1E5C4">
      <w:pPr>
        <w:spacing w:line="240" w:lineRule="auto"/>
        <w:ind w:firstLine="0" w:firstLineChars="0"/>
        <w:jc w:val="center"/>
        <w:rPr>
          <w:rFonts w:hint="eastAsia" w:cs="Times New Roman"/>
          <w:b/>
          <w:color w:val="auto"/>
          <w:szCs w:val="24"/>
          <w:highlight w:val="none"/>
          <w:lang w:val="en-US" w:eastAsia="zh-CN"/>
        </w:rPr>
      </w:pPr>
    </w:p>
    <w:p w14:paraId="1D77E989">
      <w:pPr>
        <w:spacing w:line="240" w:lineRule="auto"/>
        <w:ind w:firstLine="0" w:firstLineChars="0"/>
        <w:jc w:val="center"/>
        <w:rPr>
          <w:rFonts w:hint="default" w:eastAsia="宋体" w:cs="Times New Roman"/>
          <w:color w:val="auto"/>
          <w:highlight w:val="none"/>
          <w:lang w:val="en-US" w:eastAsia="zh-CN"/>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3</w:t>
      </w:r>
      <w:r>
        <w:rPr>
          <w:rFonts w:cs="Times New Roman"/>
          <w:b/>
          <w:color w:val="auto"/>
          <w:szCs w:val="24"/>
          <w:highlight w:val="none"/>
        </w:rPr>
        <w:t xml:space="preserve">   </w:t>
      </w:r>
      <w:r>
        <w:rPr>
          <w:rFonts w:hint="eastAsia" w:cs="Times New Roman"/>
          <w:b/>
          <w:color w:val="auto"/>
          <w:szCs w:val="24"/>
          <w:highlight w:val="none"/>
          <w:lang w:val="en-US" w:eastAsia="zh-CN"/>
        </w:rPr>
        <w:t>生态影响评价因子筛选表</w:t>
      </w:r>
    </w:p>
    <w:tbl>
      <w:tblPr>
        <w:tblStyle w:val="4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96"/>
        <w:gridCol w:w="2312"/>
        <w:gridCol w:w="2618"/>
        <w:gridCol w:w="1144"/>
        <w:gridCol w:w="1152"/>
      </w:tblGrid>
      <w:tr w14:paraId="0B938B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6" w:type="dxa"/>
            <w:tcBorders>
              <w:tl2br w:val="nil"/>
              <w:tr2bl w:val="nil"/>
            </w:tcBorders>
            <w:vAlign w:val="center"/>
          </w:tcPr>
          <w:p w14:paraId="510B377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受影响对象</w:t>
            </w:r>
          </w:p>
        </w:tc>
        <w:tc>
          <w:tcPr>
            <w:tcW w:w="2312" w:type="dxa"/>
            <w:tcBorders>
              <w:tl2br w:val="nil"/>
              <w:tr2bl w:val="nil"/>
            </w:tcBorders>
            <w:vAlign w:val="center"/>
          </w:tcPr>
          <w:p w14:paraId="0CBBC8AE">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评价因子</w:t>
            </w:r>
          </w:p>
        </w:tc>
        <w:tc>
          <w:tcPr>
            <w:tcW w:w="2618" w:type="dxa"/>
            <w:tcBorders>
              <w:tl2br w:val="nil"/>
              <w:tr2bl w:val="nil"/>
            </w:tcBorders>
            <w:vAlign w:val="center"/>
          </w:tcPr>
          <w:p w14:paraId="7F4A80B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工程内容及影响方式</w:t>
            </w:r>
          </w:p>
        </w:tc>
        <w:tc>
          <w:tcPr>
            <w:tcW w:w="1144" w:type="dxa"/>
            <w:tcBorders>
              <w:tl2br w:val="nil"/>
              <w:tr2bl w:val="nil"/>
            </w:tcBorders>
            <w:vAlign w:val="center"/>
          </w:tcPr>
          <w:p w14:paraId="503D4D7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影响性质</w:t>
            </w:r>
          </w:p>
        </w:tc>
        <w:tc>
          <w:tcPr>
            <w:tcW w:w="1152" w:type="dxa"/>
            <w:tcBorders>
              <w:tl2br w:val="nil"/>
              <w:tr2bl w:val="nil"/>
            </w:tcBorders>
            <w:vAlign w:val="center"/>
          </w:tcPr>
          <w:p w14:paraId="541C1249">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影响程度</w:t>
            </w:r>
          </w:p>
        </w:tc>
      </w:tr>
      <w:tr w14:paraId="2A363B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084C3470">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物种</w:t>
            </w:r>
          </w:p>
        </w:tc>
        <w:tc>
          <w:tcPr>
            <w:tcW w:w="2312" w:type="dxa"/>
            <w:tcBorders>
              <w:tl2br w:val="nil"/>
              <w:tr2bl w:val="nil"/>
            </w:tcBorders>
            <w:vAlign w:val="center"/>
          </w:tcPr>
          <w:p w14:paraId="1464AE7C">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分布范围、种群数量、种群结构、行为等</w:t>
            </w:r>
          </w:p>
        </w:tc>
        <w:tc>
          <w:tcPr>
            <w:tcW w:w="2618" w:type="dxa"/>
            <w:tcBorders>
              <w:tl2br w:val="nil"/>
              <w:tr2bl w:val="nil"/>
            </w:tcBorders>
            <w:vAlign w:val="center"/>
          </w:tcPr>
          <w:p w14:paraId="4B8A135C">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间接生态影响：施工期、运行期</w:t>
            </w:r>
            <w:r>
              <w:rPr>
                <w:rFonts w:hint="eastAsia"/>
                <w:color w:val="auto"/>
                <w:sz w:val="21"/>
                <w:szCs w:val="21"/>
                <w:highlight w:val="none"/>
                <w:lang w:val="en-US" w:eastAsia="zh-CN"/>
              </w:rPr>
              <w:t>种群数量下降或种群生存能力降低，资源减少及分布变化导致种群结构或种群动态发生变化</w:t>
            </w:r>
          </w:p>
        </w:tc>
        <w:tc>
          <w:tcPr>
            <w:tcW w:w="1144" w:type="dxa"/>
            <w:tcBorders>
              <w:tl2br w:val="nil"/>
              <w:tr2bl w:val="nil"/>
            </w:tcBorders>
            <w:vAlign w:val="center"/>
          </w:tcPr>
          <w:p w14:paraId="0CCA3F28">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cs="Times New Roman"/>
                <w:snapToGrid w:val="0"/>
                <w:color w:val="auto"/>
                <w:kern w:val="0"/>
                <w:sz w:val="21"/>
                <w:szCs w:val="21"/>
                <w:highlight w:val="none"/>
                <w:lang w:val="en-US" w:eastAsia="zh-CN"/>
              </w:rPr>
              <w:t>短期、长期</w:t>
            </w:r>
          </w:p>
        </w:tc>
        <w:tc>
          <w:tcPr>
            <w:tcW w:w="1152" w:type="dxa"/>
            <w:tcBorders>
              <w:tl2br w:val="nil"/>
              <w:tr2bl w:val="nil"/>
            </w:tcBorders>
            <w:vAlign w:val="center"/>
          </w:tcPr>
          <w:p w14:paraId="53B6564E">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中</w:t>
            </w:r>
          </w:p>
        </w:tc>
      </w:tr>
      <w:tr w14:paraId="0783E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10C96DDE">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生境</w:t>
            </w:r>
          </w:p>
        </w:tc>
        <w:tc>
          <w:tcPr>
            <w:tcW w:w="2312" w:type="dxa"/>
            <w:tcBorders>
              <w:tl2br w:val="nil"/>
              <w:tr2bl w:val="nil"/>
            </w:tcBorders>
            <w:vAlign w:val="center"/>
          </w:tcPr>
          <w:p w14:paraId="3F0533D0">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生境面积、质量、连通性等</w:t>
            </w:r>
          </w:p>
        </w:tc>
        <w:tc>
          <w:tcPr>
            <w:tcW w:w="2618" w:type="dxa"/>
            <w:tcBorders>
              <w:tl2br w:val="nil"/>
              <w:tr2bl w:val="nil"/>
            </w:tcBorders>
            <w:vAlign w:val="center"/>
          </w:tcPr>
          <w:p w14:paraId="0FB59361">
            <w:pPr>
              <w:keepNext w:val="0"/>
              <w:keepLines w:val="0"/>
              <w:pageBreakBefore w:val="0"/>
              <w:widowControl w:val="0"/>
              <w:kinsoku/>
              <w:wordWrap/>
              <w:overflowPunct/>
              <w:topLinePunct w:val="0"/>
              <w:autoSpaceDE/>
              <w:autoSpaceDN/>
              <w:bidi w:val="0"/>
              <w:spacing w:line="360" w:lineRule="exact"/>
              <w:ind w:firstLine="0" w:firstLineChars="0"/>
              <w:jc w:val="left"/>
              <w:textAlignment w:val="auto"/>
              <w:rPr>
                <w:rFonts w:hint="eastAsia"/>
                <w:color w:val="auto"/>
                <w:sz w:val="21"/>
                <w:szCs w:val="21"/>
                <w:highlight w:val="none"/>
                <w:lang w:val="en-US" w:eastAsia="zh-CN"/>
              </w:rPr>
            </w:pPr>
            <w:r>
              <w:rPr>
                <w:rFonts w:hint="eastAsia"/>
                <w:color w:val="auto"/>
                <w:sz w:val="21"/>
                <w:szCs w:val="21"/>
                <w:highlight w:val="none"/>
                <w:lang w:val="en-US" w:eastAsia="zh-CN"/>
              </w:rPr>
              <w:t>直接生态影响：施工永久占地导致生境直接破坏或丧失；施工活动以及运行期噪声、振动、灯光等对野生动物行为产生干扰；</w:t>
            </w:r>
          </w:p>
          <w:p w14:paraId="1AE676EE">
            <w:pPr>
              <w:keepNext w:val="0"/>
              <w:keepLines w:val="0"/>
              <w:pageBreakBefore w:val="0"/>
              <w:widowControl w:val="0"/>
              <w:kinsoku/>
              <w:wordWrap/>
              <w:overflowPunct/>
              <w:topLinePunct w:val="0"/>
              <w:autoSpaceDE/>
              <w:autoSpaceDN/>
              <w:bidi w:val="0"/>
              <w:spacing w:line="360" w:lineRule="exact"/>
              <w:ind w:firstLine="0" w:firstLineChars="0"/>
              <w:jc w:val="left"/>
              <w:textAlignment w:val="auto"/>
              <w:rPr>
                <w:rFonts w:hint="default"/>
                <w:color w:val="auto"/>
                <w:sz w:val="21"/>
                <w:szCs w:val="21"/>
                <w:highlight w:val="none"/>
                <w:lang w:val="en-US" w:eastAsia="zh-CN"/>
              </w:rPr>
            </w:pPr>
            <w:r>
              <w:rPr>
                <w:rFonts w:hint="eastAsia"/>
                <w:color w:val="auto"/>
                <w:sz w:val="21"/>
                <w:szCs w:val="21"/>
                <w:highlight w:val="none"/>
                <w:lang w:val="en-US" w:eastAsia="zh-CN"/>
              </w:rPr>
              <w:t>间接生态影响：生境面积和质量下降导致个体亡、</w:t>
            </w:r>
          </w:p>
        </w:tc>
        <w:tc>
          <w:tcPr>
            <w:tcW w:w="1144" w:type="dxa"/>
            <w:tcBorders>
              <w:tl2br w:val="nil"/>
              <w:tr2bl w:val="nil"/>
            </w:tcBorders>
            <w:vAlign w:val="center"/>
          </w:tcPr>
          <w:p w14:paraId="6CBAC5C1">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短期、长期</w:t>
            </w:r>
          </w:p>
        </w:tc>
        <w:tc>
          <w:tcPr>
            <w:tcW w:w="1152" w:type="dxa"/>
            <w:tcBorders>
              <w:tl2br w:val="nil"/>
              <w:tr2bl w:val="nil"/>
            </w:tcBorders>
            <w:vAlign w:val="center"/>
          </w:tcPr>
          <w:p w14:paraId="75852D61">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中</w:t>
            </w:r>
          </w:p>
        </w:tc>
      </w:tr>
      <w:tr w14:paraId="0787C1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2C5F4330">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生物群落</w:t>
            </w:r>
          </w:p>
        </w:tc>
        <w:tc>
          <w:tcPr>
            <w:tcW w:w="2312" w:type="dxa"/>
            <w:tcBorders>
              <w:tl2br w:val="nil"/>
              <w:tr2bl w:val="nil"/>
            </w:tcBorders>
            <w:vAlign w:val="center"/>
          </w:tcPr>
          <w:p w14:paraId="6FC426BA">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物种组成、群落结构等</w:t>
            </w:r>
          </w:p>
        </w:tc>
        <w:tc>
          <w:tcPr>
            <w:tcW w:w="2618" w:type="dxa"/>
            <w:tcBorders>
              <w:tl2br w:val="nil"/>
              <w:tr2bl w:val="nil"/>
            </w:tcBorders>
            <w:vAlign w:val="center"/>
          </w:tcPr>
          <w:p w14:paraId="5FA91392">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c>
          <w:tcPr>
            <w:tcW w:w="1144" w:type="dxa"/>
            <w:tcBorders>
              <w:tl2br w:val="nil"/>
              <w:tr2bl w:val="nil"/>
            </w:tcBorders>
            <w:vAlign w:val="center"/>
          </w:tcPr>
          <w:p w14:paraId="5D3854C2">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c>
          <w:tcPr>
            <w:tcW w:w="1152" w:type="dxa"/>
            <w:tcBorders>
              <w:tl2br w:val="nil"/>
              <w:tr2bl w:val="nil"/>
            </w:tcBorders>
            <w:vAlign w:val="center"/>
          </w:tcPr>
          <w:p w14:paraId="7C1062B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r>
      <w:tr w14:paraId="419DB8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5BDEDA5D">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生态系统</w:t>
            </w:r>
          </w:p>
        </w:tc>
        <w:tc>
          <w:tcPr>
            <w:tcW w:w="2312" w:type="dxa"/>
            <w:tcBorders>
              <w:tl2br w:val="nil"/>
              <w:tr2bl w:val="nil"/>
            </w:tcBorders>
            <w:vAlign w:val="center"/>
          </w:tcPr>
          <w:p w14:paraId="7E9C35F8">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植被覆盖度、生产力、生物量、生态系统功能等</w:t>
            </w:r>
          </w:p>
        </w:tc>
        <w:tc>
          <w:tcPr>
            <w:tcW w:w="2618" w:type="dxa"/>
            <w:tcBorders>
              <w:tl2br w:val="nil"/>
              <w:tr2bl w:val="nil"/>
            </w:tcBorders>
            <w:vAlign w:val="center"/>
          </w:tcPr>
          <w:p w14:paraId="6784DD7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直接生态影响：施工期占地范围内植被被破坏，</w:t>
            </w:r>
            <w:r>
              <w:rPr>
                <w:rFonts w:hint="default" w:ascii="Times New Roman" w:hAnsi="Times New Roman" w:eastAsia="宋体" w:cs="Times New Roman"/>
                <w:snapToGrid w:val="0"/>
                <w:color w:val="auto"/>
                <w:kern w:val="0"/>
                <w:sz w:val="21"/>
                <w:szCs w:val="21"/>
                <w:highlight w:val="none"/>
              </w:rPr>
              <w:t>植被覆盖度</w:t>
            </w:r>
            <w:r>
              <w:rPr>
                <w:rFonts w:hint="eastAsia" w:cs="Times New Roman"/>
                <w:snapToGrid w:val="0"/>
                <w:color w:val="auto"/>
                <w:kern w:val="0"/>
                <w:sz w:val="21"/>
                <w:szCs w:val="21"/>
                <w:highlight w:val="none"/>
                <w:lang w:val="en-US" w:eastAsia="zh-CN"/>
              </w:rPr>
              <w:t>降低</w:t>
            </w:r>
          </w:p>
        </w:tc>
        <w:tc>
          <w:tcPr>
            <w:tcW w:w="1144" w:type="dxa"/>
            <w:tcBorders>
              <w:tl2br w:val="nil"/>
              <w:tr2bl w:val="nil"/>
            </w:tcBorders>
            <w:vAlign w:val="center"/>
          </w:tcPr>
          <w:p w14:paraId="7711A5A9">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短期</w:t>
            </w:r>
          </w:p>
        </w:tc>
        <w:tc>
          <w:tcPr>
            <w:tcW w:w="1152" w:type="dxa"/>
            <w:tcBorders>
              <w:tl2br w:val="nil"/>
              <w:tr2bl w:val="nil"/>
            </w:tcBorders>
            <w:vAlign w:val="center"/>
          </w:tcPr>
          <w:p w14:paraId="51577BEA">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中</w:t>
            </w:r>
          </w:p>
        </w:tc>
      </w:tr>
      <w:tr w14:paraId="68381C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1373114A">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生物多样性</w:t>
            </w:r>
          </w:p>
        </w:tc>
        <w:tc>
          <w:tcPr>
            <w:tcW w:w="2312" w:type="dxa"/>
            <w:tcBorders>
              <w:tl2br w:val="nil"/>
              <w:tr2bl w:val="nil"/>
            </w:tcBorders>
            <w:vAlign w:val="center"/>
          </w:tcPr>
          <w:p w14:paraId="77223762">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物种丰富度、均匀度、优势度等</w:t>
            </w:r>
          </w:p>
        </w:tc>
        <w:tc>
          <w:tcPr>
            <w:tcW w:w="2618" w:type="dxa"/>
            <w:tcBorders>
              <w:tl2br w:val="nil"/>
              <w:tr2bl w:val="nil"/>
            </w:tcBorders>
            <w:vAlign w:val="center"/>
          </w:tcPr>
          <w:p w14:paraId="4AFBA4CA">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olor w:val="auto"/>
                <w:sz w:val="21"/>
                <w:szCs w:val="21"/>
                <w:highlight w:val="none"/>
                <w:lang w:val="en-US" w:eastAsia="zh-CN"/>
              </w:rPr>
              <w:t>间接生态影响：</w:t>
            </w:r>
            <w:r>
              <w:rPr>
                <w:rFonts w:hint="eastAsia" w:cs="Times New Roman"/>
                <w:snapToGrid w:val="0"/>
                <w:color w:val="auto"/>
                <w:kern w:val="0"/>
                <w:sz w:val="21"/>
                <w:szCs w:val="21"/>
                <w:highlight w:val="none"/>
                <w:lang w:val="en-US" w:eastAsia="zh-CN"/>
              </w:rPr>
              <w:t>施工期、运营期生物多样性有所下降</w:t>
            </w:r>
          </w:p>
        </w:tc>
        <w:tc>
          <w:tcPr>
            <w:tcW w:w="1144" w:type="dxa"/>
            <w:tcBorders>
              <w:tl2br w:val="nil"/>
              <w:tr2bl w:val="nil"/>
            </w:tcBorders>
            <w:vAlign w:val="center"/>
          </w:tcPr>
          <w:p w14:paraId="3FA5D59E">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长期</w:t>
            </w:r>
          </w:p>
        </w:tc>
        <w:tc>
          <w:tcPr>
            <w:tcW w:w="1152" w:type="dxa"/>
            <w:tcBorders>
              <w:tl2br w:val="nil"/>
              <w:tr2bl w:val="nil"/>
            </w:tcBorders>
            <w:vAlign w:val="center"/>
          </w:tcPr>
          <w:p w14:paraId="211CB018">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中</w:t>
            </w:r>
          </w:p>
        </w:tc>
      </w:tr>
      <w:tr w14:paraId="6E1093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43A0674B">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生态敏感区</w:t>
            </w:r>
          </w:p>
        </w:tc>
        <w:tc>
          <w:tcPr>
            <w:tcW w:w="2312" w:type="dxa"/>
            <w:tcBorders>
              <w:tl2br w:val="nil"/>
              <w:tr2bl w:val="nil"/>
            </w:tcBorders>
            <w:vAlign w:val="center"/>
          </w:tcPr>
          <w:p w14:paraId="486E840D">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主要保护对象、生态功能等</w:t>
            </w:r>
          </w:p>
        </w:tc>
        <w:tc>
          <w:tcPr>
            <w:tcW w:w="2618" w:type="dxa"/>
            <w:tcBorders>
              <w:tl2br w:val="nil"/>
              <w:tr2bl w:val="nil"/>
            </w:tcBorders>
            <w:vAlign w:val="center"/>
          </w:tcPr>
          <w:p w14:paraId="4E3E7D1E">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c>
          <w:tcPr>
            <w:tcW w:w="1144" w:type="dxa"/>
            <w:tcBorders>
              <w:tl2br w:val="nil"/>
              <w:tr2bl w:val="nil"/>
            </w:tcBorders>
            <w:vAlign w:val="center"/>
          </w:tcPr>
          <w:p w14:paraId="5C2D8333">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c>
          <w:tcPr>
            <w:tcW w:w="1152" w:type="dxa"/>
            <w:tcBorders>
              <w:tl2br w:val="nil"/>
              <w:tr2bl w:val="nil"/>
            </w:tcBorders>
            <w:vAlign w:val="center"/>
          </w:tcPr>
          <w:p w14:paraId="1AF14E5E">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无</w:t>
            </w:r>
          </w:p>
        </w:tc>
      </w:tr>
      <w:tr w14:paraId="3E3327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7207ABB7">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自然景观</w:t>
            </w:r>
          </w:p>
        </w:tc>
        <w:tc>
          <w:tcPr>
            <w:tcW w:w="2312" w:type="dxa"/>
            <w:tcBorders>
              <w:tl2br w:val="nil"/>
              <w:tr2bl w:val="nil"/>
            </w:tcBorders>
            <w:vAlign w:val="center"/>
          </w:tcPr>
          <w:p w14:paraId="05AC34E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景观多样性、完整性等</w:t>
            </w:r>
          </w:p>
        </w:tc>
        <w:tc>
          <w:tcPr>
            <w:tcW w:w="2618" w:type="dxa"/>
            <w:tcBorders>
              <w:tl2br w:val="nil"/>
              <w:tr2bl w:val="nil"/>
            </w:tcBorders>
            <w:vAlign w:val="center"/>
          </w:tcPr>
          <w:p w14:paraId="459CB558">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c>
          <w:tcPr>
            <w:tcW w:w="1144" w:type="dxa"/>
            <w:tcBorders>
              <w:tl2br w:val="nil"/>
              <w:tr2bl w:val="nil"/>
            </w:tcBorders>
            <w:vAlign w:val="center"/>
          </w:tcPr>
          <w:p w14:paraId="72E6603B">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w:t>
            </w:r>
          </w:p>
        </w:tc>
        <w:tc>
          <w:tcPr>
            <w:tcW w:w="1152" w:type="dxa"/>
            <w:tcBorders>
              <w:tl2br w:val="nil"/>
              <w:tr2bl w:val="nil"/>
            </w:tcBorders>
            <w:vAlign w:val="center"/>
          </w:tcPr>
          <w:p w14:paraId="6B2A0716">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无</w:t>
            </w:r>
          </w:p>
        </w:tc>
      </w:tr>
      <w:tr w14:paraId="45DE46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96" w:type="dxa"/>
            <w:tcBorders>
              <w:tl2br w:val="nil"/>
              <w:tr2bl w:val="nil"/>
            </w:tcBorders>
            <w:vAlign w:val="center"/>
          </w:tcPr>
          <w:p w14:paraId="70749E51">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rPr>
            </w:pPr>
            <w:r>
              <w:rPr>
                <w:rFonts w:hint="eastAsia" w:ascii="Times New Roman" w:hAnsi="Times New Roman" w:eastAsia="宋体" w:cs="Times New Roman"/>
                <w:snapToGrid w:val="0"/>
                <w:color w:val="auto"/>
                <w:kern w:val="0"/>
                <w:sz w:val="21"/>
                <w:szCs w:val="21"/>
                <w:highlight w:val="none"/>
              </w:rPr>
              <w:t>自然遗迹</w:t>
            </w:r>
          </w:p>
        </w:tc>
        <w:tc>
          <w:tcPr>
            <w:tcW w:w="2312" w:type="dxa"/>
            <w:tcBorders>
              <w:tl2br w:val="nil"/>
              <w:tr2bl w:val="nil"/>
            </w:tcBorders>
            <w:vAlign w:val="center"/>
          </w:tcPr>
          <w:p w14:paraId="54F4BD8F">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遗迹多样性、完整性等</w:t>
            </w:r>
          </w:p>
        </w:tc>
        <w:tc>
          <w:tcPr>
            <w:tcW w:w="2618" w:type="dxa"/>
            <w:tcBorders>
              <w:tl2br w:val="nil"/>
              <w:tr2bl w:val="nil"/>
            </w:tcBorders>
            <w:vAlign w:val="center"/>
          </w:tcPr>
          <w:p w14:paraId="2C3CD063">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cs="Times New Roman"/>
                <w:snapToGrid w:val="0"/>
                <w:color w:val="auto"/>
                <w:kern w:val="0"/>
                <w:sz w:val="21"/>
                <w:szCs w:val="21"/>
                <w:highlight w:val="none"/>
                <w:lang w:val="en-US" w:eastAsia="zh-CN"/>
              </w:rPr>
              <w:t>/</w:t>
            </w:r>
          </w:p>
        </w:tc>
        <w:tc>
          <w:tcPr>
            <w:tcW w:w="1144" w:type="dxa"/>
            <w:tcBorders>
              <w:tl2br w:val="nil"/>
              <w:tr2bl w:val="nil"/>
            </w:tcBorders>
            <w:vAlign w:val="center"/>
          </w:tcPr>
          <w:p w14:paraId="33810048">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default" w:ascii="Times New Roman" w:hAnsi="Times New Roman" w:eastAsia="宋体" w:cs="Times New Roman"/>
                <w:snapToGrid w:val="0"/>
                <w:color w:val="auto"/>
                <w:kern w:val="0"/>
                <w:sz w:val="21"/>
                <w:szCs w:val="21"/>
                <w:highlight w:val="none"/>
              </w:rPr>
            </w:pPr>
            <w:r>
              <w:rPr>
                <w:rFonts w:hint="eastAsia" w:cs="Times New Roman"/>
                <w:snapToGrid w:val="0"/>
                <w:color w:val="auto"/>
                <w:kern w:val="0"/>
                <w:sz w:val="21"/>
                <w:szCs w:val="21"/>
                <w:highlight w:val="none"/>
                <w:lang w:val="en-US" w:eastAsia="zh-CN"/>
              </w:rPr>
              <w:t>/</w:t>
            </w:r>
          </w:p>
        </w:tc>
        <w:tc>
          <w:tcPr>
            <w:tcW w:w="1152" w:type="dxa"/>
            <w:tcBorders>
              <w:tl2br w:val="nil"/>
              <w:tr2bl w:val="nil"/>
            </w:tcBorders>
            <w:vAlign w:val="center"/>
          </w:tcPr>
          <w:p w14:paraId="6A5B5BB9">
            <w:pPr>
              <w:keepNext w:val="0"/>
              <w:keepLines w:val="0"/>
              <w:pageBreakBefore w:val="0"/>
              <w:widowControl w:val="0"/>
              <w:kinsoku/>
              <w:wordWrap/>
              <w:overflowPunct/>
              <w:topLinePunct w:val="0"/>
              <w:autoSpaceDE/>
              <w:autoSpaceDN/>
              <w:bidi w:val="0"/>
              <w:spacing w:line="360" w:lineRule="exact"/>
              <w:ind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无</w:t>
            </w:r>
          </w:p>
        </w:tc>
      </w:tr>
      <w:tr w14:paraId="060167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5"/>
            <w:tcBorders>
              <w:tl2br w:val="nil"/>
              <w:tr2bl w:val="nil"/>
            </w:tcBorders>
            <w:vAlign w:val="center"/>
          </w:tcPr>
          <w:p w14:paraId="52499B7E">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注 1：应按施工期、运行期以及服务期满后（可根据项目情况选择）等不同阶段进行工程分析和评价因子筛选。</w:t>
            </w:r>
          </w:p>
          <w:p w14:paraId="3B8C6278">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注 2：影响性质主要包括长期与短期、可逆与不可逆生态影响。</w:t>
            </w:r>
          </w:p>
          <w:p w14:paraId="6D661AF9">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注 3：影响方式可分为直接、间接、累积生态影响，可依据以下内容进行判断：</w:t>
            </w:r>
          </w:p>
          <w:p w14:paraId="04E28D3A">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a） 直接生态影响：临时、永久占地导致生境直接破坏或丧失；工程施工、运行导致个体直接死亡；物种迁徙（或洄游）、扩散、种群交流受到阻隔；施工活动以及运行期噪声、振动、灯光等对野生动物行为产生干扰；工程建设改变河流、湖泊等水体天然状态等；</w:t>
            </w:r>
          </w:p>
          <w:p w14:paraId="13754072">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b） 间接生态影响：水文情势变化导致生境条件、水生生态系统发生变化；地下水水位、土壤理化特性变化导致动植物群落发生变化；生境面积和质量下降导致个体死亡、种群数量下降或种群生存能力降低；资源减少及分布变化导致种群结构或种群动态发生变化；因阻隔影响造成种群间基因交流减少，导致小种群灭绝风险增加；滞后效应（例如，由于关键种的消失使捕食者和被捕食者的关系发生变化）等；</w:t>
            </w:r>
          </w:p>
          <w:p w14:paraId="673EDC1C">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c） 累积生态影响：整个区域生境的逐渐丧失和破碎化；在景观尺度上生境的多样性减少；不可逆转的生物多样性下降；生态系统持续退化等。</w:t>
            </w:r>
          </w:p>
          <w:p w14:paraId="76B3265B">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注 4：影响程度可分为强、中、弱、无四个等级，可依据以下原则进行初步判断：</w:t>
            </w:r>
          </w:p>
          <w:p w14:paraId="7EE68966">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a） 强：生境受到严重破坏，水系开放连通性受到显著影响；野生动植物难以栖息繁衍（或生长繁殖），物种种类明显减少，种群数量显著下降，种群结构明显改变；生物多样性显著下降，生态系统结构和功能受到严重损害，生态系统稳定性难以维持；自然景观、自然遗迹受到永久性破坏；生态修复难度较大；</w:t>
            </w:r>
          </w:p>
          <w:p w14:paraId="1E532B7E">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b） 中：生境受到一定程度破坏，水系开放连通性受到一定程度影响；野生动植物栖息繁衍（或生长繁殖）受到一定程度干扰，物种种类减少，种群数量下降，种群结构改变；生物多样性有所下降，生态系统结构和功能受到一定程度破坏，生态系统稳定性受到一定程度干扰；自然景观、自然遗迹受到暂时性影响；通过采取一定措施上述不利影响可以得到减缓和控制，生态修复难度一般；</w:t>
            </w:r>
          </w:p>
          <w:p w14:paraId="3EDB8846">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rFonts w:hint="eastAsia"/>
                <w:color w:val="auto"/>
                <w:sz w:val="21"/>
                <w:szCs w:val="21"/>
                <w:highlight w:val="none"/>
              </w:rPr>
            </w:pPr>
            <w:r>
              <w:rPr>
                <w:rFonts w:hint="eastAsia"/>
                <w:color w:val="auto"/>
                <w:sz w:val="21"/>
                <w:szCs w:val="21"/>
                <w:highlight w:val="none"/>
              </w:rPr>
              <w:t>c） 弱：生境受到暂时性破坏，水系开放连通性变化不大；野生动植物栖息繁衍（或生长繁殖）受到暂时性干扰，物种种类、种群数量、种群结构变化不大；生物多样性、生态系统结构、功能以及生态系统稳定性基本维持现状；自然景观、自然遗迹基本未受到破坏；在干扰消失后可以修复或自然恢复；</w:t>
            </w:r>
          </w:p>
          <w:p w14:paraId="18E8FFDC">
            <w:pPr>
              <w:pStyle w:val="36"/>
              <w:keepNext w:val="0"/>
              <w:keepLines w:val="0"/>
              <w:pageBreakBefore w:val="0"/>
              <w:widowControl w:val="0"/>
              <w:kinsoku/>
              <w:wordWrap/>
              <w:overflowPunct/>
              <w:topLinePunct w:val="0"/>
              <w:autoSpaceDE/>
              <w:autoSpaceDN/>
              <w:bidi w:val="0"/>
              <w:spacing w:line="360" w:lineRule="exact"/>
              <w:ind w:left="0" w:leftChars="0" w:firstLine="0" w:firstLineChars="0"/>
              <w:textAlignment w:val="auto"/>
              <w:rPr>
                <w:color w:val="auto"/>
                <w:sz w:val="21"/>
                <w:szCs w:val="21"/>
                <w:highlight w:val="none"/>
              </w:rPr>
            </w:pPr>
            <w:r>
              <w:rPr>
                <w:rFonts w:hint="eastAsia"/>
                <w:color w:val="auto"/>
                <w:sz w:val="21"/>
                <w:szCs w:val="21"/>
                <w:highlight w:val="none"/>
              </w:rPr>
              <w:t>d） 无：生境未受到破坏，水系开放连通性未受到影响；野生动植物栖息繁衍（或生长繁殖）未受到影响；生物多样性、生态系统结构、功能以及生态系统稳定性维持现状；自然景观、自然遗迹未受到破坏。</w:t>
            </w:r>
          </w:p>
        </w:tc>
      </w:tr>
    </w:tbl>
    <w:p w14:paraId="6AF2284C">
      <w:pPr>
        <w:pStyle w:val="4"/>
        <w:spacing w:after="156"/>
        <w:rPr>
          <w:rFonts w:cs="Times New Roman"/>
          <w:color w:val="auto"/>
          <w:highlight w:val="none"/>
        </w:rPr>
      </w:pPr>
      <w:bookmarkStart w:id="52" w:name="_Toc23833"/>
      <w:r>
        <w:rPr>
          <w:rFonts w:cs="Times New Roman"/>
          <w:color w:val="auto"/>
          <w:highlight w:val="none"/>
        </w:rPr>
        <w:t>2.2.2 评价标准</w:t>
      </w:r>
      <w:bookmarkEnd w:id="52"/>
    </w:p>
    <w:p w14:paraId="2C6E87EF">
      <w:pPr>
        <w:rPr>
          <w:rFonts w:cs="Times New Roman"/>
          <w:color w:val="auto"/>
          <w:szCs w:val="24"/>
          <w:highlight w:val="none"/>
        </w:rPr>
      </w:pPr>
      <w:r>
        <w:rPr>
          <w:rFonts w:cs="Times New Roman"/>
          <w:color w:val="auto"/>
          <w:szCs w:val="24"/>
          <w:highlight w:val="none"/>
        </w:rPr>
        <w:t>根据项目性质和特点，所在地区环境功能、环境特征，确定本评价采用的标准如下：</w:t>
      </w:r>
    </w:p>
    <w:p w14:paraId="62298A12">
      <w:pPr>
        <w:pStyle w:val="452"/>
        <w:spacing w:before="0" w:beforeLines="0" w:after="0" w:afterLines="0"/>
        <w:outlineLvl w:val="3"/>
        <w:rPr>
          <w:rFonts w:eastAsia="宋体" w:cs="Times New Roman"/>
          <w:b/>
          <w:color w:val="auto"/>
          <w:highlight w:val="none"/>
        </w:rPr>
      </w:pPr>
      <w:bookmarkStart w:id="53" w:name="_Toc16033"/>
      <w:bookmarkStart w:id="54" w:name="_Toc12405"/>
      <w:bookmarkStart w:id="55" w:name="_Toc16704"/>
      <w:r>
        <w:rPr>
          <w:rFonts w:eastAsia="宋体" w:cs="Times New Roman"/>
          <w:b/>
          <w:color w:val="auto"/>
          <w:highlight w:val="none"/>
        </w:rPr>
        <w:t>2.2.2.1 环境质量标准</w:t>
      </w:r>
      <w:bookmarkEnd w:id="53"/>
      <w:bookmarkEnd w:id="54"/>
      <w:bookmarkEnd w:id="55"/>
    </w:p>
    <w:p w14:paraId="7007B662">
      <w:pPr>
        <w:ind w:firstLine="482"/>
        <w:rPr>
          <w:rFonts w:cs="Times New Roman"/>
          <w:color w:val="auto"/>
          <w:szCs w:val="24"/>
          <w:highlight w:val="none"/>
        </w:rPr>
      </w:pPr>
      <w:r>
        <w:rPr>
          <w:rFonts w:cs="Times New Roman"/>
          <w:b/>
          <w:bCs/>
          <w:color w:val="auto"/>
          <w:szCs w:val="24"/>
          <w:highlight w:val="none"/>
        </w:rPr>
        <w:t>1、环境空气质量标准</w:t>
      </w:r>
    </w:p>
    <w:p w14:paraId="3B592D51">
      <w:pPr>
        <w:pStyle w:val="82"/>
        <w:ind w:firstLine="480"/>
        <w:rPr>
          <w:rFonts w:ascii="Times New Roman" w:hAnsi="Times New Roman" w:cs="Times New Roman"/>
          <w:snapToGrid w:val="0"/>
          <w:color w:val="auto"/>
          <w:sz w:val="24"/>
          <w:szCs w:val="24"/>
          <w:highlight w:val="none"/>
        </w:rPr>
      </w:pPr>
      <w:r>
        <w:rPr>
          <w:rFonts w:ascii="Times New Roman" w:hAnsi="Times New Roman" w:cs="Times New Roman"/>
          <w:color w:val="auto"/>
          <w:sz w:val="24"/>
          <w:szCs w:val="24"/>
          <w:highlight w:val="none"/>
        </w:rPr>
        <w:t>本项目所在区域属于《环境空气质量标准》（GB3095-2012）及2018年修改单中二类区，基本污染物执行《环境空气质量标准》（GB3095-2012）及2018年修改单中二级标准。其他污染物氨、H</w:t>
      </w:r>
      <w:r>
        <w:rPr>
          <w:rFonts w:ascii="Times New Roman" w:hAnsi="Times New Roman" w:cs="Times New Roman"/>
          <w:color w:val="auto"/>
          <w:sz w:val="24"/>
          <w:szCs w:val="24"/>
          <w:highlight w:val="none"/>
          <w:vertAlign w:val="subscript"/>
        </w:rPr>
        <w:t>2</w:t>
      </w:r>
      <w:r>
        <w:rPr>
          <w:rFonts w:ascii="Times New Roman" w:hAnsi="Times New Roman" w:cs="Times New Roman"/>
          <w:color w:val="auto"/>
          <w:sz w:val="24"/>
          <w:szCs w:val="24"/>
          <w:highlight w:val="none"/>
        </w:rPr>
        <w:t>S执行《环境影响评价技术导则 大气环境》（HJ2.2-2018）中</w:t>
      </w:r>
      <w:r>
        <w:rPr>
          <w:rFonts w:ascii="Times New Roman" w:hAnsi="Times New Roman" w:cs="Times New Roman"/>
          <w:color w:val="auto"/>
          <w:kern w:val="0"/>
          <w:sz w:val="24"/>
          <w:szCs w:val="24"/>
          <w:highlight w:val="none"/>
        </w:rPr>
        <w:t>附录D中其他污染物空气质量浓度参考限值</w:t>
      </w:r>
      <w:r>
        <w:rPr>
          <w:rFonts w:ascii="Times New Roman" w:hAnsi="Times New Roman" w:cs="Times New Roman"/>
          <w:color w:val="auto"/>
          <w:sz w:val="24"/>
          <w:szCs w:val="24"/>
          <w:highlight w:val="none"/>
        </w:rPr>
        <w:t>，TSP执行《环境空气质量标准》（GB3095-2012）及2018年修改单中二级标准，标准值见表2</w:t>
      </w:r>
      <w:r>
        <w:rPr>
          <w:rFonts w:hint="eastAsia" w:ascii="Times New Roman" w:hAnsi="Times New Roman" w:cs="Times New Roman"/>
          <w:color w:val="auto"/>
          <w:sz w:val="24"/>
          <w:szCs w:val="24"/>
          <w:highlight w:val="none"/>
          <w:lang w:val="en-US" w:eastAsia="zh-CN"/>
        </w:rPr>
        <w:t>.</w:t>
      </w:r>
      <w:r>
        <w:rPr>
          <w:rFonts w:ascii="Times New Roman" w:hAnsi="Times New Roman" w:cs="Times New Roman"/>
          <w:color w:val="auto"/>
          <w:sz w:val="24"/>
          <w:szCs w:val="24"/>
          <w:highlight w:val="none"/>
        </w:rPr>
        <w:t>2-</w:t>
      </w:r>
      <w:r>
        <w:rPr>
          <w:rFonts w:hint="eastAsia" w:ascii="Times New Roman" w:hAnsi="Times New Roman" w:cs="Times New Roman"/>
          <w:color w:val="auto"/>
          <w:sz w:val="24"/>
          <w:szCs w:val="24"/>
          <w:highlight w:val="none"/>
          <w:lang w:val="en-US" w:eastAsia="zh-CN"/>
        </w:rPr>
        <w:t>4</w:t>
      </w:r>
      <w:r>
        <w:rPr>
          <w:rFonts w:ascii="Times New Roman" w:hAnsi="Times New Roman" w:cs="Times New Roman"/>
          <w:color w:val="auto"/>
          <w:sz w:val="24"/>
          <w:szCs w:val="24"/>
          <w:highlight w:val="none"/>
        </w:rPr>
        <w:t>。</w:t>
      </w:r>
    </w:p>
    <w:p w14:paraId="6DBE4F0E">
      <w:pPr>
        <w:spacing w:line="240" w:lineRule="auto"/>
        <w:ind w:firstLine="482"/>
        <w:jc w:val="right"/>
        <w:rPr>
          <w:rFonts w:cs="Times New Roman"/>
          <w:b/>
          <w:color w:val="auto"/>
          <w:szCs w:val="24"/>
          <w:highlight w:val="none"/>
        </w:rPr>
      </w:pPr>
      <w:r>
        <w:rPr>
          <w:rFonts w:cs="Times New Roman"/>
          <w:b/>
          <w:color w:val="auto"/>
          <w:szCs w:val="24"/>
          <w:highlight w:val="none"/>
        </w:rPr>
        <w:t>2</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4</w:t>
      </w:r>
      <w:r>
        <w:rPr>
          <w:rFonts w:cs="Times New Roman"/>
          <w:b/>
          <w:color w:val="auto"/>
          <w:szCs w:val="24"/>
          <w:highlight w:val="none"/>
        </w:rPr>
        <w:t xml:space="preserve">  环境空气质量标准                 单位：μg/m</w:t>
      </w:r>
      <w:r>
        <w:rPr>
          <w:rFonts w:cs="Times New Roman"/>
          <w:b/>
          <w:color w:val="auto"/>
          <w:szCs w:val="24"/>
          <w:highlight w:val="none"/>
          <w:vertAlign w:val="superscript"/>
        </w:rPr>
        <w:t>3</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802"/>
        <w:gridCol w:w="1387"/>
        <w:gridCol w:w="2114"/>
        <w:gridCol w:w="2014"/>
      </w:tblGrid>
      <w:tr w14:paraId="5A2A11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38" w:hRule="atLeast"/>
          <w:tblHeader/>
          <w:jc w:val="center"/>
        </w:trPr>
        <w:tc>
          <w:tcPr>
            <w:tcW w:w="2802" w:type="dxa"/>
            <w:vAlign w:val="center"/>
          </w:tcPr>
          <w:p w14:paraId="6701B61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标准来源</w:t>
            </w:r>
          </w:p>
        </w:tc>
        <w:tc>
          <w:tcPr>
            <w:tcW w:w="1387" w:type="dxa"/>
            <w:vAlign w:val="center"/>
          </w:tcPr>
          <w:p w14:paraId="0EF397E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污染物名称</w:t>
            </w:r>
          </w:p>
        </w:tc>
        <w:tc>
          <w:tcPr>
            <w:tcW w:w="2114" w:type="dxa"/>
            <w:vAlign w:val="center"/>
          </w:tcPr>
          <w:p w14:paraId="0353340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取样时间</w:t>
            </w:r>
          </w:p>
        </w:tc>
        <w:tc>
          <w:tcPr>
            <w:tcW w:w="2014" w:type="dxa"/>
            <w:vAlign w:val="center"/>
          </w:tcPr>
          <w:p w14:paraId="65A7FDC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二级标准值</w:t>
            </w:r>
          </w:p>
        </w:tc>
      </w:tr>
      <w:tr w14:paraId="055003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restart"/>
            <w:vAlign w:val="center"/>
          </w:tcPr>
          <w:p w14:paraId="44A77D7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《环境空气质量标准》</w:t>
            </w:r>
          </w:p>
          <w:p w14:paraId="2CD05F7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（GB3095-2012）及2018年修改单二级标准</w:t>
            </w:r>
          </w:p>
        </w:tc>
        <w:tc>
          <w:tcPr>
            <w:tcW w:w="1387" w:type="dxa"/>
            <w:vMerge w:val="restart"/>
            <w:vAlign w:val="center"/>
          </w:tcPr>
          <w:p w14:paraId="1E14286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PM</w:t>
            </w:r>
            <w:r>
              <w:rPr>
                <w:rFonts w:cs="Times New Roman"/>
                <w:color w:val="auto"/>
                <w:sz w:val="21"/>
                <w:szCs w:val="21"/>
                <w:highlight w:val="none"/>
                <w:vertAlign w:val="subscript"/>
              </w:rPr>
              <w:t>10</w:t>
            </w:r>
          </w:p>
        </w:tc>
        <w:tc>
          <w:tcPr>
            <w:tcW w:w="2114" w:type="dxa"/>
            <w:vAlign w:val="center"/>
          </w:tcPr>
          <w:p w14:paraId="22AC4F8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24小时平均</w:t>
            </w:r>
          </w:p>
        </w:tc>
        <w:tc>
          <w:tcPr>
            <w:tcW w:w="2014" w:type="dxa"/>
            <w:vAlign w:val="center"/>
          </w:tcPr>
          <w:p w14:paraId="6E05D49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150</w:t>
            </w:r>
          </w:p>
        </w:tc>
      </w:tr>
      <w:tr w14:paraId="10A74E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6DAD0526">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2A2D0327">
            <w:pPr>
              <w:widowControl/>
              <w:spacing w:line="360" w:lineRule="exact"/>
              <w:ind w:firstLine="0" w:firstLineChars="0"/>
              <w:jc w:val="center"/>
              <w:rPr>
                <w:rFonts w:cs="Times New Roman"/>
                <w:color w:val="auto"/>
                <w:sz w:val="21"/>
                <w:szCs w:val="21"/>
                <w:highlight w:val="none"/>
              </w:rPr>
            </w:pPr>
          </w:p>
        </w:tc>
        <w:tc>
          <w:tcPr>
            <w:tcW w:w="2114" w:type="dxa"/>
            <w:vAlign w:val="center"/>
          </w:tcPr>
          <w:p w14:paraId="4723C7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年平均</w:t>
            </w:r>
          </w:p>
        </w:tc>
        <w:tc>
          <w:tcPr>
            <w:tcW w:w="2014" w:type="dxa"/>
            <w:vAlign w:val="center"/>
          </w:tcPr>
          <w:p w14:paraId="729CF2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70</w:t>
            </w:r>
          </w:p>
        </w:tc>
      </w:tr>
      <w:tr w14:paraId="1D7ED2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5B544F2D">
            <w:pPr>
              <w:spacing w:line="360" w:lineRule="exact"/>
              <w:ind w:firstLine="0" w:firstLineChars="0"/>
              <w:jc w:val="center"/>
              <w:rPr>
                <w:rFonts w:cs="Times New Roman"/>
                <w:color w:val="auto"/>
                <w:sz w:val="21"/>
                <w:szCs w:val="21"/>
                <w:highlight w:val="none"/>
              </w:rPr>
            </w:pPr>
          </w:p>
        </w:tc>
        <w:tc>
          <w:tcPr>
            <w:tcW w:w="1387" w:type="dxa"/>
            <w:vMerge w:val="restart"/>
            <w:vAlign w:val="center"/>
          </w:tcPr>
          <w:p w14:paraId="2C5156A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PM</w:t>
            </w:r>
            <w:r>
              <w:rPr>
                <w:rFonts w:cs="Times New Roman"/>
                <w:color w:val="auto"/>
                <w:sz w:val="21"/>
                <w:szCs w:val="21"/>
                <w:highlight w:val="none"/>
                <w:vertAlign w:val="subscript"/>
              </w:rPr>
              <w:t>2.5</w:t>
            </w:r>
          </w:p>
        </w:tc>
        <w:tc>
          <w:tcPr>
            <w:tcW w:w="2114" w:type="dxa"/>
            <w:vAlign w:val="center"/>
          </w:tcPr>
          <w:p w14:paraId="396C49E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24小时平均</w:t>
            </w:r>
          </w:p>
        </w:tc>
        <w:tc>
          <w:tcPr>
            <w:tcW w:w="2014" w:type="dxa"/>
            <w:vAlign w:val="center"/>
          </w:tcPr>
          <w:p w14:paraId="1099C4B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75</w:t>
            </w:r>
          </w:p>
        </w:tc>
      </w:tr>
      <w:tr w14:paraId="249D5C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22D256AA">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7A5E8320">
            <w:pPr>
              <w:widowControl/>
              <w:spacing w:line="360" w:lineRule="exact"/>
              <w:ind w:firstLine="0" w:firstLineChars="0"/>
              <w:jc w:val="center"/>
              <w:rPr>
                <w:rFonts w:cs="Times New Roman"/>
                <w:color w:val="auto"/>
                <w:sz w:val="21"/>
                <w:szCs w:val="21"/>
                <w:highlight w:val="none"/>
              </w:rPr>
            </w:pPr>
          </w:p>
        </w:tc>
        <w:tc>
          <w:tcPr>
            <w:tcW w:w="2114" w:type="dxa"/>
            <w:vAlign w:val="center"/>
          </w:tcPr>
          <w:p w14:paraId="3FAE103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年平均</w:t>
            </w:r>
          </w:p>
        </w:tc>
        <w:tc>
          <w:tcPr>
            <w:tcW w:w="2014" w:type="dxa"/>
            <w:vAlign w:val="center"/>
          </w:tcPr>
          <w:p w14:paraId="28F43E8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35</w:t>
            </w:r>
          </w:p>
        </w:tc>
      </w:tr>
      <w:tr w14:paraId="7F363C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761F3EE1">
            <w:pPr>
              <w:spacing w:line="360" w:lineRule="exact"/>
              <w:ind w:firstLine="0" w:firstLineChars="0"/>
              <w:jc w:val="center"/>
              <w:rPr>
                <w:rFonts w:cs="Times New Roman"/>
                <w:color w:val="auto"/>
                <w:sz w:val="21"/>
                <w:szCs w:val="21"/>
                <w:highlight w:val="none"/>
              </w:rPr>
            </w:pPr>
          </w:p>
        </w:tc>
        <w:tc>
          <w:tcPr>
            <w:tcW w:w="1387" w:type="dxa"/>
            <w:vMerge w:val="restart"/>
            <w:vAlign w:val="center"/>
          </w:tcPr>
          <w:p w14:paraId="62395CE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SO</w:t>
            </w:r>
            <w:r>
              <w:rPr>
                <w:rFonts w:cs="Times New Roman"/>
                <w:color w:val="auto"/>
                <w:sz w:val="21"/>
                <w:szCs w:val="21"/>
                <w:highlight w:val="none"/>
                <w:vertAlign w:val="subscript"/>
              </w:rPr>
              <w:t>2</w:t>
            </w:r>
          </w:p>
        </w:tc>
        <w:tc>
          <w:tcPr>
            <w:tcW w:w="2114" w:type="dxa"/>
            <w:vAlign w:val="center"/>
          </w:tcPr>
          <w:p w14:paraId="4F11EF1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24小时平均</w:t>
            </w:r>
          </w:p>
        </w:tc>
        <w:tc>
          <w:tcPr>
            <w:tcW w:w="2014" w:type="dxa"/>
            <w:vAlign w:val="center"/>
          </w:tcPr>
          <w:p w14:paraId="0AA9ABC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150</w:t>
            </w:r>
          </w:p>
        </w:tc>
      </w:tr>
      <w:tr w14:paraId="71415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1804621D">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492A9008">
            <w:pPr>
              <w:widowControl/>
              <w:spacing w:line="360" w:lineRule="exact"/>
              <w:ind w:firstLine="0" w:firstLineChars="0"/>
              <w:jc w:val="center"/>
              <w:rPr>
                <w:rFonts w:cs="Times New Roman"/>
                <w:color w:val="auto"/>
                <w:sz w:val="21"/>
                <w:szCs w:val="21"/>
                <w:highlight w:val="none"/>
              </w:rPr>
            </w:pPr>
          </w:p>
        </w:tc>
        <w:tc>
          <w:tcPr>
            <w:tcW w:w="2114" w:type="dxa"/>
            <w:vAlign w:val="center"/>
          </w:tcPr>
          <w:p w14:paraId="14A0B5E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2014" w:type="dxa"/>
            <w:vAlign w:val="center"/>
          </w:tcPr>
          <w:p w14:paraId="46EED41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500</w:t>
            </w:r>
          </w:p>
        </w:tc>
      </w:tr>
      <w:tr w14:paraId="783F99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69A86870">
            <w:pPr>
              <w:spacing w:line="360" w:lineRule="exact"/>
              <w:ind w:firstLine="0" w:firstLineChars="0"/>
              <w:jc w:val="center"/>
              <w:rPr>
                <w:rFonts w:cs="Times New Roman"/>
                <w:color w:val="auto"/>
                <w:sz w:val="21"/>
                <w:szCs w:val="21"/>
                <w:highlight w:val="none"/>
              </w:rPr>
            </w:pPr>
          </w:p>
        </w:tc>
        <w:tc>
          <w:tcPr>
            <w:tcW w:w="1387" w:type="dxa"/>
            <w:vMerge w:val="restart"/>
            <w:vAlign w:val="center"/>
          </w:tcPr>
          <w:p w14:paraId="27B9A52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NO</w:t>
            </w:r>
            <w:r>
              <w:rPr>
                <w:rFonts w:cs="Times New Roman"/>
                <w:color w:val="auto"/>
                <w:sz w:val="21"/>
                <w:szCs w:val="21"/>
                <w:highlight w:val="none"/>
                <w:vertAlign w:val="subscript"/>
              </w:rPr>
              <w:t>2</w:t>
            </w:r>
          </w:p>
        </w:tc>
        <w:tc>
          <w:tcPr>
            <w:tcW w:w="2114" w:type="dxa"/>
            <w:vAlign w:val="center"/>
          </w:tcPr>
          <w:p w14:paraId="1F934E4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24小时平均</w:t>
            </w:r>
          </w:p>
        </w:tc>
        <w:tc>
          <w:tcPr>
            <w:tcW w:w="2014" w:type="dxa"/>
            <w:vAlign w:val="center"/>
          </w:tcPr>
          <w:p w14:paraId="0DC4889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80</w:t>
            </w:r>
          </w:p>
        </w:tc>
      </w:tr>
      <w:tr w14:paraId="4DC0F6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797A332C">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73EFCBAF">
            <w:pPr>
              <w:widowControl/>
              <w:spacing w:line="360" w:lineRule="exact"/>
              <w:ind w:firstLine="0" w:firstLineChars="0"/>
              <w:jc w:val="center"/>
              <w:rPr>
                <w:rFonts w:cs="Times New Roman"/>
                <w:color w:val="auto"/>
                <w:sz w:val="21"/>
                <w:szCs w:val="21"/>
                <w:highlight w:val="none"/>
              </w:rPr>
            </w:pPr>
          </w:p>
        </w:tc>
        <w:tc>
          <w:tcPr>
            <w:tcW w:w="2114" w:type="dxa"/>
            <w:vAlign w:val="center"/>
          </w:tcPr>
          <w:p w14:paraId="79731A5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2014" w:type="dxa"/>
            <w:vAlign w:val="center"/>
          </w:tcPr>
          <w:p w14:paraId="03BDFEE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200</w:t>
            </w:r>
          </w:p>
        </w:tc>
      </w:tr>
      <w:tr w14:paraId="3A11DF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76D8054F">
            <w:pPr>
              <w:spacing w:line="360" w:lineRule="exact"/>
              <w:ind w:firstLine="0" w:firstLineChars="0"/>
              <w:jc w:val="center"/>
              <w:rPr>
                <w:rFonts w:cs="Times New Roman"/>
                <w:color w:val="auto"/>
                <w:sz w:val="21"/>
                <w:szCs w:val="21"/>
                <w:highlight w:val="none"/>
              </w:rPr>
            </w:pPr>
          </w:p>
        </w:tc>
        <w:tc>
          <w:tcPr>
            <w:tcW w:w="1387" w:type="dxa"/>
            <w:vMerge w:val="restart"/>
            <w:vAlign w:val="center"/>
          </w:tcPr>
          <w:p w14:paraId="2E91C73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w:t>
            </w:r>
          </w:p>
        </w:tc>
        <w:tc>
          <w:tcPr>
            <w:tcW w:w="2114" w:type="dxa"/>
            <w:vAlign w:val="center"/>
          </w:tcPr>
          <w:p w14:paraId="2F9BE9B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24小时平均</w:t>
            </w:r>
          </w:p>
        </w:tc>
        <w:tc>
          <w:tcPr>
            <w:tcW w:w="2014" w:type="dxa"/>
            <w:vAlign w:val="center"/>
          </w:tcPr>
          <w:p w14:paraId="24AEDAC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4mg/m</w:t>
            </w:r>
            <w:r>
              <w:rPr>
                <w:rFonts w:cs="Times New Roman"/>
                <w:color w:val="auto"/>
                <w:sz w:val="21"/>
                <w:szCs w:val="21"/>
                <w:highlight w:val="none"/>
                <w:vertAlign w:val="superscript"/>
              </w:rPr>
              <w:t>3</w:t>
            </w:r>
          </w:p>
        </w:tc>
      </w:tr>
      <w:tr w14:paraId="2BA901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4DB54556">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467BE271">
            <w:pPr>
              <w:widowControl/>
              <w:spacing w:line="360" w:lineRule="exact"/>
              <w:ind w:firstLine="0" w:firstLineChars="0"/>
              <w:jc w:val="center"/>
              <w:rPr>
                <w:rFonts w:cs="Times New Roman"/>
                <w:color w:val="auto"/>
                <w:sz w:val="21"/>
                <w:szCs w:val="21"/>
                <w:highlight w:val="none"/>
              </w:rPr>
            </w:pPr>
          </w:p>
        </w:tc>
        <w:tc>
          <w:tcPr>
            <w:tcW w:w="2114" w:type="dxa"/>
            <w:vAlign w:val="center"/>
          </w:tcPr>
          <w:p w14:paraId="030B4AF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2014" w:type="dxa"/>
            <w:vAlign w:val="center"/>
          </w:tcPr>
          <w:p w14:paraId="5D8E48E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10mg/m</w:t>
            </w:r>
            <w:r>
              <w:rPr>
                <w:rFonts w:cs="Times New Roman"/>
                <w:color w:val="auto"/>
                <w:sz w:val="21"/>
                <w:szCs w:val="21"/>
                <w:highlight w:val="none"/>
                <w:vertAlign w:val="superscript"/>
              </w:rPr>
              <w:t>3</w:t>
            </w:r>
          </w:p>
        </w:tc>
      </w:tr>
      <w:tr w14:paraId="2CA6D5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210799C5">
            <w:pPr>
              <w:spacing w:line="360" w:lineRule="exact"/>
              <w:ind w:firstLine="0" w:firstLineChars="0"/>
              <w:jc w:val="center"/>
              <w:rPr>
                <w:rFonts w:cs="Times New Roman"/>
                <w:color w:val="auto"/>
                <w:sz w:val="21"/>
                <w:szCs w:val="21"/>
                <w:highlight w:val="none"/>
              </w:rPr>
            </w:pPr>
          </w:p>
        </w:tc>
        <w:tc>
          <w:tcPr>
            <w:tcW w:w="1387" w:type="dxa"/>
            <w:vMerge w:val="restart"/>
            <w:vAlign w:val="center"/>
          </w:tcPr>
          <w:p w14:paraId="72759B8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臭氧</w:t>
            </w:r>
          </w:p>
        </w:tc>
        <w:tc>
          <w:tcPr>
            <w:tcW w:w="2114" w:type="dxa"/>
            <w:vAlign w:val="center"/>
          </w:tcPr>
          <w:p w14:paraId="54C8CFF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日最大8h平均</w:t>
            </w:r>
          </w:p>
        </w:tc>
        <w:tc>
          <w:tcPr>
            <w:tcW w:w="2014" w:type="dxa"/>
            <w:vAlign w:val="center"/>
          </w:tcPr>
          <w:p w14:paraId="59DD891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160</w:t>
            </w:r>
          </w:p>
        </w:tc>
      </w:tr>
      <w:tr w14:paraId="475175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36CCBF7B">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7D00A87B">
            <w:pPr>
              <w:widowControl/>
              <w:spacing w:line="360" w:lineRule="exact"/>
              <w:ind w:firstLine="0" w:firstLineChars="0"/>
              <w:jc w:val="center"/>
              <w:rPr>
                <w:rFonts w:cs="Times New Roman"/>
                <w:color w:val="auto"/>
                <w:sz w:val="21"/>
                <w:szCs w:val="21"/>
                <w:highlight w:val="none"/>
              </w:rPr>
            </w:pPr>
          </w:p>
        </w:tc>
        <w:tc>
          <w:tcPr>
            <w:tcW w:w="2114" w:type="dxa"/>
            <w:vAlign w:val="center"/>
          </w:tcPr>
          <w:p w14:paraId="1F03069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2014" w:type="dxa"/>
            <w:vAlign w:val="center"/>
          </w:tcPr>
          <w:p w14:paraId="23A20FA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200</w:t>
            </w:r>
          </w:p>
        </w:tc>
      </w:tr>
      <w:tr w14:paraId="13BF10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41F58E67">
            <w:pPr>
              <w:widowControl/>
              <w:spacing w:line="360" w:lineRule="exact"/>
              <w:ind w:firstLine="0" w:firstLineChars="0"/>
              <w:jc w:val="center"/>
              <w:rPr>
                <w:rFonts w:cs="Times New Roman"/>
                <w:color w:val="auto"/>
                <w:sz w:val="21"/>
                <w:szCs w:val="21"/>
                <w:highlight w:val="none"/>
              </w:rPr>
            </w:pPr>
          </w:p>
        </w:tc>
        <w:tc>
          <w:tcPr>
            <w:tcW w:w="1387" w:type="dxa"/>
            <w:vMerge w:val="restart"/>
            <w:vAlign w:val="center"/>
          </w:tcPr>
          <w:p w14:paraId="43BFC46E">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TSP</w:t>
            </w:r>
          </w:p>
        </w:tc>
        <w:tc>
          <w:tcPr>
            <w:tcW w:w="2114" w:type="dxa"/>
            <w:vAlign w:val="center"/>
          </w:tcPr>
          <w:p w14:paraId="7EF49A4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24小时平均</w:t>
            </w:r>
          </w:p>
        </w:tc>
        <w:tc>
          <w:tcPr>
            <w:tcW w:w="2014" w:type="dxa"/>
            <w:vAlign w:val="center"/>
          </w:tcPr>
          <w:p w14:paraId="788B82E4">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300</w:t>
            </w:r>
          </w:p>
        </w:tc>
      </w:tr>
      <w:tr w14:paraId="1959D1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802" w:type="dxa"/>
            <w:vMerge w:val="continue"/>
            <w:vAlign w:val="center"/>
          </w:tcPr>
          <w:p w14:paraId="236253F2">
            <w:pPr>
              <w:widowControl/>
              <w:spacing w:line="360" w:lineRule="exact"/>
              <w:ind w:firstLine="0" w:firstLineChars="0"/>
              <w:jc w:val="center"/>
              <w:rPr>
                <w:rFonts w:cs="Times New Roman"/>
                <w:color w:val="auto"/>
                <w:sz w:val="21"/>
                <w:szCs w:val="21"/>
                <w:highlight w:val="none"/>
              </w:rPr>
            </w:pPr>
          </w:p>
        </w:tc>
        <w:tc>
          <w:tcPr>
            <w:tcW w:w="1387" w:type="dxa"/>
            <w:vMerge w:val="continue"/>
            <w:vAlign w:val="center"/>
          </w:tcPr>
          <w:p w14:paraId="7A32BED8">
            <w:pPr>
              <w:widowControl/>
              <w:spacing w:line="360" w:lineRule="exact"/>
              <w:ind w:firstLine="0" w:firstLineChars="0"/>
              <w:jc w:val="center"/>
              <w:rPr>
                <w:rFonts w:hint="default" w:eastAsia="宋体" w:cs="Times New Roman"/>
                <w:color w:val="auto"/>
                <w:sz w:val="21"/>
                <w:szCs w:val="21"/>
                <w:highlight w:val="none"/>
                <w:lang w:val="en-US" w:eastAsia="zh-CN"/>
              </w:rPr>
            </w:pPr>
          </w:p>
        </w:tc>
        <w:tc>
          <w:tcPr>
            <w:tcW w:w="2114" w:type="dxa"/>
            <w:vAlign w:val="center"/>
          </w:tcPr>
          <w:p w14:paraId="0C1EBC1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年平均</w:t>
            </w:r>
          </w:p>
        </w:tc>
        <w:tc>
          <w:tcPr>
            <w:tcW w:w="2014" w:type="dxa"/>
            <w:vAlign w:val="center"/>
          </w:tcPr>
          <w:p w14:paraId="12D7F8CB">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200</w:t>
            </w:r>
          </w:p>
        </w:tc>
      </w:tr>
      <w:tr w14:paraId="534C62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39" w:hRule="atLeast"/>
          <w:jc w:val="center"/>
        </w:trPr>
        <w:tc>
          <w:tcPr>
            <w:tcW w:w="2802" w:type="dxa"/>
            <w:vMerge w:val="restart"/>
            <w:vAlign w:val="center"/>
          </w:tcPr>
          <w:p w14:paraId="05E35878">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《环境影响评价技术导则 大气环境》（HJ2.2-2018）附录D</w:t>
            </w:r>
          </w:p>
        </w:tc>
        <w:tc>
          <w:tcPr>
            <w:tcW w:w="1387" w:type="dxa"/>
            <w:vAlign w:val="center"/>
          </w:tcPr>
          <w:p w14:paraId="5CBEB79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2114" w:type="dxa"/>
            <w:vAlign w:val="center"/>
          </w:tcPr>
          <w:p w14:paraId="0C92C72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2014" w:type="dxa"/>
            <w:vAlign w:val="center"/>
          </w:tcPr>
          <w:p w14:paraId="0EC6107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200</w:t>
            </w:r>
          </w:p>
        </w:tc>
      </w:tr>
      <w:tr w14:paraId="3DB2E7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95" w:hRule="atLeast"/>
          <w:jc w:val="center"/>
        </w:trPr>
        <w:tc>
          <w:tcPr>
            <w:tcW w:w="2802" w:type="dxa"/>
            <w:vMerge w:val="continue"/>
            <w:vAlign w:val="center"/>
          </w:tcPr>
          <w:p w14:paraId="682F456C">
            <w:pPr>
              <w:widowControl/>
              <w:spacing w:line="360" w:lineRule="exact"/>
              <w:ind w:firstLine="0" w:firstLineChars="0"/>
              <w:jc w:val="center"/>
              <w:rPr>
                <w:rFonts w:cs="Times New Roman"/>
                <w:color w:val="auto"/>
                <w:sz w:val="21"/>
                <w:szCs w:val="21"/>
                <w:highlight w:val="none"/>
              </w:rPr>
            </w:pPr>
          </w:p>
        </w:tc>
        <w:tc>
          <w:tcPr>
            <w:tcW w:w="1387" w:type="dxa"/>
            <w:vAlign w:val="center"/>
          </w:tcPr>
          <w:p w14:paraId="04CF215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H</w:t>
            </w:r>
            <w:r>
              <w:rPr>
                <w:rFonts w:cs="Times New Roman"/>
                <w:color w:val="auto"/>
                <w:sz w:val="21"/>
                <w:szCs w:val="21"/>
                <w:highlight w:val="none"/>
                <w:vertAlign w:val="subscript"/>
              </w:rPr>
              <w:t>2</w:t>
            </w:r>
            <w:r>
              <w:rPr>
                <w:rFonts w:cs="Times New Roman"/>
                <w:color w:val="auto"/>
                <w:sz w:val="21"/>
                <w:szCs w:val="21"/>
                <w:highlight w:val="none"/>
              </w:rPr>
              <w:t>S</w:t>
            </w:r>
          </w:p>
        </w:tc>
        <w:tc>
          <w:tcPr>
            <w:tcW w:w="2114" w:type="dxa"/>
            <w:vAlign w:val="center"/>
          </w:tcPr>
          <w:p w14:paraId="6D9481F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2014" w:type="dxa"/>
            <w:vAlign w:val="center"/>
          </w:tcPr>
          <w:p w14:paraId="44F4B5B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w:t>
            </w:r>
          </w:p>
        </w:tc>
      </w:tr>
    </w:tbl>
    <w:p w14:paraId="2E877794">
      <w:pPr>
        <w:autoSpaceDE w:val="0"/>
        <w:autoSpaceDN w:val="0"/>
        <w:spacing w:line="500" w:lineRule="exact"/>
        <w:ind w:firstLine="482"/>
        <w:rPr>
          <w:rFonts w:cs="Times New Roman"/>
          <w:b/>
          <w:bCs/>
          <w:color w:val="auto"/>
          <w:szCs w:val="24"/>
          <w:highlight w:val="none"/>
        </w:rPr>
      </w:pPr>
      <w:r>
        <w:rPr>
          <w:rFonts w:cs="Times New Roman"/>
          <w:b/>
          <w:bCs/>
          <w:color w:val="auto"/>
          <w:szCs w:val="24"/>
          <w:highlight w:val="none"/>
        </w:rPr>
        <w:t>2、地表水环境质量标准</w:t>
      </w:r>
    </w:p>
    <w:p w14:paraId="7A0C2F97">
      <w:pPr>
        <w:autoSpaceDE w:val="0"/>
        <w:autoSpaceDN w:val="0"/>
        <w:spacing w:line="500" w:lineRule="exact"/>
        <w:rPr>
          <w:rFonts w:cs="Times New Roman"/>
          <w:b/>
          <w:color w:val="auto"/>
          <w:szCs w:val="24"/>
          <w:highlight w:val="none"/>
        </w:rPr>
      </w:pPr>
      <w:r>
        <w:rPr>
          <w:rFonts w:cs="Times New Roman"/>
          <w:color w:val="auto"/>
          <w:szCs w:val="24"/>
          <w:highlight w:val="none"/>
        </w:rPr>
        <w:t>在本评价区域内的地表水体为</w:t>
      </w:r>
      <w:r>
        <w:rPr>
          <w:rFonts w:hint="eastAsia" w:cs="Times New Roman"/>
          <w:color w:val="auto"/>
          <w:szCs w:val="24"/>
          <w:highlight w:val="none"/>
          <w:lang w:val="en-US" w:eastAsia="zh-CN"/>
        </w:rPr>
        <w:t>安邦河</w:t>
      </w:r>
      <w:r>
        <w:rPr>
          <w:rFonts w:cs="Times New Roman"/>
          <w:color w:val="auto"/>
          <w:szCs w:val="24"/>
          <w:highlight w:val="none"/>
        </w:rPr>
        <w:t>，</w:t>
      </w:r>
      <w:r>
        <w:rPr>
          <w:rFonts w:cs="Times New Roman"/>
          <w:color w:val="auto"/>
          <w:highlight w:val="none"/>
        </w:rPr>
        <w:t>根据《全国重要江河湖泊水功能区划》（2011-2030），项目所在水功能区为</w:t>
      </w:r>
      <w:r>
        <w:rPr>
          <w:rFonts w:hint="eastAsia" w:cs="Times New Roman"/>
          <w:color w:val="auto"/>
          <w:highlight w:val="none"/>
        </w:rPr>
        <w:t>寒葱沟水库库尾</w:t>
      </w:r>
      <w:r>
        <w:rPr>
          <w:rFonts w:hint="eastAsia" w:cs="Times New Roman"/>
          <w:color w:val="auto"/>
          <w:highlight w:val="none"/>
          <w:lang w:eastAsia="zh-CN"/>
        </w:rPr>
        <w:t>—</w:t>
      </w:r>
      <w:r>
        <w:rPr>
          <w:rFonts w:hint="eastAsia" w:cs="Times New Roman"/>
          <w:color w:val="auto"/>
          <w:highlight w:val="none"/>
        </w:rPr>
        <w:t>窑地村</w:t>
      </w:r>
      <w:r>
        <w:rPr>
          <w:rFonts w:cs="Times New Roman"/>
          <w:color w:val="auto"/>
          <w:highlight w:val="none"/>
        </w:rPr>
        <w:t>，水质执行《地表水环境质量标准》（GB3838-2002）Ⅲ</w:t>
      </w:r>
      <w:r>
        <w:rPr>
          <w:rFonts w:hint="eastAsia" w:cs="Times New Roman"/>
          <w:color w:val="auto"/>
          <w:highlight w:val="none"/>
          <w:lang w:val="en-US" w:eastAsia="zh-CN"/>
        </w:rPr>
        <w:t>类</w:t>
      </w:r>
      <w:r>
        <w:rPr>
          <w:rFonts w:cs="Times New Roman"/>
          <w:color w:val="auto"/>
          <w:highlight w:val="none"/>
        </w:rPr>
        <w:t>标准。标准值见</w:t>
      </w:r>
      <w:r>
        <w:rPr>
          <w:rFonts w:hint="eastAsia" w:cs="Times New Roman"/>
          <w:color w:val="auto"/>
          <w:highlight w:val="none"/>
          <w:lang w:val="en-US" w:eastAsia="zh-CN"/>
        </w:rPr>
        <w:t>下表</w:t>
      </w:r>
      <w:r>
        <w:rPr>
          <w:rFonts w:cs="Times New Roman"/>
          <w:color w:val="auto"/>
          <w:highlight w:val="none"/>
        </w:rPr>
        <w:t>。</w:t>
      </w:r>
      <w:bookmarkStart w:id="56" w:name="_Ref236373486"/>
    </w:p>
    <w:p w14:paraId="6D5967B7">
      <w:pPr>
        <w:spacing w:line="360" w:lineRule="exact"/>
        <w:ind w:firstLine="0" w:firstLineChars="0"/>
        <w:jc w:val="right"/>
        <w:rPr>
          <w:rFonts w:cs="Times New Roman"/>
          <w:b/>
          <w:color w:val="auto"/>
          <w:szCs w:val="24"/>
          <w:highlight w:val="none"/>
        </w:rPr>
      </w:pPr>
      <w:r>
        <w:rPr>
          <w:rFonts w:cs="Times New Roman"/>
          <w:b/>
          <w:color w:val="auto"/>
          <w:szCs w:val="24"/>
          <w:highlight w:val="none"/>
        </w:rPr>
        <w:t>表</w:t>
      </w:r>
      <w:bookmarkEnd w:id="56"/>
      <w:r>
        <w:rPr>
          <w:rFonts w:cs="Times New Roman"/>
          <w:b/>
          <w:color w:val="auto"/>
          <w:szCs w:val="24"/>
          <w:highlight w:val="none"/>
        </w:rPr>
        <w:t>2</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5</w:t>
      </w:r>
      <w:r>
        <w:rPr>
          <w:rFonts w:cs="Times New Roman"/>
          <w:b/>
          <w:color w:val="auto"/>
          <w:szCs w:val="24"/>
          <w:highlight w:val="none"/>
        </w:rPr>
        <w:t xml:space="preserve">  地表水环境质量标准（摘录）    单位：mg/L（pH除外）</w:t>
      </w:r>
    </w:p>
    <w:tbl>
      <w:tblPr>
        <w:tblStyle w:val="47"/>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3"/>
        <w:gridCol w:w="754"/>
        <w:gridCol w:w="756"/>
        <w:gridCol w:w="960"/>
        <w:gridCol w:w="823"/>
        <w:gridCol w:w="824"/>
        <w:gridCol w:w="745"/>
        <w:gridCol w:w="902"/>
        <w:gridCol w:w="743"/>
        <w:gridCol w:w="904"/>
      </w:tblGrid>
      <w:tr w14:paraId="2C1738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678" w:hRule="atLeast"/>
          <w:jc w:val="center"/>
        </w:trPr>
        <w:tc>
          <w:tcPr>
            <w:tcW w:w="823" w:type="dxa"/>
            <w:tcBorders>
              <w:top w:val="single" w:color="auto" w:sz="12" w:space="0"/>
              <w:left w:val="nil"/>
              <w:bottom w:val="single" w:color="auto" w:sz="4" w:space="0"/>
            </w:tcBorders>
            <w:vAlign w:val="center"/>
          </w:tcPr>
          <w:p w14:paraId="2D3C4F18">
            <w:pPr>
              <w:spacing w:line="360" w:lineRule="exact"/>
              <w:ind w:firstLine="0" w:firstLineChars="0"/>
              <w:jc w:val="center"/>
              <w:textAlignment w:val="baseline"/>
              <w:rPr>
                <w:rFonts w:cs="Times New Roman"/>
                <w:bCs/>
                <w:color w:val="auto"/>
                <w:sz w:val="21"/>
                <w:szCs w:val="21"/>
                <w:highlight w:val="none"/>
              </w:rPr>
            </w:pPr>
            <w:r>
              <w:rPr>
                <w:rFonts w:cs="Times New Roman"/>
                <w:bCs/>
                <w:color w:val="auto"/>
                <w:sz w:val="21"/>
                <w:szCs w:val="21"/>
                <w:highlight w:val="none"/>
              </w:rPr>
              <w:t>类别</w:t>
            </w:r>
          </w:p>
        </w:tc>
        <w:tc>
          <w:tcPr>
            <w:tcW w:w="754" w:type="dxa"/>
            <w:tcBorders>
              <w:top w:val="single" w:color="auto" w:sz="12" w:space="0"/>
              <w:bottom w:val="single" w:color="auto" w:sz="4" w:space="0"/>
            </w:tcBorders>
            <w:vAlign w:val="center"/>
          </w:tcPr>
          <w:p w14:paraId="25DE7508">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pH</w:t>
            </w:r>
          </w:p>
        </w:tc>
        <w:tc>
          <w:tcPr>
            <w:tcW w:w="756" w:type="dxa"/>
            <w:tcBorders>
              <w:top w:val="single" w:color="auto" w:sz="12" w:space="0"/>
              <w:bottom w:val="single" w:color="auto" w:sz="4" w:space="0"/>
              <w:right w:val="single" w:color="auto" w:sz="4" w:space="0"/>
            </w:tcBorders>
            <w:vAlign w:val="center"/>
          </w:tcPr>
          <w:p w14:paraId="07C5A945">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DO</w:t>
            </w:r>
          </w:p>
        </w:tc>
        <w:tc>
          <w:tcPr>
            <w:tcW w:w="960" w:type="dxa"/>
            <w:tcBorders>
              <w:top w:val="single" w:color="auto" w:sz="12" w:space="0"/>
              <w:left w:val="single" w:color="auto" w:sz="4" w:space="0"/>
              <w:bottom w:val="single" w:color="auto" w:sz="4" w:space="0"/>
            </w:tcBorders>
            <w:vAlign w:val="center"/>
          </w:tcPr>
          <w:p w14:paraId="1518A6EA">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高锰酸盐指数</w:t>
            </w:r>
          </w:p>
        </w:tc>
        <w:tc>
          <w:tcPr>
            <w:tcW w:w="823" w:type="dxa"/>
            <w:tcBorders>
              <w:top w:val="single" w:color="auto" w:sz="12" w:space="0"/>
              <w:bottom w:val="single" w:color="auto" w:sz="4" w:space="0"/>
            </w:tcBorders>
            <w:vAlign w:val="center"/>
          </w:tcPr>
          <w:p w14:paraId="32AC28D9">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COD</w:t>
            </w:r>
            <w:r>
              <w:rPr>
                <w:rFonts w:cs="Times New Roman"/>
                <w:bCs/>
                <w:color w:val="auto"/>
                <w:sz w:val="21"/>
                <w:szCs w:val="21"/>
                <w:highlight w:val="none"/>
                <w:vertAlign w:val="subscript"/>
              </w:rPr>
              <w:t>Cr</w:t>
            </w:r>
          </w:p>
        </w:tc>
        <w:tc>
          <w:tcPr>
            <w:tcW w:w="824" w:type="dxa"/>
            <w:tcBorders>
              <w:top w:val="single" w:color="auto" w:sz="12" w:space="0"/>
              <w:bottom w:val="single" w:color="auto" w:sz="4" w:space="0"/>
              <w:right w:val="single" w:color="auto" w:sz="4" w:space="0"/>
            </w:tcBorders>
            <w:vAlign w:val="center"/>
          </w:tcPr>
          <w:p w14:paraId="3BA7BA57">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BOD</w:t>
            </w:r>
            <w:r>
              <w:rPr>
                <w:rFonts w:cs="Times New Roman"/>
                <w:bCs/>
                <w:color w:val="auto"/>
                <w:sz w:val="21"/>
                <w:szCs w:val="21"/>
                <w:highlight w:val="none"/>
                <w:vertAlign w:val="subscript"/>
              </w:rPr>
              <w:t>5</w:t>
            </w:r>
          </w:p>
        </w:tc>
        <w:tc>
          <w:tcPr>
            <w:tcW w:w="745" w:type="dxa"/>
            <w:tcBorders>
              <w:top w:val="single" w:color="auto" w:sz="12" w:space="0"/>
              <w:bottom w:val="single" w:color="auto" w:sz="4" w:space="0"/>
              <w:right w:val="single" w:color="auto" w:sz="4" w:space="0"/>
            </w:tcBorders>
            <w:vAlign w:val="center"/>
          </w:tcPr>
          <w:p w14:paraId="42243F25">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氨氮</w:t>
            </w:r>
          </w:p>
        </w:tc>
        <w:tc>
          <w:tcPr>
            <w:tcW w:w="902" w:type="dxa"/>
            <w:tcBorders>
              <w:top w:val="single" w:color="auto" w:sz="12" w:space="0"/>
              <w:left w:val="single" w:color="auto" w:sz="4" w:space="0"/>
              <w:bottom w:val="single" w:color="auto" w:sz="4" w:space="0"/>
            </w:tcBorders>
            <w:vAlign w:val="center"/>
          </w:tcPr>
          <w:p w14:paraId="14D14369">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石油类</w:t>
            </w:r>
          </w:p>
        </w:tc>
        <w:tc>
          <w:tcPr>
            <w:tcW w:w="743" w:type="dxa"/>
            <w:tcBorders>
              <w:top w:val="single" w:color="auto" w:sz="12" w:space="0"/>
              <w:bottom w:val="single" w:color="auto" w:sz="4" w:space="0"/>
              <w:right w:val="single" w:color="auto" w:sz="4" w:space="0"/>
            </w:tcBorders>
            <w:vAlign w:val="center"/>
          </w:tcPr>
          <w:p w14:paraId="2A80487C">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TP</w:t>
            </w:r>
          </w:p>
        </w:tc>
        <w:tc>
          <w:tcPr>
            <w:tcW w:w="904" w:type="dxa"/>
            <w:tcBorders>
              <w:top w:val="single" w:color="auto" w:sz="12" w:space="0"/>
              <w:left w:val="single" w:color="auto" w:sz="4" w:space="0"/>
              <w:bottom w:val="single" w:color="auto" w:sz="4" w:space="0"/>
              <w:right w:val="nil"/>
            </w:tcBorders>
            <w:vAlign w:val="center"/>
          </w:tcPr>
          <w:p w14:paraId="64E98346">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氟化物</w:t>
            </w:r>
          </w:p>
        </w:tc>
      </w:tr>
      <w:tr w14:paraId="6B2A1A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9" w:hRule="atLeast"/>
          <w:jc w:val="center"/>
        </w:trPr>
        <w:tc>
          <w:tcPr>
            <w:tcW w:w="823" w:type="dxa"/>
            <w:tcBorders>
              <w:top w:val="single" w:color="auto" w:sz="4" w:space="0"/>
              <w:left w:val="nil"/>
              <w:bottom w:val="single" w:color="auto" w:sz="12" w:space="0"/>
            </w:tcBorders>
            <w:vAlign w:val="center"/>
          </w:tcPr>
          <w:p w14:paraId="7A75F4FE">
            <w:pPr>
              <w:spacing w:line="360" w:lineRule="exact"/>
              <w:ind w:firstLine="0" w:firstLineChars="0"/>
              <w:jc w:val="center"/>
              <w:textAlignment w:val="baseline"/>
              <w:rPr>
                <w:rFonts w:cs="Times New Roman"/>
                <w:bCs/>
                <w:color w:val="auto"/>
                <w:sz w:val="21"/>
                <w:szCs w:val="21"/>
                <w:highlight w:val="none"/>
              </w:rPr>
            </w:pPr>
            <w:r>
              <w:rPr>
                <w:rFonts w:cs="Times New Roman"/>
                <w:bCs/>
                <w:color w:val="auto"/>
                <w:sz w:val="21"/>
                <w:szCs w:val="21"/>
                <w:highlight w:val="none"/>
              </w:rPr>
              <w:fldChar w:fldCharType="begin"/>
            </w:r>
            <w:r>
              <w:rPr>
                <w:rFonts w:cs="Times New Roman"/>
                <w:bCs/>
                <w:color w:val="auto"/>
                <w:sz w:val="21"/>
                <w:szCs w:val="21"/>
                <w:highlight w:val="none"/>
              </w:rPr>
              <w:instrText xml:space="preserve"> = 3 \* ROMAN \* MERGEFORMAT </w:instrText>
            </w:r>
            <w:r>
              <w:rPr>
                <w:rFonts w:cs="Times New Roman"/>
                <w:bCs/>
                <w:color w:val="auto"/>
                <w:sz w:val="21"/>
                <w:szCs w:val="21"/>
                <w:highlight w:val="none"/>
              </w:rPr>
              <w:fldChar w:fldCharType="separate"/>
            </w:r>
            <w:r>
              <w:rPr>
                <w:rFonts w:cs="Times New Roman"/>
                <w:bCs/>
                <w:color w:val="auto"/>
                <w:sz w:val="21"/>
                <w:szCs w:val="21"/>
                <w:highlight w:val="none"/>
              </w:rPr>
              <w:t>III</w:t>
            </w:r>
            <w:r>
              <w:rPr>
                <w:rFonts w:cs="Times New Roman"/>
                <w:bCs/>
                <w:color w:val="auto"/>
                <w:sz w:val="21"/>
                <w:szCs w:val="21"/>
                <w:highlight w:val="none"/>
              </w:rPr>
              <w:fldChar w:fldCharType="end"/>
            </w:r>
            <w:r>
              <w:rPr>
                <w:rFonts w:cs="Times New Roman"/>
                <w:bCs/>
                <w:color w:val="auto"/>
                <w:sz w:val="21"/>
                <w:szCs w:val="21"/>
                <w:highlight w:val="none"/>
              </w:rPr>
              <w:t>类</w:t>
            </w:r>
          </w:p>
        </w:tc>
        <w:tc>
          <w:tcPr>
            <w:tcW w:w="754" w:type="dxa"/>
            <w:tcBorders>
              <w:top w:val="single" w:color="auto" w:sz="4" w:space="0"/>
              <w:bottom w:val="single" w:color="auto" w:sz="12" w:space="0"/>
            </w:tcBorders>
            <w:vAlign w:val="center"/>
          </w:tcPr>
          <w:p w14:paraId="0CEBAB9B">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6~9</w:t>
            </w:r>
          </w:p>
        </w:tc>
        <w:tc>
          <w:tcPr>
            <w:tcW w:w="756" w:type="dxa"/>
            <w:tcBorders>
              <w:top w:val="single" w:color="auto" w:sz="4" w:space="0"/>
              <w:bottom w:val="single" w:color="auto" w:sz="12" w:space="0"/>
              <w:right w:val="single" w:color="auto" w:sz="4" w:space="0"/>
            </w:tcBorders>
            <w:vAlign w:val="center"/>
          </w:tcPr>
          <w:p w14:paraId="4E9548D4">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≥5</w:t>
            </w:r>
          </w:p>
        </w:tc>
        <w:tc>
          <w:tcPr>
            <w:tcW w:w="960" w:type="dxa"/>
            <w:tcBorders>
              <w:top w:val="single" w:color="auto" w:sz="4" w:space="0"/>
              <w:left w:val="single" w:color="auto" w:sz="4" w:space="0"/>
              <w:bottom w:val="single" w:color="auto" w:sz="12" w:space="0"/>
            </w:tcBorders>
            <w:vAlign w:val="center"/>
          </w:tcPr>
          <w:p w14:paraId="038EF29D">
            <w:pPr>
              <w:spacing w:line="360" w:lineRule="exact"/>
              <w:ind w:firstLine="0" w:firstLineChars="0"/>
              <w:jc w:val="center"/>
              <w:rPr>
                <w:rFonts w:cs="Times New Roman"/>
                <w:bCs/>
                <w:color w:val="auto"/>
                <w:sz w:val="21"/>
                <w:szCs w:val="21"/>
                <w:highlight w:val="none"/>
              </w:rPr>
            </w:pPr>
            <w:r>
              <w:rPr>
                <w:rFonts w:cs="Times New Roman"/>
                <w:color w:val="auto"/>
                <w:sz w:val="21"/>
                <w:szCs w:val="21"/>
                <w:highlight w:val="none"/>
              </w:rPr>
              <w:t>≤</w:t>
            </w:r>
            <w:r>
              <w:rPr>
                <w:rFonts w:cs="Times New Roman"/>
                <w:bCs/>
                <w:color w:val="auto"/>
                <w:sz w:val="21"/>
                <w:szCs w:val="21"/>
                <w:highlight w:val="none"/>
              </w:rPr>
              <w:t>6</w:t>
            </w:r>
          </w:p>
        </w:tc>
        <w:tc>
          <w:tcPr>
            <w:tcW w:w="823" w:type="dxa"/>
            <w:tcBorders>
              <w:top w:val="single" w:color="auto" w:sz="4" w:space="0"/>
              <w:bottom w:val="single" w:color="auto" w:sz="12" w:space="0"/>
            </w:tcBorders>
            <w:vAlign w:val="center"/>
          </w:tcPr>
          <w:p w14:paraId="6FD7AB3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w:t>
            </w:r>
          </w:p>
        </w:tc>
        <w:tc>
          <w:tcPr>
            <w:tcW w:w="824" w:type="dxa"/>
            <w:tcBorders>
              <w:top w:val="single" w:color="auto" w:sz="4" w:space="0"/>
              <w:bottom w:val="single" w:color="auto" w:sz="12" w:space="0"/>
              <w:right w:val="single" w:color="auto" w:sz="4" w:space="0"/>
            </w:tcBorders>
            <w:vAlign w:val="center"/>
          </w:tcPr>
          <w:p w14:paraId="710425F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w:t>
            </w:r>
          </w:p>
        </w:tc>
        <w:tc>
          <w:tcPr>
            <w:tcW w:w="745" w:type="dxa"/>
            <w:tcBorders>
              <w:top w:val="single" w:color="auto" w:sz="4" w:space="0"/>
              <w:bottom w:val="single" w:color="auto" w:sz="12" w:space="0"/>
              <w:right w:val="single" w:color="auto" w:sz="4" w:space="0"/>
            </w:tcBorders>
            <w:vAlign w:val="center"/>
          </w:tcPr>
          <w:p w14:paraId="1569D54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w:t>
            </w:r>
          </w:p>
        </w:tc>
        <w:tc>
          <w:tcPr>
            <w:tcW w:w="902" w:type="dxa"/>
            <w:tcBorders>
              <w:top w:val="single" w:color="auto" w:sz="4" w:space="0"/>
              <w:left w:val="single" w:color="auto" w:sz="4" w:space="0"/>
              <w:bottom w:val="single" w:color="auto" w:sz="12" w:space="0"/>
            </w:tcBorders>
            <w:vAlign w:val="center"/>
          </w:tcPr>
          <w:p w14:paraId="4FEA197F">
            <w:pPr>
              <w:spacing w:line="360" w:lineRule="exact"/>
              <w:ind w:firstLine="0" w:firstLineChars="0"/>
              <w:jc w:val="center"/>
              <w:rPr>
                <w:rFonts w:cs="Times New Roman"/>
                <w:bCs/>
                <w:color w:val="auto"/>
                <w:sz w:val="21"/>
                <w:szCs w:val="21"/>
                <w:highlight w:val="none"/>
              </w:rPr>
            </w:pPr>
            <w:r>
              <w:rPr>
                <w:rFonts w:cs="Times New Roman"/>
                <w:color w:val="auto"/>
                <w:sz w:val="21"/>
                <w:szCs w:val="21"/>
                <w:highlight w:val="none"/>
              </w:rPr>
              <w:t>≤</w:t>
            </w:r>
            <w:r>
              <w:rPr>
                <w:rFonts w:cs="Times New Roman"/>
                <w:bCs/>
                <w:color w:val="auto"/>
                <w:sz w:val="21"/>
                <w:szCs w:val="21"/>
                <w:highlight w:val="none"/>
              </w:rPr>
              <w:t>0.05</w:t>
            </w:r>
          </w:p>
        </w:tc>
        <w:tc>
          <w:tcPr>
            <w:tcW w:w="743" w:type="dxa"/>
            <w:tcBorders>
              <w:top w:val="single" w:color="auto" w:sz="4" w:space="0"/>
              <w:bottom w:val="single" w:color="auto" w:sz="12" w:space="0"/>
              <w:right w:val="single" w:color="auto" w:sz="4" w:space="0"/>
            </w:tcBorders>
            <w:vAlign w:val="center"/>
          </w:tcPr>
          <w:p w14:paraId="671794D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≤0.2</w:t>
            </w:r>
          </w:p>
        </w:tc>
        <w:tc>
          <w:tcPr>
            <w:tcW w:w="904" w:type="dxa"/>
            <w:tcBorders>
              <w:top w:val="single" w:color="auto" w:sz="4" w:space="0"/>
              <w:left w:val="single" w:color="auto" w:sz="4" w:space="0"/>
              <w:bottom w:val="single" w:color="auto" w:sz="12" w:space="0"/>
              <w:right w:val="nil"/>
            </w:tcBorders>
            <w:vAlign w:val="center"/>
          </w:tcPr>
          <w:p w14:paraId="05958B86">
            <w:pPr>
              <w:spacing w:line="360" w:lineRule="exact"/>
              <w:ind w:firstLine="0" w:firstLineChars="0"/>
              <w:jc w:val="center"/>
              <w:rPr>
                <w:rFonts w:cs="Times New Roman"/>
                <w:bCs/>
                <w:color w:val="auto"/>
                <w:sz w:val="21"/>
                <w:szCs w:val="21"/>
                <w:highlight w:val="none"/>
              </w:rPr>
            </w:pPr>
            <w:r>
              <w:rPr>
                <w:rFonts w:cs="Times New Roman"/>
                <w:color w:val="auto"/>
                <w:sz w:val="21"/>
                <w:szCs w:val="21"/>
                <w:highlight w:val="none"/>
              </w:rPr>
              <w:t>≤</w:t>
            </w:r>
            <w:r>
              <w:rPr>
                <w:rFonts w:cs="Times New Roman"/>
                <w:bCs/>
                <w:color w:val="auto"/>
                <w:sz w:val="21"/>
                <w:szCs w:val="21"/>
                <w:highlight w:val="none"/>
              </w:rPr>
              <w:t>1.0</w:t>
            </w:r>
          </w:p>
        </w:tc>
      </w:tr>
    </w:tbl>
    <w:p w14:paraId="09CCC47E">
      <w:pPr>
        <w:autoSpaceDE w:val="0"/>
        <w:autoSpaceDN w:val="0"/>
        <w:spacing w:line="500" w:lineRule="exact"/>
        <w:ind w:firstLine="482"/>
        <w:rPr>
          <w:rFonts w:cs="Times New Roman"/>
          <w:b/>
          <w:bCs/>
          <w:color w:val="auto"/>
          <w:highlight w:val="none"/>
        </w:rPr>
      </w:pPr>
      <w:r>
        <w:rPr>
          <w:rFonts w:cs="Times New Roman"/>
          <w:b/>
          <w:bCs/>
          <w:color w:val="auto"/>
          <w:highlight w:val="none"/>
        </w:rPr>
        <w:t>3、地下水环境质量标准</w:t>
      </w:r>
    </w:p>
    <w:p w14:paraId="73536E04">
      <w:pPr>
        <w:autoSpaceDE w:val="0"/>
        <w:autoSpaceDN w:val="0"/>
        <w:spacing w:line="500" w:lineRule="exact"/>
        <w:rPr>
          <w:rFonts w:cs="Times New Roman"/>
          <w:color w:val="auto"/>
          <w:highlight w:val="none"/>
        </w:rPr>
      </w:pPr>
      <w:r>
        <w:rPr>
          <w:rFonts w:cs="Times New Roman"/>
          <w:color w:val="auto"/>
          <w:highlight w:val="none"/>
        </w:rPr>
        <w:t>项目所在区地下水水质执行《地下水质量标准》（GB/T14848-2017）中Ⅲ类标准要求。标准值详见</w:t>
      </w:r>
      <w:r>
        <w:rPr>
          <w:rFonts w:hint="eastAsia" w:cs="Times New Roman"/>
          <w:color w:val="auto"/>
          <w:highlight w:val="none"/>
          <w:lang w:val="en-US" w:eastAsia="zh-CN"/>
        </w:rPr>
        <w:t>下表</w:t>
      </w:r>
      <w:r>
        <w:rPr>
          <w:rFonts w:cs="Times New Roman"/>
          <w:color w:val="auto"/>
          <w:highlight w:val="none"/>
        </w:rPr>
        <w:t>。</w:t>
      </w:r>
    </w:p>
    <w:p w14:paraId="3EE9B7C3">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6</w:t>
      </w:r>
      <w:r>
        <w:rPr>
          <w:rFonts w:cs="Times New Roman"/>
          <w:b/>
          <w:color w:val="auto"/>
          <w:szCs w:val="24"/>
          <w:highlight w:val="none"/>
        </w:rPr>
        <w:t xml:space="preserve">  地下水质量标准  单位：mg/L</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44"/>
        <w:gridCol w:w="1866"/>
        <w:gridCol w:w="1182"/>
        <w:gridCol w:w="1363"/>
        <w:gridCol w:w="1510"/>
        <w:gridCol w:w="1215"/>
      </w:tblGrid>
      <w:tr w14:paraId="32CDD3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8380" w:type="dxa"/>
            <w:gridSpan w:val="6"/>
            <w:tcBorders>
              <w:top w:val="single" w:color="auto" w:sz="12" w:space="0"/>
              <w:left w:val="nil"/>
              <w:bottom w:val="single" w:color="auto" w:sz="4" w:space="0"/>
              <w:right w:val="nil"/>
            </w:tcBorders>
            <w:vAlign w:val="center"/>
          </w:tcPr>
          <w:p w14:paraId="46654A7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评价因子及标准限值</w:t>
            </w:r>
          </w:p>
        </w:tc>
      </w:tr>
      <w:tr w14:paraId="6C16CF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5F1FE25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pH</w:t>
            </w:r>
          </w:p>
        </w:tc>
        <w:tc>
          <w:tcPr>
            <w:tcW w:w="1866" w:type="dxa"/>
            <w:tcBorders>
              <w:top w:val="single" w:color="auto" w:sz="4" w:space="0"/>
              <w:left w:val="single" w:color="auto" w:sz="4" w:space="0"/>
              <w:bottom w:val="single" w:color="auto" w:sz="4" w:space="0"/>
              <w:right w:val="single" w:color="auto" w:sz="4" w:space="0"/>
            </w:tcBorders>
            <w:vAlign w:val="center"/>
          </w:tcPr>
          <w:p w14:paraId="3270B13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1182" w:type="dxa"/>
            <w:tcBorders>
              <w:top w:val="single" w:color="auto" w:sz="4" w:space="0"/>
              <w:left w:val="single" w:color="auto" w:sz="4" w:space="0"/>
              <w:bottom w:val="single" w:color="auto" w:sz="4" w:space="0"/>
              <w:right w:val="single" w:color="auto" w:sz="4" w:space="0"/>
            </w:tcBorders>
            <w:vAlign w:val="center"/>
          </w:tcPr>
          <w:p w14:paraId="61F349A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硝酸盐</w:t>
            </w:r>
          </w:p>
        </w:tc>
        <w:tc>
          <w:tcPr>
            <w:tcW w:w="1363" w:type="dxa"/>
            <w:tcBorders>
              <w:top w:val="single" w:color="auto" w:sz="4" w:space="0"/>
              <w:left w:val="single" w:color="auto" w:sz="4" w:space="0"/>
              <w:bottom w:val="single" w:color="auto" w:sz="4" w:space="0"/>
              <w:right w:val="single" w:color="auto" w:sz="4" w:space="0"/>
            </w:tcBorders>
            <w:vAlign w:val="center"/>
          </w:tcPr>
          <w:p w14:paraId="7124D92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亚硝酸盐</w:t>
            </w:r>
          </w:p>
        </w:tc>
        <w:tc>
          <w:tcPr>
            <w:tcW w:w="1510" w:type="dxa"/>
            <w:tcBorders>
              <w:top w:val="single" w:color="auto" w:sz="4" w:space="0"/>
              <w:left w:val="single" w:color="auto" w:sz="4" w:space="0"/>
              <w:bottom w:val="single" w:color="auto" w:sz="4" w:space="0"/>
              <w:right w:val="single" w:color="auto" w:sz="4" w:space="0"/>
            </w:tcBorders>
            <w:vAlign w:val="center"/>
          </w:tcPr>
          <w:p w14:paraId="7B1F143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挥发性酚类</w:t>
            </w:r>
          </w:p>
        </w:tc>
        <w:tc>
          <w:tcPr>
            <w:tcW w:w="1215" w:type="dxa"/>
            <w:tcBorders>
              <w:top w:val="single" w:color="auto" w:sz="4" w:space="0"/>
              <w:left w:val="single" w:color="auto" w:sz="4" w:space="0"/>
              <w:bottom w:val="single" w:color="auto" w:sz="4" w:space="0"/>
              <w:right w:val="nil"/>
            </w:tcBorders>
            <w:vAlign w:val="center"/>
          </w:tcPr>
          <w:p w14:paraId="21F99E8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氰化物</w:t>
            </w:r>
          </w:p>
        </w:tc>
      </w:tr>
      <w:tr w14:paraId="3619A1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6A7F68A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6.5~8.5</w:t>
            </w:r>
          </w:p>
        </w:tc>
        <w:tc>
          <w:tcPr>
            <w:tcW w:w="1866" w:type="dxa"/>
            <w:tcBorders>
              <w:top w:val="single" w:color="auto" w:sz="4" w:space="0"/>
              <w:left w:val="single" w:color="auto" w:sz="4" w:space="0"/>
              <w:bottom w:val="single" w:color="auto" w:sz="4" w:space="0"/>
              <w:right w:val="single" w:color="auto" w:sz="4" w:space="0"/>
            </w:tcBorders>
            <w:vAlign w:val="center"/>
          </w:tcPr>
          <w:p w14:paraId="22372B7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≤0.50</w:t>
            </w:r>
          </w:p>
        </w:tc>
        <w:tc>
          <w:tcPr>
            <w:tcW w:w="1182" w:type="dxa"/>
            <w:tcBorders>
              <w:top w:val="single" w:color="auto" w:sz="4" w:space="0"/>
              <w:left w:val="single" w:color="auto" w:sz="4" w:space="0"/>
              <w:bottom w:val="single" w:color="auto" w:sz="4" w:space="0"/>
              <w:right w:val="single" w:color="auto" w:sz="4" w:space="0"/>
            </w:tcBorders>
            <w:vAlign w:val="center"/>
          </w:tcPr>
          <w:p w14:paraId="3F0085B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≤20.0</w:t>
            </w:r>
          </w:p>
        </w:tc>
        <w:tc>
          <w:tcPr>
            <w:tcW w:w="1363" w:type="dxa"/>
            <w:tcBorders>
              <w:top w:val="single" w:color="auto" w:sz="4" w:space="0"/>
              <w:left w:val="single" w:color="auto" w:sz="4" w:space="0"/>
              <w:bottom w:val="single" w:color="auto" w:sz="4" w:space="0"/>
              <w:right w:val="single" w:color="auto" w:sz="4" w:space="0"/>
            </w:tcBorders>
            <w:vAlign w:val="center"/>
          </w:tcPr>
          <w:p w14:paraId="734DE8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w:t>
            </w:r>
          </w:p>
        </w:tc>
        <w:tc>
          <w:tcPr>
            <w:tcW w:w="1510" w:type="dxa"/>
            <w:tcBorders>
              <w:top w:val="single" w:color="auto" w:sz="4" w:space="0"/>
              <w:left w:val="single" w:color="auto" w:sz="4" w:space="0"/>
              <w:bottom w:val="single" w:color="auto" w:sz="4" w:space="0"/>
              <w:right w:val="single" w:color="auto" w:sz="4" w:space="0"/>
            </w:tcBorders>
            <w:vAlign w:val="center"/>
          </w:tcPr>
          <w:p w14:paraId="4726EED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≤0.002</w:t>
            </w:r>
          </w:p>
        </w:tc>
        <w:tc>
          <w:tcPr>
            <w:tcW w:w="1215" w:type="dxa"/>
            <w:tcBorders>
              <w:top w:val="single" w:color="auto" w:sz="4" w:space="0"/>
              <w:left w:val="single" w:color="auto" w:sz="4" w:space="0"/>
              <w:bottom w:val="single" w:color="auto" w:sz="4" w:space="0"/>
              <w:right w:val="nil"/>
            </w:tcBorders>
            <w:vAlign w:val="center"/>
          </w:tcPr>
          <w:p w14:paraId="5BD3E16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≤0.05</w:t>
            </w:r>
          </w:p>
        </w:tc>
      </w:tr>
      <w:tr w14:paraId="320881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5EBD942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砷</w:t>
            </w:r>
          </w:p>
        </w:tc>
        <w:tc>
          <w:tcPr>
            <w:tcW w:w="1866" w:type="dxa"/>
            <w:tcBorders>
              <w:top w:val="single" w:color="auto" w:sz="4" w:space="0"/>
              <w:left w:val="single" w:color="auto" w:sz="4" w:space="0"/>
              <w:bottom w:val="single" w:color="auto" w:sz="4" w:space="0"/>
              <w:right w:val="single" w:color="auto" w:sz="4" w:space="0"/>
            </w:tcBorders>
            <w:vAlign w:val="center"/>
          </w:tcPr>
          <w:p w14:paraId="5FDB09D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汞</w:t>
            </w:r>
          </w:p>
        </w:tc>
        <w:tc>
          <w:tcPr>
            <w:tcW w:w="1182" w:type="dxa"/>
            <w:tcBorders>
              <w:top w:val="single" w:color="auto" w:sz="4" w:space="0"/>
              <w:left w:val="single" w:color="auto" w:sz="4" w:space="0"/>
              <w:bottom w:val="single" w:color="auto" w:sz="4" w:space="0"/>
              <w:right w:val="single" w:color="auto" w:sz="4" w:space="0"/>
            </w:tcBorders>
            <w:vAlign w:val="center"/>
          </w:tcPr>
          <w:p w14:paraId="6058A28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铬（六价）</w:t>
            </w:r>
          </w:p>
        </w:tc>
        <w:tc>
          <w:tcPr>
            <w:tcW w:w="1363" w:type="dxa"/>
            <w:tcBorders>
              <w:top w:val="single" w:color="auto" w:sz="4" w:space="0"/>
              <w:left w:val="single" w:color="auto" w:sz="4" w:space="0"/>
              <w:bottom w:val="single" w:color="auto" w:sz="4" w:space="0"/>
              <w:right w:val="single" w:color="auto" w:sz="4" w:space="0"/>
            </w:tcBorders>
            <w:vAlign w:val="center"/>
          </w:tcPr>
          <w:p w14:paraId="5F1ABB5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总硬度</w:t>
            </w:r>
          </w:p>
        </w:tc>
        <w:tc>
          <w:tcPr>
            <w:tcW w:w="1510" w:type="dxa"/>
            <w:tcBorders>
              <w:top w:val="single" w:color="auto" w:sz="4" w:space="0"/>
              <w:left w:val="single" w:color="auto" w:sz="4" w:space="0"/>
              <w:bottom w:val="single" w:color="auto" w:sz="4" w:space="0"/>
              <w:right w:val="single" w:color="auto" w:sz="4" w:space="0"/>
            </w:tcBorders>
            <w:vAlign w:val="center"/>
          </w:tcPr>
          <w:p w14:paraId="4746BAC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铅</w:t>
            </w:r>
          </w:p>
        </w:tc>
        <w:tc>
          <w:tcPr>
            <w:tcW w:w="1215" w:type="dxa"/>
            <w:tcBorders>
              <w:top w:val="single" w:color="auto" w:sz="4" w:space="0"/>
              <w:left w:val="single" w:color="auto" w:sz="4" w:space="0"/>
              <w:bottom w:val="single" w:color="auto" w:sz="4" w:space="0"/>
              <w:right w:val="nil"/>
            </w:tcBorders>
            <w:vAlign w:val="center"/>
          </w:tcPr>
          <w:p w14:paraId="462C8B4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氟化物</w:t>
            </w:r>
          </w:p>
        </w:tc>
      </w:tr>
      <w:tr w14:paraId="4FFB6C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4040C87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≤0.01</w:t>
            </w:r>
          </w:p>
        </w:tc>
        <w:tc>
          <w:tcPr>
            <w:tcW w:w="1866" w:type="dxa"/>
            <w:tcBorders>
              <w:top w:val="single" w:color="auto" w:sz="4" w:space="0"/>
              <w:left w:val="single" w:color="auto" w:sz="4" w:space="0"/>
              <w:bottom w:val="single" w:color="auto" w:sz="4" w:space="0"/>
              <w:right w:val="single" w:color="auto" w:sz="4" w:space="0"/>
            </w:tcBorders>
            <w:vAlign w:val="center"/>
          </w:tcPr>
          <w:p w14:paraId="610A692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≤0.001</w:t>
            </w:r>
          </w:p>
        </w:tc>
        <w:tc>
          <w:tcPr>
            <w:tcW w:w="1182" w:type="dxa"/>
            <w:tcBorders>
              <w:top w:val="single" w:color="auto" w:sz="4" w:space="0"/>
              <w:left w:val="single" w:color="auto" w:sz="4" w:space="0"/>
              <w:bottom w:val="single" w:color="auto" w:sz="4" w:space="0"/>
              <w:right w:val="single" w:color="auto" w:sz="4" w:space="0"/>
            </w:tcBorders>
            <w:vAlign w:val="center"/>
          </w:tcPr>
          <w:p w14:paraId="2F2F065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≤0.05</w:t>
            </w:r>
          </w:p>
        </w:tc>
        <w:tc>
          <w:tcPr>
            <w:tcW w:w="1363" w:type="dxa"/>
            <w:tcBorders>
              <w:top w:val="single" w:color="auto" w:sz="4" w:space="0"/>
              <w:left w:val="single" w:color="auto" w:sz="4" w:space="0"/>
              <w:bottom w:val="single" w:color="auto" w:sz="4" w:space="0"/>
              <w:right w:val="single" w:color="auto" w:sz="4" w:space="0"/>
            </w:tcBorders>
            <w:vAlign w:val="center"/>
          </w:tcPr>
          <w:p w14:paraId="77A4F3F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≤450</w:t>
            </w:r>
          </w:p>
        </w:tc>
        <w:tc>
          <w:tcPr>
            <w:tcW w:w="1510" w:type="dxa"/>
            <w:tcBorders>
              <w:top w:val="single" w:color="auto" w:sz="4" w:space="0"/>
              <w:left w:val="single" w:color="auto" w:sz="4" w:space="0"/>
              <w:bottom w:val="single" w:color="auto" w:sz="4" w:space="0"/>
              <w:right w:val="single" w:color="auto" w:sz="4" w:space="0"/>
            </w:tcBorders>
            <w:vAlign w:val="center"/>
          </w:tcPr>
          <w:p w14:paraId="74D848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≤0.01</w:t>
            </w:r>
          </w:p>
        </w:tc>
        <w:tc>
          <w:tcPr>
            <w:tcW w:w="1215" w:type="dxa"/>
            <w:tcBorders>
              <w:top w:val="single" w:color="auto" w:sz="4" w:space="0"/>
              <w:left w:val="single" w:color="auto" w:sz="4" w:space="0"/>
              <w:bottom w:val="single" w:color="auto" w:sz="4" w:space="0"/>
              <w:right w:val="nil"/>
            </w:tcBorders>
            <w:vAlign w:val="center"/>
          </w:tcPr>
          <w:p w14:paraId="17335AD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w:t>
            </w:r>
          </w:p>
        </w:tc>
      </w:tr>
      <w:tr w14:paraId="2E62E2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2EDB4F9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镉</w:t>
            </w:r>
          </w:p>
        </w:tc>
        <w:tc>
          <w:tcPr>
            <w:tcW w:w="1866" w:type="dxa"/>
            <w:tcBorders>
              <w:top w:val="single" w:color="auto" w:sz="4" w:space="0"/>
              <w:left w:val="single" w:color="auto" w:sz="4" w:space="0"/>
              <w:bottom w:val="single" w:color="auto" w:sz="4" w:space="0"/>
              <w:right w:val="single" w:color="auto" w:sz="4" w:space="0"/>
            </w:tcBorders>
            <w:vAlign w:val="center"/>
          </w:tcPr>
          <w:p w14:paraId="495A563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铁</w:t>
            </w:r>
          </w:p>
        </w:tc>
        <w:tc>
          <w:tcPr>
            <w:tcW w:w="1182" w:type="dxa"/>
            <w:tcBorders>
              <w:top w:val="single" w:color="auto" w:sz="4" w:space="0"/>
              <w:left w:val="single" w:color="auto" w:sz="4" w:space="0"/>
              <w:bottom w:val="single" w:color="auto" w:sz="4" w:space="0"/>
              <w:right w:val="single" w:color="auto" w:sz="4" w:space="0"/>
            </w:tcBorders>
            <w:vAlign w:val="center"/>
          </w:tcPr>
          <w:p w14:paraId="45ACA35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锰</w:t>
            </w:r>
          </w:p>
        </w:tc>
        <w:tc>
          <w:tcPr>
            <w:tcW w:w="1363" w:type="dxa"/>
            <w:tcBorders>
              <w:top w:val="single" w:color="auto" w:sz="4" w:space="0"/>
              <w:left w:val="single" w:color="auto" w:sz="4" w:space="0"/>
              <w:bottom w:val="single" w:color="auto" w:sz="4" w:space="0"/>
              <w:right w:val="single" w:color="auto" w:sz="4" w:space="0"/>
            </w:tcBorders>
            <w:vAlign w:val="center"/>
          </w:tcPr>
          <w:p w14:paraId="69F0B1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耗氧量</w:t>
            </w:r>
          </w:p>
        </w:tc>
        <w:tc>
          <w:tcPr>
            <w:tcW w:w="1510" w:type="dxa"/>
            <w:tcBorders>
              <w:top w:val="single" w:color="auto" w:sz="4" w:space="0"/>
              <w:left w:val="single" w:color="auto" w:sz="4" w:space="0"/>
              <w:bottom w:val="single" w:color="auto" w:sz="4" w:space="0"/>
              <w:right w:val="single" w:color="auto" w:sz="4" w:space="0"/>
            </w:tcBorders>
            <w:vAlign w:val="center"/>
          </w:tcPr>
          <w:p w14:paraId="28E4FFC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溶解性总固体</w:t>
            </w:r>
          </w:p>
        </w:tc>
        <w:tc>
          <w:tcPr>
            <w:tcW w:w="1215" w:type="dxa"/>
            <w:tcBorders>
              <w:top w:val="single" w:color="auto" w:sz="4" w:space="0"/>
              <w:left w:val="single" w:color="auto" w:sz="4" w:space="0"/>
              <w:bottom w:val="single" w:color="auto" w:sz="4" w:space="0"/>
              <w:right w:val="nil"/>
            </w:tcBorders>
            <w:vAlign w:val="center"/>
          </w:tcPr>
          <w:p w14:paraId="3A215B5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硫酸盐</w:t>
            </w:r>
          </w:p>
        </w:tc>
      </w:tr>
      <w:tr w14:paraId="62F6DC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088BC80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≤0.005</w:t>
            </w:r>
          </w:p>
        </w:tc>
        <w:tc>
          <w:tcPr>
            <w:tcW w:w="1866" w:type="dxa"/>
            <w:tcBorders>
              <w:top w:val="single" w:color="auto" w:sz="4" w:space="0"/>
              <w:left w:val="single" w:color="auto" w:sz="4" w:space="0"/>
              <w:bottom w:val="single" w:color="auto" w:sz="4" w:space="0"/>
              <w:right w:val="single" w:color="auto" w:sz="4" w:space="0"/>
            </w:tcBorders>
            <w:vAlign w:val="center"/>
          </w:tcPr>
          <w:p w14:paraId="228C67E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≤0.3</w:t>
            </w:r>
          </w:p>
        </w:tc>
        <w:tc>
          <w:tcPr>
            <w:tcW w:w="1182" w:type="dxa"/>
            <w:tcBorders>
              <w:top w:val="single" w:color="auto" w:sz="4" w:space="0"/>
              <w:left w:val="single" w:color="auto" w:sz="4" w:space="0"/>
              <w:bottom w:val="single" w:color="auto" w:sz="4" w:space="0"/>
              <w:right w:val="single" w:color="auto" w:sz="4" w:space="0"/>
            </w:tcBorders>
            <w:vAlign w:val="center"/>
          </w:tcPr>
          <w:p w14:paraId="67B0D27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≤0.10</w:t>
            </w:r>
          </w:p>
        </w:tc>
        <w:tc>
          <w:tcPr>
            <w:tcW w:w="1363" w:type="dxa"/>
            <w:tcBorders>
              <w:top w:val="single" w:color="auto" w:sz="4" w:space="0"/>
              <w:left w:val="single" w:color="auto" w:sz="4" w:space="0"/>
              <w:bottom w:val="single" w:color="auto" w:sz="4" w:space="0"/>
              <w:right w:val="single" w:color="auto" w:sz="4" w:space="0"/>
            </w:tcBorders>
            <w:vAlign w:val="center"/>
          </w:tcPr>
          <w:p w14:paraId="303E2CE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≤3.0</w:t>
            </w:r>
          </w:p>
        </w:tc>
        <w:tc>
          <w:tcPr>
            <w:tcW w:w="1510" w:type="dxa"/>
            <w:tcBorders>
              <w:top w:val="single" w:color="auto" w:sz="4" w:space="0"/>
              <w:left w:val="single" w:color="auto" w:sz="4" w:space="0"/>
              <w:bottom w:val="single" w:color="auto" w:sz="4" w:space="0"/>
              <w:right w:val="single" w:color="auto" w:sz="4" w:space="0"/>
            </w:tcBorders>
            <w:vAlign w:val="center"/>
          </w:tcPr>
          <w:p w14:paraId="50221EF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≤1000</w:t>
            </w:r>
          </w:p>
        </w:tc>
        <w:tc>
          <w:tcPr>
            <w:tcW w:w="1215" w:type="dxa"/>
            <w:tcBorders>
              <w:top w:val="single" w:color="auto" w:sz="4" w:space="0"/>
              <w:left w:val="single" w:color="auto" w:sz="4" w:space="0"/>
              <w:bottom w:val="single" w:color="auto" w:sz="4" w:space="0"/>
              <w:right w:val="nil"/>
            </w:tcBorders>
            <w:vAlign w:val="center"/>
          </w:tcPr>
          <w:p w14:paraId="362C1E2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≤250</w:t>
            </w:r>
          </w:p>
        </w:tc>
      </w:tr>
      <w:tr w14:paraId="251F4A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244" w:type="dxa"/>
            <w:tcBorders>
              <w:top w:val="single" w:color="auto" w:sz="4" w:space="0"/>
              <w:left w:val="nil"/>
              <w:bottom w:val="single" w:color="auto" w:sz="4" w:space="0"/>
              <w:right w:val="single" w:color="auto" w:sz="4" w:space="0"/>
            </w:tcBorders>
            <w:vAlign w:val="center"/>
          </w:tcPr>
          <w:p w14:paraId="770692C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氯化物</w:t>
            </w:r>
          </w:p>
        </w:tc>
        <w:tc>
          <w:tcPr>
            <w:tcW w:w="1866" w:type="dxa"/>
            <w:tcBorders>
              <w:top w:val="single" w:color="auto" w:sz="4" w:space="0"/>
              <w:left w:val="single" w:color="auto" w:sz="4" w:space="0"/>
              <w:bottom w:val="single" w:color="auto" w:sz="4" w:space="0"/>
              <w:right w:val="single" w:color="auto" w:sz="4" w:space="0"/>
            </w:tcBorders>
            <w:vAlign w:val="center"/>
          </w:tcPr>
          <w:p w14:paraId="04A02EE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总大肠菌群</w:t>
            </w:r>
          </w:p>
        </w:tc>
        <w:tc>
          <w:tcPr>
            <w:tcW w:w="5270" w:type="dxa"/>
            <w:gridSpan w:val="4"/>
            <w:tcBorders>
              <w:top w:val="single" w:color="auto" w:sz="4" w:space="0"/>
              <w:left w:val="single" w:color="auto" w:sz="4" w:space="0"/>
              <w:bottom w:val="single" w:color="auto" w:sz="4" w:space="0"/>
              <w:right w:val="nil"/>
            </w:tcBorders>
            <w:vAlign w:val="center"/>
          </w:tcPr>
          <w:p w14:paraId="6F152CA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细菌总数</w:t>
            </w:r>
          </w:p>
        </w:tc>
      </w:tr>
      <w:tr w14:paraId="72DE39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244" w:type="dxa"/>
            <w:tcBorders>
              <w:top w:val="single" w:color="auto" w:sz="4" w:space="0"/>
              <w:left w:val="nil"/>
              <w:bottom w:val="single" w:color="auto" w:sz="12" w:space="0"/>
              <w:right w:val="single" w:color="auto" w:sz="4" w:space="0"/>
            </w:tcBorders>
            <w:vAlign w:val="center"/>
          </w:tcPr>
          <w:p w14:paraId="2BD48F1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≤250</w:t>
            </w:r>
          </w:p>
        </w:tc>
        <w:tc>
          <w:tcPr>
            <w:tcW w:w="1866" w:type="dxa"/>
            <w:tcBorders>
              <w:top w:val="single" w:color="auto" w:sz="4" w:space="0"/>
              <w:left w:val="single" w:color="auto" w:sz="4" w:space="0"/>
              <w:bottom w:val="single" w:color="auto" w:sz="12" w:space="0"/>
              <w:right w:val="single" w:color="auto" w:sz="4" w:space="0"/>
            </w:tcBorders>
            <w:vAlign w:val="center"/>
          </w:tcPr>
          <w:p w14:paraId="13539C4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≤3.0MPN</w:t>
            </w:r>
            <w:r>
              <w:rPr>
                <w:rFonts w:cs="Times New Roman"/>
                <w:color w:val="auto"/>
                <w:sz w:val="21"/>
                <w:szCs w:val="21"/>
                <w:highlight w:val="none"/>
                <w:vertAlign w:val="superscript"/>
              </w:rPr>
              <w:t>b</w:t>
            </w:r>
            <w:r>
              <w:rPr>
                <w:rFonts w:cs="Times New Roman"/>
                <w:color w:val="auto"/>
                <w:sz w:val="21"/>
                <w:szCs w:val="21"/>
                <w:highlight w:val="none"/>
              </w:rPr>
              <w:t>/100mL</w:t>
            </w:r>
          </w:p>
        </w:tc>
        <w:tc>
          <w:tcPr>
            <w:tcW w:w="5270" w:type="dxa"/>
            <w:gridSpan w:val="4"/>
            <w:tcBorders>
              <w:top w:val="single" w:color="auto" w:sz="4" w:space="0"/>
              <w:left w:val="single" w:color="auto" w:sz="4" w:space="0"/>
              <w:bottom w:val="single" w:color="auto" w:sz="12" w:space="0"/>
              <w:right w:val="nil"/>
            </w:tcBorders>
            <w:vAlign w:val="center"/>
          </w:tcPr>
          <w:p w14:paraId="26AA93B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≤100CFU/mL</w:t>
            </w:r>
          </w:p>
        </w:tc>
      </w:tr>
    </w:tbl>
    <w:p w14:paraId="684968EB">
      <w:pPr>
        <w:autoSpaceDE w:val="0"/>
        <w:autoSpaceDN w:val="0"/>
        <w:spacing w:line="500" w:lineRule="exact"/>
        <w:ind w:firstLine="482"/>
        <w:rPr>
          <w:rFonts w:cs="Times New Roman"/>
          <w:b/>
          <w:bCs/>
          <w:color w:val="auto"/>
          <w:highlight w:val="none"/>
        </w:rPr>
      </w:pPr>
      <w:r>
        <w:rPr>
          <w:rFonts w:cs="Times New Roman"/>
          <w:b/>
          <w:bCs/>
          <w:color w:val="auto"/>
          <w:highlight w:val="none"/>
        </w:rPr>
        <w:t>4、声环境质量标准</w:t>
      </w:r>
    </w:p>
    <w:p w14:paraId="54F95885">
      <w:pPr>
        <w:autoSpaceDE w:val="0"/>
        <w:autoSpaceDN w:val="0"/>
        <w:spacing w:line="500" w:lineRule="exact"/>
        <w:rPr>
          <w:rFonts w:cs="Times New Roman"/>
          <w:color w:val="auto"/>
          <w:highlight w:val="none"/>
        </w:rPr>
      </w:pPr>
      <w:r>
        <w:rPr>
          <w:rFonts w:cs="Times New Roman"/>
          <w:color w:val="auto"/>
          <w:highlight w:val="none"/>
        </w:rPr>
        <w:t>本项目位于</w:t>
      </w:r>
      <w:r>
        <w:rPr>
          <w:rFonts w:hint="eastAsia" w:cs="Times New Roman"/>
          <w:color w:val="auto"/>
          <w:highlight w:val="none"/>
          <w:lang w:val="en-US" w:eastAsia="zh-CN"/>
        </w:rPr>
        <w:t>黑龙江省双鸭山市岭东区长胜乡东兴村</w:t>
      </w:r>
      <w:r>
        <w:rPr>
          <w:rFonts w:cs="Times New Roman"/>
          <w:color w:val="auto"/>
          <w:highlight w:val="none"/>
        </w:rPr>
        <w:t>，根据《</w:t>
      </w:r>
      <w:r>
        <w:rPr>
          <w:rFonts w:hint="eastAsia" w:cs="Times New Roman"/>
          <w:color w:val="auto"/>
          <w:highlight w:val="none"/>
        </w:rPr>
        <w:t>双鸭山市人民政府办公室关于印发双鸭山市中心城区声环境功能区划分方案的通知</w:t>
      </w:r>
      <w:r>
        <w:rPr>
          <w:rFonts w:cs="Times New Roman"/>
          <w:color w:val="auto"/>
          <w:highlight w:val="none"/>
        </w:rPr>
        <w:t>》（</w:t>
      </w:r>
      <w:r>
        <w:rPr>
          <w:rFonts w:hint="eastAsia" w:cs="Times New Roman"/>
          <w:color w:val="auto"/>
          <w:highlight w:val="none"/>
        </w:rPr>
        <w:t>双政办发〔2024〕47号</w:t>
      </w:r>
      <w:r>
        <w:rPr>
          <w:rFonts w:cs="Times New Roman"/>
          <w:color w:val="auto"/>
          <w:highlight w:val="none"/>
        </w:rPr>
        <w:t>），项目所在区域属于</w:t>
      </w:r>
      <w:r>
        <w:rPr>
          <w:rFonts w:hint="eastAsia" w:cs="Times New Roman"/>
          <w:color w:val="auto"/>
          <w:highlight w:val="none"/>
          <w:lang w:val="en-US" w:eastAsia="zh-CN"/>
        </w:rPr>
        <w:t>2</w:t>
      </w:r>
      <w:r>
        <w:rPr>
          <w:rFonts w:cs="Times New Roman"/>
          <w:color w:val="auto"/>
          <w:highlight w:val="none"/>
        </w:rPr>
        <w:t>类声功能区，执行国家《声环境质量标准》（GB3096-2008）中相应的</w:t>
      </w:r>
      <w:r>
        <w:rPr>
          <w:rFonts w:hint="eastAsia" w:cs="Times New Roman"/>
          <w:color w:val="auto"/>
          <w:highlight w:val="none"/>
          <w:lang w:val="en-US" w:eastAsia="zh-CN"/>
        </w:rPr>
        <w:t>2</w:t>
      </w:r>
      <w:r>
        <w:rPr>
          <w:rFonts w:cs="Times New Roman"/>
          <w:color w:val="auto"/>
          <w:highlight w:val="none"/>
        </w:rPr>
        <w:t>类标准，具体见</w:t>
      </w:r>
      <w:r>
        <w:rPr>
          <w:rFonts w:hint="eastAsia" w:cs="Times New Roman"/>
          <w:color w:val="auto"/>
          <w:highlight w:val="none"/>
          <w:lang w:val="en-US" w:eastAsia="zh-CN"/>
        </w:rPr>
        <w:t>下表</w:t>
      </w:r>
      <w:r>
        <w:rPr>
          <w:rFonts w:cs="Times New Roman"/>
          <w:color w:val="auto"/>
          <w:highlight w:val="none"/>
        </w:rPr>
        <w:t>。</w:t>
      </w:r>
    </w:p>
    <w:p w14:paraId="501DBE65">
      <w:pPr>
        <w:spacing w:line="240" w:lineRule="auto"/>
        <w:ind w:firstLine="422"/>
        <w:jc w:val="center"/>
        <w:rPr>
          <w:rFonts w:cs="Times New Roman"/>
          <w:b/>
          <w:color w:val="auto"/>
          <w:sz w:val="21"/>
          <w:szCs w:val="21"/>
          <w:highlight w:val="none"/>
        </w:rPr>
      </w:pPr>
    </w:p>
    <w:p w14:paraId="4750CEE0">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7</w:t>
      </w:r>
      <w:r>
        <w:rPr>
          <w:rFonts w:cs="Times New Roman"/>
          <w:b/>
          <w:color w:val="auto"/>
          <w:szCs w:val="24"/>
          <w:highlight w:val="none"/>
        </w:rPr>
        <w:t xml:space="preserve">  声环境质量标准  单位：dB（A）</w:t>
      </w:r>
    </w:p>
    <w:tbl>
      <w:tblPr>
        <w:tblStyle w:val="47"/>
        <w:tblW w:w="839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84"/>
        <w:gridCol w:w="2044"/>
        <w:gridCol w:w="1852"/>
        <w:gridCol w:w="2818"/>
      </w:tblGrid>
      <w:tr w14:paraId="2474C9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684" w:type="dxa"/>
            <w:vMerge w:val="restart"/>
            <w:tcBorders>
              <w:top w:val="single" w:color="auto" w:sz="12" w:space="0"/>
              <w:left w:val="nil"/>
              <w:bottom w:val="single" w:color="auto" w:sz="4" w:space="0"/>
              <w:right w:val="single" w:color="auto" w:sz="4" w:space="0"/>
            </w:tcBorders>
            <w:tcMar>
              <w:top w:w="28" w:type="dxa"/>
              <w:left w:w="28" w:type="dxa"/>
              <w:bottom w:w="28" w:type="dxa"/>
              <w:right w:w="28" w:type="dxa"/>
            </w:tcMar>
            <w:vAlign w:val="center"/>
          </w:tcPr>
          <w:p w14:paraId="3A8F5EC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类别</w:t>
            </w:r>
          </w:p>
        </w:tc>
        <w:tc>
          <w:tcPr>
            <w:tcW w:w="3896" w:type="dxa"/>
            <w:gridSpan w:val="2"/>
            <w:tcBorders>
              <w:top w:val="single" w:color="auto" w:sz="12" w:space="0"/>
              <w:left w:val="single" w:color="auto" w:sz="4" w:space="0"/>
              <w:bottom w:val="single" w:color="auto" w:sz="4" w:space="0"/>
              <w:right w:val="single" w:color="auto" w:sz="4" w:space="0"/>
            </w:tcBorders>
            <w:tcMar>
              <w:top w:w="28" w:type="dxa"/>
              <w:left w:w="28" w:type="dxa"/>
              <w:bottom w:w="28" w:type="dxa"/>
              <w:right w:w="28" w:type="dxa"/>
            </w:tcMar>
            <w:vAlign w:val="center"/>
          </w:tcPr>
          <w:p w14:paraId="3F312E3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标准值</w:t>
            </w:r>
          </w:p>
        </w:tc>
        <w:tc>
          <w:tcPr>
            <w:tcW w:w="2818" w:type="dxa"/>
            <w:vMerge w:val="restart"/>
            <w:tcBorders>
              <w:top w:val="single" w:color="auto" w:sz="12" w:space="0"/>
              <w:left w:val="single" w:color="auto" w:sz="4" w:space="0"/>
              <w:bottom w:val="single" w:color="auto" w:sz="4" w:space="0"/>
              <w:right w:val="nil"/>
            </w:tcBorders>
            <w:tcMar>
              <w:top w:w="28" w:type="dxa"/>
              <w:left w:w="28" w:type="dxa"/>
              <w:bottom w:w="28" w:type="dxa"/>
              <w:right w:w="28" w:type="dxa"/>
            </w:tcMar>
            <w:vAlign w:val="center"/>
          </w:tcPr>
          <w:p w14:paraId="47BCB5F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标准来源</w:t>
            </w:r>
          </w:p>
        </w:tc>
      </w:tr>
      <w:tr w14:paraId="1658AC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684" w:type="dxa"/>
            <w:vMerge w:val="continue"/>
            <w:tcBorders>
              <w:top w:val="single" w:color="auto" w:sz="12" w:space="0"/>
              <w:left w:val="nil"/>
              <w:bottom w:val="single" w:color="auto" w:sz="4" w:space="0"/>
              <w:right w:val="single" w:color="auto" w:sz="4" w:space="0"/>
            </w:tcBorders>
            <w:vAlign w:val="center"/>
          </w:tcPr>
          <w:p w14:paraId="20D5C6F3">
            <w:pPr>
              <w:widowControl/>
              <w:spacing w:line="240" w:lineRule="auto"/>
              <w:ind w:firstLine="0" w:firstLineChars="0"/>
              <w:jc w:val="center"/>
              <w:rPr>
                <w:rFonts w:cs="Times New Roman"/>
                <w:color w:val="auto"/>
                <w:sz w:val="21"/>
                <w:szCs w:val="21"/>
                <w:highlight w:val="none"/>
              </w:rPr>
            </w:pPr>
          </w:p>
        </w:tc>
        <w:tc>
          <w:tcPr>
            <w:tcW w:w="2044" w:type="dxa"/>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5C56B157">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昼间</w:t>
            </w:r>
          </w:p>
        </w:tc>
        <w:tc>
          <w:tcPr>
            <w:tcW w:w="1852" w:type="dxa"/>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7365505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夜间</w:t>
            </w:r>
          </w:p>
        </w:tc>
        <w:tc>
          <w:tcPr>
            <w:tcW w:w="2818" w:type="dxa"/>
            <w:vMerge w:val="continue"/>
            <w:tcBorders>
              <w:top w:val="single" w:color="auto" w:sz="12" w:space="0"/>
              <w:left w:val="single" w:color="auto" w:sz="4" w:space="0"/>
              <w:bottom w:val="single" w:color="auto" w:sz="4" w:space="0"/>
              <w:right w:val="nil"/>
            </w:tcBorders>
            <w:vAlign w:val="center"/>
          </w:tcPr>
          <w:p w14:paraId="65560297">
            <w:pPr>
              <w:widowControl/>
              <w:spacing w:line="240" w:lineRule="auto"/>
              <w:ind w:firstLine="0" w:firstLineChars="0"/>
              <w:jc w:val="center"/>
              <w:rPr>
                <w:rFonts w:cs="Times New Roman"/>
                <w:color w:val="auto"/>
                <w:sz w:val="21"/>
                <w:szCs w:val="21"/>
                <w:highlight w:val="none"/>
              </w:rPr>
            </w:pPr>
          </w:p>
        </w:tc>
      </w:tr>
      <w:tr w14:paraId="685E6B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684" w:type="dxa"/>
            <w:tcBorders>
              <w:top w:val="single" w:color="auto" w:sz="4" w:space="0"/>
              <w:left w:val="nil"/>
              <w:bottom w:val="single" w:color="auto" w:sz="12" w:space="0"/>
              <w:right w:val="single" w:color="auto" w:sz="4" w:space="0"/>
            </w:tcBorders>
            <w:tcMar>
              <w:top w:w="28" w:type="dxa"/>
              <w:left w:w="28" w:type="dxa"/>
              <w:bottom w:w="28" w:type="dxa"/>
              <w:right w:w="28" w:type="dxa"/>
            </w:tcMar>
            <w:vAlign w:val="center"/>
          </w:tcPr>
          <w:p w14:paraId="6B7BABA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声环境</w:t>
            </w:r>
          </w:p>
        </w:tc>
        <w:tc>
          <w:tcPr>
            <w:tcW w:w="2044" w:type="dxa"/>
            <w:tcBorders>
              <w:top w:val="single" w:color="auto" w:sz="4" w:space="0"/>
              <w:left w:val="single" w:color="auto" w:sz="4" w:space="0"/>
              <w:bottom w:val="single" w:color="auto" w:sz="12" w:space="0"/>
              <w:right w:val="single" w:color="auto" w:sz="4" w:space="0"/>
            </w:tcBorders>
            <w:tcMar>
              <w:top w:w="28" w:type="dxa"/>
              <w:left w:w="28" w:type="dxa"/>
              <w:bottom w:w="28" w:type="dxa"/>
              <w:right w:w="28" w:type="dxa"/>
            </w:tcMar>
            <w:vAlign w:val="center"/>
          </w:tcPr>
          <w:p w14:paraId="5229B05D">
            <w:pPr>
              <w:spacing w:line="240" w:lineRule="auto"/>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6</w:t>
            </w:r>
            <w:r>
              <w:rPr>
                <w:rFonts w:hint="eastAsia" w:cs="Times New Roman"/>
                <w:color w:val="auto"/>
                <w:sz w:val="21"/>
                <w:szCs w:val="21"/>
                <w:highlight w:val="none"/>
                <w:lang w:val="en-US" w:eastAsia="zh-CN"/>
              </w:rPr>
              <w:t>0</w:t>
            </w:r>
          </w:p>
        </w:tc>
        <w:tc>
          <w:tcPr>
            <w:tcW w:w="1852" w:type="dxa"/>
            <w:tcBorders>
              <w:top w:val="single" w:color="auto" w:sz="4" w:space="0"/>
              <w:left w:val="single" w:color="auto" w:sz="4" w:space="0"/>
              <w:bottom w:val="single" w:color="auto" w:sz="12" w:space="0"/>
              <w:right w:val="single" w:color="auto" w:sz="4" w:space="0"/>
            </w:tcBorders>
            <w:tcMar>
              <w:top w:w="28" w:type="dxa"/>
              <w:left w:w="28" w:type="dxa"/>
              <w:bottom w:w="28" w:type="dxa"/>
              <w:right w:w="28" w:type="dxa"/>
            </w:tcMar>
            <w:vAlign w:val="center"/>
          </w:tcPr>
          <w:p w14:paraId="4EE63951">
            <w:pPr>
              <w:spacing w:line="240" w:lineRule="auto"/>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5</w:t>
            </w:r>
            <w:r>
              <w:rPr>
                <w:rFonts w:hint="eastAsia" w:cs="Times New Roman"/>
                <w:color w:val="auto"/>
                <w:sz w:val="21"/>
                <w:szCs w:val="21"/>
                <w:highlight w:val="none"/>
                <w:lang w:val="en-US" w:eastAsia="zh-CN"/>
              </w:rPr>
              <w:t>0</w:t>
            </w:r>
          </w:p>
        </w:tc>
        <w:tc>
          <w:tcPr>
            <w:tcW w:w="2818" w:type="dxa"/>
            <w:tcBorders>
              <w:top w:val="single" w:color="auto" w:sz="4" w:space="0"/>
              <w:left w:val="single" w:color="auto" w:sz="4" w:space="0"/>
              <w:bottom w:val="single" w:color="auto" w:sz="12" w:space="0"/>
              <w:right w:val="nil"/>
            </w:tcBorders>
            <w:tcMar>
              <w:top w:w="28" w:type="dxa"/>
              <w:left w:w="28" w:type="dxa"/>
              <w:bottom w:w="28" w:type="dxa"/>
              <w:right w:w="28" w:type="dxa"/>
            </w:tcMar>
            <w:vAlign w:val="center"/>
          </w:tcPr>
          <w:p w14:paraId="1E0304A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GB3096-2008中</w:t>
            </w:r>
            <w:r>
              <w:rPr>
                <w:rFonts w:hint="eastAsia" w:cs="Times New Roman"/>
                <w:color w:val="auto"/>
                <w:sz w:val="21"/>
                <w:szCs w:val="21"/>
                <w:highlight w:val="none"/>
                <w:lang w:val="en-US" w:eastAsia="zh-CN"/>
              </w:rPr>
              <w:t>2</w:t>
            </w:r>
            <w:r>
              <w:rPr>
                <w:rFonts w:cs="Times New Roman"/>
                <w:color w:val="auto"/>
                <w:sz w:val="21"/>
                <w:szCs w:val="21"/>
                <w:highlight w:val="none"/>
              </w:rPr>
              <w:t>类</w:t>
            </w:r>
          </w:p>
        </w:tc>
      </w:tr>
    </w:tbl>
    <w:p w14:paraId="1927354E">
      <w:pPr>
        <w:pStyle w:val="5"/>
        <w:rPr>
          <w:color w:val="auto"/>
          <w:highlight w:val="none"/>
        </w:rPr>
      </w:pPr>
      <w:bookmarkStart w:id="57" w:name="_Toc17763"/>
      <w:bookmarkStart w:id="58" w:name="_Toc22218"/>
      <w:bookmarkStart w:id="59" w:name="_Toc3936"/>
    </w:p>
    <w:p w14:paraId="3A0FA8E3">
      <w:pPr>
        <w:rPr>
          <w:color w:val="auto"/>
          <w:highlight w:val="none"/>
        </w:rPr>
      </w:pPr>
    </w:p>
    <w:p w14:paraId="34B649FB">
      <w:pPr>
        <w:rPr>
          <w:color w:val="auto"/>
          <w:highlight w:val="none"/>
        </w:rPr>
      </w:pPr>
    </w:p>
    <w:p w14:paraId="15A3730C">
      <w:pPr>
        <w:rPr>
          <w:color w:val="auto"/>
          <w:highlight w:val="none"/>
        </w:rPr>
      </w:pPr>
    </w:p>
    <w:p w14:paraId="70D3AD08">
      <w:pPr>
        <w:rPr>
          <w:color w:val="auto"/>
          <w:highlight w:val="none"/>
        </w:rPr>
      </w:pPr>
    </w:p>
    <w:p w14:paraId="550101F6">
      <w:pPr>
        <w:rPr>
          <w:color w:val="auto"/>
          <w:highlight w:val="none"/>
        </w:rPr>
      </w:pPr>
    </w:p>
    <w:p w14:paraId="5345E702">
      <w:pPr>
        <w:rPr>
          <w:color w:val="auto"/>
          <w:highlight w:val="none"/>
        </w:rPr>
      </w:pPr>
    </w:p>
    <w:p w14:paraId="3FBCD096">
      <w:pPr>
        <w:rPr>
          <w:color w:val="auto"/>
          <w:highlight w:val="none"/>
        </w:rPr>
      </w:pPr>
    </w:p>
    <w:p w14:paraId="02A53F4F">
      <w:pPr>
        <w:rPr>
          <w:color w:val="auto"/>
          <w:highlight w:val="none"/>
        </w:rPr>
      </w:pPr>
    </w:p>
    <w:p w14:paraId="6C6B623F">
      <w:pPr>
        <w:rPr>
          <w:color w:val="auto"/>
          <w:highlight w:val="none"/>
        </w:rPr>
      </w:pPr>
    </w:p>
    <w:p w14:paraId="443FB450">
      <w:pPr>
        <w:rPr>
          <w:color w:val="auto"/>
          <w:highlight w:val="none"/>
        </w:rPr>
      </w:pPr>
    </w:p>
    <w:p w14:paraId="2A9E843A">
      <w:pPr>
        <w:rPr>
          <w:color w:val="auto"/>
          <w:highlight w:val="none"/>
        </w:rPr>
      </w:pPr>
    </w:p>
    <w:p w14:paraId="065C895C">
      <w:pPr>
        <w:rPr>
          <w:color w:val="auto"/>
          <w:highlight w:val="none"/>
        </w:rPr>
      </w:pPr>
    </w:p>
    <w:p w14:paraId="022EE8E4">
      <w:pPr>
        <w:bidi w:val="0"/>
        <w:rPr>
          <w:color w:val="auto"/>
          <w:highlight w:val="none"/>
        </w:rPr>
      </w:pPr>
      <w:r>
        <w:rPr>
          <w:color w:val="auto"/>
          <w:highlight w:val="none"/>
        </w:rPr>
        <w:drawing>
          <wp:anchor distT="0" distB="0" distL="114300" distR="114300" simplePos="0" relativeHeight="251753472" behindDoc="1" locked="0" layoutInCell="1" allowOverlap="1">
            <wp:simplePos x="0" y="0"/>
            <wp:positionH relativeFrom="column">
              <wp:posOffset>563245</wp:posOffset>
            </wp:positionH>
            <wp:positionV relativeFrom="paragraph">
              <wp:posOffset>9525</wp:posOffset>
            </wp:positionV>
            <wp:extent cx="4221480" cy="4766945"/>
            <wp:effectExtent l="0" t="0" r="7620" b="14605"/>
            <wp:wrapNone/>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23"/>
                    <a:stretch>
                      <a:fillRect/>
                    </a:stretch>
                  </pic:blipFill>
                  <pic:spPr>
                    <a:xfrm>
                      <a:off x="0" y="0"/>
                      <a:ext cx="4221480" cy="4766945"/>
                    </a:xfrm>
                    <a:prstGeom prst="rect">
                      <a:avLst/>
                    </a:prstGeom>
                    <a:noFill/>
                    <a:ln>
                      <a:noFill/>
                    </a:ln>
                  </pic:spPr>
                </pic:pic>
              </a:graphicData>
            </a:graphic>
          </wp:anchor>
        </w:drawing>
      </w:r>
    </w:p>
    <w:p w14:paraId="0F0A2FDE">
      <w:pPr>
        <w:bidi w:val="0"/>
        <w:rPr>
          <w:color w:val="auto"/>
          <w:highlight w:val="none"/>
        </w:rPr>
      </w:pPr>
    </w:p>
    <w:p w14:paraId="0B952B58">
      <w:pPr>
        <w:bidi w:val="0"/>
        <w:rPr>
          <w:color w:val="auto"/>
          <w:highlight w:val="none"/>
        </w:rPr>
      </w:pPr>
    </w:p>
    <w:p w14:paraId="1534F685">
      <w:pPr>
        <w:rPr>
          <w:color w:val="auto"/>
          <w:highlight w:val="none"/>
        </w:rPr>
      </w:pPr>
    </w:p>
    <w:p w14:paraId="4DC077C0">
      <w:pPr>
        <w:pStyle w:val="45"/>
        <w:rPr>
          <w:color w:val="auto"/>
          <w:highlight w:val="none"/>
        </w:rPr>
      </w:pPr>
    </w:p>
    <w:p w14:paraId="3A64FA3E">
      <w:pPr>
        <w:pStyle w:val="45"/>
        <w:rPr>
          <w:color w:val="auto"/>
          <w:highlight w:val="none"/>
        </w:rPr>
      </w:pPr>
    </w:p>
    <w:p w14:paraId="5C2C2A14">
      <w:pPr>
        <w:pStyle w:val="45"/>
        <w:rPr>
          <w:color w:val="auto"/>
          <w:highlight w:val="none"/>
        </w:rPr>
      </w:pPr>
    </w:p>
    <w:p w14:paraId="2E97DBF9">
      <w:pPr>
        <w:pStyle w:val="45"/>
        <w:rPr>
          <w:color w:val="auto"/>
          <w:highlight w:val="none"/>
        </w:rPr>
      </w:pPr>
    </w:p>
    <w:p w14:paraId="6D9A121F">
      <w:pPr>
        <w:pStyle w:val="45"/>
        <w:rPr>
          <w:color w:val="auto"/>
          <w:highlight w:val="none"/>
        </w:rPr>
      </w:pPr>
      <w:r>
        <w:rPr>
          <w:color w:val="auto"/>
          <w:sz w:val="21"/>
          <w:highlight w:val="none"/>
        </w:rPr>
        <mc:AlternateContent>
          <mc:Choice Requires="wps">
            <w:drawing>
              <wp:anchor distT="0" distB="0" distL="114300" distR="114300" simplePos="0" relativeHeight="251757568" behindDoc="0" locked="0" layoutInCell="1" allowOverlap="1">
                <wp:simplePos x="0" y="0"/>
                <wp:positionH relativeFrom="column">
                  <wp:posOffset>2746375</wp:posOffset>
                </wp:positionH>
                <wp:positionV relativeFrom="paragraph">
                  <wp:posOffset>231140</wp:posOffset>
                </wp:positionV>
                <wp:extent cx="130810" cy="125095"/>
                <wp:effectExtent l="4445" t="4445" r="17145" b="22860"/>
                <wp:wrapNone/>
                <wp:docPr id="176" name="五角星 176"/>
                <wp:cNvGraphicFramePr/>
                <a:graphic xmlns:a="http://schemas.openxmlformats.org/drawingml/2006/main">
                  <a:graphicData uri="http://schemas.microsoft.com/office/word/2010/wordprocessingShape">
                    <wps:wsp>
                      <wps:cNvSpPr/>
                      <wps:spPr>
                        <a:xfrm>
                          <a:off x="3895090" y="7091045"/>
                          <a:ext cx="130810" cy="125095"/>
                        </a:xfrm>
                        <a:prstGeom prst="star5">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16.25pt;margin-top:18.2pt;height:9.85pt;width:10.3pt;z-index:251757568;v-text-anchor:middle;mso-width-relative:page;mso-height-relative:page;" fillcolor="#FF0000" filled="t" stroked="t" coordsize="130810,125095" o:gfxdata="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1v/Ka1wAAAAkBAAAPAAAAAAAAAAEAIAAAACIAAABk&#10;cnMvZG93bnJldi54bWxQSwECFAAUAAAACACHTuJAMxh+oHkCAADvBAAADgAAAAAAAAABACAAAAAm&#10;AQAAZHJzL2Uyb0RvYy54bWxQSwUGAAAAAAYABgBZAQAAEQYAAAAA&#10;" path="m0,47781l49965,47782,65405,0,80844,47782,130809,47781,90387,77312,105827,125094,65405,95563,24982,125094,40422,77312xe">
                <v:path o:connectlocs="65405,0;0,47781;24982,125094;105827,125094;130809,47781" o:connectangles="247,164,82,82,0"/>
                <v:fill on="t" focussize="0,0"/>
                <v:stroke weight="0.25pt" color="#000000 [3213]" joinstyle="round"/>
                <v:imagedata o:title=""/>
                <o:lock v:ext="edit" aspectratio="f"/>
              </v:shape>
            </w:pict>
          </mc:Fallback>
        </mc:AlternateContent>
      </w:r>
      <w:r>
        <w:rPr>
          <w:color w:val="auto"/>
          <w:highlight w:val="none"/>
        </w:rPr>
        <w:drawing>
          <wp:anchor distT="0" distB="0" distL="114300" distR="114300" simplePos="0" relativeHeight="251755520" behindDoc="0" locked="0" layoutInCell="1" allowOverlap="1">
            <wp:simplePos x="0" y="0"/>
            <wp:positionH relativeFrom="column">
              <wp:posOffset>2137410</wp:posOffset>
            </wp:positionH>
            <wp:positionV relativeFrom="paragraph">
              <wp:posOffset>104140</wp:posOffset>
            </wp:positionV>
            <wp:extent cx="1593850" cy="883285"/>
            <wp:effectExtent l="0" t="0" r="6350" b="12065"/>
            <wp:wrapNone/>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
                    <pic:cNvPicPr>
                      <a:picLocks noChangeAspect="1"/>
                    </pic:cNvPicPr>
                  </pic:nvPicPr>
                  <pic:blipFill>
                    <a:blip r:embed="rId24"/>
                    <a:stretch>
                      <a:fillRect/>
                    </a:stretch>
                  </pic:blipFill>
                  <pic:spPr>
                    <a:xfrm>
                      <a:off x="0" y="0"/>
                      <a:ext cx="1593850" cy="883285"/>
                    </a:xfrm>
                    <a:prstGeom prst="rect">
                      <a:avLst/>
                    </a:prstGeom>
                    <a:noFill/>
                    <a:ln>
                      <a:noFill/>
                    </a:ln>
                  </pic:spPr>
                </pic:pic>
              </a:graphicData>
            </a:graphic>
          </wp:anchor>
        </w:drawing>
      </w:r>
      <w:r>
        <w:rPr>
          <w:color w:val="auto"/>
          <w:sz w:val="24"/>
          <w:highlight w:val="none"/>
        </w:rPr>
        <mc:AlternateContent>
          <mc:Choice Requires="wps">
            <w:drawing>
              <wp:anchor distT="0" distB="0" distL="114300" distR="114300" simplePos="0" relativeHeight="251756544" behindDoc="1" locked="0" layoutInCell="1" allowOverlap="1">
                <wp:simplePos x="0" y="0"/>
                <wp:positionH relativeFrom="column">
                  <wp:posOffset>2132965</wp:posOffset>
                </wp:positionH>
                <wp:positionV relativeFrom="paragraph">
                  <wp:posOffset>99695</wp:posOffset>
                </wp:positionV>
                <wp:extent cx="1600835" cy="899160"/>
                <wp:effectExtent l="400685" t="5080" r="17780" b="619760"/>
                <wp:wrapThrough wrapText="bothSides">
                  <wp:wrapPolygon>
                    <wp:start x="-780" y="-122"/>
                    <wp:lineTo x="-780" y="20471"/>
                    <wp:lineTo x="-266" y="21844"/>
                    <wp:lineTo x="2305" y="21844"/>
                    <wp:lineTo x="-5406" y="35115"/>
                    <wp:lineTo x="-5406" y="36031"/>
                    <wp:lineTo x="-4635" y="36031"/>
                    <wp:lineTo x="9245" y="21844"/>
                    <wp:lineTo x="21326" y="21844"/>
                    <wp:lineTo x="21326" y="-122"/>
                    <wp:lineTo x="-780" y="-122"/>
                  </wp:wrapPolygon>
                </wp:wrapThrough>
                <wp:docPr id="114" name="矩形标注 114"/>
                <wp:cNvGraphicFramePr/>
                <a:graphic xmlns:a="http://schemas.openxmlformats.org/drawingml/2006/main">
                  <a:graphicData uri="http://schemas.microsoft.com/office/word/2010/wordprocessingShape">
                    <wps:wsp>
                      <wps:cNvSpPr/>
                      <wps:spPr>
                        <a:xfrm>
                          <a:off x="3192780" y="5697855"/>
                          <a:ext cx="1600835" cy="899160"/>
                        </a:xfrm>
                        <a:prstGeom prst="wedgeRectCallout">
                          <a:avLst>
                            <a:gd name="adj1" fmla="val -74752"/>
                            <a:gd name="adj2" fmla="val 117443"/>
                          </a:avLst>
                        </a:prstGeom>
                        <a:solidFill>
                          <a:schemeClr val="bg1">
                            <a:lumMod val="90000"/>
                            <a:alpha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C4FBC4">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67.95pt;margin-top:7.85pt;height:70.8pt;width:126.05pt;mso-wrap-distance-left:9pt;mso-wrap-distance-right:9pt;z-index:-251559936;v-text-anchor:middle;mso-width-relative:page;mso-height-relative:page;" fillcolor="#E6E6E6 [2892]" filled="t" stroked="t" coordsize="21600,21600" wrapcoords="-780 -122 -780 20471 -266 21844 2305 21844 -5406 35115 -5406 36031 -4635 36031 9245 21844 21326 21844 21326 -122 -780 -122" o:gfxdata="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oxhdjtUA&#10;AAAKAQAADwAAAAAAAAABACAAAAAiAAAAZHJzL2Rvd25yZXYueG1sUEsBAhQAFAAAAAgAh07iQE61&#10;XDTNAgAAlAUAAA4AAAAAAAAAAQAgAAAAJAEAAGRycy9lMm9Eb2MueG1sUEsFBgAAAAAGAAYAWQEA&#10;AGMGAAAAAA==&#10;" adj="-5346,36168">
                <v:fill on="t" opacity="52428f" focussize="0,0"/>
                <v:stroke weight="0.25pt" color="#000000 [3213]" joinstyle="round"/>
                <v:imagedata o:title=""/>
                <o:lock v:ext="edit" aspectratio="f"/>
                <v:textbox>
                  <w:txbxContent>
                    <w:p w14:paraId="7DC4FBC4">
                      <w:pPr>
                        <w:jc w:val="center"/>
                      </w:pPr>
                    </w:p>
                  </w:txbxContent>
                </v:textbox>
                <w10:wrap type="through"/>
              </v:shape>
            </w:pict>
          </mc:Fallback>
        </mc:AlternateContent>
      </w:r>
    </w:p>
    <w:p w14:paraId="4FE5F118">
      <w:pPr>
        <w:pStyle w:val="45"/>
        <w:rPr>
          <w:color w:val="auto"/>
          <w:highlight w:val="none"/>
        </w:rPr>
      </w:pPr>
      <w:r>
        <w:rPr>
          <w:color w:val="auto"/>
          <w:sz w:val="21"/>
          <w:highlight w:val="none"/>
        </w:rPr>
        <mc:AlternateContent>
          <mc:Choice Requires="wps">
            <w:drawing>
              <wp:anchor distT="0" distB="0" distL="114300" distR="114300" simplePos="0" relativeHeight="251754496" behindDoc="0" locked="0" layoutInCell="1" allowOverlap="1">
                <wp:simplePos x="0" y="0"/>
                <wp:positionH relativeFrom="column">
                  <wp:posOffset>2646680</wp:posOffset>
                </wp:positionH>
                <wp:positionV relativeFrom="paragraph">
                  <wp:posOffset>233680</wp:posOffset>
                </wp:positionV>
                <wp:extent cx="75565" cy="75565"/>
                <wp:effectExtent l="4445" t="4445" r="15240" b="15240"/>
                <wp:wrapNone/>
                <wp:docPr id="58" name="五角星 58"/>
                <wp:cNvGraphicFramePr/>
                <a:graphic xmlns:a="http://schemas.openxmlformats.org/drawingml/2006/main">
                  <a:graphicData uri="http://schemas.microsoft.com/office/word/2010/wordprocessingShape">
                    <wps:wsp>
                      <wps:cNvSpPr/>
                      <wps:spPr>
                        <a:xfrm>
                          <a:off x="2856865" y="8417560"/>
                          <a:ext cx="75565" cy="75565"/>
                        </a:xfrm>
                        <a:prstGeom prst="star5">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08.4pt;margin-top:18.4pt;height:5.95pt;width:5.95pt;z-index:251754496;v-text-anchor:middle;mso-width-relative:page;mso-height-relative:page;" fillcolor="#FF0000" filled="t" stroked="t" coordsize="75565,75565" o:gfxdata="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4v7TqtgAAAAJAQAADwAAAAAAAAABACAAAAAiAAAAZHJzL2Rv&#10;d25yZXYueG1sUEsBAhQAFAAAAAgAh07iQETeF9JzAgAA6wQAAA4AAAAAAAAAAQAgAAAAJwEAAGRy&#10;cy9lMm9Eb2MueG1sUEsFBgAAAAAGAAYAWQEAAAwGAAAAAA==&#10;" path="m0,28863l28863,28863,37782,0,46701,28863,75564,28863,52213,46701,61133,75564,37782,57726,14431,75564,23351,46701xe">
                <v:path o:connectlocs="37782,0;0,28863;14431,75564;61133,75564;75564,28863" o:connectangles="247,164,82,82,0"/>
                <v:fill on="t" focussize="0,0"/>
                <v:stroke weight="0.25pt" color="#000000 [3213]" joinstyle="round"/>
                <v:imagedata o:title=""/>
                <o:lock v:ext="edit" aspectratio="f"/>
              </v:shape>
            </w:pict>
          </mc:Fallback>
        </mc:AlternateContent>
      </w:r>
    </w:p>
    <w:p w14:paraId="27DF1506">
      <w:pPr>
        <w:pStyle w:val="45"/>
        <w:rPr>
          <w:color w:val="auto"/>
          <w:highlight w:val="none"/>
        </w:rPr>
      </w:pPr>
    </w:p>
    <w:p w14:paraId="0BC09852">
      <w:pPr>
        <w:pStyle w:val="45"/>
        <w:rPr>
          <w:color w:val="auto"/>
          <w:highlight w:val="none"/>
        </w:rPr>
      </w:pPr>
    </w:p>
    <w:p w14:paraId="26DB9733">
      <w:pPr>
        <w:pStyle w:val="45"/>
        <w:rPr>
          <w:color w:val="auto"/>
          <w:highlight w:val="none"/>
        </w:rPr>
      </w:pPr>
    </w:p>
    <w:p w14:paraId="7A8899CC">
      <w:pPr>
        <w:pStyle w:val="45"/>
        <w:rPr>
          <w:color w:val="auto"/>
          <w:highlight w:val="none"/>
        </w:rPr>
      </w:pPr>
    </w:p>
    <w:p w14:paraId="099FA9DC">
      <w:pPr>
        <w:pStyle w:val="45"/>
        <w:rPr>
          <w:color w:val="auto"/>
          <w:highlight w:val="none"/>
        </w:rPr>
      </w:pPr>
    </w:p>
    <w:p w14:paraId="77067EAE">
      <w:pPr>
        <w:pStyle w:val="45"/>
        <w:rPr>
          <w:color w:val="auto"/>
          <w:highlight w:val="none"/>
        </w:rPr>
      </w:pPr>
      <w:r>
        <w:rPr>
          <w:color w:val="auto"/>
          <w:sz w:val="21"/>
          <w:highlight w:val="none"/>
        </w:rPr>
        <mc:AlternateContent>
          <mc:Choice Requires="wps">
            <w:drawing>
              <wp:anchor distT="0" distB="0" distL="114300" distR="114300" simplePos="0" relativeHeight="251758592" behindDoc="0" locked="0" layoutInCell="1" allowOverlap="1">
                <wp:simplePos x="0" y="0"/>
                <wp:positionH relativeFrom="column">
                  <wp:posOffset>3561715</wp:posOffset>
                </wp:positionH>
                <wp:positionV relativeFrom="paragraph">
                  <wp:posOffset>33020</wp:posOffset>
                </wp:positionV>
                <wp:extent cx="1137285" cy="577850"/>
                <wp:effectExtent l="4445" t="4445" r="20320" b="8255"/>
                <wp:wrapNone/>
                <wp:docPr id="177" name="文本框 177"/>
                <wp:cNvGraphicFramePr/>
                <a:graphic xmlns:a="http://schemas.openxmlformats.org/drawingml/2006/main">
                  <a:graphicData uri="http://schemas.microsoft.com/office/word/2010/wordprocessingShape">
                    <wps:wsp>
                      <wps:cNvSpPr txBox="1"/>
                      <wps:spPr>
                        <a:xfrm>
                          <a:off x="4704715" y="8138795"/>
                          <a:ext cx="1137285" cy="5778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F375EE4">
                            <w:pPr>
                              <w:spacing w:line="240" w:lineRule="auto"/>
                              <w:ind w:left="0" w:leftChars="0" w:firstLine="0" w:firstLineChars="0"/>
                              <w:jc w:val="center"/>
                              <w:rPr>
                                <w:rFonts w:hint="eastAsia"/>
                                <w:sz w:val="20"/>
                                <w:szCs w:val="18"/>
                                <w:lang w:val="en-US" w:eastAsia="zh-CN"/>
                              </w:rPr>
                            </w:pPr>
                            <w:r>
                              <w:rPr>
                                <w:rFonts w:hint="eastAsia"/>
                                <w:sz w:val="20"/>
                                <w:szCs w:val="18"/>
                                <w:lang w:val="en-US" w:eastAsia="zh-CN"/>
                              </w:rPr>
                              <w:t>图例</w:t>
                            </w:r>
                          </w:p>
                          <w:p w14:paraId="268ABAFF">
                            <w:pPr>
                              <w:spacing w:line="240" w:lineRule="auto"/>
                              <w:ind w:left="0" w:leftChars="0" w:firstLine="0" w:firstLineChars="0"/>
                              <w:jc w:val="both"/>
                              <w:rPr>
                                <w:rFonts w:hint="default"/>
                                <w:sz w:val="20"/>
                                <w:szCs w:val="18"/>
                                <w:lang w:val="en-US" w:eastAsia="zh-CN"/>
                              </w:rPr>
                            </w:pPr>
                            <w:r>
                              <w:rPr>
                                <w:rFonts w:hint="eastAsia"/>
                                <w:sz w:val="20"/>
                                <w:szCs w:val="18"/>
                                <w:lang w:val="en-US" w:eastAsia="zh-CN"/>
                              </w:rPr>
                              <w:t xml:space="preserve">  ：项目所在地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45pt;margin-top:2.6pt;height:45.5pt;width:89.55pt;z-index:251758592;mso-width-relative:page;mso-height-relative:page;" fillcolor="#FFFFFF [3201]" filled="t" stroked="t" coordsize="21600,21600" o:gfxdata="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IOmgdtUAAAAIAQAADwAAAAAAAAABACAAAAAiAAAAZHJzL2Rvd25yZXYueG1sUEsBAhQA&#10;FAAAAAgAh07iQM4ZQm5nAgAAxwQAAA4AAAAAAAAAAQAgAAAAJAEAAGRycy9lMm9Eb2MueG1sUEsF&#10;BgAAAAAGAAYAWQEAAP0FAAAAAA==&#10;">
                <v:fill on="t" focussize="0,0"/>
                <v:stroke weight="0.5pt" color="#000000 [3204]" joinstyle="round"/>
                <v:imagedata o:title=""/>
                <o:lock v:ext="edit" aspectratio="f"/>
                <v:textbox>
                  <w:txbxContent>
                    <w:p w14:paraId="6F375EE4">
                      <w:pPr>
                        <w:spacing w:line="240" w:lineRule="auto"/>
                        <w:ind w:left="0" w:leftChars="0" w:firstLine="0" w:firstLineChars="0"/>
                        <w:jc w:val="center"/>
                        <w:rPr>
                          <w:rFonts w:hint="eastAsia"/>
                          <w:sz w:val="20"/>
                          <w:szCs w:val="18"/>
                          <w:lang w:val="en-US" w:eastAsia="zh-CN"/>
                        </w:rPr>
                      </w:pPr>
                      <w:r>
                        <w:rPr>
                          <w:rFonts w:hint="eastAsia"/>
                          <w:sz w:val="20"/>
                          <w:szCs w:val="18"/>
                          <w:lang w:val="en-US" w:eastAsia="zh-CN"/>
                        </w:rPr>
                        <w:t>图例</w:t>
                      </w:r>
                    </w:p>
                    <w:p w14:paraId="268ABAFF">
                      <w:pPr>
                        <w:spacing w:line="240" w:lineRule="auto"/>
                        <w:ind w:left="0" w:leftChars="0" w:firstLine="0" w:firstLineChars="0"/>
                        <w:jc w:val="both"/>
                        <w:rPr>
                          <w:rFonts w:hint="default"/>
                          <w:sz w:val="20"/>
                          <w:szCs w:val="18"/>
                          <w:lang w:val="en-US" w:eastAsia="zh-CN"/>
                        </w:rPr>
                      </w:pPr>
                      <w:r>
                        <w:rPr>
                          <w:rFonts w:hint="eastAsia"/>
                          <w:sz w:val="20"/>
                          <w:szCs w:val="18"/>
                          <w:lang w:val="en-US" w:eastAsia="zh-CN"/>
                        </w:rPr>
                        <w:t xml:space="preserve">  ：项目所在地</w:t>
                      </w:r>
                    </w:p>
                  </w:txbxContent>
                </v:textbox>
              </v:shape>
            </w:pict>
          </mc:Fallback>
        </mc:AlternateContent>
      </w:r>
    </w:p>
    <w:p w14:paraId="38BEEC2C">
      <w:pPr>
        <w:pStyle w:val="45"/>
        <w:rPr>
          <w:color w:val="auto"/>
          <w:highlight w:val="none"/>
        </w:rPr>
      </w:pPr>
      <w:r>
        <w:rPr>
          <w:color w:val="auto"/>
          <w:sz w:val="21"/>
          <w:highlight w:val="none"/>
        </w:rPr>
        <mc:AlternateContent>
          <mc:Choice Requires="wps">
            <w:drawing>
              <wp:anchor distT="0" distB="0" distL="114300" distR="114300" simplePos="0" relativeHeight="251759616" behindDoc="0" locked="0" layoutInCell="1" allowOverlap="1">
                <wp:simplePos x="0" y="0"/>
                <wp:positionH relativeFrom="column">
                  <wp:posOffset>3648710</wp:posOffset>
                </wp:positionH>
                <wp:positionV relativeFrom="paragraph">
                  <wp:posOffset>27305</wp:posOffset>
                </wp:positionV>
                <wp:extent cx="130810" cy="125095"/>
                <wp:effectExtent l="4445" t="4445" r="17145" b="22860"/>
                <wp:wrapNone/>
                <wp:docPr id="178" name="五角星 178"/>
                <wp:cNvGraphicFramePr/>
                <a:graphic xmlns:a="http://schemas.openxmlformats.org/drawingml/2006/main">
                  <a:graphicData uri="http://schemas.microsoft.com/office/word/2010/wordprocessingShape">
                    <wps:wsp>
                      <wps:cNvSpPr/>
                      <wps:spPr>
                        <a:xfrm>
                          <a:off x="0" y="0"/>
                          <a:ext cx="130810" cy="125095"/>
                        </a:xfrm>
                        <a:prstGeom prst="star5">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87.3pt;margin-top:2.15pt;height:9.85pt;width:10.3pt;z-index:251759616;v-text-anchor:middle;mso-width-relative:page;mso-height-relative:page;" fillcolor="#FF0000" filled="t" stroked="t" coordsize="130810,125095" o:gfxdata="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MDR342AAAAAgBAAAPAAAAAAAAAAEAIAAAACIAAABkcnMvZG93bnJldi54&#10;bWxQSwECFAAUAAAACACHTuJAcL+kK2wCAADjBAAADgAAAAAAAAABACAAAAAnAQAAZHJzL2Uyb0Rv&#10;Yy54bWxQSwUGAAAAAAYABgBZAQAABQYAAAAA&#10;" path="m0,47781l49965,47782,65405,0,80844,47782,130809,47781,90387,77312,105827,125094,65405,95563,24982,125094,40422,77312xe">
                <v:path o:connectlocs="65405,0;0,47781;24982,125094;105827,125094;130809,47781" o:connectangles="247,164,82,82,0"/>
                <v:fill on="t" focussize="0,0"/>
                <v:stroke weight="0.25pt" color="#000000 [3213]" joinstyle="round"/>
                <v:imagedata o:title=""/>
                <o:lock v:ext="edit" aspectratio="f"/>
              </v:shape>
            </w:pict>
          </mc:Fallback>
        </mc:AlternateContent>
      </w:r>
    </w:p>
    <w:p w14:paraId="4BB9B587">
      <w:pPr>
        <w:pStyle w:val="45"/>
        <w:rPr>
          <w:color w:val="auto"/>
          <w:highlight w:val="none"/>
        </w:rPr>
      </w:pPr>
    </w:p>
    <w:p w14:paraId="1EE8FD33">
      <w:pPr>
        <w:pStyle w:val="45"/>
        <w:jc w:val="center"/>
        <w:rPr>
          <w:rFonts w:hint="default" w:eastAsiaTheme="minorEastAsia"/>
          <w:b/>
          <w:bCs/>
          <w:color w:val="auto"/>
          <w:sz w:val="24"/>
          <w:szCs w:val="28"/>
          <w:highlight w:val="none"/>
          <w:lang w:val="en-US" w:eastAsia="zh-CN"/>
        </w:rPr>
      </w:pPr>
      <w:r>
        <w:rPr>
          <w:rFonts w:hint="eastAsia"/>
          <w:b/>
          <w:bCs/>
          <w:color w:val="auto"/>
          <w:sz w:val="24"/>
          <w:szCs w:val="28"/>
          <w:highlight w:val="none"/>
          <w:lang w:val="en-US" w:eastAsia="zh-CN"/>
        </w:rPr>
        <w:t>图2.2-1  声环境功能区划分示意图</w:t>
      </w:r>
    </w:p>
    <w:p w14:paraId="2F74E223">
      <w:pPr>
        <w:pStyle w:val="5"/>
        <w:rPr>
          <w:color w:val="auto"/>
          <w:highlight w:val="none"/>
        </w:rPr>
      </w:pPr>
      <w:r>
        <w:rPr>
          <w:color w:val="auto"/>
          <w:highlight w:val="none"/>
        </w:rPr>
        <w:t>2.2.2.2 污染物排放标准</w:t>
      </w:r>
      <w:bookmarkEnd w:id="57"/>
      <w:bookmarkEnd w:id="58"/>
      <w:bookmarkEnd w:id="59"/>
    </w:p>
    <w:p w14:paraId="0BE5117E">
      <w:pPr>
        <w:spacing w:line="500" w:lineRule="exact"/>
        <w:ind w:firstLine="482"/>
        <w:rPr>
          <w:rFonts w:cs="Times New Roman"/>
          <w:color w:val="auto"/>
          <w:szCs w:val="24"/>
          <w:highlight w:val="none"/>
        </w:rPr>
      </w:pPr>
      <w:r>
        <w:rPr>
          <w:rFonts w:cs="Times New Roman"/>
          <w:b/>
          <w:bCs/>
          <w:color w:val="auto"/>
          <w:szCs w:val="24"/>
          <w:highlight w:val="none"/>
        </w:rPr>
        <w:t>1、大气污染物排放标准</w:t>
      </w:r>
    </w:p>
    <w:p w14:paraId="1E842B6E">
      <w:pPr>
        <w:spacing w:line="500" w:lineRule="exact"/>
        <w:rPr>
          <w:rFonts w:cs="Times New Roman"/>
          <w:color w:val="auto"/>
          <w:szCs w:val="24"/>
          <w:highlight w:val="none"/>
        </w:rPr>
      </w:pPr>
      <w:r>
        <w:rPr>
          <w:rFonts w:cs="Times New Roman"/>
          <w:color w:val="auto"/>
          <w:szCs w:val="24"/>
          <w:highlight w:val="none"/>
        </w:rPr>
        <w:t>施工期产生无组织颗粒物执行《大气污染物综合排放标准》（GB16297-1996）表2中无组织排放监控浓度限值，标准值见</w:t>
      </w:r>
      <w:r>
        <w:rPr>
          <w:rFonts w:hint="eastAsia" w:cs="Times New Roman"/>
          <w:color w:val="auto"/>
          <w:szCs w:val="24"/>
          <w:highlight w:val="none"/>
          <w:lang w:val="en-US" w:eastAsia="zh-CN"/>
        </w:rPr>
        <w:t>下表</w:t>
      </w:r>
      <w:r>
        <w:rPr>
          <w:rFonts w:cs="Times New Roman"/>
          <w:color w:val="auto"/>
          <w:szCs w:val="24"/>
          <w:highlight w:val="none"/>
        </w:rPr>
        <w:t>。</w:t>
      </w:r>
    </w:p>
    <w:p w14:paraId="19D40068">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8</w:t>
      </w:r>
      <w:r>
        <w:rPr>
          <w:rFonts w:cs="Times New Roman"/>
          <w:b/>
          <w:color w:val="auto"/>
          <w:szCs w:val="24"/>
          <w:highlight w:val="none"/>
        </w:rPr>
        <w:t xml:space="preserve">   大气污染物综合排放标准</w:t>
      </w:r>
    </w:p>
    <w:tbl>
      <w:tblPr>
        <w:tblStyle w:val="47"/>
        <w:tblW w:w="835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76"/>
        <w:gridCol w:w="3878"/>
        <w:gridCol w:w="2805"/>
      </w:tblGrid>
      <w:tr w14:paraId="710C3D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676" w:type="dxa"/>
            <w:tcBorders>
              <w:top w:val="single" w:color="auto" w:sz="12" w:space="0"/>
              <w:left w:val="nil"/>
              <w:bottom w:val="single" w:color="auto" w:sz="4" w:space="0"/>
              <w:right w:val="single" w:color="auto" w:sz="4" w:space="0"/>
            </w:tcBorders>
            <w:tcMar>
              <w:top w:w="28" w:type="dxa"/>
              <w:left w:w="28" w:type="dxa"/>
              <w:bottom w:w="28" w:type="dxa"/>
              <w:right w:w="28" w:type="dxa"/>
            </w:tcMar>
            <w:vAlign w:val="center"/>
          </w:tcPr>
          <w:p w14:paraId="631B48D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6683" w:type="dxa"/>
            <w:gridSpan w:val="2"/>
            <w:tcBorders>
              <w:top w:val="single" w:color="auto" w:sz="12" w:space="0"/>
              <w:left w:val="single" w:color="auto" w:sz="4" w:space="0"/>
              <w:right w:val="nil"/>
            </w:tcBorders>
            <w:tcMar>
              <w:top w:w="28" w:type="dxa"/>
              <w:left w:w="28" w:type="dxa"/>
              <w:bottom w:w="28" w:type="dxa"/>
              <w:right w:w="28" w:type="dxa"/>
            </w:tcMar>
            <w:vAlign w:val="center"/>
          </w:tcPr>
          <w:p w14:paraId="7A8DD71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无组织排放监控浓度限值（mg/m</w:t>
            </w:r>
            <w:r>
              <w:rPr>
                <w:rFonts w:cs="Times New Roman"/>
                <w:color w:val="auto"/>
                <w:sz w:val="21"/>
                <w:szCs w:val="21"/>
                <w:highlight w:val="none"/>
                <w:vertAlign w:val="superscript"/>
              </w:rPr>
              <w:t>3</w:t>
            </w:r>
            <w:r>
              <w:rPr>
                <w:rFonts w:cs="Times New Roman"/>
                <w:color w:val="auto"/>
                <w:sz w:val="21"/>
                <w:szCs w:val="21"/>
                <w:highlight w:val="none"/>
              </w:rPr>
              <w:t>）</w:t>
            </w:r>
          </w:p>
        </w:tc>
      </w:tr>
      <w:tr w14:paraId="7BAE23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676" w:type="dxa"/>
            <w:tcBorders>
              <w:top w:val="single" w:color="auto" w:sz="4" w:space="0"/>
              <w:left w:val="nil"/>
              <w:bottom w:val="single" w:color="auto" w:sz="12" w:space="0"/>
              <w:right w:val="single" w:color="auto" w:sz="4" w:space="0"/>
            </w:tcBorders>
            <w:tcMar>
              <w:top w:w="28" w:type="dxa"/>
              <w:left w:w="28" w:type="dxa"/>
              <w:bottom w:w="28" w:type="dxa"/>
              <w:right w:w="28" w:type="dxa"/>
            </w:tcMar>
            <w:vAlign w:val="center"/>
          </w:tcPr>
          <w:p w14:paraId="21EF229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颗粒物</w:t>
            </w:r>
          </w:p>
        </w:tc>
        <w:tc>
          <w:tcPr>
            <w:tcW w:w="3878" w:type="dxa"/>
            <w:tcBorders>
              <w:top w:val="single" w:color="auto" w:sz="4" w:space="0"/>
              <w:left w:val="single" w:color="auto" w:sz="4" w:space="0"/>
              <w:bottom w:val="single" w:color="auto" w:sz="12" w:space="0"/>
              <w:right w:val="single" w:color="auto" w:sz="4" w:space="0"/>
            </w:tcBorders>
            <w:tcMar>
              <w:top w:w="28" w:type="dxa"/>
              <w:left w:w="28" w:type="dxa"/>
              <w:bottom w:w="28" w:type="dxa"/>
              <w:right w:w="28" w:type="dxa"/>
            </w:tcMar>
            <w:vAlign w:val="center"/>
          </w:tcPr>
          <w:p w14:paraId="346CA33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周界外浓度最高点</w:t>
            </w:r>
          </w:p>
        </w:tc>
        <w:tc>
          <w:tcPr>
            <w:tcW w:w="2805" w:type="dxa"/>
            <w:tcBorders>
              <w:top w:val="single" w:color="auto" w:sz="4" w:space="0"/>
              <w:left w:val="single" w:color="auto" w:sz="4" w:space="0"/>
              <w:bottom w:val="single" w:color="auto" w:sz="12" w:space="0"/>
              <w:right w:val="nil"/>
            </w:tcBorders>
            <w:tcMar>
              <w:top w:w="28" w:type="dxa"/>
              <w:left w:w="28" w:type="dxa"/>
              <w:bottom w:w="28" w:type="dxa"/>
              <w:right w:w="28" w:type="dxa"/>
            </w:tcMar>
            <w:vAlign w:val="center"/>
          </w:tcPr>
          <w:p w14:paraId="4EB2C3C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1.0</w:t>
            </w:r>
          </w:p>
        </w:tc>
      </w:tr>
    </w:tbl>
    <w:p w14:paraId="035EE9FA">
      <w:pPr>
        <w:spacing w:line="500" w:lineRule="exact"/>
        <w:rPr>
          <w:rFonts w:cs="Times New Roman"/>
          <w:color w:val="auto"/>
          <w:szCs w:val="24"/>
          <w:highlight w:val="none"/>
        </w:rPr>
      </w:pPr>
      <w:r>
        <w:rPr>
          <w:rFonts w:cs="Times New Roman"/>
          <w:color w:val="auto"/>
          <w:szCs w:val="24"/>
          <w:highlight w:val="none"/>
        </w:rPr>
        <w:t>运营期有组织恶臭污染物排放执行《恶臭污染物排放标准》（GB14554-93）表2标准，无组织排放的NH</w:t>
      </w:r>
      <w:r>
        <w:rPr>
          <w:rFonts w:cs="Times New Roman"/>
          <w:color w:val="auto"/>
          <w:szCs w:val="24"/>
          <w:highlight w:val="none"/>
          <w:vertAlign w:val="subscript"/>
        </w:rPr>
        <w:t>3</w:t>
      </w:r>
      <w:r>
        <w:rPr>
          <w:rFonts w:cs="Times New Roman"/>
          <w:color w:val="auto"/>
          <w:szCs w:val="24"/>
          <w:highlight w:val="none"/>
        </w:rPr>
        <w:t>、H</w:t>
      </w:r>
      <w:r>
        <w:rPr>
          <w:rFonts w:cs="Times New Roman"/>
          <w:color w:val="auto"/>
          <w:szCs w:val="24"/>
          <w:highlight w:val="none"/>
          <w:vertAlign w:val="subscript"/>
        </w:rPr>
        <w:t>2</w:t>
      </w:r>
      <w:r>
        <w:rPr>
          <w:rFonts w:cs="Times New Roman"/>
          <w:color w:val="auto"/>
          <w:szCs w:val="24"/>
          <w:highlight w:val="none"/>
        </w:rPr>
        <w:t>S、臭气浓度执行《恶臭污染物排放标准》（GB14554-93）中表1中二级标准。</w:t>
      </w:r>
    </w:p>
    <w:p w14:paraId="4CE9B78D">
      <w:pPr>
        <w:spacing w:line="240" w:lineRule="auto"/>
        <w:ind w:firstLine="482"/>
        <w:jc w:val="center"/>
        <w:rPr>
          <w:rFonts w:cs="Times New Roman"/>
          <w:b/>
          <w:color w:val="auto"/>
          <w:szCs w:val="24"/>
          <w:highlight w:val="none"/>
        </w:rPr>
      </w:pPr>
      <w:r>
        <w:rPr>
          <w:rFonts w:cs="Times New Roman"/>
          <w:b/>
          <w:color w:val="auto"/>
          <w:szCs w:val="24"/>
          <w:highlight w:val="none"/>
        </w:rPr>
        <w:t>表</w:t>
      </w:r>
      <w:r>
        <w:rPr>
          <w:rFonts w:hint="eastAsia" w:cs="Times New Roman"/>
          <w:b/>
          <w:color w:val="auto"/>
          <w:szCs w:val="24"/>
          <w:highlight w:val="none"/>
          <w:lang w:val="en-US" w:eastAsia="zh-CN"/>
        </w:rPr>
        <w:t>2.</w:t>
      </w:r>
      <w:r>
        <w:rPr>
          <w:rFonts w:cs="Times New Roman"/>
          <w:b/>
          <w:color w:val="auto"/>
          <w:szCs w:val="24"/>
          <w:highlight w:val="none"/>
        </w:rPr>
        <w:t>2-</w:t>
      </w:r>
      <w:r>
        <w:rPr>
          <w:rFonts w:hint="eastAsia" w:cs="Times New Roman"/>
          <w:b/>
          <w:color w:val="auto"/>
          <w:szCs w:val="24"/>
          <w:highlight w:val="none"/>
          <w:lang w:val="en-US" w:eastAsia="zh-CN"/>
        </w:rPr>
        <w:t>9</w:t>
      </w:r>
      <w:r>
        <w:rPr>
          <w:rFonts w:cs="Times New Roman"/>
          <w:b/>
          <w:color w:val="auto"/>
          <w:szCs w:val="24"/>
          <w:highlight w:val="none"/>
        </w:rPr>
        <w:t xml:space="preserve">   恶臭污染物排放标准</w:t>
      </w:r>
    </w:p>
    <w:tbl>
      <w:tblPr>
        <w:tblStyle w:val="47"/>
        <w:tblW w:w="831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80"/>
        <w:gridCol w:w="3119"/>
        <w:gridCol w:w="3119"/>
      </w:tblGrid>
      <w:tr w14:paraId="3F70CA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80" w:type="dxa"/>
            <w:vMerge w:val="restart"/>
            <w:vAlign w:val="center"/>
          </w:tcPr>
          <w:p w14:paraId="3B4F864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3119" w:type="dxa"/>
            <w:vAlign w:val="center"/>
          </w:tcPr>
          <w:p w14:paraId="73EA675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有组织排放限值</w:t>
            </w:r>
          </w:p>
        </w:tc>
        <w:tc>
          <w:tcPr>
            <w:tcW w:w="3119" w:type="dxa"/>
            <w:vMerge w:val="restart"/>
            <w:vAlign w:val="center"/>
          </w:tcPr>
          <w:p w14:paraId="7287FFF0">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厂界无组织排放监控浓度限值</w:t>
            </w:r>
          </w:p>
        </w:tc>
      </w:tr>
      <w:tr w14:paraId="4C747B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2080" w:type="dxa"/>
            <w:vMerge w:val="continue"/>
            <w:vAlign w:val="center"/>
          </w:tcPr>
          <w:p w14:paraId="75DBAE72">
            <w:pPr>
              <w:spacing w:line="240" w:lineRule="auto"/>
              <w:ind w:firstLine="0" w:firstLineChars="0"/>
              <w:jc w:val="center"/>
              <w:rPr>
                <w:rFonts w:cs="Times New Roman"/>
                <w:color w:val="auto"/>
                <w:sz w:val="21"/>
                <w:szCs w:val="21"/>
                <w:highlight w:val="none"/>
              </w:rPr>
            </w:pPr>
          </w:p>
        </w:tc>
        <w:tc>
          <w:tcPr>
            <w:tcW w:w="3119" w:type="dxa"/>
            <w:vAlign w:val="center"/>
          </w:tcPr>
          <w:p w14:paraId="17622D6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15m排气筒</w:t>
            </w:r>
          </w:p>
        </w:tc>
        <w:tc>
          <w:tcPr>
            <w:tcW w:w="3119" w:type="dxa"/>
            <w:vMerge w:val="continue"/>
            <w:vAlign w:val="center"/>
          </w:tcPr>
          <w:p w14:paraId="69CDB659">
            <w:pPr>
              <w:spacing w:line="240" w:lineRule="auto"/>
              <w:ind w:firstLine="0" w:firstLineChars="0"/>
              <w:jc w:val="center"/>
              <w:rPr>
                <w:rFonts w:cs="Times New Roman"/>
                <w:color w:val="auto"/>
                <w:sz w:val="21"/>
                <w:szCs w:val="21"/>
                <w:highlight w:val="none"/>
              </w:rPr>
            </w:pPr>
          </w:p>
        </w:tc>
      </w:tr>
      <w:tr w14:paraId="1C1DAB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080" w:type="dxa"/>
            <w:vAlign w:val="center"/>
          </w:tcPr>
          <w:p w14:paraId="1242D19F">
            <w:pPr>
              <w:spacing w:line="240" w:lineRule="auto"/>
              <w:ind w:firstLine="0" w:firstLineChars="0"/>
              <w:jc w:val="center"/>
              <w:rPr>
                <w:rFonts w:cs="Times New Roman"/>
                <w:color w:val="auto"/>
                <w:sz w:val="21"/>
                <w:szCs w:val="21"/>
                <w:highlight w:val="none"/>
              </w:rPr>
            </w:pPr>
            <w:r>
              <w:rPr>
                <w:rFonts w:cs="Times New Roman"/>
                <w:snapToGrid w:val="0"/>
                <w:color w:val="auto"/>
                <w:kern w:val="0"/>
                <w:sz w:val="21"/>
                <w:szCs w:val="21"/>
                <w:highlight w:val="none"/>
              </w:rPr>
              <w:t>NH</w:t>
            </w:r>
            <w:r>
              <w:rPr>
                <w:rFonts w:cs="Times New Roman"/>
                <w:snapToGrid w:val="0"/>
                <w:color w:val="auto"/>
                <w:kern w:val="0"/>
                <w:sz w:val="21"/>
                <w:szCs w:val="21"/>
                <w:highlight w:val="none"/>
                <w:vertAlign w:val="subscript"/>
              </w:rPr>
              <w:t>3</w:t>
            </w:r>
          </w:p>
        </w:tc>
        <w:tc>
          <w:tcPr>
            <w:tcW w:w="3119" w:type="dxa"/>
            <w:vAlign w:val="center"/>
          </w:tcPr>
          <w:p w14:paraId="76C19DE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4.9kg/h</w:t>
            </w:r>
          </w:p>
        </w:tc>
        <w:tc>
          <w:tcPr>
            <w:tcW w:w="3119" w:type="dxa"/>
            <w:vAlign w:val="center"/>
          </w:tcPr>
          <w:p w14:paraId="4AC6D60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1.5</w:t>
            </w:r>
            <w:r>
              <w:rPr>
                <w:rFonts w:cs="Times New Roman"/>
                <w:snapToGrid w:val="0"/>
                <w:color w:val="auto"/>
                <w:kern w:val="0"/>
                <w:sz w:val="21"/>
                <w:szCs w:val="21"/>
                <w:highlight w:val="none"/>
              </w:rPr>
              <w:t>mg/m</w:t>
            </w:r>
            <w:r>
              <w:rPr>
                <w:rFonts w:cs="Times New Roman"/>
                <w:snapToGrid w:val="0"/>
                <w:color w:val="auto"/>
                <w:kern w:val="0"/>
                <w:sz w:val="21"/>
                <w:szCs w:val="21"/>
                <w:highlight w:val="none"/>
                <w:vertAlign w:val="superscript"/>
              </w:rPr>
              <w:t>3</w:t>
            </w:r>
          </w:p>
        </w:tc>
      </w:tr>
      <w:tr w14:paraId="2011E2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2080" w:type="dxa"/>
            <w:vAlign w:val="center"/>
          </w:tcPr>
          <w:p w14:paraId="609EB896">
            <w:pPr>
              <w:spacing w:line="240" w:lineRule="auto"/>
              <w:ind w:firstLine="0" w:firstLineChars="0"/>
              <w:jc w:val="center"/>
              <w:rPr>
                <w:rFonts w:cs="Times New Roman"/>
                <w:color w:val="auto"/>
                <w:sz w:val="21"/>
                <w:szCs w:val="21"/>
                <w:highlight w:val="none"/>
              </w:rPr>
            </w:pPr>
            <w:r>
              <w:rPr>
                <w:rFonts w:cs="Times New Roman"/>
                <w:snapToGrid w:val="0"/>
                <w:color w:val="auto"/>
                <w:kern w:val="0"/>
                <w:sz w:val="21"/>
                <w:szCs w:val="21"/>
                <w:highlight w:val="none"/>
              </w:rPr>
              <w:t>H</w:t>
            </w:r>
            <w:r>
              <w:rPr>
                <w:rFonts w:cs="Times New Roman"/>
                <w:snapToGrid w:val="0"/>
                <w:color w:val="auto"/>
                <w:kern w:val="0"/>
                <w:sz w:val="21"/>
                <w:szCs w:val="21"/>
                <w:highlight w:val="none"/>
                <w:vertAlign w:val="subscript"/>
              </w:rPr>
              <w:t>2</w:t>
            </w:r>
            <w:r>
              <w:rPr>
                <w:rFonts w:cs="Times New Roman"/>
                <w:snapToGrid w:val="0"/>
                <w:color w:val="auto"/>
                <w:kern w:val="0"/>
                <w:sz w:val="21"/>
                <w:szCs w:val="21"/>
                <w:highlight w:val="none"/>
              </w:rPr>
              <w:t>S</w:t>
            </w:r>
          </w:p>
        </w:tc>
        <w:tc>
          <w:tcPr>
            <w:tcW w:w="3119" w:type="dxa"/>
            <w:vAlign w:val="center"/>
          </w:tcPr>
          <w:p w14:paraId="1E5F163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0.33kg/h</w:t>
            </w:r>
          </w:p>
        </w:tc>
        <w:tc>
          <w:tcPr>
            <w:tcW w:w="3119" w:type="dxa"/>
            <w:vAlign w:val="center"/>
          </w:tcPr>
          <w:p w14:paraId="103EA21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0.06</w:t>
            </w:r>
            <w:r>
              <w:rPr>
                <w:rFonts w:cs="Times New Roman"/>
                <w:snapToGrid w:val="0"/>
                <w:color w:val="auto"/>
                <w:kern w:val="0"/>
                <w:sz w:val="21"/>
                <w:szCs w:val="21"/>
                <w:highlight w:val="none"/>
              </w:rPr>
              <w:t>mg/m</w:t>
            </w:r>
            <w:r>
              <w:rPr>
                <w:rFonts w:cs="Times New Roman"/>
                <w:snapToGrid w:val="0"/>
                <w:color w:val="auto"/>
                <w:kern w:val="0"/>
                <w:sz w:val="21"/>
                <w:szCs w:val="21"/>
                <w:highlight w:val="none"/>
                <w:vertAlign w:val="superscript"/>
              </w:rPr>
              <w:t>3</w:t>
            </w:r>
          </w:p>
        </w:tc>
      </w:tr>
      <w:tr w14:paraId="3AD88D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2080" w:type="dxa"/>
            <w:vAlign w:val="center"/>
          </w:tcPr>
          <w:p w14:paraId="0C15464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臭气浓度</w:t>
            </w:r>
          </w:p>
        </w:tc>
        <w:tc>
          <w:tcPr>
            <w:tcW w:w="3119" w:type="dxa"/>
            <w:vAlign w:val="center"/>
          </w:tcPr>
          <w:p w14:paraId="1B12661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2000（无量纲）</w:t>
            </w:r>
          </w:p>
        </w:tc>
        <w:tc>
          <w:tcPr>
            <w:tcW w:w="3119" w:type="dxa"/>
            <w:vAlign w:val="center"/>
          </w:tcPr>
          <w:p w14:paraId="179BECA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20（无量纲）</w:t>
            </w:r>
          </w:p>
        </w:tc>
      </w:tr>
    </w:tbl>
    <w:p w14:paraId="659F736F">
      <w:pPr>
        <w:spacing w:before="156" w:beforeLines="50"/>
        <w:ind w:firstLine="482"/>
        <w:rPr>
          <w:rFonts w:cs="Times New Roman"/>
          <w:b/>
          <w:bCs/>
          <w:color w:val="auto"/>
          <w:szCs w:val="24"/>
          <w:highlight w:val="none"/>
        </w:rPr>
      </w:pPr>
      <w:r>
        <w:rPr>
          <w:rFonts w:cs="Times New Roman"/>
          <w:b/>
          <w:bCs/>
          <w:color w:val="auto"/>
          <w:szCs w:val="24"/>
          <w:highlight w:val="none"/>
        </w:rPr>
        <w:t>2、废水排放标准</w:t>
      </w:r>
    </w:p>
    <w:p w14:paraId="47282301">
      <w:pPr>
        <w:rPr>
          <w:rFonts w:cs="Times New Roman"/>
          <w:b/>
          <w:bCs/>
          <w:color w:val="auto"/>
          <w:szCs w:val="24"/>
          <w:highlight w:val="none"/>
        </w:rPr>
      </w:pPr>
      <w:r>
        <w:rPr>
          <w:rFonts w:cs="Times New Roman"/>
          <w:color w:val="auto"/>
          <w:szCs w:val="24"/>
          <w:highlight w:val="none"/>
        </w:rPr>
        <w:t>本项目废水排放应满足《肉类加工工业水污染物排放标准》（GB13457-1992）表3中的畜类屠宰加工三级标准，详见下表。</w:t>
      </w:r>
    </w:p>
    <w:p w14:paraId="11B9946B">
      <w:pPr>
        <w:spacing w:line="240" w:lineRule="auto"/>
        <w:ind w:firstLine="482"/>
        <w:jc w:val="center"/>
        <w:rPr>
          <w:rFonts w:cs="Times New Roman"/>
          <w:b/>
          <w:bCs/>
          <w:color w:val="auto"/>
          <w:szCs w:val="24"/>
          <w:highlight w:val="none"/>
        </w:rPr>
      </w:pPr>
    </w:p>
    <w:p w14:paraId="797594E4">
      <w:pPr>
        <w:spacing w:line="240" w:lineRule="auto"/>
        <w:ind w:firstLine="482"/>
        <w:jc w:val="center"/>
        <w:rPr>
          <w:rFonts w:cs="Times New Roman"/>
          <w:b/>
          <w:bCs/>
          <w:color w:val="auto"/>
          <w:sz w:val="21"/>
          <w:szCs w:val="21"/>
          <w:highlight w:val="none"/>
        </w:rPr>
      </w:pPr>
      <w:r>
        <w:rPr>
          <w:rFonts w:cs="Times New Roman"/>
          <w:b/>
          <w:bCs/>
          <w:color w:val="auto"/>
          <w:szCs w:val="24"/>
          <w:highlight w:val="none"/>
        </w:rPr>
        <w:t>表2</w:t>
      </w:r>
      <w:r>
        <w:rPr>
          <w:rFonts w:hint="eastAsia" w:cs="Times New Roman"/>
          <w:b/>
          <w:bCs/>
          <w:color w:val="auto"/>
          <w:szCs w:val="24"/>
          <w:highlight w:val="none"/>
          <w:lang w:val="en-US" w:eastAsia="zh-CN"/>
        </w:rPr>
        <w:t>.</w:t>
      </w:r>
      <w:r>
        <w:rPr>
          <w:rFonts w:cs="Times New Roman"/>
          <w:b/>
          <w:bCs/>
          <w:color w:val="auto"/>
          <w:szCs w:val="24"/>
          <w:highlight w:val="none"/>
        </w:rPr>
        <w:t>2-1</w:t>
      </w:r>
      <w:r>
        <w:rPr>
          <w:rFonts w:hint="eastAsia" w:cs="Times New Roman"/>
          <w:b/>
          <w:bCs/>
          <w:color w:val="auto"/>
          <w:szCs w:val="24"/>
          <w:highlight w:val="none"/>
          <w:lang w:val="en-US" w:eastAsia="zh-CN"/>
        </w:rPr>
        <w:t>0</w:t>
      </w:r>
      <w:r>
        <w:rPr>
          <w:rFonts w:cs="Times New Roman"/>
          <w:b/>
          <w:bCs/>
          <w:color w:val="auto"/>
          <w:szCs w:val="24"/>
          <w:highlight w:val="none"/>
        </w:rPr>
        <w:t xml:space="preserve">  废水排放水质标准 </w:t>
      </w:r>
      <w:r>
        <w:rPr>
          <w:rFonts w:cs="Times New Roman"/>
          <w:b/>
          <w:bCs/>
          <w:color w:val="auto"/>
          <w:kern w:val="0"/>
          <w:sz w:val="21"/>
          <w:szCs w:val="21"/>
          <w:highlight w:val="none"/>
        </w:rPr>
        <w:t xml:space="preserve"> </w:t>
      </w:r>
    </w:p>
    <w:tbl>
      <w:tblPr>
        <w:tblStyle w:val="47"/>
        <w:tblW w:w="517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063"/>
        <w:gridCol w:w="1440"/>
        <w:gridCol w:w="1533"/>
        <w:gridCol w:w="1520"/>
        <w:gridCol w:w="1517"/>
        <w:gridCol w:w="1524"/>
      </w:tblGrid>
      <w:tr w14:paraId="3ADC1E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266" w:hRule="atLeast"/>
          <w:jc w:val="center"/>
        </w:trPr>
        <w:tc>
          <w:tcPr>
            <w:tcW w:w="618" w:type="pct"/>
            <w:vMerge w:val="restart"/>
            <w:vAlign w:val="center"/>
          </w:tcPr>
          <w:p w14:paraId="36758102">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rPr>
              <w:t>污染</w:t>
            </w:r>
            <w:r>
              <w:rPr>
                <w:rFonts w:ascii="Times New Roman" w:hAnsi="Times New Roman"/>
                <w:color w:val="auto"/>
                <w:sz w:val="21"/>
                <w:szCs w:val="21"/>
                <w:highlight w:val="none"/>
                <w:lang w:eastAsia="zh-CN"/>
              </w:rPr>
              <w:t>因子</w:t>
            </w:r>
          </w:p>
        </w:tc>
        <w:tc>
          <w:tcPr>
            <w:tcW w:w="837" w:type="pct"/>
            <w:vAlign w:val="center"/>
          </w:tcPr>
          <w:p w14:paraId="64C8CF3B">
            <w:pPr>
              <w:pStyle w:val="413"/>
              <w:snapToGrid w:val="0"/>
              <w:spacing w:line="360" w:lineRule="exact"/>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GB" w:eastAsia="zh-CN"/>
              </w:rPr>
              <w:t>双鸭山市畅源排水有限公司</w:t>
            </w:r>
            <w:r>
              <w:rPr>
                <w:rFonts w:ascii="Times New Roman" w:hAnsi="Times New Roman"/>
                <w:color w:val="auto"/>
                <w:sz w:val="21"/>
                <w:szCs w:val="21"/>
                <w:highlight w:val="none"/>
                <w:lang w:val="en-GB" w:eastAsia="zh-CN"/>
              </w:rPr>
              <w:t>进水水质指标</w:t>
            </w:r>
          </w:p>
        </w:tc>
        <w:tc>
          <w:tcPr>
            <w:tcW w:w="1775" w:type="pct"/>
            <w:gridSpan w:val="2"/>
            <w:vAlign w:val="center"/>
          </w:tcPr>
          <w:p w14:paraId="04546345">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GB13457-1992表3中畜类屠宰加工三级标准</w:t>
            </w:r>
          </w:p>
        </w:tc>
        <w:tc>
          <w:tcPr>
            <w:tcW w:w="1768" w:type="pct"/>
            <w:gridSpan w:val="2"/>
            <w:vAlign w:val="center"/>
          </w:tcPr>
          <w:p w14:paraId="3296945F">
            <w:pPr>
              <w:pStyle w:val="413"/>
              <w:snapToGrid w:val="0"/>
              <w:spacing w:line="360" w:lineRule="exact"/>
              <w:jc w:val="center"/>
              <w:rPr>
                <w:rFonts w:hint="eastAsia"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本项目执行标准</w:t>
            </w:r>
          </w:p>
        </w:tc>
      </w:tr>
      <w:tr w14:paraId="0B3724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885" w:hRule="atLeast"/>
          <w:jc w:val="center"/>
        </w:trPr>
        <w:tc>
          <w:tcPr>
            <w:tcW w:w="618" w:type="pct"/>
            <w:vMerge w:val="continue"/>
            <w:vAlign w:val="center"/>
          </w:tcPr>
          <w:p w14:paraId="6E334A4A">
            <w:pPr>
              <w:pStyle w:val="413"/>
              <w:snapToGrid w:val="0"/>
              <w:spacing w:line="360" w:lineRule="exact"/>
              <w:jc w:val="center"/>
              <w:rPr>
                <w:rFonts w:ascii="Times New Roman" w:hAnsi="Times New Roman"/>
                <w:color w:val="auto"/>
                <w:sz w:val="21"/>
                <w:szCs w:val="21"/>
                <w:highlight w:val="none"/>
              </w:rPr>
            </w:pPr>
          </w:p>
        </w:tc>
        <w:tc>
          <w:tcPr>
            <w:tcW w:w="837" w:type="pct"/>
            <w:vAlign w:val="center"/>
          </w:tcPr>
          <w:p w14:paraId="4F4E7636">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排放浓度（mg/L）</w:t>
            </w:r>
          </w:p>
        </w:tc>
        <w:tc>
          <w:tcPr>
            <w:tcW w:w="891" w:type="pct"/>
            <w:vAlign w:val="center"/>
          </w:tcPr>
          <w:p w14:paraId="6E9A85A1">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排放浓度（mg/L）</w:t>
            </w:r>
          </w:p>
        </w:tc>
        <w:tc>
          <w:tcPr>
            <w:tcW w:w="884" w:type="pct"/>
            <w:vAlign w:val="center"/>
          </w:tcPr>
          <w:p w14:paraId="6F2AE744">
            <w:pPr>
              <w:pStyle w:val="413"/>
              <w:snapToGrid w:val="0"/>
              <w:spacing w:line="360" w:lineRule="exact"/>
              <w:jc w:val="center"/>
              <w:rPr>
                <w:rFonts w:hint="eastAsia"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排放总量</w:t>
            </w:r>
          </w:p>
          <w:p w14:paraId="15C259D6">
            <w:pPr>
              <w:pStyle w:val="413"/>
              <w:snapToGrid w:val="0"/>
              <w:spacing w:line="360" w:lineRule="exact"/>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kg/t（活屠重）</w:t>
            </w:r>
          </w:p>
        </w:tc>
        <w:tc>
          <w:tcPr>
            <w:tcW w:w="882" w:type="pct"/>
            <w:vAlign w:val="center"/>
          </w:tcPr>
          <w:p w14:paraId="138ED5A0">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排放浓度（mg/L）</w:t>
            </w:r>
          </w:p>
        </w:tc>
        <w:tc>
          <w:tcPr>
            <w:tcW w:w="885" w:type="pct"/>
            <w:vAlign w:val="center"/>
          </w:tcPr>
          <w:p w14:paraId="63CF8361">
            <w:pPr>
              <w:pStyle w:val="413"/>
              <w:snapToGrid w:val="0"/>
              <w:spacing w:line="360" w:lineRule="exact"/>
              <w:jc w:val="center"/>
              <w:rPr>
                <w:rFonts w:hint="eastAsia"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排放总量</w:t>
            </w:r>
          </w:p>
          <w:p w14:paraId="742E786F">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kg/t（活屠重）</w:t>
            </w:r>
          </w:p>
        </w:tc>
      </w:tr>
      <w:tr w14:paraId="4B5CE1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747A8ADA">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rPr>
              <w:t>COD</w:t>
            </w:r>
          </w:p>
        </w:tc>
        <w:tc>
          <w:tcPr>
            <w:tcW w:w="837" w:type="pct"/>
            <w:vAlign w:val="center"/>
          </w:tcPr>
          <w:p w14:paraId="3327A497">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500</w:t>
            </w:r>
          </w:p>
        </w:tc>
        <w:tc>
          <w:tcPr>
            <w:tcW w:w="891" w:type="pct"/>
            <w:vAlign w:val="center"/>
          </w:tcPr>
          <w:p w14:paraId="791673AE">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ascii="Times New Roman" w:hAnsi="Times New Roman"/>
                <w:color w:val="auto"/>
                <w:sz w:val="21"/>
                <w:szCs w:val="21"/>
                <w:highlight w:val="none"/>
                <w:lang w:eastAsia="zh-CN"/>
              </w:rPr>
              <w:t>500</w:t>
            </w:r>
          </w:p>
        </w:tc>
        <w:tc>
          <w:tcPr>
            <w:tcW w:w="884" w:type="pct"/>
            <w:vAlign w:val="center"/>
          </w:tcPr>
          <w:p w14:paraId="6FED936E">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3.3</w:t>
            </w:r>
          </w:p>
        </w:tc>
        <w:tc>
          <w:tcPr>
            <w:tcW w:w="882" w:type="pct"/>
            <w:vAlign w:val="center"/>
          </w:tcPr>
          <w:p w14:paraId="67227BED">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500</w:t>
            </w:r>
          </w:p>
        </w:tc>
        <w:tc>
          <w:tcPr>
            <w:tcW w:w="885" w:type="pct"/>
            <w:vAlign w:val="center"/>
          </w:tcPr>
          <w:p w14:paraId="2380BC10">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3.3</w:t>
            </w:r>
          </w:p>
        </w:tc>
      </w:tr>
      <w:tr w14:paraId="3794A4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2CF9F9FD">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rPr>
              <w:t>BOD</w:t>
            </w:r>
            <w:r>
              <w:rPr>
                <w:rFonts w:ascii="Times New Roman" w:hAnsi="Times New Roman"/>
                <w:color w:val="auto"/>
                <w:sz w:val="21"/>
                <w:szCs w:val="21"/>
                <w:highlight w:val="none"/>
                <w:vertAlign w:val="subscript"/>
              </w:rPr>
              <w:t>5</w:t>
            </w:r>
          </w:p>
        </w:tc>
        <w:tc>
          <w:tcPr>
            <w:tcW w:w="837" w:type="pct"/>
            <w:vAlign w:val="center"/>
          </w:tcPr>
          <w:p w14:paraId="3157FFFD">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300</w:t>
            </w:r>
          </w:p>
        </w:tc>
        <w:tc>
          <w:tcPr>
            <w:tcW w:w="891" w:type="pct"/>
            <w:vAlign w:val="center"/>
          </w:tcPr>
          <w:p w14:paraId="1E96436E">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ascii="Times New Roman" w:hAnsi="Times New Roman"/>
                <w:color w:val="auto"/>
                <w:sz w:val="21"/>
                <w:szCs w:val="21"/>
                <w:highlight w:val="none"/>
                <w:lang w:eastAsia="zh-CN"/>
              </w:rPr>
              <w:t>300</w:t>
            </w:r>
          </w:p>
        </w:tc>
        <w:tc>
          <w:tcPr>
            <w:tcW w:w="884" w:type="pct"/>
            <w:vAlign w:val="center"/>
          </w:tcPr>
          <w:p w14:paraId="38EAECF3">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2.0</w:t>
            </w:r>
          </w:p>
        </w:tc>
        <w:tc>
          <w:tcPr>
            <w:tcW w:w="882" w:type="pct"/>
            <w:vAlign w:val="center"/>
          </w:tcPr>
          <w:p w14:paraId="253A8A3C">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300</w:t>
            </w:r>
          </w:p>
        </w:tc>
        <w:tc>
          <w:tcPr>
            <w:tcW w:w="885" w:type="pct"/>
            <w:vAlign w:val="center"/>
          </w:tcPr>
          <w:p w14:paraId="7C3F8AFC">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2.0</w:t>
            </w:r>
          </w:p>
        </w:tc>
      </w:tr>
      <w:tr w14:paraId="538622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60BC39B3">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SS</w:t>
            </w:r>
          </w:p>
        </w:tc>
        <w:tc>
          <w:tcPr>
            <w:tcW w:w="837" w:type="pct"/>
            <w:vAlign w:val="center"/>
          </w:tcPr>
          <w:p w14:paraId="70167B18">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400</w:t>
            </w:r>
          </w:p>
        </w:tc>
        <w:tc>
          <w:tcPr>
            <w:tcW w:w="891" w:type="pct"/>
            <w:vAlign w:val="center"/>
          </w:tcPr>
          <w:p w14:paraId="03BC9555">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400</w:t>
            </w:r>
          </w:p>
        </w:tc>
        <w:tc>
          <w:tcPr>
            <w:tcW w:w="884" w:type="pct"/>
            <w:vAlign w:val="center"/>
          </w:tcPr>
          <w:p w14:paraId="28F3E23A">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2.6</w:t>
            </w:r>
          </w:p>
        </w:tc>
        <w:tc>
          <w:tcPr>
            <w:tcW w:w="882" w:type="pct"/>
            <w:vAlign w:val="center"/>
          </w:tcPr>
          <w:p w14:paraId="6CC0576B">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400</w:t>
            </w:r>
          </w:p>
        </w:tc>
        <w:tc>
          <w:tcPr>
            <w:tcW w:w="885" w:type="pct"/>
            <w:vAlign w:val="center"/>
          </w:tcPr>
          <w:p w14:paraId="12392403">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2.6</w:t>
            </w:r>
          </w:p>
        </w:tc>
      </w:tr>
      <w:tr w14:paraId="3A2F5C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7DF8BA6C">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氨氮</w:t>
            </w:r>
          </w:p>
        </w:tc>
        <w:tc>
          <w:tcPr>
            <w:tcW w:w="837" w:type="pct"/>
            <w:vAlign w:val="center"/>
          </w:tcPr>
          <w:p w14:paraId="43DCAD6F">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45</w:t>
            </w:r>
          </w:p>
        </w:tc>
        <w:tc>
          <w:tcPr>
            <w:tcW w:w="891" w:type="pct"/>
            <w:vAlign w:val="center"/>
          </w:tcPr>
          <w:p w14:paraId="5FCE1822">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84" w:type="pct"/>
            <w:vAlign w:val="center"/>
          </w:tcPr>
          <w:p w14:paraId="20D5677B">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82" w:type="pct"/>
            <w:vAlign w:val="center"/>
          </w:tcPr>
          <w:p w14:paraId="61884C23">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45</w:t>
            </w:r>
          </w:p>
        </w:tc>
        <w:tc>
          <w:tcPr>
            <w:tcW w:w="885" w:type="pct"/>
            <w:vAlign w:val="center"/>
          </w:tcPr>
          <w:p w14:paraId="2535570D">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w:t>
            </w:r>
          </w:p>
        </w:tc>
      </w:tr>
      <w:tr w14:paraId="289659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5C91A556">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总氮</w:t>
            </w:r>
          </w:p>
        </w:tc>
        <w:tc>
          <w:tcPr>
            <w:tcW w:w="837" w:type="pct"/>
            <w:vAlign w:val="center"/>
          </w:tcPr>
          <w:p w14:paraId="140DADF9">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70</w:t>
            </w:r>
          </w:p>
        </w:tc>
        <w:tc>
          <w:tcPr>
            <w:tcW w:w="891" w:type="pct"/>
            <w:vAlign w:val="center"/>
          </w:tcPr>
          <w:p w14:paraId="519C8F5F">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84" w:type="pct"/>
            <w:vAlign w:val="center"/>
          </w:tcPr>
          <w:p w14:paraId="079C2FB6">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82" w:type="pct"/>
            <w:vAlign w:val="center"/>
          </w:tcPr>
          <w:p w14:paraId="173E48F2">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70</w:t>
            </w:r>
          </w:p>
        </w:tc>
        <w:tc>
          <w:tcPr>
            <w:tcW w:w="885" w:type="pct"/>
            <w:vAlign w:val="center"/>
          </w:tcPr>
          <w:p w14:paraId="05778781">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w:t>
            </w:r>
          </w:p>
        </w:tc>
      </w:tr>
      <w:tr w14:paraId="2416C4E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045C1CC7">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总磷</w:t>
            </w:r>
          </w:p>
        </w:tc>
        <w:tc>
          <w:tcPr>
            <w:tcW w:w="837" w:type="pct"/>
            <w:vAlign w:val="center"/>
          </w:tcPr>
          <w:p w14:paraId="6E4EAD47">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8</w:t>
            </w:r>
          </w:p>
        </w:tc>
        <w:tc>
          <w:tcPr>
            <w:tcW w:w="891" w:type="pct"/>
            <w:vAlign w:val="center"/>
          </w:tcPr>
          <w:p w14:paraId="109E8E60">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84" w:type="pct"/>
            <w:vAlign w:val="center"/>
          </w:tcPr>
          <w:p w14:paraId="7B96D8BA">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82" w:type="pct"/>
            <w:vAlign w:val="center"/>
          </w:tcPr>
          <w:p w14:paraId="1571473B">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8</w:t>
            </w:r>
          </w:p>
        </w:tc>
        <w:tc>
          <w:tcPr>
            <w:tcW w:w="885" w:type="pct"/>
            <w:vAlign w:val="center"/>
          </w:tcPr>
          <w:p w14:paraId="522D975C">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US" w:eastAsia="zh-CN"/>
              </w:rPr>
              <w:t>/</w:t>
            </w:r>
          </w:p>
        </w:tc>
      </w:tr>
      <w:tr w14:paraId="07ECD59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3A58C162">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pH</w:t>
            </w:r>
          </w:p>
        </w:tc>
        <w:tc>
          <w:tcPr>
            <w:tcW w:w="837" w:type="pct"/>
            <w:vAlign w:val="center"/>
          </w:tcPr>
          <w:p w14:paraId="38232268">
            <w:pPr>
              <w:pStyle w:val="413"/>
              <w:snapToGrid w:val="0"/>
              <w:spacing w:line="360" w:lineRule="exact"/>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91" w:type="pct"/>
            <w:vAlign w:val="center"/>
          </w:tcPr>
          <w:p w14:paraId="571DE366">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ascii="Times New Roman" w:hAnsi="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6.0-8.5（无量纲）</w:t>
            </w:r>
          </w:p>
        </w:tc>
        <w:tc>
          <w:tcPr>
            <w:tcW w:w="884" w:type="pct"/>
            <w:vAlign w:val="center"/>
          </w:tcPr>
          <w:p w14:paraId="7EEACBE7">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882" w:type="pct"/>
            <w:vAlign w:val="center"/>
          </w:tcPr>
          <w:p w14:paraId="68FCF674">
            <w:pPr>
              <w:pStyle w:val="413"/>
              <w:snapToGrid w:val="0"/>
              <w:spacing w:line="360" w:lineRule="exact"/>
              <w:ind w:firstLine="0" w:firstLineChars="0"/>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6.0-8.5（无量纲）</w:t>
            </w:r>
          </w:p>
        </w:tc>
        <w:tc>
          <w:tcPr>
            <w:tcW w:w="885" w:type="pct"/>
            <w:vAlign w:val="center"/>
          </w:tcPr>
          <w:p w14:paraId="12558E3B">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ascii="Times New Roman" w:hAnsi="Times New Roman"/>
                <w:color w:val="auto"/>
                <w:sz w:val="21"/>
                <w:szCs w:val="21"/>
                <w:highlight w:val="none"/>
                <w:lang w:eastAsia="zh-CN"/>
              </w:rPr>
            </w:pPr>
            <w:r>
              <w:rPr>
                <w:rFonts w:hint="eastAsia" w:ascii="Times New Roman" w:hAnsi="Times New Roman" w:cs="Times New Roman"/>
                <w:color w:val="auto"/>
                <w:sz w:val="21"/>
                <w:szCs w:val="21"/>
                <w:highlight w:val="none"/>
                <w:lang w:val="en-US" w:eastAsia="zh-CN"/>
              </w:rPr>
              <w:t>/</w:t>
            </w:r>
          </w:p>
        </w:tc>
      </w:tr>
      <w:tr w14:paraId="6411DE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618" w:type="pct"/>
            <w:vAlign w:val="center"/>
          </w:tcPr>
          <w:p w14:paraId="2C02B1D6">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动植物油</w:t>
            </w:r>
          </w:p>
        </w:tc>
        <w:tc>
          <w:tcPr>
            <w:tcW w:w="837" w:type="pct"/>
            <w:vAlign w:val="center"/>
          </w:tcPr>
          <w:p w14:paraId="1372BD15">
            <w:pPr>
              <w:pStyle w:val="413"/>
              <w:snapToGrid w:val="0"/>
              <w:spacing w:line="360" w:lineRule="exact"/>
              <w:jc w:val="center"/>
              <w:rPr>
                <w:rFonts w:hint="eastAsia" w:ascii="Times New Roman" w:hAnsi="Times New Roman" w:eastAsia="宋体"/>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91" w:type="pct"/>
            <w:vAlign w:val="center"/>
          </w:tcPr>
          <w:p w14:paraId="4DEE209F">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ascii="Times New Roman" w:hAnsi="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60</w:t>
            </w:r>
          </w:p>
        </w:tc>
        <w:tc>
          <w:tcPr>
            <w:tcW w:w="884" w:type="pct"/>
            <w:vAlign w:val="center"/>
          </w:tcPr>
          <w:p w14:paraId="13E3D618">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0.4</w:t>
            </w:r>
          </w:p>
        </w:tc>
        <w:tc>
          <w:tcPr>
            <w:tcW w:w="882" w:type="pct"/>
            <w:vAlign w:val="center"/>
          </w:tcPr>
          <w:p w14:paraId="147C95F2">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60</w:t>
            </w:r>
          </w:p>
        </w:tc>
        <w:tc>
          <w:tcPr>
            <w:tcW w:w="885" w:type="pct"/>
            <w:vAlign w:val="center"/>
          </w:tcPr>
          <w:p w14:paraId="119A0D44">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ascii="Times New Roman" w:hAnsi="Times New Roman"/>
                <w:color w:val="auto"/>
                <w:sz w:val="21"/>
                <w:szCs w:val="21"/>
                <w:highlight w:val="none"/>
                <w:lang w:eastAsia="zh-CN"/>
              </w:rPr>
            </w:pPr>
            <w:r>
              <w:rPr>
                <w:rFonts w:hint="eastAsia" w:ascii="Times New Roman" w:hAnsi="Times New Roman" w:cs="Times New Roman"/>
                <w:color w:val="auto"/>
                <w:sz w:val="21"/>
                <w:szCs w:val="21"/>
                <w:highlight w:val="none"/>
                <w:lang w:val="en-US" w:eastAsia="zh-CN"/>
              </w:rPr>
              <w:t>0.4</w:t>
            </w:r>
          </w:p>
        </w:tc>
      </w:tr>
      <w:tr w14:paraId="258C86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25" w:hRule="atLeast"/>
          <w:jc w:val="center"/>
        </w:trPr>
        <w:tc>
          <w:tcPr>
            <w:tcW w:w="618" w:type="pct"/>
            <w:vAlign w:val="center"/>
          </w:tcPr>
          <w:p w14:paraId="61D9EA64">
            <w:pPr>
              <w:pStyle w:val="413"/>
              <w:snapToGrid w:val="0"/>
              <w:spacing w:line="360" w:lineRule="exact"/>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大肠菌群数</w:t>
            </w:r>
          </w:p>
        </w:tc>
        <w:tc>
          <w:tcPr>
            <w:tcW w:w="837" w:type="pct"/>
            <w:vAlign w:val="center"/>
          </w:tcPr>
          <w:p w14:paraId="1B2B67D6">
            <w:pPr>
              <w:pStyle w:val="413"/>
              <w:snapToGrid w:val="0"/>
              <w:spacing w:line="360" w:lineRule="exact"/>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91" w:type="pct"/>
            <w:vAlign w:val="center"/>
          </w:tcPr>
          <w:p w14:paraId="2DDC7A05">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ascii="Times New Roman" w:hAnsi="Times New Roman"/>
                <w:color w:val="auto"/>
                <w:sz w:val="21"/>
                <w:szCs w:val="21"/>
                <w:highlight w:val="none"/>
                <w:lang w:eastAsia="zh-CN"/>
              </w:rPr>
            </w:pPr>
            <w:r>
              <w:rPr>
                <w:rFonts w:hint="default" w:ascii="Times New Roman" w:hAnsi="Times New Roman" w:cs="Times New Roman"/>
                <w:color w:val="auto"/>
                <w:kern w:val="0"/>
                <w:sz w:val="21"/>
                <w:szCs w:val="21"/>
                <w:highlight w:val="none"/>
                <w:lang w:val="en-US" w:eastAsia="zh-CN" w:bidi="ar-SA"/>
              </w:rPr>
              <w:t>/</w:t>
            </w:r>
          </w:p>
        </w:tc>
        <w:tc>
          <w:tcPr>
            <w:tcW w:w="884" w:type="pct"/>
            <w:vAlign w:val="center"/>
          </w:tcPr>
          <w:p w14:paraId="4F00EAA3">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w:t>
            </w:r>
          </w:p>
        </w:tc>
        <w:tc>
          <w:tcPr>
            <w:tcW w:w="882" w:type="pct"/>
            <w:vAlign w:val="center"/>
          </w:tcPr>
          <w:p w14:paraId="23506DDB">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w:t>
            </w:r>
          </w:p>
        </w:tc>
        <w:tc>
          <w:tcPr>
            <w:tcW w:w="885" w:type="pct"/>
            <w:vAlign w:val="center"/>
          </w:tcPr>
          <w:p w14:paraId="3A3ABB72">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hint="default" w:ascii="Times New Roman" w:hAnsi="Times New Roman"/>
                <w:color w:val="auto"/>
                <w:sz w:val="21"/>
                <w:szCs w:val="21"/>
                <w:highlight w:val="none"/>
                <w:lang w:val="en-US" w:eastAsia="zh-CN"/>
              </w:rPr>
            </w:pPr>
            <w:r>
              <w:rPr>
                <w:rFonts w:hint="eastAsia" w:ascii="Times New Roman" w:hAnsi="Times New Roman" w:cs="Times New Roman"/>
                <w:color w:val="auto"/>
                <w:kern w:val="0"/>
                <w:sz w:val="21"/>
                <w:szCs w:val="21"/>
                <w:highlight w:val="none"/>
                <w:lang w:val="en-US" w:eastAsia="zh-CN" w:bidi="ar-SA"/>
              </w:rPr>
              <w:t>/</w:t>
            </w:r>
          </w:p>
        </w:tc>
      </w:tr>
      <w:tr w14:paraId="30B064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821" w:hRule="atLeast"/>
          <w:jc w:val="center"/>
        </w:trPr>
        <w:tc>
          <w:tcPr>
            <w:tcW w:w="618" w:type="pct"/>
            <w:vAlign w:val="center"/>
          </w:tcPr>
          <w:p w14:paraId="562B1F8B">
            <w:pPr>
              <w:pStyle w:val="413"/>
              <w:snapToGrid w:val="0"/>
              <w:spacing w:line="360" w:lineRule="exact"/>
              <w:jc w:val="center"/>
              <w:rPr>
                <w:rFonts w:ascii="Times New Roman" w:hAnsi="Times New Roman"/>
                <w:color w:val="auto"/>
                <w:sz w:val="21"/>
                <w:szCs w:val="21"/>
                <w:highlight w:val="none"/>
                <w:lang w:eastAsia="zh-CN"/>
              </w:rPr>
            </w:pPr>
            <w:r>
              <w:rPr>
                <w:rFonts w:ascii="Times New Roman" w:hAnsi="Times New Roman"/>
                <w:color w:val="auto"/>
                <w:sz w:val="21"/>
                <w:szCs w:val="21"/>
                <w:highlight w:val="none"/>
                <w:lang w:eastAsia="zh-CN"/>
              </w:rPr>
              <w:t>排水量（活屠重）</w:t>
            </w:r>
          </w:p>
        </w:tc>
        <w:tc>
          <w:tcPr>
            <w:tcW w:w="837" w:type="pct"/>
            <w:vAlign w:val="center"/>
          </w:tcPr>
          <w:p w14:paraId="7ABE1C7C">
            <w:pPr>
              <w:pStyle w:val="413"/>
              <w:snapToGrid w:val="0"/>
              <w:spacing w:line="360" w:lineRule="exact"/>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c>
          <w:tcPr>
            <w:tcW w:w="891" w:type="pct"/>
            <w:vAlign w:val="center"/>
          </w:tcPr>
          <w:p w14:paraId="2E56A95F">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ascii="Times New Roman" w:hAnsi="Times New Roman"/>
                <w:color w:val="auto"/>
                <w:sz w:val="21"/>
                <w:szCs w:val="21"/>
                <w:highlight w:val="none"/>
                <w:lang w:eastAsia="zh-CN"/>
              </w:rPr>
            </w:pPr>
            <w:r>
              <w:rPr>
                <w:rFonts w:hint="default" w:ascii="Times New Roman" w:hAnsi="Times New Roman" w:cs="Times New Roman"/>
                <w:color w:val="auto"/>
                <w:kern w:val="0"/>
                <w:sz w:val="21"/>
                <w:szCs w:val="21"/>
                <w:highlight w:val="none"/>
                <w:lang w:val="en-US" w:eastAsia="zh-CN" w:bidi="ar-SA"/>
              </w:rPr>
              <w:t>6.5m</w:t>
            </w:r>
            <w:r>
              <w:rPr>
                <w:rFonts w:hint="default" w:ascii="Times New Roman" w:hAnsi="Times New Roman" w:cs="Times New Roman"/>
                <w:color w:val="auto"/>
                <w:kern w:val="0"/>
                <w:sz w:val="21"/>
                <w:szCs w:val="21"/>
                <w:highlight w:val="none"/>
                <w:vertAlign w:val="superscript"/>
                <w:lang w:val="en-US" w:eastAsia="zh-CN" w:bidi="ar-SA"/>
              </w:rPr>
              <w:t>3</w:t>
            </w:r>
            <w:r>
              <w:rPr>
                <w:rFonts w:hint="default" w:ascii="Times New Roman" w:hAnsi="Times New Roman" w:cs="Times New Roman"/>
                <w:color w:val="auto"/>
                <w:kern w:val="0"/>
                <w:sz w:val="21"/>
                <w:szCs w:val="21"/>
                <w:highlight w:val="none"/>
                <w:lang w:val="en-US" w:eastAsia="zh-CN" w:bidi="ar-SA"/>
              </w:rPr>
              <w:t>/t</w:t>
            </w:r>
          </w:p>
        </w:tc>
        <w:tc>
          <w:tcPr>
            <w:tcW w:w="884" w:type="pct"/>
            <w:vAlign w:val="center"/>
          </w:tcPr>
          <w:p w14:paraId="7AD87205">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w:t>
            </w:r>
          </w:p>
        </w:tc>
        <w:tc>
          <w:tcPr>
            <w:tcW w:w="882" w:type="pct"/>
            <w:vAlign w:val="center"/>
          </w:tcPr>
          <w:p w14:paraId="555329F3">
            <w:pPr>
              <w:pStyle w:val="413"/>
              <w:snapToGrid w:val="0"/>
              <w:spacing w:line="360" w:lineRule="exact"/>
              <w:ind w:firstLine="0" w:firstLineChars="0"/>
              <w:jc w:val="center"/>
              <w:rPr>
                <w:rFonts w:ascii="Times New Roman" w:hAnsi="Times New Roman"/>
                <w:color w:val="auto"/>
                <w:sz w:val="21"/>
                <w:szCs w:val="21"/>
                <w:highlight w:val="none"/>
              </w:rPr>
            </w:pPr>
            <w:r>
              <w:rPr>
                <w:rFonts w:ascii="Times New Roman" w:hAnsi="Times New Roman"/>
                <w:color w:val="auto"/>
                <w:sz w:val="21"/>
                <w:szCs w:val="21"/>
                <w:highlight w:val="none"/>
                <w:lang w:eastAsia="zh-CN"/>
              </w:rPr>
              <w:t>6.5m</w:t>
            </w:r>
            <w:r>
              <w:rPr>
                <w:rFonts w:ascii="Times New Roman" w:hAnsi="Times New Roman"/>
                <w:color w:val="auto"/>
                <w:sz w:val="21"/>
                <w:szCs w:val="21"/>
                <w:highlight w:val="none"/>
                <w:vertAlign w:val="superscript"/>
                <w:lang w:eastAsia="zh-CN"/>
              </w:rPr>
              <w:t>3</w:t>
            </w:r>
            <w:r>
              <w:rPr>
                <w:rFonts w:ascii="Times New Roman" w:hAnsi="Times New Roman"/>
                <w:color w:val="auto"/>
                <w:sz w:val="21"/>
                <w:szCs w:val="21"/>
                <w:highlight w:val="none"/>
                <w:lang w:eastAsia="zh-CN"/>
              </w:rPr>
              <w:t>/t</w:t>
            </w:r>
          </w:p>
        </w:tc>
        <w:tc>
          <w:tcPr>
            <w:tcW w:w="885" w:type="pct"/>
            <w:vAlign w:val="center"/>
          </w:tcPr>
          <w:p w14:paraId="36E7AE59">
            <w:pPr>
              <w:pStyle w:val="413"/>
              <w:keepNext w:val="0"/>
              <w:keepLines w:val="0"/>
              <w:pageBreakBefore w:val="0"/>
              <w:widowControl w:val="0"/>
              <w:kinsoku/>
              <w:wordWrap/>
              <w:overflowPunct/>
              <w:topLinePunct w:val="0"/>
              <w:autoSpaceDE/>
              <w:autoSpaceDN/>
              <w:bidi w:val="0"/>
              <w:adjustRightInd/>
              <w:snapToGrid w:val="0"/>
              <w:spacing w:line="360" w:lineRule="exact"/>
              <w:ind w:firstLine="0" w:firstLineChars="0"/>
              <w:jc w:val="center"/>
              <w:textAlignment w:val="auto"/>
              <w:rPr>
                <w:rFonts w:hint="default" w:ascii="Times New Roman" w:hAnsi="Times New Roman"/>
                <w:color w:val="auto"/>
                <w:sz w:val="21"/>
                <w:szCs w:val="21"/>
                <w:highlight w:val="none"/>
                <w:lang w:val="en-US" w:eastAsia="zh-CN"/>
              </w:rPr>
            </w:pPr>
            <w:r>
              <w:rPr>
                <w:rFonts w:hint="eastAsia" w:ascii="Times New Roman" w:hAnsi="Times New Roman" w:cs="Times New Roman"/>
                <w:color w:val="auto"/>
                <w:kern w:val="0"/>
                <w:sz w:val="21"/>
                <w:szCs w:val="21"/>
                <w:highlight w:val="none"/>
                <w:lang w:val="en-US" w:eastAsia="zh-CN" w:bidi="ar-SA"/>
              </w:rPr>
              <w:t>/</w:t>
            </w:r>
          </w:p>
        </w:tc>
      </w:tr>
    </w:tbl>
    <w:p w14:paraId="7565A2F2">
      <w:pPr>
        <w:spacing w:before="156" w:beforeLines="50" w:line="500" w:lineRule="exact"/>
        <w:ind w:firstLine="482"/>
        <w:rPr>
          <w:rFonts w:cs="Times New Roman"/>
          <w:b/>
          <w:bCs/>
          <w:color w:val="auto"/>
          <w:szCs w:val="24"/>
          <w:highlight w:val="none"/>
        </w:rPr>
      </w:pPr>
      <w:r>
        <w:rPr>
          <w:rFonts w:cs="Times New Roman"/>
          <w:b/>
          <w:bCs/>
          <w:color w:val="auto"/>
          <w:szCs w:val="24"/>
          <w:highlight w:val="none"/>
        </w:rPr>
        <w:t>3、噪声排放标准</w:t>
      </w:r>
    </w:p>
    <w:p w14:paraId="582B276A">
      <w:pPr>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szCs w:val="24"/>
          <w:highlight w:val="none"/>
        </w:rPr>
      </w:pPr>
      <w:r>
        <w:rPr>
          <w:rFonts w:cs="Times New Roman"/>
          <w:color w:val="auto"/>
          <w:szCs w:val="24"/>
          <w:highlight w:val="none"/>
        </w:rPr>
        <w:t>施工期噪声执行《建筑施工场界环境噪声排放标准》（GB12523-2011）中的场界排放限值。营运期</w:t>
      </w:r>
      <w:r>
        <w:rPr>
          <w:rFonts w:hint="eastAsia" w:cs="Times New Roman"/>
          <w:color w:val="auto"/>
          <w:szCs w:val="24"/>
          <w:highlight w:val="none"/>
          <w:lang w:val="en-US" w:eastAsia="zh-CN"/>
        </w:rPr>
        <w:t>厂界</w:t>
      </w:r>
      <w:r>
        <w:rPr>
          <w:rFonts w:cs="Times New Roman"/>
          <w:color w:val="auto"/>
          <w:szCs w:val="24"/>
          <w:highlight w:val="none"/>
        </w:rPr>
        <w:t>噪声执行《工业企业厂界环境噪声排放标准》（GB12348-2008）中</w:t>
      </w:r>
      <w:r>
        <w:rPr>
          <w:rFonts w:hint="eastAsia" w:cs="Times New Roman"/>
          <w:color w:val="auto"/>
          <w:szCs w:val="24"/>
          <w:highlight w:val="none"/>
          <w:lang w:val="en-US" w:eastAsia="zh-CN"/>
        </w:rPr>
        <w:t>2</w:t>
      </w:r>
      <w:r>
        <w:rPr>
          <w:rFonts w:cs="Times New Roman"/>
          <w:color w:val="auto"/>
          <w:szCs w:val="24"/>
          <w:highlight w:val="none"/>
        </w:rPr>
        <w:t>类标准，</w:t>
      </w:r>
      <w:r>
        <w:rPr>
          <w:rFonts w:hint="eastAsia" w:cs="Times New Roman"/>
          <w:color w:val="auto"/>
          <w:szCs w:val="24"/>
          <w:highlight w:val="none"/>
          <w:lang w:val="en-US" w:eastAsia="zh-CN"/>
        </w:rPr>
        <w:t>厂区西侧敏感点噪声执行《声环境质量标准》（GB3096-2008）中2类标准，</w:t>
      </w:r>
      <w:r>
        <w:rPr>
          <w:rFonts w:cs="Times New Roman"/>
          <w:color w:val="auto"/>
          <w:szCs w:val="24"/>
          <w:highlight w:val="none"/>
        </w:rPr>
        <w:t>详见</w:t>
      </w:r>
      <w:r>
        <w:rPr>
          <w:rFonts w:hint="eastAsia" w:cs="Times New Roman"/>
          <w:color w:val="auto"/>
          <w:szCs w:val="24"/>
          <w:highlight w:val="none"/>
          <w:lang w:val="en-US" w:eastAsia="zh-CN"/>
        </w:rPr>
        <w:t>下表</w:t>
      </w:r>
      <w:r>
        <w:rPr>
          <w:rFonts w:cs="Times New Roman"/>
          <w:color w:val="auto"/>
          <w:szCs w:val="24"/>
          <w:highlight w:val="none"/>
        </w:rPr>
        <w:t>。</w:t>
      </w:r>
    </w:p>
    <w:p w14:paraId="7BB5FE4E">
      <w:pPr>
        <w:keepNext w:val="0"/>
        <w:keepLines w:val="0"/>
        <w:pageBreakBefore w:val="0"/>
        <w:widowControl w:val="0"/>
        <w:kinsoku/>
        <w:wordWrap/>
        <w:overflowPunct/>
        <w:topLinePunct w:val="0"/>
        <w:autoSpaceDE/>
        <w:autoSpaceDN/>
        <w:bidi w:val="0"/>
        <w:adjustRightInd w:val="0"/>
        <w:snapToGrid w:val="0"/>
        <w:spacing w:line="520" w:lineRule="atLeast"/>
        <w:ind w:firstLine="482"/>
        <w:jc w:val="center"/>
        <w:textAlignment w:val="auto"/>
        <w:rPr>
          <w:rFonts w:cs="Times New Roman"/>
          <w:b/>
          <w:bCs/>
          <w:color w:val="auto"/>
          <w:szCs w:val="24"/>
          <w:highlight w:val="none"/>
        </w:rPr>
      </w:pPr>
      <w:r>
        <w:rPr>
          <w:rFonts w:cs="Times New Roman"/>
          <w:b/>
          <w:bCs/>
          <w:color w:val="auto"/>
          <w:szCs w:val="24"/>
          <w:highlight w:val="none"/>
        </w:rPr>
        <w:t>表2</w:t>
      </w:r>
      <w:r>
        <w:rPr>
          <w:rFonts w:hint="eastAsia" w:cs="Times New Roman"/>
          <w:b/>
          <w:bCs/>
          <w:color w:val="auto"/>
          <w:szCs w:val="24"/>
          <w:highlight w:val="none"/>
          <w:lang w:val="en-US" w:eastAsia="zh-CN"/>
        </w:rPr>
        <w:t>.</w:t>
      </w:r>
      <w:r>
        <w:rPr>
          <w:rFonts w:cs="Times New Roman"/>
          <w:b/>
          <w:bCs/>
          <w:color w:val="auto"/>
          <w:szCs w:val="24"/>
          <w:highlight w:val="none"/>
        </w:rPr>
        <w:t>2-1</w:t>
      </w:r>
      <w:r>
        <w:rPr>
          <w:rFonts w:hint="eastAsia" w:cs="Times New Roman"/>
          <w:b/>
          <w:bCs/>
          <w:color w:val="auto"/>
          <w:szCs w:val="24"/>
          <w:highlight w:val="none"/>
          <w:lang w:val="en-US" w:eastAsia="zh-CN"/>
        </w:rPr>
        <w:t>1</w:t>
      </w:r>
      <w:r>
        <w:rPr>
          <w:rFonts w:cs="Times New Roman"/>
          <w:b/>
          <w:bCs/>
          <w:color w:val="auto"/>
          <w:szCs w:val="24"/>
          <w:highlight w:val="none"/>
        </w:rPr>
        <w:t xml:space="preserve">  噪声评价执行标准    单位：dB（A）</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808"/>
        <w:gridCol w:w="2805"/>
        <w:gridCol w:w="2805"/>
      </w:tblGrid>
      <w:tr w14:paraId="72EFCAA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30" w:hRule="atLeast"/>
          <w:jc w:val="center"/>
        </w:trPr>
        <w:tc>
          <w:tcPr>
            <w:tcW w:w="2808" w:type="dxa"/>
            <w:tcBorders>
              <w:top w:val="single" w:color="auto" w:sz="12" w:space="0"/>
              <w:left w:val="nil"/>
              <w:bottom w:val="single" w:color="auto" w:sz="6" w:space="0"/>
              <w:right w:val="single" w:color="auto" w:sz="6" w:space="0"/>
            </w:tcBorders>
            <w:vAlign w:val="center"/>
          </w:tcPr>
          <w:p w14:paraId="74422187">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标准来源</w:t>
            </w:r>
          </w:p>
        </w:tc>
        <w:tc>
          <w:tcPr>
            <w:tcW w:w="2805" w:type="dxa"/>
            <w:tcBorders>
              <w:top w:val="single" w:color="auto" w:sz="12" w:space="0"/>
              <w:left w:val="single" w:color="auto" w:sz="6" w:space="0"/>
              <w:bottom w:val="single" w:color="auto" w:sz="6" w:space="0"/>
              <w:right w:val="single" w:color="auto" w:sz="6" w:space="0"/>
            </w:tcBorders>
            <w:vAlign w:val="center"/>
          </w:tcPr>
          <w:p w14:paraId="3038568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昼间</w:t>
            </w:r>
          </w:p>
        </w:tc>
        <w:tc>
          <w:tcPr>
            <w:tcW w:w="2805" w:type="dxa"/>
            <w:tcBorders>
              <w:top w:val="single" w:color="auto" w:sz="12" w:space="0"/>
              <w:left w:val="single" w:color="auto" w:sz="6" w:space="0"/>
              <w:bottom w:val="single" w:color="auto" w:sz="6" w:space="0"/>
              <w:right w:val="nil"/>
            </w:tcBorders>
            <w:vAlign w:val="center"/>
          </w:tcPr>
          <w:p w14:paraId="336CDDC0">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夜间</w:t>
            </w:r>
          </w:p>
        </w:tc>
      </w:tr>
      <w:tr w14:paraId="01420DC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39" w:hRule="atLeast"/>
          <w:jc w:val="center"/>
        </w:trPr>
        <w:tc>
          <w:tcPr>
            <w:tcW w:w="2808" w:type="dxa"/>
            <w:tcBorders>
              <w:top w:val="single" w:color="auto" w:sz="6" w:space="0"/>
              <w:left w:val="nil"/>
              <w:bottom w:val="single" w:color="auto" w:sz="6" w:space="0"/>
              <w:right w:val="single" w:color="auto" w:sz="6" w:space="0"/>
            </w:tcBorders>
            <w:vAlign w:val="center"/>
          </w:tcPr>
          <w:p w14:paraId="3639A68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GB12523-2011</w:t>
            </w:r>
          </w:p>
        </w:tc>
        <w:tc>
          <w:tcPr>
            <w:tcW w:w="2805" w:type="dxa"/>
            <w:tcBorders>
              <w:top w:val="single" w:color="auto" w:sz="6" w:space="0"/>
              <w:left w:val="single" w:color="auto" w:sz="6" w:space="0"/>
              <w:bottom w:val="single" w:color="auto" w:sz="6" w:space="0"/>
              <w:right w:val="single" w:color="auto" w:sz="6" w:space="0"/>
            </w:tcBorders>
            <w:vAlign w:val="center"/>
          </w:tcPr>
          <w:p w14:paraId="61B908F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70</w:t>
            </w:r>
          </w:p>
        </w:tc>
        <w:tc>
          <w:tcPr>
            <w:tcW w:w="2805" w:type="dxa"/>
            <w:tcBorders>
              <w:top w:val="single" w:color="auto" w:sz="6" w:space="0"/>
              <w:left w:val="single" w:color="auto" w:sz="6" w:space="0"/>
              <w:bottom w:val="single" w:color="auto" w:sz="6" w:space="0"/>
              <w:right w:val="nil"/>
            </w:tcBorders>
            <w:vAlign w:val="center"/>
          </w:tcPr>
          <w:p w14:paraId="16331A0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55</w:t>
            </w:r>
          </w:p>
        </w:tc>
      </w:tr>
      <w:tr w14:paraId="600FB20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71" w:hRule="atLeast"/>
          <w:jc w:val="center"/>
        </w:trPr>
        <w:tc>
          <w:tcPr>
            <w:tcW w:w="2808" w:type="dxa"/>
            <w:tcBorders>
              <w:top w:val="single" w:color="auto" w:sz="6" w:space="0"/>
              <w:left w:val="nil"/>
              <w:bottom w:val="single" w:color="auto" w:sz="6" w:space="0"/>
              <w:right w:val="single" w:color="auto" w:sz="6" w:space="0"/>
            </w:tcBorders>
            <w:vAlign w:val="center"/>
          </w:tcPr>
          <w:p w14:paraId="2E2A986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GB12348-2008中</w:t>
            </w:r>
            <w:r>
              <w:rPr>
                <w:rFonts w:hint="eastAsia" w:cs="Times New Roman"/>
                <w:color w:val="auto"/>
                <w:sz w:val="21"/>
                <w:szCs w:val="21"/>
                <w:highlight w:val="none"/>
                <w:lang w:val="en-US" w:eastAsia="zh-CN"/>
              </w:rPr>
              <w:t>2</w:t>
            </w:r>
            <w:r>
              <w:rPr>
                <w:rFonts w:cs="Times New Roman"/>
                <w:color w:val="auto"/>
                <w:sz w:val="21"/>
                <w:szCs w:val="21"/>
                <w:highlight w:val="none"/>
              </w:rPr>
              <w:t>类标准</w:t>
            </w:r>
          </w:p>
        </w:tc>
        <w:tc>
          <w:tcPr>
            <w:tcW w:w="2805" w:type="dxa"/>
            <w:tcBorders>
              <w:top w:val="single" w:color="auto" w:sz="6" w:space="0"/>
              <w:left w:val="single" w:color="auto" w:sz="6" w:space="0"/>
              <w:bottom w:val="single" w:color="auto" w:sz="6" w:space="0"/>
              <w:right w:val="single" w:color="auto" w:sz="6" w:space="0"/>
            </w:tcBorders>
            <w:vAlign w:val="center"/>
          </w:tcPr>
          <w:p w14:paraId="2F9AD402">
            <w:pPr>
              <w:spacing w:line="240" w:lineRule="auto"/>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6</w:t>
            </w:r>
            <w:r>
              <w:rPr>
                <w:rFonts w:hint="eastAsia" w:cs="Times New Roman"/>
                <w:color w:val="auto"/>
                <w:sz w:val="21"/>
                <w:szCs w:val="21"/>
                <w:highlight w:val="none"/>
                <w:lang w:val="en-US" w:eastAsia="zh-CN"/>
              </w:rPr>
              <w:t>0</w:t>
            </w:r>
          </w:p>
        </w:tc>
        <w:tc>
          <w:tcPr>
            <w:tcW w:w="2805" w:type="dxa"/>
            <w:tcBorders>
              <w:top w:val="single" w:color="auto" w:sz="6" w:space="0"/>
              <w:left w:val="single" w:color="auto" w:sz="6" w:space="0"/>
              <w:bottom w:val="single" w:color="auto" w:sz="6" w:space="0"/>
              <w:right w:val="nil"/>
            </w:tcBorders>
            <w:vAlign w:val="center"/>
          </w:tcPr>
          <w:p w14:paraId="4D781A11">
            <w:pPr>
              <w:spacing w:line="240" w:lineRule="auto"/>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5</w:t>
            </w:r>
            <w:r>
              <w:rPr>
                <w:rFonts w:hint="eastAsia" w:cs="Times New Roman"/>
                <w:color w:val="auto"/>
                <w:sz w:val="21"/>
                <w:szCs w:val="21"/>
                <w:highlight w:val="none"/>
                <w:lang w:val="en-US" w:eastAsia="zh-CN"/>
              </w:rPr>
              <w:t>0</w:t>
            </w:r>
          </w:p>
        </w:tc>
      </w:tr>
      <w:tr w14:paraId="16EA3EE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71" w:hRule="atLeast"/>
          <w:jc w:val="center"/>
        </w:trPr>
        <w:tc>
          <w:tcPr>
            <w:tcW w:w="2808" w:type="dxa"/>
            <w:tcBorders>
              <w:top w:val="single" w:color="auto" w:sz="6" w:space="0"/>
              <w:left w:val="nil"/>
              <w:bottom w:val="single" w:color="auto" w:sz="12" w:space="0"/>
              <w:right w:val="single" w:color="auto" w:sz="6" w:space="0"/>
            </w:tcBorders>
            <w:vAlign w:val="center"/>
          </w:tcPr>
          <w:p w14:paraId="2C40AC3F">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GB3096-2008中2类标准</w:t>
            </w:r>
          </w:p>
        </w:tc>
        <w:tc>
          <w:tcPr>
            <w:tcW w:w="2805" w:type="dxa"/>
            <w:tcBorders>
              <w:top w:val="single" w:color="auto" w:sz="6" w:space="0"/>
              <w:left w:val="single" w:color="auto" w:sz="6" w:space="0"/>
              <w:bottom w:val="single" w:color="auto" w:sz="12" w:space="0"/>
              <w:right w:val="single" w:color="auto" w:sz="6" w:space="0"/>
            </w:tcBorders>
            <w:shd w:val="clear" w:color="auto" w:fill="auto"/>
            <w:vAlign w:val="center"/>
          </w:tcPr>
          <w:p w14:paraId="44FC440C">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6</w:t>
            </w:r>
            <w:r>
              <w:rPr>
                <w:rFonts w:hint="eastAsia" w:cs="Times New Roman"/>
                <w:color w:val="auto"/>
                <w:sz w:val="21"/>
                <w:szCs w:val="21"/>
                <w:highlight w:val="none"/>
                <w:lang w:val="en-US" w:eastAsia="zh-CN"/>
              </w:rPr>
              <w:t>0</w:t>
            </w:r>
          </w:p>
        </w:tc>
        <w:tc>
          <w:tcPr>
            <w:tcW w:w="2805" w:type="dxa"/>
            <w:tcBorders>
              <w:top w:val="single" w:color="auto" w:sz="6" w:space="0"/>
              <w:left w:val="single" w:color="auto" w:sz="6" w:space="0"/>
              <w:bottom w:val="single" w:color="auto" w:sz="12" w:space="0"/>
              <w:right w:val="nil"/>
            </w:tcBorders>
            <w:shd w:val="clear" w:color="auto" w:fill="auto"/>
            <w:vAlign w:val="center"/>
          </w:tcPr>
          <w:p w14:paraId="1EA6F4B5">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5</w:t>
            </w:r>
            <w:r>
              <w:rPr>
                <w:rFonts w:hint="eastAsia" w:cs="Times New Roman"/>
                <w:color w:val="auto"/>
                <w:sz w:val="21"/>
                <w:szCs w:val="21"/>
                <w:highlight w:val="none"/>
                <w:lang w:val="en-US" w:eastAsia="zh-CN"/>
              </w:rPr>
              <w:t>0</w:t>
            </w:r>
          </w:p>
        </w:tc>
      </w:tr>
    </w:tbl>
    <w:p w14:paraId="5642E58B">
      <w:pPr>
        <w:spacing w:before="156" w:beforeLines="50" w:line="500" w:lineRule="exact"/>
        <w:ind w:firstLine="482"/>
        <w:rPr>
          <w:rFonts w:cs="Times New Roman"/>
          <w:b/>
          <w:bCs/>
          <w:color w:val="auto"/>
          <w:szCs w:val="24"/>
          <w:highlight w:val="none"/>
        </w:rPr>
      </w:pPr>
      <w:r>
        <w:rPr>
          <w:rFonts w:cs="Times New Roman"/>
          <w:b/>
          <w:bCs/>
          <w:color w:val="auto"/>
          <w:szCs w:val="24"/>
          <w:highlight w:val="none"/>
        </w:rPr>
        <w:t>4、固体废物排放标准</w:t>
      </w:r>
    </w:p>
    <w:p w14:paraId="08396265">
      <w:pPr>
        <w:spacing w:line="500" w:lineRule="exact"/>
        <w:rPr>
          <w:rFonts w:cs="Times New Roman"/>
          <w:color w:val="auto"/>
          <w:highlight w:val="none"/>
        </w:rPr>
      </w:pPr>
      <w:r>
        <w:rPr>
          <w:rFonts w:cs="Times New Roman"/>
          <w:color w:val="auto"/>
          <w:szCs w:val="24"/>
          <w:highlight w:val="none"/>
        </w:rPr>
        <w:t>固体废物排放执行《一般工业固体废物贮存和填埋污染控制标准》(GB18599-2020</w:t>
      </w:r>
      <w:r>
        <w:rPr>
          <w:rFonts w:cs="Times New Roman"/>
          <w:color w:val="auto"/>
          <w:highlight w:val="none"/>
        </w:rPr>
        <w:t>)及《固体废物分类与代码目录》（</w:t>
      </w:r>
      <w:r>
        <w:rPr>
          <w:rFonts w:hint="eastAsia" w:cs="Times New Roman"/>
          <w:color w:val="auto"/>
          <w:highlight w:val="none"/>
          <w:lang w:val="en-US" w:eastAsia="zh-CN"/>
        </w:rPr>
        <w:t>2024版</w:t>
      </w:r>
      <w:r>
        <w:rPr>
          <w:rFonts w:cs="Times New Roman"/>
          <w:color w:val="auto"/>
          <w:highlight w:val="none"/>
        </w:rPr>
        <w:t>）。</w:t>
      </w:r>
    </w:p>
    <w:p w14:paraId="068CDB0A">
      <w:pPr>
        <w:spacing w:line="500" w:lineRule="exact"/>
        <w:rPr>
          <w:rFonts w:cs="Times New Roman"/>
          <w:color w:val="auto"/>
          <w:highlight w:val="none"/>
        </w:rPr>
      </w:pPr>
      <w:r>
        <w:rPr>
          <w:rFonts w:cs="Times New Roman"/>
          <w:snapToGrid w:val="0"/>
          <w:color w:val="auto"/>
          <w:kern w:val="0"/>
          <w:szCs w:val="24"/>
          <w:highlight w:val="none"/>
        </w:rPr>
        <w:t>危险废物执行</w:t>
      </w:r>
      <w:r>
        <w:rPr>
          <w:rFonts w:cs="Times New Roman"/>
          <w:color w:val="auto"/>
          <w:highlight w:val="none"/>
        </w:rPr>
        <w:t>《危险废物贮存污染控制标准》（GB18597-20</w:t>
      </w:r>
      <w:r>
        <w:rPr>
          <w:rFonts w:hint="eastAsia" w:cs="Times New Roman"/>
          <w:color w:val="auto"/>
          <w:highlight w:val="none"/>
          <w:lang w:val="en-US" w:eastAsia="zh-CN"/>
        </w:rPr>
        <w:t>23</w:t>
      </w:r>
      <w:r>
        <w:rPr>
          <w:rFonts w:cs="Times New Roman"/>
          <w:color w:val="auto"/>
          <w:highlight w:val="none"/>
        </w:rPr>
        <w:t>）。</w:t>
      </w:r>
    </w:p>
    <w:p w14:paraId="2F20D051">
      <w:pPr>
        <w:pStyle w:val="3"/>
        <w:spacing w:before="156" w:after="156"/>
        <w:rPr>
          <w:rFonts w:cs="Times New Roman"/>
          <w:color w:val="auto"/>
          <w:highlight w:val="none"/>
        </w:rPr>
      </w:pPr>
      <w:bookmarkStart w:id="60" w:name="_Toc6800"/>
      <w:r>
        <w:rPr>
          <w:rFonts w:cs="Times New Roman"/>
          <w:color w:val="auto"/>
          <w:highlight w:val="none"/>
        </w:rPr>
        <w:t>2.3评价工作等级</w:t>
      </w:r>
      <w:bookmarkEnd w:id="60"/>
    </w:p>
    <w:p w14:paraId="130B16E7">
      <w:pPr>
        <w:pStyle w:val="4"/>
        <w:spacing w:after="156"/>
        <w:rPr>
          <w:rFonts w:cs="Times New Roman"/>
          <w:color w:val="auto"/>
          <w:highlight w:val="none"/>
        </w:rPr>
      </w:pPr>
      <w:bookmarkStart w:id="61" w:name="_Toc535"/>
      <w:r>
        <w:rPr>
          <w:rFonts w:cs="Times New Roman"/>
          <w:color w:val="auto"/>
          <w:highlight w:val="none"/>
        </w:rPr>
        <w:t>2.3.1大气环境影响评价工作等级</w:t>
      </w:r>
      <w:bookmarkEnd w:id="61"/>
    </w:p>
    <w:p w14:paraId="066CE98C">
      <w:pPr>
        <w:pStyle w:val="117"/>
        <w:adjustRightInd w:val="0"/>
        <w:snapToGrid w:val="0"/>
        <w:jc w:val="both"/>
        <w:rPr>
          <w:rFonts w:cs="Times New Roman"/>
          <w:color w:val="auto"/>
          <w:szCs w:val="24"/>
          <w:highlight w:val="none"/>
        </w:rPr>
      </w:pPr>
      <w:r>
        <w:rPr>
          <w:rFonts w:cs="Times New Roman"/>
          <w:color w:val="auto"/>
          <w:szCs w:val="24"/>
          <w:highlight w:val="none"/>
        </w:rPr>
        <w:t>根据《环境影响评价技术导则  大气环境》（HJ2.2-2018）的要求，大气环境影响评价等级由主要污染物的最大地面空气质量浓度占标率P</w:t>
      </w:r>
      <w:r>
        <w:rPr>
          <w:rFonts w:cs="Times New Roman"/>
          <w:color w:val="auto"/>
          <w:szCs w:val="24"/>
          <w:highlight w:val="none"/>
          <w:vertAlign w:val="subscript"/>
        </w:rPr>
        <w:t>i</w:t>
      </w:r>
      <w:r>
        <w:rPr>
          <w:rFonts w:cs="Times New Roman"/>
          <w:color w:val="auto"/>
          <w:szCs w:val="24"/>
          <w:highlight w:val="none"/>
        </w:rPr>
        <w:t>（第i个污染物，简称“最大浓度占标率”），及第i个污染物的地面空气质量浓度达标准限值10%时所对应的最远距离D</w:t>
      </w:r>
      <w:r>
        <w:rPr>
          <w:rFonts w:cs="Times New Roman"/>
          <w:color w:val="auto"/>
          <w:szCs w:val="24"/>
          <w:highlight w:val="none"/>
          <w:vertAlign w:val="subscript"/>
        </w:rPr>
        <w:t>10%</w:t>
      </w:r>
      <w:r>
        <w:rPr>
          <w:rFonts w:cs="Times New Roman"/>
          <w:color w:val="auto"/>
          <w:szCs w:val="24"/>
          <w:highlight w:val="none"/>
        </w:rPr>
        <w:t>确定。其中Pi定义为：</w:t>
      </w:r>
    </w:p>
    <w:p w14:paraId="349AF717">
      <w:pPr>
        <w:spacing w:line="500" w:lineRule="exact"/>
        <w:jc w:val="both"/>
        <w:rPr>
          <w:rFonts w:cs="Times New Roman"/>
          <w:color w:val="auto"/>
          <w:szCs w:val="24"/>
          <w:highlight w:val="none"/>
        </w:rPr>
      </w:pPr>
      <w:r>
        <w:rPr>
          <w:rFonts w:cs="Times New Roman"/>
          <w:color w:val="auto"/>
          <w:szCs w:val="24"/>
          <w:highlight w:val="none"/>
        </w:rPr>
        <w:t>P</w:t>
      </w:r>
      <w:r>
        <w:rPr>
          <w:rFonts w:cs="Times New Roman"/>
          <w:color w:val="auto"/>
          <w:szCs w:val="24"/>
          <w:highlight w:val="none"/>
          <w:vertAlign w:val="subscript"/>
        </w:rPr>
        <w:t>i</w:t>
      </w:r>
      <w:r>
        <w:rPr>
          <w:rFonts w:cs="Times New Roman"/>
          <w:color w:val="auto"/>
          <w:szCs w:val="24"/>
          <w:highlight w:val="none"/>
        </w:rPr>
        <w:t>=C</w:t>
      </w:r>
      <w:r>
        <w:rPr>
          <w:rFonts w:cs="Times New Roman"/>
          <w:color w:val="auto"/>
          <w:szCs w:val="24"/>
          <w:highlight w:val="none"/>
          <w:vertAlign w:val="subscript"/>
        </w:rPr>
        <w:t>i</w:t>
      </w:r>
      <w:r>
        <w:rPr>
          <w:rFonts w:cs="Times New Roman"/>
          <w:color w:val="auto"/>
          <w:szCs w:val="24"/>
          <w:highlight w:val="none"/>
        </w:rPr>
        <w:t>/C</w:t>
      </w:r>
      <w:r>
        <w:rPr>
          <w:rFonts w:cs="Times New Roman"/>
          <w:color w:val="auto"/>
          <w:szCs w:val="24"/>
          <w:highlight w:val="none"/>
          <w:vertAlign w:val="subscript"/>
        </w:rPr>
        <w:t>oi</w:t>
      </w:r>
      <w:r>
        <w:rPr>
          <w:rFonts w:cs="Times New Roman"/>
          <w:color w:val="auto"/>
          <w:szCs w:val="24"/>
          <w:highlight w:val="none"/>
        </w:rPr>
        <w:t>×100%</w:t>
      </w:r>
    </w:p>
    <w:p w14:paraId="3ED3AACF">
      <w:pPr>
        <w:spacing w:line="500" w:lineRule="exact"/>
        <w:jc w:val="both"/>
        <w:rPr>
          <w:rFonts w:cs="Times New Roman"/>
          <w:color w:val="auto"/>
          <w:szCs w:val="24"/>
          <w:highlight w:val="none"/>
        </w:rPr>
      </w:pPr>
      <w:r>
        <w:rPr>
          <w:rFonts w:cs="Times New Roman"/>
          <w:color w:val="auto"/>
          <w:szCs w:val="24"/>
          <w:highlight w:val="none"/>
        </w:rPr>
        <w:t>式中：P</w:t>
      </w:r>
      <w:r>
        <w:rPr>
          <w:rFonts w:cs="Times New Roman"/>
          <w:color w:val="auto"/>
          <w:szCs w:val="24"/>
          <w:highlight w:val="none"/>
          <w:vertAlign w:val="subscript"/>
        </w:rPr>
        <w:t>i</w:t>
      </w:r>
      <w:r>
        <w:rPr>
          <w:rFonts w:cs="Times New Roman"/>
          <w:color w:val="auto"/>
          <w:szCs w:val="24"/>
          <w:highlight w:val="none"/>
        </w:rPr>
        <w:t>－第i个污染物的最大地面空气质量浓度占标率，%；</w:t>
      </w:r>
    </w:p>
    <w:p w14:paraId="19983AEC">
      <w:pPr>
        <w:spacing w:line="500" w:lineRule="exact"/>
        <w:jc w:val="both"/>
        <w:rPr>
          <w:rFonts w:cs="Times New Roman"/>
          <w:color w:val="auto"/>
          <w:szCs w:val="24"/>
          <w:highlight w:val="none"/>
        </w:rPr>
      </w:pPr>
      <w:r>
        <w:rPr>
          <w:rFonts w:cs="Times New Roman"/>
          <w:color w:val="auto"/>
          <w:szCs w:val="24"/>
          <w:highlight w:val="none"/>
        </w:rPr>
        <w:t>C</w:t>
      </w:r>
      <w:r>
        <w:rPr>
          <w:rFonts w:cs="Times New Roman"/>
          <w:color w:val="auto"/>
          <w:szCs w:val="24"/>
          <w:highlight w:val="none"/>
          <w:vertAlign w:val="subscript"/>
        </w:rPr>
        <w:t>i</w:t>
      </w:r>
      <w:r>
        <w:rPr>
          <w:rFonts w:cs="Times New Roman"/>
          <w:color w:val="auto"/>
          <w:szCs w:val="24"/>
          <w:highlight w:val="none"/>
        </w:rPr>
        <w:t>－采用估算模型计算出的第i个污染物的最大1h地面空气质量浓度，μg/m</w:t>
      </w:r>
      <w:r>
        <w:rPr>
          <w:rFonts w:cs="Times New Roman"/>
          <w:color w:val="auto"/>
          <w:szCs w:val="24"/>
          <w:highlight w:val="none"/>
          <w:vertAlign w:val="superscript"/>
        </w:rPr>
        <w:t>3</w:t>
      </w:r>
      <w:r>
        <w:rPr>
          <w:rFonts w:cs="Times New Roman"/>
          <w:color w:val="auto"/>
          <w:szCs w:val="24"/>
          <w:highlight w:val="none"/>
        </w:rPr>
        <w:t>；C</w:t>
      </w:r>
      <w:r>
        <w:rPr>
          <w:rFonts w:cs="Times New Roman"/>
          <w:color w:val="auto"/>
          <w:szCs w:val="24"/>
          <w:highlight w:val="none"/>
          <w:vertAlign w:val="subscript"/>
        </w:rPr>
        <w:t>oi</w:t>
      </w:r>
      <w:r>
        <w:rPr>
          <w:rFonts w:cs="Times New Roman"/>
          <w:color w:val="auto"/>
          <w:szCs w:val="24"/>
          <w:highlight w:val="none"/>
        </w:rPr>
        <w:t>－第i个污染物的环境空气质量标准，μg/m</w:t>
      </w:r>
      <w:r>
        <w:rPr>
          <w:rFonts w:cs="Times New Roman"/>
          <w:color w:val="auto"/>
          <w:szCs w:val="24"/>
          <w:highlight w:val="none"/>
          <w:vertAlign w:val="superscript"/>
        </w:rPr>
        <w:t>3</w:t>
      </w:r>
      <w:r>
        <w:rPr>
          <w:rFonts w:cs="Times New Roman"/>
          <w:color w:val="auto"/>
          <w:szCs w:val="24"/>
          <w:highlight w:val="none"/>
        </w:rPr>
        <w:t>。一般选用GB3095中1小时平均取样时间的二级浓度限值，如项目位于一类环境空气功能区，应选择相应的一级浓度限值；对该标准中未包含的污染物，使用5.2确定的各评价因子1h平均质量浓度限值。对仅有8 h平均质量浓度限值、日平均质量浓度限值或年平均质量浓度限值的，可分别按2倍、3倍、6倍折算为1h平均质量浓度限值。</w:t>
      </w:r>
    </w:p>
    <w:p w14:paraId="48E05A26">
      <w:pPr>
        <w:pStyle w:val="117"/>
        <w:adjustRightInd w:val="0"/>
        <w:snapToGrid w:val="0"/>
        <w:jc w:val="both"/>
        <w:rPr>
          <w:rFonts w:eastAsia="宋体" w:cs="Times New Roman"/>
          <w:b/>
          <w:bCs/>
          <w:snapToGrid w:val="0"/>
          <w:color w:val="auto"/>
          <w:szCs w:val="24"/>
          <w:highlight w:val="none"/>
        </w:rPr>
      </w:pPr>
      <w:r>
        <w:rPr>
          <w:rFonts w:cs="Times New Roman"/>
          <w:snapToGrid w:val="0"/>
          <w:color w:val="auto"/>
          <w:kern w:val="0"/>
          <w:highlight w:val="none"/>
        </w:rPr>
        <w:t>大气环境影响评价工作等级分为一、二、三级，划分依据见表2</w:t>
      </w:r>
      <w:r>
        <w:rPr>
          <w:rFonts w:hint="eastAsia" w:cs="Times New Roman"/>
          <w:snapToGrid w:val="0"/>
          <w:color w:val="auto"/>
          <w:kern w:val="0"/>
          <w:highlight w:val="none"/>
          <w:lang w:val="en-US" w:eastAsia="zh-CN"/>
        </w:rPr>
        <w:t>.</w:t>
      </w:r>
      <w:r>
        <w:rPr>
          <w:rFonts w:cs="Times New Roman"/>
          <w:snapToGrid w:val="0"/>
          <w:color w:val="auto"/>
          <w:kern w:val="0"/>
          <w:highlight w:val="none"/>
        </w:rPr>
        <w:t>3-1。</w:t>
      </w:r>
    </w:p>
    <w:p w14:paraId="7039B40B">
      <w:pPr>
        <w:pStyle w:val="66"/>
        <w:spacing w:before="156" w:beforeLines="50" w:line="240" w:lineRule="auto"/>
        <w:rPr>
          <w:rFonts w:eastAsia="宋体" w:cs="Times New Roman"/>
          <w:b/>
          <w:bCs/>
          <w:snapToGrid w:val="0"/>
          <w:color w:val="auto"/>
          <w:szCs w:val="24"/>
          <w:highlight w:val="none"/>
        </w:rPr>
      </w:pPr>
    </w:p>
    <w:p w14:paraId="25393E1A">
      <w:pPr>
        <w:pStyle w:val="66"/>
        <w:spacing w:before="156" w:beforeLines="50" w:line="240" w:lineRule="auto"/>
        <w:rPr>
          <w:rFonts w:eastAsia="宋体" w:cs="Times New Roman"/>
          <w:b/>
          <w:bCs/>
          <w:snapToGrid w:val="0"/>
          <w:color w:val="auto"/>
          <w:sz w:val="21"/>
          <w:szCs w:val="21"/>
          <w:highlight w:val="none"/>
        </w:rPr>
      </w:pPr>
      <w:r>
        <w:rPr>
          <w:rFonts w:eastAsia="宋体" w:cs="Times New Roman"/>
          <w:b/>
          <w:bCs/>
          <w:snapToGrid w:val="0"/>
          <w:color w:val="auto"/>
          <w:szCs w:val="24"/>
          <w:highlight w:val="none"/>
        </w:rPr>
        <w:t>表2</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3</w:t>
      </w:r>
      <w:r>
        <w:rPr>
          <w:rFonts w:eastAsia="宋体" w:cs="Times New Roman"/>
          <w:b/>
          <w:bCs/>
          <w:snapToGrid w:val="0"/>
          <w:color w:val="auto"/>
          <w:szCs w:val="24"/>
          <w:highlight w:val="none"/>
        </w:rPr>
        <w:t>-1</w:t>
      </w:r>
      <w:r>
        <w:rPr>
          <w:rFonts w:eastAsia="宋体" w:cs="Times New Roman"/>
          <w:b/>
          <w:bCs/>
          <w:snapToGrid w:val="0"/>
          <w:color w:val="auto"/>
          <w:szCs w:val="24"/>
          <w:highlight w:val="none"/>
          <w:lang w:val="en-US"/>
        </w:rPr>
        <w:t xml:space="preserve">  </w:t>
      </w:r>
      <w:r>
        <w:rPr>
          <w:rFonts w:eastAsia="宋体" w:cs="Times New Roman"/>
          <w:b/>
          <w:bCs/>
          <w:snapToGrid w:val="0"/>
          <w:color w:val="auto"/>
          <w:szCs w:val="24"/>
          <w:highlight w:val="none"/>
        </w:rPr>
        <w:t>大气评价等级确定表</w:t>
      </w:r>
    </w:p>
    <w:tbl>
      <w:tblPr>
        <w:tblStyle w:val="47"/>
        <w:tblW w:w="0" w:type="auto"/>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5689"/>
        <w:gridCol w:w="2650"/>
      </w:tblGrid>
      <w:tr w14:paraId="4E7F45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04" w:hRule="atLeast"/>
          <w:jc w:val="center"/>
        </w:trPr>
        <w:tc>
          <w:tcPr>
            <w:tcW w:w="5689" w:type="dxa"/>
            <w:vAlign w:val="center"/>
          </w:tcPr>
          <w:p w14:paraId="0D402447">
            <w:pPr>
              <w:pStyle w:val="73"/>
              <w:adjustRightInd w:val="0"/>
              <w:snapToGrid w:val="0"/>
              <w:rPr>
                <w:rFonts w:cs="Times New Roman"/>
                <w:snapToGrid w:val="0"/>
                <w:color w:val="auto"/>
                <w:kern w:val="0"/>
                <w:highlight w:val="none"/>
              </w:rPr>
            </w:pPr>
            <w:r>
              <w:rPr>
                <w:rFonts w:cs="Times New Roman"/>
                <w:snapToGrid w:val="0"/>
                <w:color w:val="auto"/>
                <w:kern w:val="0"/>
                <w:highlight w:val="none"/>
              </w:rPr>
              <w:t>评价工作等级判据</w:t>
            </w:r>
          </w:p>
        </w:tc>
        <w:tc>
          <w:tcPr>
            <w:tcW w:w="2650" w:type="dxa"/>
            <w:vAlign w:val="center"/>
          </w:tcPr>
          <w:p w14:paraId="147A5628">
            <w:pPr>
              <w:pStyle w:val="73"/>
              <w:adjustRightInd w:val="0"/>
              <w:snapToGrid w:val="0"/>
              <w:rPr>
                <w:rFonts w:cs="Times New Roman"/>
                <w:snapToGrid w:val="0"/>
                <w:color w:val="auto"/>
                <w:kern w:val="0"/>
                <w:highlight w:val="none"/>
              </w:rPr>
            </w:pPr>
            <w:r>
              <w:rPr>
                <w:rFonts w:cs="Times New Roman"/>
                <w:snapToGrid w:val="0"/>
                <w:color w:val="auto"/>
                <w:kern w:val="0"/>
                <w:highlight w:val="none"/>
              </w:rPr>
              <w:t>评价工作等级</w:t>
            </w:r>
          </w:p>
        </w:tc>
      </w:tr>
      <w:tr w14:paraId="0FC0CB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9" w:hRule="atLeast"/>
          <w:jc w:val="center"/>
        </w:trPr>
        <w:tc>
          <w:tcPr>
            <w:tcW w:w="5689" w:type="dxa"/>
            <w:vAlign w:val="center"/>
          </w:tcPr>
          <w:p w14:paraId="705B7E75">
            <w:pPr>
              <w:pStyle w:val="73"/>
              <w:adjustRightInd w:val="0"/>
              <w:snapToGrid w:val="0"/>
              <w:rPr>
                <w:rFonts w:cs="Times New Roman"/>
                <w:snapToGrid w:val="0"/>
                <w:color w:val="auto"/>
                <w:kern w:val="0"/>
                <w:highlight w:val="none"/>
              </w:rPr>
            </w:pPr>
            <w:r>
              <w:rPr>
                <w:rFonts w:cs="Times New Roman"/>
                <w:snapToGrid w:val="0"/>
                <w:color w:val="auto"/>
                <w:kern w:val="0"/>
                <w:highlight w:val="none"/>
              </w:rPr>
              <w:t>P</w:t>
            </w:r>
            <w:r>
              <w:rPr>
                <w:rFonts w:cs="Times New Roman"/>
                <w:snapToGrid w:val="0"/>
                <w:color w:val="auto"/>
                <w:kern w:val="0"/>
                <w:highlight w:val="none"/>
                <w:vertAlign w:val="subscript"/>
              </w:rPr>
              <w:t>max</w:t>
            </w:r>
            <w:r>
              <w:rPr>
                <w:rFonts w:cs="Times New Roman"/>
                <w:snapToGrid w:val="0"/>
                <w:color w:val="auto"/>
                <w:kern w:val="0"/>
                <w:highlight w:val="none"/>
              </w:rPr>
              <w:t>≥10%</w:t>
            </w:r>
          </w:p>
        </w:tc>
        <w:tc>
          <w:tcPr>
            <w:tcW w:w="2650" w:type="dxa"/>
            <w:vAlign w:val="center"/>
          </w:tcPr>
          <w:p w14:paraId="636D766B">
            <w:pPr>
              <w:pStyle w:val="73"/>
              <w:adjustRightInd w:val="0"/>
              <w:snapToGrid w:val="0"/>
              <w:rPr>
                <w:rFonts w:cs="Times New Roman"/>
                <w:snapToGrid w:val="0"/>
                <w:color w:val="auto"/>
                <w:kern w:val="0"/>
                <w:highlight w:val="none"/>
              </w:rPr>
            </w:pPr>
            <w:r>
              <w:rPr>
                <w:rFonts w:cs="Times New Roman"/>
                <w:snapToGrid w:val="0"/>
                <w:color w:val="auto"/>
                <w:kern w:val="0"/>
                <w:highlight w:val="none"/>
              </w:rPr>
              <w:t>一级</w:t>
            </w:r>
          </w:p>
        </w:tc>
      </w:tr>
      <w:tr w14:paraId="2A6509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9" w:hRule="atLeast"/>
          <w:jc w:val="center"/>
        </w:trPr>
        <w:tc>
          <w:tcPr>
            <w:tcW w:w="5689" w:type="dxa"/>
            <w:vAlign w:val="center"/>
          </w:tcPr>
          <w:p w14:paraId="3A7AE4B9">
            <w:pPr>
              <w:pStyle w:val="73"/>
              <w:adjustRightInd w:val="0"/>
              <w:snapToGrid w:val="0"/>
              <w:rPr>
                <w:rFonts w:cs="Times New Roman"/>
                <w:snapToGrid w:val="0"/>
                <w:color w:val="auto"/>
                <w:kern w:val="0"/>
                <w:highlight w:val="none"/>
              </w:rPr>
            </w:pPr>
            <w:r>
              <w:rPr>
                <w:rFonts w:cs="Times New Roman"/>
                <w:snapToGrid w:val="0"/>
                <w:color w:val="auto"/>
                <w:kern w:val="0"/>
                <w:highlight w:val="none"/>
              </w:rPr>
              <w:t>1%≤P</w:t>
            </w:r>
            <w:r>
              <w:rPr>
                <w:rFonts w:cs="Times New Roman"/>
                <w:snapToGrid w:val="0"/>
                <w:color w:val="auto"/>
                <w:kern w:val="0"/>
                <w:highlight w:val="none"/>
                <w:vertAlign w:val="subscript"/>
              </w:rPr>
              <w:t>max</w:t>
            </w:r>
            <w:r>
              <w:rPr>
                <w:rFonts w:cs="Times New Roman"/>
                <w:snapToGrid w:val="0"/>
                <w:color w:val="auto"/>
                <w:kern w:val="0"/>
                <w:highlight w:val="none"/>
              </w:rPr>
              <w:t>＜10%</w:t>
            </w:r>
          </w:p>
        </w:tc>
        <w:tc>
          <w:tcPr>
            <w:tcW w:w="2650" w:type="dxa"/>
            <w:vAlign w:val="center"/>
          </w:tcPr>
          <w:p w14:paraId="715DB428">
            <w:pPr>
              <w:pStyle w:val="73"/>
              <w:adjustRightInd w:val="0"/>
              <w:snapToGrid w:val="0"/>
              <w:rPr>
                <w:rFonts w:cs="Times New Roman"/>
                <w:snapToGrid w:val="0"/>
                <w:color w:val="auto"/>
                <w:kern w:val="0"/>
                <w:highlight w:val="none"/>
              </w:rPr>
            </w:pPr>
            <w:r>
              <w:rPr>
                <w:rFonts w:cs="Times New Roman"/>
                <w:snapToGrid w:val="0"/>
                <w:color w:val="auto"/>
                <w:kern w:val="0"/>
                <w:highlight w:val="none"/>
              </w:rPr>
              <w:t>二级</w:t>
            </w:r>
          </w:p>
        </w:tc>
      </w:tr>
      <w:tr w14:paraId="22B7135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42" w:hRule="atLeast"/>
          <w:jc w:val="center"/>
        </w:trPr>
        <w:tc>
          <w:tcPr>
            <w:tcW w:w="5689" w:type="dxa"/>
            <w:vAlign w:val="center"/>
          </w:tcPr>
          <w:p w14:paraId="4C0B3808">
            <w:pPr>
              <w:pStyle w:val="73"/>
              <w:adjustRightInd w:val="0"/>
              <w:snapToGrid w:val="0"/>
              <w:rPr>
                <w:rFonts w:cs="Times New Roman"/>
                <w:snapToGrid w:val="0"/>
                <w:color w:val="auto"/>
                <w:kern w:val="0"/>
                <w:highlight w:val="none"/>
              </w:rPr>
            </w:pPr>
            <w:r>
              <w:rPr>
                <w:rFonts w:cs="Times New Roman"/>
                <w:snapToGrid w:val="0"/>
                <w:color w:val="auto"/>
                <w:kern w:val="0"/>
                <w:highlight w:val="none"/>
              </w:rPr>
              <w:t>P</w:t>
            </w:r>
            <w:r>
              <w:rPr>
                <w:rFonts w:cs="Times New Roman"/>
                <w:snapToGrid w:val="0"/>
                <w:color w:val="auto"/>
                <w:kern w:val="0"/>
                <w:highlight w:val="none"/>
                <w:vertAlign w:val="subscript"/>
              </w:rPr>
              <w:t>max</w:t>
            </w:r>
            <w:r>
              <w:rPr>
                <w:rFonts w:cs="Times New Roman"/>
                <w:snapToGrid w:val="0"/>
                <w:color w:val="auto"/>
                <w:kern w:val="0"/>
                <w:highlight w:val="none"/>
              </w:rPr>
              <w:t>＜1%</w:t>
            </w:r>
          </w:p>
        </w:tc>
        <w:tc>
          <w:tcPr>
            <w:tcW w:w="2650" w:type="dxa"/>
            <w:vAlign w:val="center"/>
          </w:tcPr>
          <w:p w14:paraId="56069E3B">
            <w:pPr>
              <w:pStyle w:val="73"/>
              <w:adjustRightInd w:val="0"/>
              <w:snapToGrid w:val="0"/>
              <w:rPr>
                <w:rFonts w:cs="Times New Roman"/>
                <w:snapToGrid w:val="0"/>
                <w:color w:val="auto"/>
                <w:kern w:val="0"/>
                <w:highlight w:val="none"/>
              </w:rPr>
            </w:pPr>
            <w:r>
              <w:rPr>
                <w:rFonts w:cs="Times New Roman"/>
                <w:snapToGrid w:val="0"/>
                <w:color w:val="auto"/>
                <w:kern w:val="0"/>
                <w:highlight w:val="none"/>
              </w:rPr>
              <w:t>三级</w:t>
            </w:r>
          </w:p>
        </w:tc>
      </w:tr>
    </w:tbl>
    <w:p w14:paraId="1EE967C2">
      <w:pPr>
        <w:pStyle w:val="117"/>
        <w:rPr>
          <w:rFonts w:eastAsia="宋体" w:cs="Times New Roman"/>
          <w:b/>
          <w:bCs/>
          <w:snapToGrid w:val="0"/>
          <w:color w:val="auto"/>
          <w:szCs w:val="24"/>
          <w:highlight w:val="none"/>
        </w:rPr>
      </w:pPr>
      <w:r>
        <w:rPr>
          <w:rFonts w:cs="Times New Roman"/>
          <w:snapToGrid w:val="0"/>
          <w:color w:val="auto"/>
          <w:kern w:val="0"/>
          <w:highlight w:val="none"/>
        </w:rPr>
        <w:t>本项目建成后废气主要分为屠宰车间、</w:t>
      </w:r>
      <w:r>
        <w:rPr>
          <w:rFonts w:hint="eastAsia" w:cs="Times New Roman"/>
          <w:snapToGrid w:val="0"/>
          <w:color w:val="auto"/>
          <w:kern w:val="0"/>
          <w:highlight w:val="none"/>
          <w:lang w:eastAsia="zh-CN"/>
        </w:rPr>
        <w:t>待宰圈</w:t>
      </w:r>
      <w:r>
        <w:rPr>
          <w:rFonts w:cs="Times New Roman"/>
          <w:snapToGrid w:val="0"/>
          <w:color w:val="auto"/>
          <w:kern w:val="0"/>
          <w:highlight w:val="none"/>
        </w:rPr>
        <w:t>、污水处理站及隔离圈产生的NH</w:t>
      </w:r>
      <w:r>
        <w:rPr>
          <w:rFonts w:cs="Times New Roman"/>
          <w:snapToGrid w:val="0"/>
          <w:color w:val="auto"/>
          <w:kern w:val="0"/>
          <w:highlight w:val="none"/>
          <w:vertAlign w:val="subscript"/>
        </w:rPr>
        <w:t>3</w:t>
      </w:r>
      <w:r>
        <w:rPr>
          <w:rFonts w:cs="Times New Roman"/>
          <w:snapToGrid w:val="0"/>
          <w:color w:val="auto"/>
          <w:kern w:val="0"/>
          <w:highlight w:val="none"/>
        </w:rPr>
        <w:t>和H</w:t>
      </w:r>
      <w:r>
        <w:rPr>
          <w:rFonts w:cs="Times New Roman"/>
          <w:snapToGrid w:val="0"/>
          <w:color w:val="auto"/>
          <w:kern w:val="0"/>
          <w:highlight w:val="none"/>
          <w:vertAlign w:val="subscript"/>
        </w:rPr>
        <w:t>2</w:t>
      </w:r>
      <w:r>
        <w:rPr>
          <w:rFonts w:cs="Times New Roman"/>
          <w:snapToGrid w:val="0"/>
          <w:color w:val="auto"/>
          <w:kern w:val="0"/>
          <w:highlight w:val="none"/>
        </w:rPr>
        <w:t>S等恶臭气体。</w:t>
      </w:r>
      <w:r>
        <w:rPr>
          <w:rFonts w:cs="Times New Roman"/>
          <w:snapToGrid w:val="0"/>
          <w:color w:val="auto"/>
          <w:highlight w:val="none"/>
        </w:rPr>
        <w:t>评价因子和评价标准见表2</w:t>
      </w:r>
      <w:r>
        <w:rPr>
          <w:rFonts w:hint="eastAsia" w:cs="Times New Roman"/>
          <w:snapToGrid w:val="0"/>
          <w:color w:val="auto"/>
          <w:highlight w:val="none"/>
          <w:lang w:val="en-US" w:eastAsia="zh-CN"/>
        </w:rPr>
        <w:t>.</w:t>
      </w:r>
      <w:r>
        <w:rPr>
          <w:rFonts w:cs="Times New Roman"/>
          <w:snapToGrid w:val="0"/>
          <w:color w:val="auto"/>
          <w:highlight w:val="none"/>
        </w:rPr>
        <w:t>3-2、估算模型参数见表2</w:t>
      </w:r>
      <w:r>
        <w:rPr>
          <w:rFonts w:hint="eastAsia" w:cs="Times New Roman"/>
          <w:snapToGrid w:val="0"/>
          <w:color w:val="auto"/>
          <w:highlight w:val="none"/>
          <w:lang w:val="en-US" w:eastAsia="zh-CN"/>
        </w:rPr>
        <w:t>.</w:t>
      </w:r>
      <w:r>
        <w:rPr>
          <w:rFonts w:cs="Times New Roman"/>
          <w:snapToGrid w:val="0"/>
          <w:color w:val="auto"/>
          <w:highlight w:val="none"/>
        </w:rPr>
        <w:t>3-3、</w:t>
      </w:r>
      <w:r>
        <w:rPr>
          <w:rFonts w:cs="Times New Roman"/>
          <w:snapToGrid w:val="0"/>
          <w:color w:val="auto"/>
          <w:kern w:val="0"/>
          <w:highlight w:val="none"/>
        </w:rPr>
        <w:t>计算结果见表2</w:t>
      </w:r>
      <w:r>
        <w:rPr>
          <w:rFonts w:hint="eastAsia" w:cs="Times New Roman"/>
          <w:snapToGrid w:val="0"/>
          <w:color w:val="auto"/>
          <w:kern w:val="0"/>
          <w:highlight w:val="none"/>
          <w:lang w:val="en-US" w:eastAsia="zh-CN"/>
        </w:rPr>
        <w:t>.</w:t>
      </w:r>
      <w:r>
        <w:rPr>
          <w:rFonts w:cs="Times New Roman"/>
          <w:snapToGrid w:val="0"/>
          <w:color w:val="auto"/>
          <w:kern w:val="0"/>
          <w:highlight w:val="none"/>
        </w:rPr>
        <w:t>3-4</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2.3-5，2.3-6</w:t>
      </w:r>
      <w:r>
        <w:rPr>
          <w:rFonts w:cs="Times New Roman"/>
          <w:snapToGrid w:val="0"/>
          <w:color w:val="auto"/>
          <w:kern w:val="0"/>
          <w:highlight w:val="none"/>
        </w:rPr>
        <w:t>。</w:t>
      </w:r>
    </w:p>
    <w:p w14:paraId="2E5A8C7B">
      <w:pPr>
        <w:pStyle w:val="66"/>
        <w:spacing w:before="156" w:beforeLines="50" w:line="240" w:lineRule="auto"/>
        <w:rPr>
          <w:rFonts w:eastAsia="宋体" w:cs="Times New Roman"/>
          <w:b/>
          <w:bCs/>
          <w:snapToGrid w:val="0"/>
          <w:color w:val="auto"/>
          <w:szCs w:val="24"/>
          <w:highlight w:val="none"/>
        </w:rPr>
      </w:pPr>
      <w:r>
        <w:rPr>
          <w:rFonts w:eastAsia="宋体" w:cs="Times New Roman"/>
          <w:b/>
          <w:bCs/>
          <w:snapToGrid w:val="0"/>
          <w:color w:val="auto"/>
          <w:szCs w:val="24"/>
          <w:highlight w:val="none"/>
        </w:rPr>
        <w:t>表</w:t>
      </w:r>
      <w:r>
        <w:rPr>
          <w:rFonts w:hint="eastAsia" w:eastAsia="宋体" w:cs="Times New Roman"/>
          <w:b/>
          <w:bCs/>
          <w:snapToGrid w:val="0"/>
          <w:color w:val="auto"/>
          <w:szCs w:val="24"/>
          <w:highlight w:val="none"/>
          <w:lang w:val="en-US" w:eastAsia="zh-CN"/>
        </w:rPr>
        <w:t>2.</w:t>
      </w:r>
      <w:r>
        <w:rPr>
          <w:rFonts w:eastAsia="宋体" w:cs="Times New Roman"/>
          <w:b/>
          <w:bCs/>
          <w:snapToGrid w:val="0"/>
          <w:color w:val="auto"/>
          <w:szCs w:val="24"/>
          <w:highlight w:val="none"/>
          <w:lang w:val="en-US"/>
        </w:rPr>
        <w:t>3</w:t>
      </w:r>
      <w:r>
        <w:rPr>
          <w:rFonts w:eastAsia="宋体" w:cs="Times New Roman"/>
          <w:b/>
          <w:bCs/>
          <w:snapToGrid w:val="0"/>
          <w:color w:val="auto"/>
          <w:szCs w:val="24"/>
          <w:highlight w:val="none"/>
        </w:rPr>
        <w:t>-2</w:t>
      </w:r>
      <w:r>
        <w:rPr>
          <w:rFonts w:eastAsia="宋体" w:cs="Times New Roman"/>
          <w:b/>
          <w:bCs/>
          <w:snapToGrid w:val="0"/>
          <w:color w:val="auto"/>
          <w:szCs w:val="24"/>
          <w:highlight w:val="none"/>
          <w:lang w:val="en-US"/>
        </w:rPr>
        <w:t xml:space="preserve">  </w:t>
      </w:r>
      <w:r>
        <w:rPr>
          <w:rFonts w:eastAsia="宋体" w:cs="Times New Roman"/>
          <w:b/>
          <w:bCs/>
          <w:snapToGrid w:val="0"/>
          <w:color w:val="auto"/>
          <w:szCs w:val="24"/>
          <w:highlight w:val="none"/>
        </w:rPr>
        <w:t>评价因子和评价标准表</w:t>
      </w:r>
    </w:p>
    <w:tbl>
      <w:tblPr>
        <w:tblStyle w:val="47"/>
        <w:tblW w:w="5032"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378"/>
        <w:gridCol w:w="944"/>
        <w:gridCol w:w="1067"/>
        <w:gridCol w:w="1640"/>
        <w:gridCol w:w="3548"/>
      </w:tblGrid>
      <w:tr w14:paraId="191323C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514" w:hRule="atLeast"/>
          <w:jc w:val="center"/>
        </w:trPr>
        <w:tc>
          <w:tcPr>
            <w:tcW w:w="803" w:type="pct"/>
            <w:tcBorders>
              <w:tl2br w:val="nil"/>
              <w:tr2bl w:val="nil"/>
            </w:tcBorders>
            <w:vAlign w:val="center"/>
          </w:tcPr>
          <w:p w14:paraId="7B935AD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污染物名称</w:t>
            </w:r>
          </w:p>
        </w:tc>
        <w:tc>
          <w:tcPr>
            <w:tcW w:w="550" w:type="pct"/>
            <w:tcBorders>
              <w:tl2br w:val="nil"/>
              <w:tr2bl w:val="nil"/>
            </w:tcBorders>
            <w:vAlign w:val="center"/>
          </w:tcPr>
          <w:p w14:paraId="42003DC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功能区</w:t>
            </w:r>
          </w:p>
        </w:tc>
        <w:tc>
          <w:tcPr>
            <w:tcW w:w="622" w:type="pct"/>
            <w:tcBorders>
              <w:tl2br w:val="nil"/>
              <w:tr2bl w:val="nil"/>
            </w:tcBorders>
            <w:vAlign w:val="center"/>
          </w:tcPr>
          <w:p w14:paraId="1DC5146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取值时间</w:t>
            </w:r>
          </w:p>
        </w:tc>
        <w:tc>
          <w:tcPr>
            <w:tcW w:w="956" w:type="pct"/>
            <w:tcBorders>
              <w:tl2br w:val="nil"/>
              <w:tr2bl w:val="nil"/>
            </w:tcBorders>
            <w:vAlign w:val="center"/>
          </w:tcPr>
          <w:p w14:paraId="2F1352F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标准值(μg/m³)</w:t>
            </w:r>
          </w:p>
        </w:tc>
        <w:tc>
          <w:tcPr>
            <w:tcW w:w="2068" w:type="pct"/>
            <w:tcBorders>
              <w:tl2br w:val="nil"/>
              <w:tr2bl w:val="nil"/>
            </w:tcBorders>
            <w:vAlign w:val="center"/>
          </w:tcPr>
          <w:p w14:paraId="33EFFD4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标准来源</w:t>
            </w:r>
          </w:p>
        </w:tc>
      </w:tr>
      <w:tr w14:paraId="1000E739">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7" w:hRule="atLeast"/>
          <w:jc w:val="center"/>
        </w:trPr>
        <w:tc>
          <w:tcPr>
            <w:tcW w:w="803" w:type="pct"/>
            <w:tcBorders>
              <w:tl2br w:val="nil"/>
              <w:tr2bl w:val="nil"/>
            </w:tcBorders>
            <w:vAlign w:val="center"/>
          </w:tcPr>
          <w:p w14:paraId="70FB517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NH</w:t>
            </w:r>
            <w:r>
              <w:rPr>
                <w:rFonts w:cs="Times New Roman"/>
                <w:color w:val="auto"/>
                <w:sz w:val="21"/>
                <w:szCs w:val="21"/>
                <w:highlight w:val="none"/>
                <w:vertAlign w:val="subscript"/>
              </w:rPr>
              <w:t>3</w:t>
            </w:r>
          </w:p>
        </w:tc>
        <w:tc>
          <w:tcPr>
            <w:tcW w:w="550" w:type="pct"/>
            <w:tcBorders>
              <w:tl2br w:val="nil"/>
              <w:tr2bl w:val="nil"/>
            </w:tcBorders>
            <w:vAlign w:val="center"/>
          </w:tcPr>
          <w:p w14:paraId="26A6A6E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二类区</w:t>
            </w:r>
          </w:p>
        </w:tc>
        <w:tc>
          <w:tcPr>
            <w:tcW w:w="622" w:type="pct"/>
            <w:tcBorders>
              <w:tl2br w:val="nil"/>
              <w:tr2bl w:val="nil"/>
            </w:tcBorders>
            <w:vAlign w:val="center"/>
          </w:tcPr>
          <w:p w14:paraId="40D5445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一小时</w:t>
            </w:r>
          </w:p>
        </w:tc>
        <w:tc>
          <w:tcPr>
            <w:tcW w:w="956" w:type="pct"/>
            <w:tcBorders>
              <w:tl2br w:val="nil"/>
              <w:tr2bl w:val="nil"/>
            </w:tcBorders>
            <w:vAlign w:val="center"/>
          </w:tcPr>
          <w:p w14:paraId="3286E58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200.0</w:t>
            </w:r>
          </w:p>
        </w:tc>
        <w:tc>
          <w:tcPr>
            <w:tcW w:w="2068" w:type="pct"/>
            <w:vMerge w:val="restart"/>
            <w:tcBorders>
              <w:tl2br w:val="nil"/>
              <w:tr2bl w:val="nil"/>
            </w:tcBorders>
            <w:vAlign w:val="center"/>
          </w:tcPr>
          <w:p w14:paraId="661248D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《环境影响评价技术导则-大气环境》 HJ 2.2-2018 附录D</w:t>
            </w:r>
          </w:p>
        </w:tc>
      </w:tr>
      <w:tr w14:paraId="2F4056C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7" w:hRule="atLeast"/>
          <w:jc w:val="center"/>
        </w:trPr>
        <w:tc>
          <w:tcPr>
            <w:tcW w:w="803" w:type="pct"/>
            <w:tcBorders>
              <w:tl2br w:val="nil"/>
              <w:tr2bl w:val="nil"/>
            </w:tcBorders>
            <w:vAlign w:val="center"/>
          </w:tcPr>
          <w:p w14:paraId="7E1D6CE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H</w:t>
            </w:r>
            <w:r>
              <w:rPr>
                <w:rFonts w:cs="Times New Roman"/>
                <w:color w:val="auto"/>
                <w:sz w:val="21"/>
                <w:szCs w:val="21"/>
                <w:highlight w:val="none"/>
                <w:vertAlign w:val="subscript"/>
              </w:rPr>
              <w:t>2</w:t>
            </w:r>
            <w:r>
              <w:rPr>
                <w:rFonts w:cs="Times New Roman"/>
                <w:color w:val="auto"/>
                <w:sz w:val="21"/>
                <w:szCs w:val="21"/>
                <w:highlight w:val="none"/>
              </w:rPr>
              <w:t>S</w:t>
            </w:r>
          </w:p>
        </w:tc>
        <w:tc>
          <w:tcPr>
            <w:tcW w:w="550" w:type="pct"/>
            <w:tcBorders>
              <w:tl2br w:val="nil"/>
              <w:tr2bl w:val="nil"/>
            </w:tcBorders>
            <w:vAlign w:val="center"/>
          </w:tcPr>
          <w:p w14:paraId="1EBB917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二类区</w:t>
            </w:r>
          </w:p>
        </w:tc>
        <w:tc>
          <w:tcPr>
            <w:tcW w:w="622" w:type="pct"/>
            <w:tcBorders>
              <w:tl2br w:val="nil"/>
              <w:tr2bl w:val="nil"/>
            </w:tcBorders>
            <w:vAlign w:val="center"/>
          </w:tcPr>
          <w:p w14:paraId="39D4EC2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一小时</w:t>
            </w:r>
          </w:p>
        </w:tc>
        <w:tc>
          <w:tcPr>
            <w:tcW w:w="956" w:type="pct"/>
            <w:tcBorders>
              <w:tl2br w:val="nil"/>
              <w:tr2bl w:val="nil"/>
            </w:tcBorders>
            <w:vAlign w:val="center"/>
          </w:tcPr>
          <w:p w14:paraId="429F1DC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w:t>
            </w:r>
          </w:p>
        </w:tc>
        <w:tc>
          <w:tcPr>
            <w:tcW w:w="2068" w:type="pct"/>
            <w:vMerge w:val="continue"/>
            <w:tcBorders>
              <w:tl2br w:val="nil"/>
              <w:tr2bl w:val="nil"/>
            </w:tcBorders>
            <w:vAlign w:val="center"/>
          </w:tcPr>
          <w:p w14:paraId="5598A04F">
            <w:pPr>
              <w:spacing w:line="360" w:lineRule="exact"/>
              <w:ind w:firstLine="0" w:firstLineChars="0"/>
              <w:jc w:val="center"/>
              <w:rPr>
                <w:rFonts w:cs="Times New Roman"/>
                <w:color w:val="auto"/>
                <w:sz w:val="21"/>
                <w:szCs w:val="21"/>
                <w:highlight w:val="none"/>
              </w:rPr>
            </w:pPr>
          </w:p>
        </w:tc>
      </w:tr>
    </w:tbl>
    <w:p w14:paraId="0E108582">
      <w:pPr>
        <w:pStyle w:val="66"/>
        <w:spacing w:line="240" w:lineRule="auto"/>
        <w:rPr>
          <w:rFonts w:eastAsia="宋体" w:cs="Times New Roman"/>
          <w:b/>
          <w:bCs/>
          <w:snapToGrid w:val="0"/>
          <w:color w:val="auto"/>
          <w:szCs w:val="24"/>
          <w:highlight w:val="none"/>
        </w:rPr>
      </w:pPr>
      <w:r>
        <w:rPr>
          <w:rFonts w:eastAsia="宋体" w:cs="Times New Roman"/>
          <w:b/>
          <w:bCs/>
          <w:snapToGrid w:val="0"/>
          <w:color w:val="auto"/>
          <w:szCs w:val="24"/>
          <w:highlight w:val="none"/>
        </w:rPr>
        <w:t>表2</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3</w:t>
      </w:r>
      <w:r>
        <w:rPr>
          <w:rFonts w:eastAsia="宋体" w:cs="Times New Roman"/>
          <w:b/>
          <w:bCs/>
          <w:snapToGrid w:val="0"/>
          <w:color w:val="auto"/>
          <w:szCs w:val="24"/>
          <w:highlight w:val="none"/>
        </w:rPr>
        <w:t>-3</w:t>
      </w:r>
      <w:r>
        <w:rPr>
          <w:rFonts w:eastAsia="宋体" w:cs="Times New Roman"/>
          <w:b/>
          <w:bCs/>
          <w:snapToGrid w:val="0"/>
          <w:color w:val="auto"/>
          <w:szCs w:val="24"/>
          <w:highlight w:val="none"/>
          <w:lang w:val="en-US"/>
        </w:rPr>
        <w:t xml:space="preserve">  </w:t>
      </w:r>
      <w:r>
        <w:rPr>
          <w:rFonts w:eastAsia="宋体" w:cs="Times New Roman"/>
          <w:b/>
          <w:bCs/>
          <w:snapToGrid w:val="0"/>
          <w:color w:val="auto"/>
          <w:szCs w:val="24"/>
          <w:highlight w:val="none"/>
        </w:rPr>
        <w:t>估算模型参数表</w:t>
      </w:r>
    </w:p>
    <w:tbl>
      <w:tblPr>
        <w:tblStyle w:val="47"/>
        <w:tblW w:w="5009"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2645"/>
        <w:gridCol w:w="1622"/>
        <w:gridCol w:w="1609"/>
        <w:gridCol w:w="2661"/>
      </w:tblGrid>
      <w:tr w14:paraId="2DDDBCAD">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2499" w:type="pct"/>
            <w:gridSpan w:val="2"/>
            <w:tcBorders>
              <w:tl2br w:val="nil"/>
              <w:tr2bl w:val="nil"/>
            </w:tcBorders>
            <w:vAlign w:val="center"/>
          </w:tcPr>
          <w:p w14:paraId="6799AD55">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参数</w:t>
            </w:r>
          </w:p>
        </w:tc>
        <w:tc>
          <w:tcPr>
            <w:tcW w:w="2500" w:type="pct"/>
            <w:gridSpan w:val="2"/>
            <w:tcBorders>
              <w:tl2br w:val="nil"/>
              <w:tr2bl w:val="nil"/>
            </w:tcBorders>
            <w:vAlign w:val="center"/>
          </w:tcPr>
          <w:p w14:paraId="2DB4D3F6">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取值</w:t>
            </w:r>
          </w:p>
        </w:tc>
      </w:tr>
      <w:tr w14:paraId="5F84CDC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restart"/>
            <w:tcBorders>
              <w:tl2br w:val="nil"/>
              <w:tr2bl w:val="nil"/>
            </w:tcBorders>
            <w:vAlign w:val="center"/>
          </w:tcPr>
          <w:p w14:paraId="1B25271C">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城市/农村选项</w:t>
            </w:r>
          </w:p>
        </w:tc>
        <w:tc>
          <w:tcPr>
            <w:tcW w:w="1892" w:type="pct"/>
            <w:gridSpan w:val="2"/>
            <w:tcBorders>
              <w:tl2br w:val="nil"/>
              <w:tr2bl w:val="nil"/>
            </w:tcBorders>
            <w:vAlign w:val="center"/>
          </w:tcPr>
          <w:p w14:paraId="58BEAAEF">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城市/农村</w:t>
            </w:r>
          </w:p>
        </w:tc>
        <w:tc>
          <w:tcPr>
            <w:tcW w:w="1557" w:type="pct"/>
            <w:tcBorders>
              <w:tl2br w:val="nil"/>
              <w:tr2bl w:val="nil"/>
            </w:tcBorders>
            <w:vAlign w:val="center"/>
          </w:tcPr>
          <w:p w14:paraId="1FD1B63E">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农村</w:t>
            </w:r>
          </w:p>
        </w:tc>
      </w:tr>
      <w:tr w14:paraId="0DD4E88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continue"/>
            <w:tcBorders>
              <w:tl2br w:val="nil"/>
              <w:tr2bl w:val="nil"/>
            </w:tcBorders>
            <w:vAlign w:val="center"/>
          </w:tcPr>
          <w:p w14:paraId="452D8D97">
            <w:pPr>
              <w:spacing w:line="340" w:lineRule="atLeast"/>
              <w:ind w:firstLine="0" w:firstLineChars="0"/>
              <w:jc w:val="center"/>
              <w:rPr>
                <w:rFonts w:cs="Times New Roman"/>
                <w:color w:val="auto"/>
                <w:sz w:val="21"/>
                <w:szCs w:val="21"/>
                <w:highlight w:val="none"/>
              </w:rPr>
            </w:pPr>
          </w:p>
        </w:tc>
        <w:tc>
          <w:tcPr>
            <w:tcW w:w="1892" w:type="pct"/>
            <w:gridSpan w:val="2"/>
            <w:tcBorders>
              <w:tl2br w:val="nil"/>
              <w:tr2bl w:val="nil"/>
            </w:tcBorders>
            <w:vAlign w:val="center"/>
          </w:tcPr>
          <w:p w14:paraId="69E179EE">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人口数(城市人口数)</w:t>
            </w:r>
          </w:p>
        </w:tc>
        <w:tc>
          <w:tcPr>
            <w:tcW w:w="1557" w:type="pct"/>
            <w:tcBorders>
              <w:tl2br w:val="nil"/>
              <w:tr2bl w:val="nil"/>
            </w:tcBorders>
            <w:vAlign w:val="center"/>
          </w:tcPr>
          <w:p w14:paraId="304A2BA8">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152C5D9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2499" w:type="pct"/>
            <w:gridSpan w:val="2"/>
            <w:tcBorders>
              <w:tl2br w:val="nil"/>
              <w:tr2bl w:val="nil"/>
            </w:tcBorders>
            <w:vAlign w:val="center"/>
          </w:tcPr>
          <w:p w14:paraId="78403C62">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最高环境温度</w:t>
            </w:r>
          </w:p>
        </w:tc>
        <w:tc>
          <w:tcPr>
            <w:tcW w:w="2500" w:type="pct"/>
            <w:gridSpan w:val="2"/>
            <w:tcBorders>
              <w:tl2br w:val="nil"/>
              <w:tr2bl w:val="nil"/>
            </w:tcBorders>
            <w:vAlign w:val="center"/>
          </w:tcPr>
          <w:p w14:paraId="432E99A9">
            <w:pPr>
              <w:spacing w:line="340" w:lineRule="atLeas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35.0</w:t>
            </w:r>
          </w:p>
        </w:tc>
      </w:tr>
      <w:tr w14:paraId="4D8E779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2499" w:type="pct"/>
            <w:gridSpan w:val="2"/>
            <w:tcBorders>
              <w:tl2br w:val="nil"/>
              <w:tr2bl w:val="nil"/>
            </w:tcBorders>
            <w:vAlign w:val="center"/>
          </w:tcPr>
          <w:p w14:paraId="5AF0C987">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最低环境温度</w:t>
            </w:r>
          </w:p>
        </w:tc>
        <w:tc>
          <w:tcPr>
            <w:tcW w:w="2500" w:type="pct"/>
            <w:gridSpan w:val="2"/>
            <w:tcBorders>
              <w:tl2br w:val="nil"/>
              <w:tr2bl w:val="nil"/>
            </w:tcBorders>
            <w:vAlign w:val="center"/>
          </w:tcPr>
          <w:p w14:paraId="386F4E59">
            <w:pPr>
              <w:spacing w:line="340" w:lineRule="atLeas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-35.0</w:t>
            </w:r>
          </w:p>
        </w:tc>
      </w:tr>
      <w:tr w14:paraId="2274DC2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2499" w:type="pct"/>
            <w:gridSpan w:val="2"/>
            <w:tcBorders>
              <w:tl2br w:val="nil"/>
              <w:tr2bl w:val="nil"/>
            </w:tcBorders>
            <w:vAlign w:val="center"/>
          </w:tcPr>
          <w:p w14:paraId="36F77BFF">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土地利用类型</w:t>
            </w:r>
          </w:p>
        </w:tc>
        <w:tc>
          <w:tcPr>
            <w:tcW w:w="2500" w:type="pct"/>
            <w:gridSpan w:val="2"/>
            <w:tcBorders>
              <w:tl2br w:val="nil"/>
              <w:tr2bl w:val="nil"/>
            </w:tcBorders>
            <w:vAlign w:val="center"/>
          </w:tcPr>
          <w:p w14:paraId="5597B8CC">
            <w:pPr>
              <w:spacing w:line="340" w:lineRule="atLeas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农田</w:t>
            </w:r>
          </w:p>
        </w:tc>
      </w:tr>
      <w:tr w14:paraId="19365B6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2499" w:type="pct"/>
            <w:gridSpan w:val="2"/>
            <w:tcBorders>
              <w:tl2br w:val="nil"/>
              <w:tr2bl w:val="nil"/>
            </w:tcBorders>
            <w:vAlign w:val="center"/>
          </w:tcPr>
          <w:p w14:paraId="2908D04B">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区域湿度条件</w:t>
            </w:r>
          </w:p>
        </w:tc>
        <w:tc>
          <w:tcPr>
            <w:tcW w:w="2500" w:type="pct"/>
            <w:gridSpan w:val="2"/>
            <w:tcBorders>
              <w:tl2br w:val="nil"/>
              <w:tr2bl w:val="nil"/>
            </w:tcBorders>
            <w:vAlign w:val="center"/>
          </w:tcPr>
          <w:p w14:paraId="2154CABD">
            <w:pPr>
              <w:spacing w:line="340" w:lineRule="atLeas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湿润区</w:t>
            </w:r>
          </w:p>
        </w:tc>
      </w:tr>
      <w:tr w14:paraId="2078B511">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restart"/>
            <w:tcBorders>
              <w:tl2br w:val="nil"/>
              <w:tr2bl w:val="nil"/>
            </w:tcBorders>
            <w:vAlign w:val="center"/>
          </w:tcPr>
          <w:p w14:paraId="770F1663">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是否考虑地形</w:t>
            </w:r>
          </w:p>
        </w:tc>
        <w:tc>
          <w:tcPr>
            <w:tcW w:w="1892" w:type="pct"/>
            <w:gridSpan w:val="2"/>
            <w:tcBorders>
              <w:tl2br w:val="nil"/>
              <w:tr2bl w:val="nil"/>
            </w:tcBorders>
            <w:vAlign w:val="center"/>
          </w:tcPr>
          <w:p w14:paraId="17E2A46B">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考虑地形</w:t>
            </w:r>
          </w:p>
        </w:tc>
        <w:tc>
          <w:tcPr>
            <w:tcW w:w="1557" w:type="pct"/>
            <w:tcBorders>
              <w:tl2br w:val="nil"/>
              <w:tr2bl w:val="nil"/>
            </w:tcBorders>
            <w:vAlign w:val="center"/>
          </w:tcPr>
          <w:p w14:paraId="7B46A873">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是</w:t>
            </w:r>
          </w:p>
        </w:tc>
      </w:tr>
      <w:tr w14:paraId="2E57E2E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continue"/>
            <w:tcBorders>
              <w:tl2br w:val="nil"/>
              <w:tr2bl w:val="nil"/>
            </w:tcBorders>
            <w:vAlign w:val="center"/>
          </w:tcPr>
          <w:p w14:paraId="14B27988">
            <w:pPr>
              <w:spacing w:line="340" w:lineRule="atLeast"/>
              <w:ind w:firstLine="0" w:firstLineChars="0"/>
              <w:jc w:val="center"/>
              <w:rPr>
                <w:rFonts w:cs="Times New Roman"/>
                <w:color w:val="auto"/>
                <w:sz w:val="21"/>
                <w:szCs w:val="21"/>
                <w:highlight w:val="none"/>
              </w:rPr>
            </w:pPr>
          </w:p>
        </w:tc>
        <w:tc>
          <w:tcPr>
            <w:tcW w:w="1892" w:type="pct"/>
            <w:gridSpan w:val="2"/>
            <w:tcBorders>
              <w:tl2br w:val="nil"/>
              <w:tr2bl w:val="nil"/>
            </w:tcBorders>
            <w:vAlign w:val="center"/>
          </w:tcPr>
          <w:p w14:paraId="054096A8">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地形数据分辨率(m)</w:t>
            </w:r>
          </w:p>
        </w:tc>
        <w:tc>
          <w:tcPr>
            <w:tcW w:w="1557" w:type="pct"/>
            <w:tcBorders>
              <w:tl2br w:val="nil"/>
              <w:tr2bl w:val="nil"/>
            </w:tcBorders>
            <w:vAlign w:val="center"/>
          </w:tcPr>
          <w:p w14:paraId="753F6F11">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90</w:t>
            </w:r>
          </w:p>
        </w:tc>
      </w:tr>
      <w:tr w14:paraId="07EC86FE">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restart"/>
            <w:tcBorders>
              <w:tl2br w:val="nil"/>
              <w:tr2bl w:val="nil"/>
            </w:tcBorders>
            <w:vAlign w:val="center"/>
          </w:tcPr>
          <w:p w14:paraId="67A7070A">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是否考虑岸线熏烟</w:t>
            </w:r>
          </w:p>
        </w:tc>
        <w:tc>
          <w:tcPr>
            <w:tcW w:w="1892" w:type="pct"/>
            <w:gridSpan w:val="2"/>
            <w:tcBorders>
              <w:tl2br w:val="nil"/>
              <w:tr2bl w:val="nil"/>
            </w:tcBorders>
            <w:vAlign w:val="center"/>
          </w:tcPr>
          <w:p w14:paraId="329B4C7D">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考虑岸线熏烟</w:t>
            </w:r>
          </w:p>
        </w:tc>
        <w:tc>
          <w:tcPr>
            <w:tcW w:w="1557" w:type="pct"/>
            <w:tcBorders>
              <w:tl2br w:val="nil"/>
              <w:tr2bl w:val="nil"/>
            </w:tcBorders>
            <w:vAlign w:val="center"/>
          </w:tcPr>
          <w:p w14:paraId="4F53D654">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否</w:t>
            </w:r>
          </w:p>
        </w:tc>
      </w:tr>
      <w:tr w14:paraId="1FEA157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continue"/>
            <w:tcBorders>
              <w:tl2br w:val="nil"/>
              <w:tr2bl w:val="nil"/>
            </w:tcBorders>
            <w:vAlign w:val="center"/>
          </w:tcPr>
          <w:p w14:paraId="290EBD31">
            <w:pPr>
              <w:spacing w:line="340" w:lineRule="atLeast"/>
              <w:ind w:firstLine="0" w:firstLineChars="0"/>
              <w:jc w:val="center"/>
              <w:rPr>
                <w:rFonts w:cs="Times New Roman"/>
                <w:color w:val="auto"/>
                <w:sz w:val="21"/>
                <w:szCs w:val="21"/>
                <w:highlight w:val="none"/>
              </w:rPr>
            </w:pPr>
          </w:p>
        </w:tc>
        <w:tc>
          <w:tcPr>
            <w:tcW w:w="1892" w:type="pct"/>
            <w:gridSpan w:val="2"/>
            <w:tcBorders>
              <w:tl2br w:val="nil"/>
              <w:tr2bl w:val="nil"/>
            </w:tcBorders>
            <w:vAlign w:val="center"/>
          </w:tcPr>
          <w:p w14:paraId="2B3FDAE0">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岸线距离/m</w:t>
            </w:r>
          </w:p>
        </w:tc>
        <w:tc>
          <w:tcPr>
            <w:tcW w:w="1557" w:type="pct"/>
            <w:tcBorders>
              <w:tl2br w:val="nil"/>
              <w:tr2bl w:val="nil"/>
            </w:tcBorders>
            <w:vAlign w:val="center"/>
          </w:tcPr>
          <w:p w14:paraId="27631D8F">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7A241CA9">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1549" w:type="pct"/>
            <w:vMerge w:val="continue"/>
            <w:tcBorders>
              <w:tl2br w:val="nil"/>
              <w:tr2bl w:val="nil"/>
            </w:tcBorders>
            <w:vAlign w:val="center"/>
          </w:tcPr>
          <w:p w14:paraId="3D5028CB">
            <w:pPr>
              <w:spacing w:line="340" w:lineRule="atLeast"/>
              <w:ind w:firstLine="0" w:firstLineChars="0"/>
              <w:jc w:val="center"/>
              <w:rPr>
                <w:rFonts w:cs="Times New Roman"/>
                <w:color w:val="auto"/>
                <w:sz w:val="21"/>
                <w:szCs w:val="21"/>
                <w:highlight w:val="none"/>
              </w:rPr>
            </w:pPr>
          </w:p>
        </w:tc>
        <w:tc>
          <w:tcPr>
            <w:tcW w:w="1892" w:type="pct"/>
            <w:gridSpan w:val="2"/>
            <w:tcBorders>
              <w:tl2br w:val="nil"/>
              <w:tr2bl w:val="nil"/>
            </w:tcBorders>
            <w:vAlign w:val="center"/>
          </w:tcPr>
          <w:p w14:paraId="5C5D443F">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岸线方向/°</w:t>
            </w:r>
          </w:p>
        </w:tc>
        <w:tc>
          <w:tcPr>
            <w:tcW w:w="1557" w:type="pct"/>
            <w:tcBorders>
              <w:tl2br w:val="nil"/>
              <w:tr2bl w:val="nil"/>
            </w:tcBorders>
            <w:vAlign w:val="center"/>
          </w:tcPr>
          <w:p w14:paraId="4F65356A">
            <w:pPr>
              <w:spacing w:line="340" w:lineRule="atLeast"/>
              <w:ind w:firstLine="0" w:firstLineChars="0"/>
              <w:jc w:val="center"/>
              <w:rPr>
                <w:rFonts w:cs="Times New Roman"/>
                <w:color w:val="auto"/>
                <w:sz w:val="21"/>
                <w:szCs w:val="21"/>
                <w:highlight w:val="none"/>
              </w:rPr>
            </w:pPr>
            <w:r>
              <w:rPr>
                <w:rFonts w:cs="Times New Roman"/>
                <w:color w:val="auto"/>
                <w:sz w:val="21"/>
                <w:szCs w:val="21"/>
                <w:highlight w:val="none"/>
              </w:rPr>
              <w:t>/</w:t>
            </w:r>
          </w:p>
        </w:tc>
      </w:tr>
    </w:tbl>
    <w:p w14:paraId="2C47AEF1">
      <w:pPr>
        <w:tabs>
          <w:tab w:val="left" w:pos="420"/>
        </w:tabs>
        <w:ind w:left="0" w:leftChars="0" w:firstLine="0" w:firstLineChars="0"/>
        <w:jc w:val="both"/>
        <w:rPr>
          <w:rFonts w:cs="Times New Roman"/>
          <w:color w:val="auto"/>
          <w:highlight w:val="none"/>
        </w:rPr>
      </w:pPr>
    </w:p>
    <w:p w14:paraId="24F5B298">
      <w:pPr>
        <w:tabs>
          <w:tab w:val="left" w:pos="420"/>
        </w:tabs>
        <w:ind w:left="0" w:leftChars="0" w:firstLine="0" w:firstLineChars="0"/>
        <w:jc w:val="both"/>
        <w:rPr>
          <w:rFonts w:cs="Times New Roman"/>
          <w:color w:val="auto"/>
          <w:highlight w:val="none"/>
        </w:rPr>
      </w:pPr>
    </w:p>
    <w:p w14:paraId="7DEDDF53">
      <w:pPr>
        <w:tabs>
          <w:tab w:val="left" w:pos="420"/>
        </w:tabs>
        <w:ind w:left="0" w:leftChars="0" w:firstLine="0" w:firstLineChars="0"/>
        <w:jc w:val="both"/>
        <w:rPr>
          <w:rFonts w:cs="Times New Roman"/>
          <w:color w:val="auto"/>
          <w:highlight w:val="none"/>
        </w:rPr>
      </w:pPr>
    </w:p>
    <w:p w14:paraId="1866CC52">
      <w:pPr>
        <w:tabs>
          <w:tab w:val="left" w:pos="420"/>
        </w:tabs>
        <w:ind w:left="0" w:leftChars="0" w:firstLine="0" w:firstLineChars="0"/>
        <w:jc w:val="both"/>
        <w:rPr>
          <w:rFonts w:cs="Times New Roman"/>
          <w:color w:val="auto"/>
          <w:highlight w:val="none"/>
        </w:rPr>
      </w:pPr>
    </w:p>
    <w:p w14:paraId="50A76C9D">
      <w:pPr>
        <w:tabs>
          <w:tab w:val="left" w:pos="420"/>
        </w:tabs>
        <w:ind w:left="0" w:leftChars="0" w:firstLine="0" w:firstLineChars="0"/>
        <w:jc w:val="both"/>
        <w:rPr>
          <w:rFonts w:cs="Times New Roman"/>
          <w:color w:val="auto"/>
          <w:highlight w:val="none"/>
        </w:rPr>
      </w:pPr>
    </w:p>
    <w:p w14:paraId="3576B55D">
      <w:pPr>
        <w:tabs>
          <w:tab w:val="left" w:pos="420"/>
        </w:tabs>
        <w:ind w:left="0" w:leftChars="0" w:firstLine="0" w:firstLineChars="0"/>
        <w:jc w:val="both"/>
        <w:rPr>
          <w:rFonts w:cs="Times New Roman"/>
          <w:color w:val="auto"/>
          <w:highlight w:val="none"/>
        </w:rPr>
      </w:pPr>
    </w:p>
    <w:p w14:paraId="490E6281">
      <w:pPr>
        <w:tabs>
          <w:tab w:val="left" w:pos="420"/>
        </w:tabs>
        <w:ind w:left="0" w:leftChars="0" w:firstLine="0" w:firstLineChars="0"/>
        <w:jc w:val="both"/>
        <w:rPr>
          <w:rFonts w:cs="Times New Roman"/>
          <w:color w:val="auto"/>
          <w:highlight w:val="none"/>
        </w:rPr>
      </w:pPr>
      <w:r>
        <w:rPr>
          <w:color w:val="auto"/>
          <w:highlight w:val="none"/>
        </w:rPr>
        <w:drawing>
          <wp:anchor distT="0" distB="0" distL="114300" distR="114300" simplePos="0" relativeHeight="251712512" behindDoc="1" locked="0" layoutInCell="1" allowOverlap="1">
            <wp:simplePos x="0" y="0"/>
            <wp:positionH relativeFrom="column">
              <wp:posOffset>-52705</wp:posOffset>
            </wp:positionH>
            <wp:positionV relativeFrom="paragraph">
              <wp:posOffset>279400</wp:posOffset>
            </wp:positionV>
            <wp:extent cx="5271135" cy="4512945"/>
            <wp:effectExtent l="0" t="0" r="5715" b="1905"/>
            <wp:wrapNone/>
            <wp:docPr id="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
                    <pic:cNvPicPr>
                      <a:picLocks noChangeAspect="1"/>
                    </pic:cNvPicPr>
                  </pic:nvPicPr>
                  <pic:blipFill>
                    <a:blip r:embed="rId25"/>
                    <a:stretch>
                      <a:fillRect/>
                    </a:stretch>
                  </pic:blipFill>
                  <pic:spPr>
                    <a:xfrm>
                      <a:off x="0" y="0"/>
                      <a:ext cx="5271135" cy="4512945"/>
                    </a:xfrm>
                    <a:prstGeom prst="rect">
                      <a:avLst/>
                    </a:prstGeom>
                    <a:noFill/>
                    <a:ln>
                      <a:noFill/>
                    </a:ln>
                  </pic:spPr>
                </pic:pic>
              </a:graphicData>
            </a:graphic>
          </wp:anchor>
        </w:drawing>
      </w:r>
    </w:p>
    <w:p w14:paraId="60B2CE52">
      <w:pPr>
        <w:rPr>
          <w:rFonts w:cs="Times New Roman"/>
          <w:color w:val="auto"/>
          <w:highlight w:val="none"/>
        </w:rPr>
      </w:pPr>
    </w:p>
    <w:p w14:paraId="5CA82148">
      <w:pPr>
        <w:pStyle w:val="63"/>
        <w:rPr>
          <w:rFonts w:cs="Times New Roman"/>
          <w:color w:val="auto"/>
          <w:highlight w:val="none"/>
        </w:rPr>
      </w:pPr>
    </w:p>
    <w:p w14:paraId="1433AA72">
      <w:pPr>
        <w:rPr>
          <w:rFonts w:cs="Times New Roman"/>
          <w:color w:val="auto"/>
          <w:highlight w:val="none"/>
        </w:rPr>
      </w:pPr>
    </w:p>
    <w:p w14:paraId="371D7F6D">
      <w:pPr>
        <w:pStyle w:val="63"/>
        <w:rPr>
          <w:color w:val="auto"/>
          <w:highlight w:val="none"/>
        </w:rPr>
      </w:pPr>
    </w:p>
    <w:p w14:paraId="0C167D80">
      <w:pPr>
        <w:tabs>
          <w:tab w:val="left" w:pos="420"/>
        </w:tabs>
        <w:jc w:val="center"/>
        <w:rPr>
          <w:rFonts w:cs="Times New Roman"/>
          <w:color w:val="auto"/>
          <w:highlight w:val="none"/>
        </w:rPr>
      </w:pPr>
    </w:p>
    <w:p w14:paraId="65244B83">
      <w:pPr>
        <w:tabs>
          <w:tab w:val="left" w:pos="420"/>
        </w:tabs>
        <w:jc w:val="center"/>
        <w:rPr>
          <w:rFonts w:cs="Times New Roman"/>
          <w:color w:val="auto"/>
          <w:highlight w:val="none"/>
        </w:rPr>
      </w:pPr>
    </w:p>
    <w:p w14:paraId="394CE2E5">
      <w:pPr>
        <w:tabs>
          <w:tab w:val="left" w:pos="420"/>
        </w:tabs>
        <w:jc w:val="center"/>
        <w:rPr>
          <w:rFonts w:cs="Times New Roman"/>
          <w:color w:val="auto"/>
          <w:highlight w:val="none"/>
        </w:rPr>
      </w:pPr>
      <w:r>
        <w:rPr>
          <w:color w:val="auto"/>
          <w:sz w:val="24"/>
          <w:highlight w:val="none"/>
        </w:rPr>
        <mc:AlternateContent>
          <mc:Choice Requires="wpg">
            <w:drawing>
              <wp:anchor distT="0" distB="0" distL="114300" distR="114300" simplePos="0" relativeHeight="251691008" behindDoc="0" locked="0" layoutInCell="1" allowOverlap="1">
                <wp:simplePos x="0" y="0"/>
                <wp:positionH relativeFrom="column">
                  <wp:posOffset>1437640</wp:posOffset>
                </wp:positionH>
                <wp:positionV relativeFrom="paragraph">
                  <wp:posOffset>128905</wp:posOffset>
                </wp:positionV>
                <wp:extent cx="916305" cy="690880"/>
                <wp:effectExtent l="4445" t="4445" r="12700" b="9525"/>
                <wp:wrapNone/>
                <wp:docPr id="109" name="组合 109"/>
                <wp:cNvGraphicFramePr/>
                <a:graphic xmlns:a="http://schemas.openxmlformats.org/drawingml/2006/main">
                  <a:graphicData uri="http://schemas.microsoft.com/office/word/2010/wordprocessingGroup">
                    <wpg:wgp>
                      <wpg:cNvGrpSpPr/>
                      <wpg:grpSpPr>
                        <a:xfrm>
                          <a:off x="0" y="0"/>
                          <a:ext cx="916006" cy="691152"/>
                          <a:chOff x="9516" y="732829"/>
                          <a:chExt cx="1357" cy="997"/>
                        </a:xfrm>
                      </wpg:grpSpPr>
                      <wps:wsp>
                        <wps:cNvPr id="171" name="五角星 171"/>
                        <wps:cNvSpPr/>
                        <wps:spPr>
                          <a:xfrm>
                            <a:off x="9516" y="733413"/>
                            <a:ext cx="356" cy="413"/>
                          </a:xfrm>
                          <a:prstGeom prst="star5">
                            <a:avLst/>
                          </a:prstGeom>
                          <a:solidFill>
                            <a:srgbClr val="C0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2" name="矩形标注 172"/>
                        <wps:cNvSpPr/>
                        <wps:spPr>
                          <a:xfrm>
                            <a:off x="9815" y="732829"/>
                            <a:ext cx="1058" cy="471"/>
                          </a:xfrm>
                          <a:prstGeom prst="wedgeRectCallout">
                            <a:avLst>
                              <a:gd name="adj1" fmla="val -51579"/>
                              <a:gd name="adj2" fmla="val 93340"/>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71762A">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both"/>
                                <w:textAlignment w:val="auto"/>
                                <w:rPr>
                                  <w:rFonts w:hint="eastAsia"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13.2pt;margin-top:10.15pt;height:54.4pt;width:72.15pt;z-index:251691008;mso-width-relative:page;mso-height-relative:page;" coordorigin="9516,732829" coordsize="1357,997" o:gfxdata="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">
                <o:lock v:ext="edit" aspectratio="f"/>
                <v:shape id="_x0000_s1026" o:spid="_x0000_s1026" style="position:absolute;left:9516;top:733413;height:413;width:356;v-text-anchor:middle;" fillcolor="#C00000" filled="t" stroked="t" coordsize="356,413" o:gfxdata="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Y5pgLsAAADc&#10;AAAADwAAAAAAAAABACAAAAAiAAAAZHJzL2Rvd25yZXYueG1sUEsBAhQAFAAAAAgAh07iQDMvBZ47&#10;AAAAOQAAABAAAAAAAAAAAQAgAAAACgEAAGRycy9zaGFwZXhtbC54bWxQSwUGAAAAAAYABgBbAQAA&#10;tAMAAAAA&#10;" path="m0,157l135,157,178,0,220,157,355,157,245,255,288,412,178,315,67,412,110,255xe">
                  <v:path o:connectlocs="178,0;0,157;67,412;288,412;355,157" o:connectangles="247,164,82,82,0"/>
                  <v:fill on="t" focussize="0,0"/>
                  <v:stroke weight="0.25pt" color="#000000 [3213]" joinstyle="round"/>
                  <v:imagedata o:title=""/>
                  <o:lock v:ext="edit" aspectratio="f"/>
                </v:shape>
                <v:shape id="_x0000_s1026" o:spid="_x0000_s1026" o:spt="61" type="#_x0000_t61" style="position:absolute;left:9815;top:732829;height:471;width:1058;v-text-anchor:middle;" filled="f" stroked="t" coordsize="21600,21600" o:gfxdata="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Pj7GLsAAADc&#10;AAAADwAAAAAAAAABACAAAAAiAAAAZHJzL2Rvd25yZXYueG1sUEsBAhQAFAAAAAgAh07iQDMvBZ47&#10;AAAAOQAAABAAAAAAAAAAAQAgAAAACgEAAGRycy9zaGFwZXhtbC54bWxQSwUGAAAAAAYABgBbAQAA&#10;tAMAAAAA&#10;" adj="-341,30961">
                  <v:fill on="f" focussize="0,0"/>
                  <v:stroke weight="0.25pt" color="#000000 [3213]" joinstyle="round"/>
                  <v:imagedata o:title=""/>
                  <o:lock v:ext="edit" aspectratio="f"/>
                  <v:textbox>
                    <w:txbxContent>
                      <w:p w14:paraId="7971762A">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both"/>
                          <w:textAlignment w:val="auto"/>
                          <w:rPr>
                            <w:rFonts w:hint="eastAsia"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w:t>
                        </w:r>
                      </w:p>
                    </w:txbxContent>
                  </v:textbox>
                </v:shape>
              </v:group>
            </w:pict>
          </mc:Fallback>
        </mc:AlternateContent>
      </w:r>
    </w:p>
    <w:p w14:paraId="65FD7703">
      <w:pPr>
        <w:tabs>
          <w:tab w:val="left" w:pos="420"/>
        </w:tabs>
        <w:jc w:val="center"/>
        <w:rPr>
          <w:rFonts w:cs="Times New Roman"/>
          <w:color w:val="auto"/>
          <w:highlight w:val="none"/>
        </w:rPr>
      </w:pPr>
    </w:p>
    <w:p w14:paraId="0B0E7CBB">
      <w:pPr>
        <w:tabs>
          <w:tab w:val="left" w:pos="420"/>
        </w:tabs>
        <w:jc w:val="center"/>
        <w:rPr>
          <w:rFonts w:cs="Times New Roman"/>
          <w:color w:val="auto"/>
          <w:highlight w:val="none"/>
        </w:rPr>
      </w:pPr>
    </w:p>
    <w:p w14:paraId="49D4F717">
      <w:pPr>
        <w:tabs>
          <w:tab w:val="left" w:pos="420"/>
        </w:tabs>
        <w:jc w:val="center"/>
        <w:rPr>
          <w:rFonts w:cs="Times New Roman"/>
          <w:color w:val="auto"/>
          <w:highlight w:val="none"/>
        </w:rPr>
      </w:pPr>
    </w:p>
    <w:p w14:paraId="3D74C97F">
      <w:pPr>
        <w:tabs>
          <w:tab w:val="left" w:pos="420"/>
        </w:tabs>
        <w:jc w:val="center"/>
        <w:rPr>
          <w:rFonts w:cs="Times New Roman"/>
          <w:color w:val="auto"/>
          <w:highlight w:val="none"/>
        </w:rPr>
      </w:pPr>
    </w:p>
    <w:p w14:paraId="572B4E26">
      <w:pPr>
        <w:tabs>
          <w:tab w:val="left" w:pos="420"/>
        </w:tabs>
        <w:jc w:val="center"/>
        <w:rPr>
          <w:rFonts w:cs="Times New Roman"/>
          <w:color w:val="auto"/>
          <w:highlight w:val="none"/>
        </w:rPr>
      </w:pPr>
    </w:p>
    <w:p w14:paraId="07FEA677">
      <w:pPr>
        <w:tabs>
          <w:tab w:val="left" w:pos="420"/>
        </w:tabs>
        <w:jc w:val="center"/>
        <w:rPr>
          <w:rFonts w:cs="Times New Roman"/>
          <w:color w:val="auto"/>
          <w:highlight w:val="none"/>
        </w:rPr>
      </w:pPr>
    </w:p>
    <w:p w14:paraId="6E052648">
      <w:pPr>
        <w:pStyle w:val="45"/>
        <w:rPr>
          <w:color w:val="auto"/>
          <w:highlight w:val="none"/>
        </w:rPr>
      </w:pPr>
    </w:p>
    <w:p w14:paraId="502A2393">
      <w:pPr>
        <w:tabs>
          <w:tab w:val="left" w:pos="420"/>
        </w:tabs>
        <w:ind w:firstLine="482"/>
        <w:jc w:val="center"/>
        <w:rPr>
          <w:rFonts w:cs="Times New Roman"/>
          <w:b/>
          <w:color w:val="auto"/>
          <w:highlight w:val="none"/>
        </w:rPr>
      </w:pPr>
    </w:p>
    <w:p w14:paraId="2AF46E9F">
      <w:pPr>
        <w:tabs>
          <w:tab w:val="left" w:pos="420"/>
        </w:tabs>
        <w:ind w:firstLine="482"/>
        <w:jc w:val="center"/>
        <w:rPr>
          <w:rFonts w:hint="eastAsia" w:eastAsia="黑体" w:cs="Times New Roman"/>
          <w:snapToGrid w:val="0"/>
          <w:color w:val="auto"/>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rFonts w:cs="Times New Roman"/>
          <w:b/>
          <w:color w:val="auto"/>
          <w:highlight w:val="none"/>
        </w:rPr>
        <w:t>图2</w:t>
      </w:r>
      <w:r>
        <w:rPr>
          <w:rFonts w:hint="eastAsia" w:cs="Times New Roman"/>
          <w:b/>
          <w:color w:val="auto"/>
          <w:highlight w:val="none"/>
          <w:lang w:val="en-US" w:eastAsia="zh-CN"/>
        </w:rPr>
        <w:t>.</w:t>
      </w:r>
      <w:r>
        <w:rPr>
          <w:rFonts w:cs="Times New Roman"/>
          <w:b/>
          <w:color w:val="auto"/>
          <w:highlight w:val="none"/>
        </w:rPr>
        <w:t>3-1  本项目所在地区地形</w:t>
      </w:r>
      <w:r>
        <w:rPr>
          <w:rFonts w:hint="eastAsia" w:cs="Times New Roman"/>
          <w:b/>
          <w:color w:val="auto"/>
          <w:highlight w:val="none"/>
          <w:lang w:val="en-US" w:eastAsia="zh-CN"/>
        </w:rPr>
        <w:t>图</w:t>
      </w:r>
    </w:p>
    <w:p w14:paraId="41D562BF">
      <w:pPr>
        <w:pStyle w:val="66"/>
        <w:spacing w:line="240" w:lineRule="auto"/>
        <w:rPr>
          <w:rFonts w:eastAsia="宋体" w:cs="Times New Roman"/>
          <w:b/>
          <w:bCs/>
          <w:snapToGrid w:val="0"/>
          <w:color w:val="auto"/>
          <w:szCs w:val="24"/>
          <w:highlight w:val="none"/>
        </w:rPr>
      </w:pPr>
      <w:r>
        <w:rPr>
          <w:rFonts w:eastAsia="宋体" w:cs="Times New Roman"/>
          <w:b/>
          <w:bCs/>
          <w:snapToGrid w:val="0"/>
          <w:color w:val="auto"/>
          <w:szCs w:val="24"/>
          <w:highlight w:val="none"/>
        </w:rPr>
        <w:t>表2</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3</w:t>
      </w:r>
      <w:r>
        <w:rPr>
          <w:rFonts w:eastAsia="宋体" w:cs="Times New Roman"/>
          <w:b/>
          <w:bCs/>
          <w:snapToGrid w:val="0"/>
          <w:color w:val="auto"/>
          <w:szCs w:val="24"/>
          <w:highlight w:val="none"/>
        </w:rPr>
        <w:t>-4</w:t>
      </w:r>
      <w:r>
        <w:rPr>
          <w:rFonts w:eastAsia="宋体" w:cs="Times New Roman"/>
          <w:b/>
          <w:bCs/>
          <w:snapToGrid w:val="0"/>
          <w:color w:val="auto"/>
          <w:szCs w:val="24"/>
          <w:highlight w:val="none"/>
          <w:lang w:val="en-US"/>
        </w:rPr>
        <w:t xml:space="preserve">  </w:t>
      </w:r>
      <w:r>
        <w:rPr>
          <w:rFonts w:eastAsia="宋体" w:cs="Times New Roman"/>
          <w:b/>
          <w:bCs/>
          <w:snapToGrid w:val="0"/>
          <w:color w:val="auto"/>
          <w:szCs w:val="24"/>
          <w:highlight w:val="none"/>
        </w:rPr>
        <w:t>点源参数表</w:t>
      </w:r>
    </w:p>
    <w:tbl>
      <w:tblPr>
        <w:tblStyle w:val="47"/>
        <w:tblW w:w="482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63"/>
        <w:gridCol w:w="1700"/>
        <w:gridCol w:w="1004"/>
        <w:gridCol w:w="995"/>
        <w:gridCol w:w="1181"/>
        <w:gridCol w:w="812"/>
        <w:gridCol w:w="812"/>
        <w:gridCol w:w="1071"/>
        <w:gridCol w:w="687"/>
        <w:gridCol w:w="812"/>
        <w:gridCol w:w="946"/>
        <w:gridCol w:w="1252"/>
        <w:gridCol w:w="1258"/>
      </w:tblGrid>
      <w:tr w14:paraId="6A5FDD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178" w:type="pct"/>
            <w:vMerge w:val="restart"/>
            <w:shd w:val="clear" w:color="auto" w:fill="auto"/>
            <w:vAlign w:val="center"/>
          </w:tcPr>
          <w:p w14:paraId="5EE00307">
            <w:pPr>
              <w:pStyle w:val="73"/>
              <w:adjustRightInd w:val="0"/>
              <w:snapToGrid w:val="0"/>
              <w:rPr>
                <w:rFonts w:cs="Times New Roman"/>
                <w:snapToGrid w:val="0"/>
                <w:color w:val="auto"/>
                <w:szCs w:val="21"/>
                <w:highlight w:val="none"/>
              </w:rPr>
            </w:pPr>
            <w:r>
              <w:rPr>
                <w:rFonts w:cs="Times New Roman"/>
                <w:snapToGrid w:val="0"/>
                <w:color w:val="auto"/>
                <w:szCs w:val="21"/>
                <w:highlight w:val="none"/>
              </w:rPr>
              <w:t>编号</w:t>
            </w:r>
          </w:p>
        </w:tc>
        <w:tc>
          <w:tcPr>
            <w:tcW w:w="654" w:type="pct"/>
            <w:vMerge w:val="restart"/>
            <w:shd w:val="clear" w:color="auto" w:fill="auto"/>
            <w:vAlign w:val="center"/>
          </w:tcPr>
          <w:p w14:paraId="4FC201D9">
            <w:pPr>
              <w:pStyle w:val="73"/>
              <w:adjustRightInd w:val="0"/>
              <w:snapToGrid w:val="0"/>
              <w:rPr>
                <w:rFonts w:cs="Times New Roman"/>
                <w:snapToGrid w:val="0"/>
                <w:color w:val="auto"/>
                <w:szCs w:val="21"/>
                <w:highlight w:val="none"/>
              </w:rPr>
            </w:pPr>
            <w:r>
              <w:rPr>
                <w:rFonts w:cs="Times New Roman"/>
                <w:snapToGrid w:val="0"/>
                <w:color w:val="auto"/>
                <w:szCs w:val="21"/>
                <w:highlight w:val="none"/>
              </w:rPr>
              <w:t>名称</w:t>
            </w:r>
          </w:p>
        </w:tc>
        <w:tc>
          <w:tcPr>
            <w:tcW w:w="769" w:type="pct"/>
            <w:gridSpan w:val="2"/>
            <w:shd w:val="clear" w:color="auto" w:fill="auto"/>
            <w:vAlign w:val="center"/>
          </w:tcPr>
          <w:p w14:paraId="082D1A50">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排气筒底部中心坐标</w:t>
            </w:r>
          </w:p>
        </w:tc>
        <w:tc>
          <w:tcPr>
            <w:tcW w:w="454" w:type="pct"/>
            <w:vMerge w:val="restart"/>
            <w:shd w:val="clear" w:color="auto" w:fill="auto"/>
            <w:vAlign w:val="center"/>
          </w:tcPr>
          <w:p w14:paraId="2364BD6B">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排气筒底部海拔高度/m</w:t>
            </w:r>
          </w:p>
        </w:tc>
        <w:tc>
          <w:tcPr>
            <w:tcW w:w="312" w:type="pct"/>
            <w:vMerge w:val="restart"/>
            <w:vAlign w:val="center"/>
          </w:tcPr>
          <w:p w14:paraId="0686A175">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排气筒高度/m</w:t>
            </w:r>
          </w:p>
        </w:tc>
        <w:tc>
          <w:tcPr>
            <w:tcW w:w="312" w:type="pct"/>
            <w:vMerge w:val="restart"/>
            <w:shd w:val="clear" w:color="auto" w:fill="auto"/>
            <w:vAlign w:val="center"/>
          </w:tcPr>
          <w:p w14:paraId="3C216FD9">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排气筒出口内径/m</w:t>
            </w:r>
          </w:p>
        </w:tc>
        <w:tc>
          <w:tcPr>
            <w:tcW w:w="412" w:type="pct"/>
            <w:vMerge w:val="restart"/>
            <w:shd w:val="clear" w:color="auto" w:fill="auto"/>
            <w:vAlign w:val="center"/>
          </w:tcPr>
          <w:p w14:paraId="45B30A00">
            <w:pPr>
              <w:pStyle w:val="73"/>
              <w:adjustRightInd w:val="0"/>
              <w:snapToGrid w:val="0"/>
              <w:rPr>
                <w:rFonts w:cs="Times New Roman"/>
                <w:snapToGrid w:val="0"/>
                <w:color w:val="auto"/>
                <w:szCs w:val="21"/>
                <w:highlight w:val="none"/>
              </w:rPr>
            </w:pPr>
            <w:r>
              <w:rPr>
                <w:rFonts w:cs="Times New Roman"/>
                <w:snapToGrid w:val="0"/>
                <w:color w:val="auto"/>
                <w:szCs w:val="21"/>
                <w:highlight w:val="none"/>
              </w:rPr>
              <w:t>烟气流速/（m/s）</w:t>
            </w:r>
          </w:p>
        </w:tc>
        <w:tc>
          <w:tcPr>
            <w:tcW w:w="264" w:type="pct"/>
            <w:vMerge w:val="restart"/>
            <w:shd w:val="clear" w:color="auto" w:fill="auto"/>
            <w:vAlign w:val="center"/>
          </w:tcPr>
          <w:p w14:paraId="0DF13F5C">
            <w:pPr>
              <w:pStyle w:val="73"/>
              <w:adjustRightInd w:val="0"/>
              <w:snapToGrid w:val="0"/>
              <w:rPr>
                <w:rFonts w:cs="Times New Roman"/>
                <w:snapToGrid w:val="0"/>
                <w:color w:val="auto"/>
                <w:szCs w:val="21"/>
                <w:highlight w:val="none"/>
              </w:rPr>
            </w:pPr>
            <w:r>
              <w:rPr>
                <w:rFonts w:cs="Times New Roman"/>
                <w:snapToGrid w:val="0"/>
                <w:color w:val="auto"/>
                <w:szCs w:val="21"/>
                <w:highlight w:val="none"/>
              </w:rPr>
              <w:t>烟气温度/℃</w:t>
            </w:r>
          </w:p>
        </w:tc>
        <w:tc>
          <w:tcPr>
            <w:tcW w:w="312" w:type="pct"/>
            <w:vMerge w:val="restart"/>
            <w:shd w:val="clear" w:color="auto" w:fill="auto"/>
            <w:vAlign w:val="center"/>
          </w:tcPr>
          <w:p w14:paraId="53DA1ADF">
            <w:pPr>
              <w:pStyle w:val="73"/>
              <w:adjustRightInd w:val="0"/>
              <w:snapToGrid w:val="0"/>
              <w:rPr>
                <w:rFonts w:cs="Times New Roman"/>
                <w:snapToGrid w:val="0"/>
                <w:color w:val="auto"/>
                <w:szCs w:val="21"/>
                <w:highlight w:val="none"/>
              </w:rPr>
            </w:pPr>
            <w:r>
              <w:rPr>
                <w:rFonts w:cs="Times New Roman"/>
                <w:snapToGrid w:val="0"/>
                <w:color w:val="auto"/>
                <w:szCs w:val="21"/>
                <w:highlight w:val="none"/>
              </w:rPr>
              <w:t>年排放小时数/h</w:t>
            </w:r>
          </w:p>
        </w:tc>
        <w:tc>
          <w:tcPr>
            <w:tcW w:w="364" w:type="pct"/>
            <w:vMerge w:val="restart"/>
            <w:shd w:val="clear" w:color="auto" w:fill="auto"/>
            <w:vAlign w:val="center"/>
          </w:tcPr>
          <w:p w14:paraId="04B0D176">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排放工况</w:t>
            </w:r>
          </w:p>
        </w:tc>
        <w:tc>
          <w:tcPr>
            <w:tcW w:w="965" w:type="pct"/>
            <w:gridSpan w:val="2"/>
            <w:vMerge w:val="restart"/>
            <w:shd w:val="clear" w:color="auto" w:fill="auto"/>
            <w:vAlign w:val="center"/>
          </w:tcPr>
          <w:p w14:paraId="3837B154">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污染物排放速率/（kg/h）</w:t>
            </w:r>
          </w:p>
        </w:tc>
      </w:tr>
      <w:tr w14:paraId="553192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28" w:hRule="atLeast"/>
          <w:jc w:val="center"/>
        </w:trPr>
        <w:tc>
          <w:tcPr>
            <w:tcW w:w="178" w:type="pct"/>
            <w:vMerge w:val="continue"/>
            <w:shd w:val="clear" w:color="auto" w:fill="auto"/>
            <w:vAlign w:val="center"/>
          </w:tcPr>
          <w:p w14:paraId="6E2EED5C">
            <w:pPr>
              <w:pStyle w:val="73"/>
              <w:adjustRightInd w:val="0"/>
              <w:snapToGrid w:val="0"/>
              <w:rPr>
                <w:rFonts w:cs="Times New Roman"/>
                <w:snapToGrid w:val="0"/>
                <w:color w:val="auto"/>
                <w:szCs w:val="21"/>
                <w:highlight w:val="none"/>
              </w:rPr>
            </w:pPr>
          </w:p>
        </w:tc>
        <w:tc>
          <w:tcPr>
            <w:tcW w:w="654" w:type="pct"/>
            <w:vMerge w:val="continue"/>
            <w:shd w:val="clear" w:color="auto" w:fill="auto"/>
            <w:vAlign w:val="center"/>
          </w:tcPr>
          <w:p w14:paraId="1D223187">
            <w:pPr>
              <w:pStyle w:val="73"/>
              <w:adjustRightInd w:val="0"/>
              <w:snapToGrid w:val="0"/>
              <w:rPr>
                <w:rFonts w:cs="Times New Roman"/>
                <w:snapToGrid w:val="0"/>
                <w:color w:val="auto"/>
                <w:szCs w:val="21"/>
                <w:highlight w:val="none"/>
              </w:rPr>
            </w:pPr>
          </w:p>
        </w:tc>
        <w:tc>
          <w:tcPr>
            <w:tcW w:w="386" w:type="pct"/>
            <w:shd w:val="clear" w:color="auto" w:fill="auto"/>
            <w:vAlign w:val="center"/>
          </w:tcPr>
          <w:p w14:paraId="460F4405">
            <w:pPr>
              <w:pStyle w:val="73"/>
              <w:adjustRightInd w:val="0"/>
              <w:snapToGrid w:val="0"/>
              <w:rPr>
                <w:rFonts w:cs="Times New Roman"/>
                <w:snapToGrid w:val="0"/>
                <w:color w:val="auto"/>
                <w:szCs w:val="21"/>
                <w:highlight w:val="none"/>
              </w:rPr>
            </w:pPr>
            <w:r>
              <w:rPr>
                <w:rFonts w:cs="Times New Roman"/>
                <w:snapToGrid w:val="0"/>
                <w:color w:val="auto"/>
                <w:szCs w:val="21"/>
                <w:highlight w:val="none"/>
                <w:lang w:val="en-US"/>
              </w:rPr>
              <w:t>X</w:t>
            </w:r>
          </w:p>
        </w:tc>
        <w:tc>
          <w:tcPr>
            <w:tcW w:w="382" w:type="pct"/>
            <w:shd w:val="clear" w:color="auto" w:fill="auto"/>
            <w:vAlign w:val="center"/>
          </w:tcPr>
          <w:p w14:paraId="549F92EA">
            <w:pPr>
              <w:pStyle w:val="73"/>
              <w:adjustRightInd w:val="0"/>
              <w:snapToGrid w:val="0"/>
              <w:rPr>
                <w:rFonts w:cs="Times New Roman"/>
                <w:snapToGrid w:val="0"/>
                <w:color w:val="auto"/>
                <w:szCs w:val="21"/>
                <w:highlight w:val="none"/>
              </w:rPr>
            </w:pPr>
            <w:r>
              <w:rPr>
                <w:rFonts w:cs="Times New Roman"/>
                <w:snapToGrid w:val="0"/>
                <w:color w:val="auto"/>
                <w:szCs w:val="21"/>
                <w:highlight w:val="none"/>
                <w:lang w:val="en-US"/>
              </w:rPr>
              <w:t>Y</w:t>
            </w:r>
          </w:p>
        </w:tc>
        <w:tc>
          <w:tcPr>
            <w:tcW w:w="454" w:type="pct"/>
            <w:vMerge w:val="continue"/>
            <w:shd w:val="clear" w:color="auto" w:fill="auto"/>
            <w:vAlign w:val="center"/>
          </w:tcPr>
          <w:p w14:paraId="7A1B3A08">
            <w:pPr>
              <w:pStyle w:val="73"/>
              <w:adjustRightInd w:val="0"/>
              <w:snapToGrid w:val="0"/>
              <w:rPr>
                <w:rFonts w:cs="Times New Roman"/>
                <w:snapToGrid w:val="0"/>
                <w:color w:val="auto"/>
                <w:szCs w:val="21"/>
                <w:highlight w:val="none"/>
              </w:rPr>
            </w:pPr>
          </w:p>
        </w:tc>
        <w:tc>
          <w:tcPr>
            <w:tcW w:w="312" w:type="pct"/>
            <w:vMerge w:val="continue"/>
            <w:vAlign w:val="center"/>
          </w:tcPr>
          <w:p w14:paraId="4D3FF105">
            <w:pPr>
              <w:pStyle w:val="73"/>
              <w:adjustRightInd w:val="0"/>
              <w:snapToGrid w:val="0"/>
              <w:rPr>
                <w:rFonts w:cs="Times New Roman"/>
                <w:snapToGrid w:val="0"/>
                <w:color w:val="auto"/>
                <w:szCs w:val="21"/>
                <w:highlight w:val="none"/>
              </w:rPr>
            </w:pPr>
          </w:p>
        </w:tc>
        <w:tc>
          <w:tcPr>
            <w:tcW w:w="312" w:type="pct"/>
            <w:vMerge w:val="continue"/>
            <w:shd w:val="clear" w:color="auto" w:fill="auto"/>
            <w:vAlign w:val="center"/>
          </w:tcPr>
          <w:p w14:paraId="7F388FCE">
            <w:pPr>
              <w:pStyle w:val="73"/>
              <w:adjustRightInd w:val="0"/>
              <w:snapToGrid w:val="0"/>
              <w:rPr>
                <w:rFonts w:cs="Times New Roman"/>
                <w:snapToGrid w:val="0"/>
                <w:color w:val="auto"/>
                <w:szCs w:val="21"/>
                <w:highlight w:val="none"/>
              </w:rPr>
            </w:pPr>
          </w:p>
        </w:tc>
        <w:tc>
          <w:tcPr>
            <w:tcW w:w="412" w:type="pct"/>
            <w:vMerge w:val="continue"/>
            <w:shd w:val="clear" w:color="auto" w:fill="auto"/>
            <w:vAlign w:val="center"/>
          </w:tcPr>
          <w:p w14:paraId="474602E6">
            <w:pPr>
              <w:pStyle w:val="73"/>
              <w:adjustRightInd w:val="0"/>
              <w:snapToGrid w:val="0"/>
              <w:rPr>
                <w:rFonts w:cs="Times New Roman"/>
                <w:snapToGrid w:val="0"/>
                <w:color w:val="auto"/>
                <w:szCs w:val="21"/>
                <w:highlight w:val="none"/>
              </w:rPr>
            </w:pPr>
          </w:p>
        </w:tc>
        <w:tc>
          <w:tcPr>
            <w:tcW w:w="264" w:type="pct"/>
            <w:vMerge w:val="continue"/>
            <w:shd w:val="clear" w:color="auto" w:fill="auto"/>
            <w:vAlign w:val="center"/>
          </w:tcPr>
          <w:p w14:paraId="2087CA38">
            <w:pPr>
              <w:pStyle w:val="73"/>
              <w:adjustRightInd w:val="0"/>
              <w:snapToGrid w:val="0"/>
              <w:rPr>
                <w:rFonts w:cs="Times New Roman"/>
                <w:snapToGrid w:val="0"/>
                <w:color w:val="auto"/>
                <w:szCs w:val="21"/>
                <w:highlight w:val="none"/>
              </w:rPr>
            </w:pPr>
          </w:p>
        </w:tc>
        <w:tc>
          <w:tcPr>
            <w:tcW w:w="312" w:type="pct"/>
            <w:vMerge w:val="continue"/>
            <w:shd w:val="clear" w:color="auto" w:fill="auto"/>
            <w:vAlign w:val="center"/>
          </w:tcPr>
          <w:p w14:paraId="57508D3E">
            <w:pPr>
              <w:pStyle w:val="73"/>
              <w:adjustRightInd w:val="0"/>
              <w:snapToGrid w:val="0"/>
              <w:rPr>
                <w:rFonts w:cs="Times New Roman"/>
                <w:snapToGrid w:val="0"/>
                <w:color w:val="auto"/>
                <w:szCs w:val="21"/>
                <w:highlight w:val="none"/>
              </w:rPr>
            </w:pPr>
          </w:p>
        </w:tc>
        <w:tc>
          <w:tcPr>
            <w:tcW w:w="364" w:type="pct"/>
            <w:vMerge w:val="continue"/>
            <w:shd w:val="clear" w:color="auto" w:fill="auto"/>
            <w:vAlign w:val="center"/>
          </w:tcPr>
          <w:p w14:paraId="74B0528D">
            <w:pPr>
              <w:pStyle w:val="73"/>
              <w:adjustRightInd w:val="0"/>
              <w:snapToGrid w:val="0"/>
              <w:rPr>
                <w:rFonts w:cs="Times New Roman"/>
                <w:snapToGrid w:val="0"/>
                <w:color w:val="auto"/>
                <w:szCs w:val="21"/>
                <w:highlight w:val="none"/>
              </w:rPr>
            </w:pPr>
          </w:p>
        </w:tc>
        <w:tc>
          <w:tcPr>
            <w:tcW w:w="965" w:type="pct"/>
            <w:gridSpan w:val="2"/>
            <w:vMerge w:val="continue"/>
            <w:shd w:val="clear" w:color="auto" w:fill="auto"/>
            <w:vAlign w:val="center"/>
          </w:tcPr>
          <w:p w14:paraId="4DBFEA68">
            <w:pPr>
              <w:pStyle w:val="73"/>
              <w:adjustRightInd w:val="0"/>
              <w:snapToGrid w:val="0"/>
              <w:rPr>
                <w:rFonts w:cs="Times New Roman"/>
                <w:snapToGrid w:val="0"/>
                <w:color w:val="auto"/>
                <w:szCs w:val="21"/>
                <w:highlight w:val="none"/>
              </w:rPr>
            </w:pPr>
          </w:p>
        </w:tc>
      </w:tr>
      <w:tr w14:paraId="310039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78" w:type="pct"/>
            <w:vMerge w:val="restart"/>
            <w:shd w:val="clear" w:color="auto" w:fill="auto"/>
            <w:vAlign w:val="center"/>
          </w:tcPr>
          <w:p w14:paraId="6F044CC9">
            <w:pPr>
              <w:pStyle w:val="73"/>
              <w:adjustRightInd w:val="0"/>
              <w:snapToGrid w:val="0"/>
              <w:rPr>
                <w:rFonts w:cs="Times New Roman"/>
                <w:snapToGrid w:val="0"/>
                <w:color w:val="auto"/>
                <w:szCs w:val="21"/>
                <w:highlight w:val="none"/>
              </w:rPr>
            </w:pPr>
            <w:r>
              <w:rPr>
                <w:rFonts w:cs="Times New Roman"/>
                <w:snapToGrid w:val="0"/>
                <w:color w:val="auto"/>
                <w:szCs w:val="21"/>
                <w:highlight w:val="none"/>
              </w:rPr>
              <w:t>1</w:t>
            </w:r>
          </w:p>
        </w:tc>
        <w:tc>
          <w:tcPr>
            <w:tcW w:w="654" w:type="pct"/>
            <w:vMerge w:val="restart"/>
            <w:shd w:val="clear" w:color="auto" w:fill="auto"/>
            <w:vAlign w:val="center"/>
          </w:tcPr>
          <w:p w14:paraId="7FDC7112">
            <w:pPr>
              <w:pStyle w:val="73"/>
              <w:adjustRightInd w:val="0"/>
              <w:snapToGrid w:val="0"/>
              <w:rPr>
                <w:rFonts w:cs="Times New Roman"/>
                <w:snapToGrid w:val="0"/>
                <w:color w:val="auto"/>
                <w:szCs w:val="21"/>
                <w:highlight w:val="none"/>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w:t>
            </w:r>
            <w:r>
              <w:rPr>
                <w:rFonts w:cs="Times New Roman"/>
                <w:snapToGrid w:val="0"/>
                <w:color w:val="auto"/>
                <w:szCs w:val="21"/>
                <w:highlight w:val="none"/>
              </w:rPr>
              <w:t>排气筒</w:t>
            </w:r>
            <w:r>
              <w:rPr>
                <w:rFonts w:cs="Times New Roman"/>
                <w:snapToGrid w:val="0"/>
                <w:color w:val="auto"/>
                <w:szCs w:val="21"/>
                <w:highlight w:val="none"/>
                <w:lang w:val="en-US"/>
              </w:rPr>
              <w:t>DA001</w:t>
            </w:r>
          </w:p>
        </w:tc>
        <w:tc>
          <w:tcPr>
            <w:tcW w:w="386" w:type="pct"/>
            <w:vMerge w:val="restart"/>
            <w:shd w:val="clear" w:color="auto" w:fill="auto"/>
            <w:vAlign w:val="center"/>
          </w:tcPr>
          <w:p w14:paraId="3A0F100B">
            <w:pPr>
              <w:spacing w:line="360" w:lineRule="exact"/>
              <w:ind w:firstLine="0" w:firstLineChars="0"/>
              <w:jc w:val="center"/>
              <w:rPr>
                <w:rFonts w:cs="Times New Roman"/>
                <w:snapToGrid w:val="0"/>
                <w:color w:val="auto"/>
                <w:sz w:val="21"/>
                <w:szCs w:val="21"/>
                <w:highlight w:val="none"/>
              </w:rPr>
            </w:pPr>
            <w:r>
              <w:rPr>
                <w:rFonts w:cs="Times New Roman"/>
                <w:snapToGrid w:val="0"/>
                <w:color w:val="auto"/>
                <w:sz w:val="21"/>
                <w:szCs w:val="21"/>
                <w:highlight w:val="none"/>
              </w:rPr>
              <w:t>15</w:t>
            </w:r>
          </w:p>
        </w:tc>
        <w:tc>
          <w:tcPr>
            <w:tcW w:w="382" w:type="pct"/>
            <w:vMerge w:val="restart"/>
            <w:shd w:val="clear" w:color="auto" w:fill="auto"/>
            <w:vAlign w:val="center"/>
          </w:tcPr>
          <w:p w14:paraId="1FC1DEDE">
            <w:pPr>
              <w:spacing w:line="360" w:lineRule="exact"/>
              <w:ind w:firstLine="0" w:firstLineChars="0"/>
              <w:jc w:val="center"/>
              <w:rPr>
                <w:rFonts w:cs="Times New Roman"/>
                <w:snapToGrid w:val="0"/>
                <w:color w:val="auto"/>
                <w:sz w:val="21"/>
                <w:szCs w:val="21"/>
                <w:highlight w:val="none"/>
              </w:rPr>
            </w:pPr>
            <w:r>
              <w:rPr>
                <w:rFonts w:cs="Times New Roman"/>
                <w:snapToGrid w:val="0"/>
                <w:color w:val="auto"/>
                <w:sz w:val="21"/>
                <w:szCs w:val="21"/>
                <w:highlight w:val="none"/>
              </w:rPr>
              <w:t>75</w:t>
            </w:r>
          </w:p>
        </w:tc>
        <w:tc>
          <w:tcPr>
            <w:tcW w:w="454" w:type="pct"/>
            <w:vMerge w:val="restart"/>
            <w:shd w:val="clear" w:color="auto" w:fill="auto"/>
            <w:vAlign w:val="center"/>
          </w:tcPr>
          <w:p w14:paraId="0DD73C75">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62</w:t>
            </w:r>
          </w:p>
        </w:tc>
        <w:tc>
          <w:tcPr>
            <w:tcW w:w="312" w:type="pct"/>
            <w:vMerge w:val="restart"/>
            <w:vAlign w:val="center"/>
          </w:tcPr>
          <w:p w14:paraId="48CEE5C3">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15.00</w:t>
            </w:r>
          </w:p>
        </w:tc>
        <w:tc>
          <w:tcPr>
            <w:tcW w:w="312" w:type="pct"/>
            <w:vMerge w:val="restart"/>
            <w:shd w:val="clear" w:color="auto" w:fill="auto"/>
            <w:vAlign w:val="center"/>
          </w:tcPr>
          <w:p w14:paraId="7A773849">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0.</w:t>
            </w:r>
            <w:r>
              <w:rPr>
                <w:rFonts w:hint="eastAsia" w:cs="Times New Roman"/>
                <w:color w:val="auto"/>
                <w:sz w:val="21"/>
                <w:szCs w:val="21"/>
                <w:highlight w:val="none"/>
                <w:lang w:val="en-US" w:eastAsia="zh-CN"/>
              </w:rPr>
              <w:t>3</w:t>
            </w:r>
            <w:r>
              <w:rPr>
                <w:rFonts w:cs="Times New Roman"/>
                <w:color w:val="auto"/>
                <w:sz w:val="21"/>
                <w:szCs w:val="21"/>
                <w:highlight w:val="none"/>
              </w:rPr>
              <w:t>0</w:t>
            </w:r>
          </w:p>
        </w:tc>
        <w:tc>
          <w:tcPr>
            <w:tcW w:w="412" w:type="pct"/>
            <w:vMerge w:val="restart"/>
            <w:shd w:val="clear" w:color="auto" w:fill="auto"/>
            <w:vAlign w:val="center"/>
          </w:tcPr>
          <w:p w14:paraId="12263450">
            <w:pPr>
              <w:spacing w:line="360" w:lineRule="exact"/>
              <w:ind w:firstLine="0" w:firstLineChars="0"/>
              <w:jc w:val="center"/>
              <w:rPr>
                <w:rFonts w:hint="default" w:eastAsia="宋体" w:cs="Times New Roman"/>
                <w:snapToGrid w:val="0"/>
                <w:color w:val="auto"/>
                <w:sz w:val="21"/>
                <w:szCs w:val="21"/>
                <w:highlight w:val="none"/>
                <w:lang w:val="en-US" w:eastAsia="zh-CN"/>
              </w:rPr>
            </w:pPr>
            <w:r>
              <w:rPr>
                <w:rFonts w:hint="eastAsia" w:cs="Times New Roman"/>
                <w:color w:val="auto"/>
                <w:sz w:val="21"/>
                <w:szCs w:val="21"/>
                <w:highlight w:val="none"/>
                <w:lang w:val="en-US" w:eastAsia="zh-CN"/>
              </w:rPr>
              <w:t>15.72</w:t>
            </w:r>
          </w:p>
        </w:tc>
        <w:tc>
          <w:tcPr>
            <w:tcW w:w="264" w:type="pct"/>
            <w:vMerge w:val="restart"/>
            <w:shd w:val="clear" w:color="auto" w:fill="auto"/>
            <w:vAlign w:val="center"/>
          </w:tcPr>
          <w:p w14:paraId="1180F437">
            <w:pPr>
              <w:pStyle w:val="73"/>
              <w:adjustRightInd w:val="0"/>
              <w:snapToGrid w:val="0"/>
              <w:rPr>
                <w:rFonts w:cs="Times New Roman"/>
                <w:snapToGrid w:val="0"/>
                <w:color w:val="auto"/>
                <w:szCs w:val="21"/>
                <w:highlight w:val="none"/>
                <w:lang w:val="en-US"/>
              </w:rPr>
            </w:pPr>
            <w:r>
              <w:rPr>
                <w:rFonts w:cs="Times New Roman"/>
                <w:snapToGrid w:val="0"/>
                <w:color w:val="auto"/>
                <w:szCs w:val="21"/>
                <w:highlight w:val="none"/>
              </w:rPr>
              <w:t>2</w:t>
            </w:r>
            <w:r>
              <w:rPr>
                <w:rFonts w:cs="Times New Roman"/>
                <w:snapToGrid w:val="0"/>
                <w:color w:val="auto"/>
                <w:szCs w:val="21"/>
                <w:highlight w:val="none"/>
                <w:lang w:val="en-US"/>
              </w:rPr>
              <w:t>0</w:t>
            </w:r>
          </w:p>
        </w:tc>
        <w:tc>
          <w:tcPr>
            <w:tcW w:w="312" w:type="pct"/>
            <w:vMerge w:val="restart"/>
            <w:shd w:val="clear" w:color="auto" w:fill="auto"/>
            <w:vAlign w:val="center"/>
          </w:tcPr>
          <w:p w14:paraId="302D27EC">
            <w:pPr>
              <w:pStyle w:val="73"/>
              <w:adjustRightInd w:val="0"/>
              <w:snapToGrid w:val="0"/>
              <w:rPr>
                <w:rFonts w:hint="default"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7440</w:t>
            </w:r>
          </w:p>
        </w:tc>
        <w:tc>
          <w:tcPr>
            <w:tcW w:w="364" w:type="pct"/>
            <w:vMerge w:val="restart"/>
            <w:shd w:val="clear" w:color="auto" w:fill="auto"/>
            <w:vAlign w:val="center"/>
          </w:tcPr>
          <w:p w14:paraId="4FD260A0">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正常</w:t>
            </w:r>
          </w:p>
        </w:tc>
        <w:tc>
          <w:tcPr>
            <w:tcW w:w="481" w:type="pct"/>
            <w:shd w:val="clear" w:color="auto" w:fill="auto"/>
            <w:vAlign w:val="center"/>
          </w:tcPr>
          <w:p w14:paraId="543FF100">
            <w:pPr>
              <w:pStyle w:val="73"/>
              <w:adjustRightInd w:val="0"/>
              <w:snapToGrid w:val="0"/>
              <w:rPr>
                <w:rFonts w:cs="Times New Roman"/>
                <w:snapToGrid w:val="0"/>
                <w:color w:val="auto"/>
                <w:szCs w:val="21"/>
                <w:highlight w:val="none"/>
              </w:rPr>
            </w:pPr>
            <w:r>
              <w:rPr>
                <w:rFonts w:cs="Times New Roman"/>
                <w:snapToGrid w:val="0"/>
                <w:color w:val="auto"/>
                <w:szCs w:val="21"/>
                <w:highlight w:val="none"/>
              </w:rPr>
              <w:t>NH</w:t>
            </w:r>
            <w:r>
              <w:rPr>
                <w:rFonts w:cs="Times New Roman"/>
                <w:snapToGrid w:val="0"/>
                <w:color w:val="auto"/>
                <w:szCs w:val="21"/>
                <w:highlight w:val="none"/>
                <w:vertAlign w:val="subscript"/>
              </w:rPr>
              <w:t>3</w:t>
            </w:r>
          </w:p>
        </w:tc>
        <w:tc>
          <w:tcPr>
            <w:tcW w:w="484" w:type="pct"/>
            <w:shd w:val="clear" w:color="auto" w:fill="auto"/>
            <w:vAlign w:val="center"/>
          </w:tcPr>
          <w:p w14:paraId="6A6F76E2">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9.1</w:t>
            </w:r>
            <w:r>
              <w:rPr>
                <w:rFonts w:hint="eastAsia" w:cs="Times New Roman"/>
                <w:color w:val="auto"/>
                <w:sz w:val="21"/>
                <w:szCs w:val="21"/>
                <w:highlight w:val="none"/>
                <w:lang w:val="en-US" w:eastAsia="zh-CN"/>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3</w:t>
            </w:r>
          </w:p>
        </w:tc>
      </w:tr>
      <w:tr w14:paraId="401C0E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78" w:type="pct"/>
            <w:vMerge w:val="continue"/>
            <w:shd w:val="clear" w:color="auto" w:fill="auto"/>
            <w:vAlign w:val="center"/>
          </w:tcPr>
          <w:p w14:paraId="7A1C357E">
            <w:pPr>
              <w:pStyle w:val="73"/>
              <w:adjustRightInd w:val="0"/>
              <w:snapToGrid w:val="0"/>
              <w:rPr>
                <w:rFonts w:cs="Times New Roman"/>
                <w:color w:val="auto"/>
                <w:szCs w:val="21"/>
                <w:highlight w:val="none"/>
              </w:rPr>
            </w:pPr>
          </w:p>
        </w:tc>
        <w:tc>
          <w:tcPr>
            <w:tcW w:w="654" w:type="pct"/>
            <w:vMerge w:val="continue"/>
            <w:shd w:val="clear" w:color="auto" w:fill="auto"/>
            <w:vAlign w:val="center"/>
          </w:tcPr>
          <w:p w14:paraId="286FF590">
            <w:pPr>
              <w:pStyle w:val="73"/>
              <w:adjustRightInd w:val="0"/>
              <w:snapToGrid w:val="0"/>
              <w:rPr>
                <w:rFonts w:cs="Times New Roman"/>
                <w:color w:val="auto"/>
                <w:szCs w:val="21"/>
                <w:highlight w:val="none"/>
              </w:rPr>
            </w:pPr>
          </w:p>
        </w:tc>
        <w:tc>
          <w:tcPr>
            <w:tcW w:w="386" w:type="pct"/>
            <w:vMerge w:val="continue"/>
            <w:shd w:val="clear" w:color="auto" w:fill="auto"/>
            <w:vAlign w:val="center"/>
          </w:tcPr>
          <w:p w14:paraId="4C57F089">
            <w:pPr>
              <w:pStyle w:val="73"/>
              <w:adjustRightInd w:val="0"/>
              <w:snapToGrid w:val="0"/>
              <w:rPr>
                <w:rFonts w:cs="Times New Roman"/>
                <w:color w:val="auto"/>
                <w:szCs w:val="21"/>
                <w:highlight w:val="none"/>
              </w:rPr>
            </w:pPr>
          </w:p>
        </w:tc>
        <w:tc>
          <w:tcPr>
            <w:tcW w:w="382" w:type="pct"/>
            <w:vMerge w:val="continue"/>
            <w:shd w:val="clear" w:color="auto" w:fill="auto"/>
            <w:vAlign w:val="center"/>
          </w:tcPr>
          <w:p w14:paraId="7FE7FB0B">
            <w:pPr>
              <w:pStyle w:val="73"/>
              <w:adjustRightInd w:val="0"/>
              <w:snapToGrid w:val="0"/>
              <w:rPr>
                <w:rFonts w:cs="Times New Roman"/>
                <w:color w:val="auto"/>
                <w:szCs w:val="21"/>
                <w:highlight w:val="none"/>
              </w:rPr>
            </w:pPr>
          </w:p>
        </w:tc>
        <w:tc>
          <w:tcPr>
            <w:tcW w:w="454" w:type="pct"/>
            <w:vMerge w:val="continue"/>
            <w:shd w:val="clear" w:color="auto" w:fill="auto"/>
            <w:vAlign w:val="center"/>
          </w:tcPr>
          <w:p w14:paraId="3CDF2E8B">
            <w:pPr>
              <w:pStyle w:val="73"/>
              <w:adjustRightInd w:val="0"/>
              <w:snapToGrid w:val="0"/>
              <w:rPr>
                <w:rFonts w:cs="Times New Roman"/>
                <w:color w:val="auto"/>
                <w:szCs w:val="21"/>
                <w:highlight w:val="none"/>
              </w:rPr>
            </w:pPr>
          </w:p>
        </w:tc>
        <w:tc>
          <w:tcPr>
            <w:tcW w:w="312" w:type="pct"/>
            <w:vMerge w:val="continue"/>
            <w:vAlign w:val="center"/>
          </w:tcPr>
          <w:p w14:paraId="1DEAF3E9">
            <w:pPr>
              <w:pStyle w:val="73"/>
              <w:adjustRightInd w:val="0"/>
              <w:snapToGrid w:val="0"/>
              <w:rPr>
                <w:rFonts w:cs="Times New Roman"/>
                <w:color w:val="auto"/>
                <w:szCs w:val="21"/>
                <w:highlight w:val="none"/>
              </w:rPr>
            </w:pPr>
          </w:p>
        </w:tc>
        <w:tc>
          <w:tcPr>
            <w:tcW w:w="312" w:type="pct"/>
            <w:vMerge w:val="continue"/>
            <w:shd w:val="clear" w:color="auto" w:fill="auto"/>
            <w:vAlign w:val="center"/>
          </w:tcPr>
          <w:p w14:paraId="1605E957">
            <w:pPr>
              <w:pStyle w:val="73"/>
              <w:adjustRightInd w:val="0"/>
              <w:snapToGrid w:val="0"/>
              <w:rPr>
                <w:rFonts w:cs="Times New Roman"/>
                <w:color w:val="auto"/>
                <w:szCs w:val="21"/>
                <w:highlight w:val="none"/>
              </w:rPr>
            </w:pPr>
          </w:p>
        </w:tc>
        <w:tc>
          <w:tcPr>
            <w:tcW w:w="412" w:type="pct"/>
            <w:vMerge w:val="continue"/>
            <w:shd w:val="clear" w:color="auto" w:fill="auto"/>
            <w:vAlign w:val="center"/>
          </w:tcPr>
          <w:p w14:paraId="3188AE88">
            <w:pPr>
              <w:pStyle w:val="73"/>
              <w:adjustRightInd w:val="0"/>
              <w:snapToGrid w:val="0"/>
              <w:rPr>
                <w:rFonts w:cs="Times New Roman"/>
                <w:color w:val="auto"/>
                <w:szCs w:val="21"/>
                <w:highlight w:val="none"/>
              </w:rPr>
            </w:pPr>
          </w:p>
        </w:tc>
        <w:tc>
          <w:tcPr>
            <w:tcW w:w="264" w:type="pct"/>
            <w:vMerge w:val="continue"/>
            <w:shd w:val="clear" w:color="auto" w:fill="auto"/>
            <w:vAlign w:val="center"/>
          </w:tcPr>
          <w:p w14:paraId="4A002C11">
            <w:pPr>
              <w:pStyle w:val="73"/>
              <w:adjustRightInd w:val="0"/>
              <w:snapToGrid w:val="0"/>
              <w:rPr>
                <w:rFonts w:cs="Times New Roman"/>
                <w:color w:val="auto"/>
                <w:szCs w:val="21"/>
                <w:highlight w:val="none"/>
              </w:rPr>
            </w:pPr>
          </w:p>
        </w:tc>
        <w:tc>
          <w:tcPr>
            <w:tcW w:w="312" w:type="pct"/>
            <w:vMerge w:val="continue"/>
            <w:shd w:val="clear" w:color="auto" w:fill="auto"/>
            <w:vAlign w:val="center"/>
          </w:tcPr>
          <w:p w14:paraId="3993B9A2">
            <w:pPr>
              <w:pStyle w:val="73"/>
              <w:adjustRightInd w:val="0"/>
              <w:snapToGrid w:val="0"/>
              <w:rPr>
                <w:rFonts w:cs="Times New Roman"/>
                <w:color w:val="auto"/>
                <w:szCs w:val="21"/>
                <w:highlight w:val="none"/>
              </w:rPr>
            </w:pPr>
          </w:p>
        </w:tc>
        <w:tc>
          <w:tcPr>
            <w:tcW w:w="364" w:type="pct"/>
            <w:vMerge w:val="continue"/>
            <w:shd w:val="clear" w:color="auto" w:fill="auto"/>
            <w:vAlign w:val="center"/>
          </w:tcPr>
          <w:p w14:paraId="532F0052">
            <w:pPr>
              <w:pStyle w:val="73"/>
              <w:adjustRightInd w:val="0"/>
              <w:snapToGrid w:val="0"/>
              <w:rPr>
                <w:rFonts w:cs="Times New Roman"/>
                <w:color w:val="auto"/>
                <w:szCs w:val="21"/>
                <w:highlight w:val="none"/>
              </w:rPr>
            </w:pPr>
          </w:p>
        </w:tc>
        <w:tc>
          <w:tcPr>
            <w:tcW w:w="481" w:type="pct"/>
            <w:shd w:val="clear" w:color="auto" w:fill="auto"/>
            <w:vAlign w:val="center"/>
          </w:tcPr>
          <w:p w14:paraId="11EA6C07">
            <w:pPr>
              <w:pStyle w:val="73"/>
              <w:adjustRightInd w:val="0"/>
              <w:snapToGrid w:val="0"/>
              <w:rPr>
                <w:rFonts w:cs="Times New Roman"/>
                <w:snapToGrid w:val="0"/>
                <w:color w:val="auto"/>
                <w:szCs w:val="21"/>
                <w:highlight w:val="none"/>
              </w:rPr>
            </w:pPr>
            <w:r>
              <w:rPr>
                <w:rFonts w:cs="Times New Roman"/>
                <w:snapToGrid w:val="0"/>
                <w:color w:val="auto"/>
                <w:szCs w:val="21"/>
                <w:highlight w:val="none"/>
              </w:rPr>
              <w:t>H</w:t>
            </w:r>
            <w:r>
              <w:rPr>
                <w:rFonts w:cs="Times New Roman"/>
                <w:snapToGrid w:val="0"/>
                <w:color w:val="auto"/>
                <w:szCs w:val="21"/>
                <w:highlight w:val="none"/>
                <w:vertAlign w:val="subscript"/>
              </w:rPr>
              <w:t>2</w:t>
            </w:r>
            <w:r>
              <w:rPr>
                <w:rFonts w:cs="Times New Roman"/>
                <w:snapToGrid w:val="0"/>
                <w:color w:val="auto"/>
                <w:szCs w:val="21"/>
                <w:highlight w:val="none"/>
              </w:rPr>
              <w:t>S</w:t>
            </w:r>
          </w:p>
        </w:tc>
        <w:tc>
          <w:tcPr>
            <w:tcW w:w="484" w:type="pct"/>
            <w:shd w:val="clear" w:color="auto" w:fill="auto"/>
            <w:vAlign w:val="center"/>
          </w:tcPr>
          <w:p w14:paraId="685DF326">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1.1</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r>
      <w:tr w14:paraId="03F13B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178" w:type="pct"/>
            <w:vMerge w:val="restart"/>
            <w:shd w:val="clear" w:color="auto" w:fill="auto"/>
            <w:vAlign w:val="center"/>
          </w:tcPr>
          <w:p w14:paraId="365F8450">
            <w:pPr>
              <w:pStyle w:val="73"/>
              <w:adjustRightInd w:val="0"/>
              <w:snapToGrid w:val="0"/>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2</w:t>
            </w:r>
          </w:p>
        </w:tc>
        <w:tc>
          <w:tcPr>
            <w:tcW w:w="654" w:type="pct"/>
            <w:vMerge w:val="restart"/>
            <w:shd w:val="clear" w:color="auto" w:fill="auto"/>
            <w:vAlign w:val="center"/>
          </w:tcPr>
          <w:p w14:paraId="784A8917">
            <w:pPr>
              <w:pStyle w:val="73"/>
              <w:adjustRightInd w:val="0"/>
              <w:snapToGrid w:val="0"/>
              <w:rPr>
                <w:rFonts w:hint="eastAsia" w:eastAsia="宋体" w:cs="Times New Roman"/>
                <w:snapToGrid w:val="0"/>
                <w:color w:val="auto"/>
                <w:szCs w:val="21"/>
                <w:highlight w:val="none"/>
                <w:lang w:val="en-US" w:eastAsia="zh-CN"/>
              </w:rPr>
            </w:pPr>
            <w:r>
              <w:rPr>
                <w:rFonts w:cs="Times New Roman"/>
                <w:snapToGrid w:val="0"/>
                <w:color w:val="auto"/>
                <w:szCs w:val="21"/>
                <w:highlight w:val="none"/>
              </w:rPr>
              <w:t>污水处理站排气筒</w:t>
            </w:r>
            <w:r>
              <w:rPr>
                <w:rFonts w:cs="Times New Roman"/>
                <w:snapToGrid w:val="0"/>
                <w:color w:val="auto"/>
                <w:szCs w:val="21"/>
                <w:highlight w:val="none"/>
                <w:lang w:val="en-US"/>
              </w:rPr>
              <w:t>DA00</w:t>
            </w:r>
            <w:r>
              <w:rPr>
                <w:rFonts w:hint="eastAsia" w:cs="Times New Roman"/>
                <w:snapToGrid w:val="0"/>
                <w:color w:val="auto"/>
                <w:szCs w:val="21"/>
                <w:highlight w:val="none"/>
                <w:lang w:val="en-US" w:eastAsia="zh-CN"/>
              </w:rPr>
              <w:t>2</w:t>
            </w:r>
          </w:p>
        </w:tc>
        <w:tc>
          <w:tcPr>
            <w:tcW w:w="386" w:type="pct"/>
            <w:vMerge w:val="restart"/>
            <w:shd w:val="clear" w:color="auto" w:fill="auto"/>
            <w:vAlign w:val="center"/>
          </w:tcPr>
          <w:p w14:paraId="58091938">
            <w:pPr>
              <w:spacing w:line="360" w:lineRule="exact"/>
              <w:ind w:firstLine="0" w:firstLineChars="0"/>
              <w:jc w:val="center"/>
              <w:rPr>
                <w:rFonts w:cs="Times New Roman"/>
                <w:snapToGrid w:val="0"/>
                <w:color w:val="auto"/>
                <w:sz w:val="21"/>
                <w:szCs w:val="21"/>
                <w:highlight w:val="none"/>
              </w:rPr>
            </w:pPr>
            <w:r>
              <w:rPr>
                <w:rFonts w:cs="Times New Roman"/>
                <w:snapToGrid w:val="0"/>
                <w:color w:val="auto"/>
                <w:sz w:val="21"/>
                <w:szCs w:val="21"/>
                <w:highlight w:val="none"/>
              </w:rPr>
              <w:t>6</w:t>
            </w:r>
          </w:p>
        </w:tc>
        <w:tc>
          <w:tcPr>
            <w:tcW w:w="382" w:type="pct"/>
            <w:vMerge w:val="restart"/>
            <w:shd w:val="clear" w:color="auto" w:fill="auto"/>
            <w:vAlign w:val="center"/>
          </w:tcPr>
          <w:p w14:paraId="0374F208">
            <w:pPr>
              <w:spacing w:line="360" w:lineRule="exact"/>
              <w:ind w:firstLine="0" w:firstLineChars="0"/>
              <w:jc w:val="center"/>
              <w:rPr>
                <w:rFonts w:cs="Times New Roman"/>
                <w:snapToGrid w:val="0"/>
                <w:color w:val="auto"/>
                <w:sz w:val="21"/>
                <w:szCs w:val="21"/>
                <w:highlight w:val="none"/>
              </w:rPr>
            </w:pPr>
            <w:r>
              <w:rPr>
                <w:rFonts w:cs="Times New Roman"/>
                <w:snapToGrid w:val="0"/>
                <w:color w:val="auto"/>
                <w:sz w:val="21"/>
                <w:szCs w:val="21"/>
                <w:highlight w:val="none"/>
              </w:rPr>
              <w:t>51</w:t>
            </w:r>
          </w:p>
        </w:tc>
        <w:tc>
          <w:tcPr>
            <w:tcW w:w="454" w:type="pct"/>
            <w:vMerge w:val="restart"/>
            <w:shd w:val="clear" w:color="auto" w:fill="auto"/>
            <w:vAlign w:val="center"/>
          </w:tcPr>
          <w:p w14:paraId="0DC8BDC9">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62</w:t>
            </w:r>
          </w:p>
        </w:tc>
        <w:tc>
          <w:tcPr>
            <w:tcW w:w="312" w:type="pct"/>
            <w:vMerge w:val="restart"/>
            <w:vAlign w:val="center"/>
          </w:tcPr>
          <w:p w14:paraId="4D37CEFD">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15.00</w:t>
            </w:r>
          </w:p>
        </w:tc>
        <w:tc>
          <w:tcPr>
            <w:tcW w:w="312" w:type="pct"/>
            <w:vMerge w:val="restart"/>
            <w:shd w:val="clear" w:color="auto" w:fill="auto"/>
            <w:vAlign w:val="center"/>
          </w:tcPr>
          <w:p w14:paraId="35E3EEB5">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0.20</w:t>
            </w:r>
          </w:p>
        </w:tc>
        <w:tc>
          <w:tcPr>
            <w:tcW w:w="412" w:type="pct"/>
            <w:vMerge w:val="restart"/>
            <w:shd w:val="clear" w:color="auto" w:fill="auto"/>
            <w:vAlign w:val="center"/>
          </w:tcPr>
          <w:p w14:paraId="4862D05F">
            <w:pPr>
              <w:pStyle w:val="73"/>
              <w:adjustRightInd w:val="0"/>
              <w:snapToGrid w:val="0"/>
              <w:rPr>
                <w:rFonts w:cs="Times New Roman"/>
                <w:snapToGrid w:val="0"/>
                <w:color w:val="auto"/>
                <w:szCs w:val="21"/>
                <w:highlight w:val="none"/>
              </w:rPr>
            </w:pPr>
            <w:r>
              <w:rPr>
                <w:rFonts w:cs="Times New Roman"/>
                <w:color w:val="auto"/>
                <w:szCs w:val="21"/>
                <w:highlight w:val="none"/>
                <w:lang w:val="en-US"/>
              </w:rPr>
              <w:t>17.68</w:t>
            </w:r>
          </w:p>
        </w:tc>
        <w:tc>
          <w:tcPr>
            <w:tcW w:w="264" w:type="pct"/>
            <w:vMerge w:val="restart"/>
            <w:shd w:val="clear" w:color="auto" w:fill="auto"/>
            <w:vAlign w:val="center"/>
          </w:tcPr>
          <w:p w14:paraId="6D4250B8">
            <w:pPr>
              <w:pStyle w:val="73"/>
              <w:adjustRightInd w:val="0"/>
              <w:snapToGrid w:val="0"/>
              <w:rPr>
                <w:rFonts w:cs="Times New Roman"/>
                <w:snapToGrid w:val="0"/>
                <w:color w:val="auto"/>
                <w:szCs w:val="21"/>
                <w:highlight w:val="none"/>
              </w:rPr>
            </w:pPr>
            <w:r>
              <w:rPr>
                <w:rFonts w:cs="Times New Roman"/>
                <w:snapToGrid w:val="0"/>
                <w:color w:val="auto"/>
                <w:szCs w:val="21"/>
                <w:highlight w:val="none"/>
              </w:rPr>
              <w:t>2</w:t>
            </w:r>
            <w:r>
              <w:rPr>
                <w:rFonts w:cs="Times New Roman"/>
                <w:snapToGrid w:val="0"/>
                <w:color w:val="auto"/>
                <w:szCs w:val="21"/>
                <w:highlight w:val="none"/>
                <w:lang w:val="en-US"/>
              </w:rPr>
              <w:t>0</w:t>
            </w:r>
          </w:p>
        </w:tc>
        <w:tc>
          <w:tcPr>
            <w:tcW w:w="312" w:type="pct"/>
            <w:vMerge w:val="restart"/>
            <w:shd w:val="clear" w:color="auto" w:fill="auto"/>
            <w:vAlign w:val="center"/>
          </w:tcPr>
          <w:p w14:paraId="6DE05945">
            <w:pPr>
              <w:pStyle w:val="73"/>
              <w:adjustRightInd w:val="0"/>
              <w:snapToGrid w:val="0"/>
              <w:rPr>
                <w:rFonts w:hint="default" w:cs="Times New Roman"/>
                <w:snapToGrid w:val="0"/>
                <w:color w:val="auto"/>
                <w:szCs w:val="21"/>
                <w:highlight w:val="none"/>
                <w:lang w:val="en-US"/>
              </w:rPr>
            </w:pPr>
            <w:r>
              <w:rPr>
                <w:rFonts w:hint="eastAsia" w:cs="Times New Roman"/>
                <w:snapToGrid w:val="0"/>
                <w:color w:val="auto"/>
                <w:szCs w:val="21"/>
                <w:highlight w:val="none"/>
                <w:lang w:val="en-US" w:eastAsia="zh-CN"/>
              </w:rPr>
              <w:t>7440</w:t>
            </w:r>
          </w:p>
        </w:tc>
        <w:tc>
          <w:tcPr>
            <w:tcW w:w="364" w:type="pct"/>
            <w:vMerge w:val="restart"/>
            <w:shd w:val="clear" w:color="auto" w:fill="auto"/>
            <w:vAlign w:val="center"/>
          </w:tcPr>
          <w:p w14:paraId="7A8A6F14">
            <w:pPr>
              <w:pStyle w:val="73"/>
              <w:adjustRightInd w:val="0"/>
              <w:snapToGrid w:val="0"/>
              <w:rPr>
                <w:rFonts w:cs="Times New Roman"/>
                <w:snapToGrid w:val="0"/>
                <w:color w:val="auto"/>
                <w:szCs w:val="21"/>
                <w:highlight w:val="none"/>
              </w:rPr>
            </w:pPr>
            <w:r>
              <w:rPr>
                <w:rFonts w:cs="Times New Roman"/>
                <w:snapToGrid w:val="0"/>
                <w:color w:val="auto"/>
                <w:szCs w:val="21"/>
                <w:highlight w:val="none"/>
              </w:rPr>
              <w:t>正常</w:t>
            </w:r>
          </w:p>
        </w:tc>
        <w:tc>
          <w:tcPr>
            <w:tcW w:w="481" w:type="pct"/>
            <w:shd w:val="clear" w:color="auto" w:fill="auto"/>
            <w:vAlign w:val="center"/>
          </w:tcPr>
          <w:p w14:paraId="3678C2DB">
            <w:pPr>
              <w:pStyle w:val="73"/>
              <w:adjustRightInd w:val="0"/>
              <w:snapToGrid w:val="0"/>
              <w:rPr>
                <w:rFonts w:cs="Times New Roman"/>
                <w:snapToGrid w:val="0"/>
                <w:color w:val="auto"/>
                <w:szCs w:val="21"/>
                <w:highlight w:val="none"/>
              </w:rPr>
            </w:pPr>
            <w:r>
              <w:rPr>
                <w:rFonts w:cs="Times New Roman"/>
                <w:snapToGrid w:val="0"/>
                <w:color w:val="auto"/>
                <w:szCs w:val="21"/>
                <w:highlight w:val="none"/>
              </w:rPr>
              <w:t>NH</w:t>
            </w:r>
            <w:r>
              <w:rPr>
                <w:rFonts w:cs="Times New Roman"/>
                <w:snapToGrid w:val="0"/>
                <w:color w:val="auto"/>
                <w:szCs w:val="21"/>
                <w:highlight w:val="none"/>
                <w:vertAlign w:val="subscript"/>
              </w:rPr>
              <w:t>3</w:t>
            </w:r>
          </w:p>
        </w:tc>
        <w:tc>
          <w:tcPr>
            <w:tcW w:w="484" w:type="pct"/>
            <w:shd w:val="clear" w:color="auto" w:fill="auto"/>
            <w:vAlign w:val="center"/>
          </w:tcPr>
          <w:p w14:paraId="40148167">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snapToGrid w:val="0"/>
                <w:color w:val="auto"/>
                <w:sz w:val="21"/>
                <w:szCs w:val="21"/>
                <w:highlight w:val="none"/>
                <w:lang w:val="en-US" w:eastAsia="zh-CN"/>
              </w:rPr>
              <w:t>5.4</w:t>
            </w:r>
            <w:r>
              <w:rPr>
                <w:rFonts w:cs="Times New Roman"/>
                <w:snapToGrid w:val="0"/>
                <w:color w:val="auto"/>
                <w:sz w:val="21"/>
                <w:szCs w:val="21"/>
                <w:highlight w:val="none"/>
                <w:lang w:val="zh-CN"/>
              </w:rPr>
              <w:t>×</w:t>
            </w:r>
            <w:r>
              <w:rPr>
                <w:rFonts w:hint="eastAsia" w:cs="Times New Roman"/>
                <w:snapToGrid w:val="0"/>
                <w:color w:val="auto"/>
                <w:sz w:val="21"/>
                <w:szCs w:val="21"/>
                <w:highlight w:val="none"/>
                <w:lang w:eastAsia="zh-CN"/>
              </w:rPr>
              <w:t>10</w:t>
            </w:r>
            <w:r>
              <w:rPr>
                <w:rFonts w:cs="Times New Roman"/>
                <w:snapToGrid w:val="0"/>
                <w:color w:val="auto"/>
                <w:sz w:val="21"/>
                <w:szCs w:val="21"/>
                <w:highlight w:val="none"/>
                <w:vertAlign w:val="superscript"/>
                <w:lang w:val="zh-CN"/>
              </w:rPr>
              <w:t>-</w:t>
            </w:r>
            <w:r>
              <w:rPr>
                <w:rFonts w:hint="eastAsia" w:cs="Times New Roman"/>
                <w:snapToGrid w:val="0"/>
                <w:color w:val="auto"/>
                <w:sz w:val="21"/>
                <w:szCs w:val="21"/>
                <w:highlight w:val="none"/>
                <w:vertAlign w:val="superscript"/>
                <w:lang w:val="en-US" w:eastAsia="zh-CN"/>
              </w:rPr>
              <w:t>3</w:t>
            </w:r>
          </w:p>
        </w:tc>
      </w:tr>
      <w:tr w14:paraId="48A462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78" w:type="pct"/>
            <w:vMerge w:val="continue"/>
            <w:shd w:val="clear" w:color="auto" w:fill="auto"/>
            <w:vAlign w:val="center"/>
          </w:tcPr>
          <w:p w14:paraId="307F1665">
            <w:pPr>
              <w:pStyle w:val="73"/>
              <w:adjustRightInd w:val="0"/>
              <w:snapToGrid w:val="0"/>
              <w:rPr>
                <w:rFonts w:cs="Times New Roman"/>
                <w:color w:val="auto"/>
                <w:szCs w:val="21"/>
                <w:highlight w:val="none"/>
              </w:rPr>
            </w:pPr>
          </w:p>
        </w:tc>
        <w:tc>
          <w:tcPr>
            <w:tcW w:w="654" w:type="pct"/>
            <w:vMerge w:val="continue"/>
            <w:shd w:val="clear" w:color="auto" w:fill="auto"/>
            <w:vAlign w:val="center"/>
          </w:tcPr>
          <w:p w14:paraId="5030778B">
            <w:pPr>
              <w:pStyle w:val="73"/>
              <w:adjustRightInd w:val="0"/>
              <w:snapToGrid w:val="0"/>
              <w:rPr>
                <w:rFonts w:cs="Times New Roman"/>
                <w:color w:val="auto"/>
                <w:szCs w:val="21"/>
                <w:highlight w:val="none"/>
              </w:rPr>
            </w:pPr>
          </w:p>
        </w:tc>
        <w:tc>
          <w:tcPr>
            <w:tcW w:w="386" w:type="pct"/>
            <w:vMerge w:val="continue"/>
            <w:shd w:val="clear" w:color="auto" w:fill="auto"/>
            <w:vAlign w:val="center"/>
          </w:tcPr>
          <w:p w14:paraId="312C4946">
            <w:pPr>
              <w:pStyle w:val="73"/>
              <w:adjustRightInd w:val="0"/>
              <w:snapToGrid w:val="0"/>
              <w:rPr>
                <w:rFonts w:cs="Times New Roman"/>
                <w:color w:val="auto"/>
                <w:szCs w:val="21"/>
                <w:highlight w:val="none"/>
              </w:rPr>
            </w:pPr>
          </w:p>
        </w:tc>
        <w:tc>
          <w:tcPr>
            <w:tcW w:w="382" w:type="pct"/>
            <w:vMerge w:val="continue"/>
            <w:shd w:val="clear" w:color="auto" w:fill="auto"/>
            <w:vAlign w:val="center"/>
          </w:tcPr>
          <w:p w14:paraId="249D6754">
            <w:pPr>
              <w:pStyle w:val="73"/>
              <w:adjustRightInd w:val="0"/>
              <w:snapToGrid w:val="0"/>
              <w:rPr>
                <w:rFonts w:cs="Times New Roman"/>
                <w:color w:val="auto"/>
                <w:szCs w:val="21"/>
                <w:highlight w:val="none"/>
              </w:rPr>
            </w:pPr>
          </w:p>
        </w:tc>
        <w:tc>
          <w:tcPr>
            <w:tcW w:w="454" w:type="pct"/>
            <w:vMerge w:val="continue"/>
            <w:shd w:val="clear" w:color="auto" w:fill="auto"/>
            <w:vAlign w:val="center"/>
          </w:tcPr>
          <w:p w14:paraId="0A9912C9">
            <w:pPr>
              <w:pStyle w:val="73"/>
              <w:adjustRightInd w:val="0"/>
              <w:snapToGrid w:val="0"/>
              <w:rPr>
                <w:rFonts w:cs="Times New Roman"/>
                <w:color w:val="auto"/>
                <w:szCs w:val="21"/>
                <w:highlight w:val="none"/>
              </w:rPr>
            </w:pPr>
          </w:p>
        </w:tc>
        <w:tc>
          <w:tcPr>
            <w:tcW w:w="312" w:type="pct"/>
            <w:vMerge w:val="continue"/>
            <w:vAlign w:val="center"/>
          </w:tcPr>
          <w:p w14:paraId="4A596C16">
            <w:pPr>
              <w:pStyle w:val="73"/>
              <w:adjustRightInd w:val="0"/>
              <w:snapToGrid w:val="0"/>
              <w:rPr>
                <w:rFonts w:cs="Times New Roman"/>
                <w:color w:val="auto"/>
                <w:szCs w:val="21"/>
                <w:highlight w:val="none"/>
              </w:rPr>
            </w:pPr>
          </w:p>
        </w:tc>
        <w:tc>
          <w:tcPr>
            <w:tcW w:w="312" w:type="pct"/>
            <w:vMerge w:val="continue"/>
            <w:shd w:val="clear" w:color="auto" w:fill="auto"/>
            <w:vAlign w:val="center"/>
          </w:tcPr>
          <w:p w14:paraId="3966E8A6">
            <w:pPr>
              <w:pStyle w:val="73"/>
              <w:adjustRightInd w:val="0"/>
              <w:snapToGrid w:val="0"/>
              <w:rPr>
                <w:rFonts w:cs="Times New Roman"/>
                <w:color w:val="auto"/>
                <w:szCs w:val="21"/>
                <w:highlight w:val="none"/>
              </w:rPr>
            </w:pPr>
          </w:p>
        </w:tc>
        <w:tc>
          <w:tcPr>
            <w:tcW w:w="412" w:type="pct"/>
            <w:vMerge w:val="continue"/>
            <w:shd w:val="clear" w:color="auto" w:fill="auto"/>
            <w:vAlign w:val="center"/>
          </w:tcPr>
          <w:p w14:paraId="30B3A227">
            <w:pPr>
              <w:pStyle w:val="73"/>
              <w:adjustRightInd w:val="0"/>
              <w:snapToGrid w:val="0"/>
              <w:rPr>
                <w:rFonts w:cs="Times New Roman"/>
                <w:color w:val="auto"/>
                <w:szCs w:val="21"/>
                <w:highlight w:val="none"/>
              </w:rPr>
            </w:pPr>
          </w:p>
        </w:tc>
        <w:tc>
          <w:tcPr>
            <w:tcW w:w="264" w:type="pct"/>
            <w:vMerge w:val="continue"/>
            <w:shd w:val="clear" w:color="auto" w:fill="auto"/>
            <w:vAlign w:val="center"/>
          </w:tcPr>
          <w:p w14:paraId="6794CCB9">
            <w:pPr>
              <w:pStyle w:val="73"/>
              <w:adjustRightInd w:val="0"/>
              <w:snapToGrid w:val="0"/>
              <w:rPr>
                <w:rFonts w:cs="Times New Roman"/>
                <w:color w:val="auto"/>
                <w:szCs w:val="21"/>
                <w:highlight w:val="none"/>
              </w:rPr>
            </w:pPr>
          </w:p>
        </w:tc>
        <w:tc>
          <w:tcPr>
            <w:tcW w:w="312" w:type="pct"/>
            <w:vMerge w:val="continue"/>
            <w:shd w:val="clear" w:color="auto" w:fill="auto"/>
            <w:vAlign w:val="center"/>
          </w:tcPr>
          <w:p w14:paraId="6E928CC6">
            <w:pPr>
              <w:pStyle w:val="73"/>
              <w:adjustRightInd w:val="0"/>
              <w:snapToGrid w:val="0"/>
              <w:rPr>
                <w:rFonts w:cs="Times New Roman"/>
                <w:color w:val="auto"/>
                <w:szCs w:val="21"/>
                <w:highlight w:val="none"/>
              </w:rPr>
            </w:pPr>
          </w:p>
        </w:tc>
        <w:tc>
          <w:tcPr>
            <w:tcW w:w="364" w:type="pct"/>
            <w:vMerge w:val="continue"/>
            <w:shd w:val="clear" w:color="auto" w:fill="auto"/>
            <w:vAlign w:val="center"/>
          </w:tcPr>
          <w:p w14:paraId="66E9E6DA">
            <w:pPr>
              <w:pStyle w:val="73"/>
              <w:adjustRightInd w:val="0"/>
              <w:snapToGrid w:val="0"/>
              <w:rPr>
                <w:rFonts w:cs="Times New Roman"/>
                <w:color w:val="auto"/>
                <w:szCs w:val="21"/>
                <w:highlight w:val="none"/>
              </w:rPr>
            </w:pPr>
          </w:p>
        </w:tc>
        <w:tc>
          <w:tcPr>
            <w:tcW w:w="481" w:type="pct"/>
            <w:shd w:val="clear" w:color="auto" w:fill="auto"/>
            <w:vAlign w:val="center"/>
          </w:tcPr>
          <w:p w14:paraId="5E823136">
            <w:pPr>
              <w:pStyle w:val="73"/>
              <w:adjustRightInd w:val="0"/>
              <w:snapToGrid w:val="0"/>
              <w:rPr>
                <w:rFonts w:cs="Times New Roman"/>
                <w:snapToGrid w:val="0"/>
                <w:color w:val="auto"/>
                <w:szCs w:val="21"/>
                <w:highlight w:val="none"/>
                <w:lang w:val="en-US"/>
              </w:rPr>
            </w:pPr>
            <w:r>
              <w:rPr>
                <w:rFonts w:cs="Times New Roman"/>
                <w:snapToGrid w:val="0"/>
                <w:color w:val="auto"/>
                <w:szCs w:val="21"/>
                <w:highlight w:val="none"/>
              </w:rPr>
              <w:t>H</w:t>
            </w:r>
            <w:r>
              <w:rPr>
                <w:rFonts w:cs="Times New Roman"/>
                <w:snapToGrid w:val="0"/>
                <w:color w:val="auto"/>
                <w:szCs w:val="21"/>
                <w:highlight w:val="none"/>
                <w:vertAlign w:val="subscript"/>
              </w:rPr>
              <w:t>2</w:t>
            </w:r>
            <w:r>
              <w:rPr>
                <w:rFonts w:cs="Times New Roman"/>
                <w:snapToGrid w:val="0"/>
                <w:color w:val="auto"/>
                <w:szCs w:val="21"/>
                <w:highlight w:val="none"/>
              </w:rPr>
              <w:t>S</w:t>
            </w:r>
          </w:p>
        </w:tc>
        <w:tc>
          <w:tcPr>
            <w:tcW w:w="484" w:type="pct"/>
            <w:shd w:val="clear" w:color="auto" w:fill="auto"/>
            <w:vAlign w:val="center"/>
          </w:tcPr>
          <w:p w14:paraId="508C54F0">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snapToGrid w:val="0"/>
                <w:color w:val="auto"/>
                <w:sz w:val="21"/>
                <w:szCs w:val="21"/>
                <w:highlight w:val="none"/>
                <w:lang w:val="en-US" w:eastAsia="zh-CN"/>
              </w:rPr>
              <w:t>2.0</w:t>
            </w:r>
            <w:r>
              <w:rPr>
                <w:rFonts w:cs="Times New Roman"/>
                <w:snapToGrid w:val="0"/>
                <w:color w:val="auto"/>
                <w:sz w:val="21"/>
                <w:szCs w:val="21"/>
                <w:highlight w:val="none"/>
                <w:lang w:val="zh-CN"/>
              </w:rPr>
              <w:t>×</w:t>
            </w:r>
            <w:r>
              <w:rPr>
                <w:rFonts w:hint="eastAsia" w:cs="Times New Roman"/>
                <w:snapToGrid w:val="0"/>
                <w:color w:val="auto"/>
                <w:sz w:val="21"/>
                <w:szCs w:val="21"/>
                <w:highlight w:val="none"/>
                <w:lang w:eastAsia="zh-CN"/>
              </w:rPr>
              <w:t>10</w:t>
            </w:r>
            <w:r>
              <w:rPr>
                <w:rFonts w:cs="Times New Roman"/>
                <w:snapToGrid w:val="0"/>
                <w:color w:val="auto"/>
                <w:sz w:val="21"/>
                <w:szCs w:val="21"/>
                <w:highlight w:val="none"/>
                <w:vertAlign w:val="superscript"/>
                <w:lang w:val="zh-CN"/>
              </w:rPr>
              <w:t>-</w:t>
            </w:r>
            <w:r>
              <w:rPr>
                <w:rFonts w:hint="eastAsia" w:cs="Times New Roman"/>
                <w:snapToGrid w:val="0"/>
                <w:color w:val="auto"/>
                <w:sz w:val="21"/>
                <w:szCs w:val="21"/>
                <w:highlight w:val="none"/>
                <w:vertAlign w:val="superscript"/>
                <w:lang w:val="en-US" w:eastAsia="zh-CN"/>
              </w:rPr>
              <w:t>4</w:t>
            </w:r>
          </w:p>
        </w:tc>
      </w:tr>
    </w:tbl>
    <w:p w14:paraId="43984ACE">
      <w:pPr>
        <w:pStyle w:val="66"/>
        <w:spacing w:line="240" w:lineRule="auto"/>
        <w:rPr>
          <w:rFonts w:hint="eastAsia" w:eastAsia="宋体" w:cs="Times New Roman"/>
          <w:b/>
          <w:bCs/>
          <w:snapToGrid w:val="0"/>
          <w:color w:val="auto"/>
          <w:szCs w:val="24"/>
          <w:highlight w:val="none"/>
          <w:lang w:val="en-US" w:eastAsia="zh-CN"/>
        </w:rPr>
      </w:pPr>
      <w:r>
        <w:rPr>
          <w:rFonts w:hint="eastAsia" w:eastAsia="宋体" w:cs="Times New Roman"/>
          <w:b/>
          <w:bCs/>
          <w:snapToGrid w:val="0"/>
          <w:color w:val="auto"/>
          <w:szCs w:val="24"/>
          <w:highlight w:val="none"/>
          <w:lang w:val="en-US" w:eastAsia="zh-CN"/>
        </w:rPr>
        <w:t xml:space="preserve"> </w:t>
      </w:r>
    </w:p>
    <w:p w14:paraId="2FAAB57A">
      <w:pPr>
        <w:pStyle w:val="66"/>
        <w:spacing w:line="240" w:lineRule="auto"/>
        <w:rPr>
          <w:rFonts w:eastAsia="宋体" w:cs="Times New Roman"/>
          <w:b/>
          <w:bCs/>
          <w:snapToGrid w:val="0"/>
          <w:color w:val="auto"/>
          <w:szCs w:val="24"/>
          <w:highlight w:val="none"/>
        </w:rPr>
      </w:pPr>
      <w:r>
        <w:rPr>
          <w:rFonts w:eastAsia="宋体" w:cs="Times New Roman"/>
          <w:b/>
          <w:bCs/>
          <w:snapToGrid w:val="0"/>
          <w:color w:val="auto"/>
          <w:szCs w:val="24"/>
          <w:highlight w:val="none"/>
        </w:rPr>
        <w:t>表2</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3</w:t>
      </w:r>
      <w:r>
        <w:rPr>
          <w:rFonts w:eastAsia="宋体" w:cs="Times New Roman"/>
          <w:b/>
          <w:bCs/>
          <w:snapToGrid w:val="0"/>
          <w:color w:val="auto"/>
          <w:szCs w:val="24"/>
          <w:highlight w:val="none"/>
        </w:rPr>
        <w:t>-5</w:t>
      </w:r>
      <w:r>
        <w:rPr>
          <w:rFonts w:eastAsia="宋体" w:cs="Times New Roman"/>
          <w:b/>
          <w:bCs/>
          <w:snapToGrid w:val="0"/>
          <w:color w:val="auto"/>
          <w:szCs w:val="24"/>
          <w:highlight w:val="none"/>
          <w:lang w:val="en-US"/>
        </w:rPr>
        <w:t xml:space="preserve">  </w:t>
      </w:r>
      <w:r>
        <w:rPr>
          <w:rFonts w:eastAsia="宋体" w:cs="Times New Roman"/>
          <w:b/>
          <w:bCs/>
          <w:snapToGrid w:val="0"/>
          <w:color w:val="auto"/>
          <w:szCs w:val="24"/>
          <w:highlight w:val="none"/>
        </w:rPr>
        <w:t>面源参数表</w:t>
      </w:r>
    </w:p>
    <w:tbl>
      <w:tblPr>
        <w:tblStyle w:val="4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5"/>
        <w:gridCol w:w="1287"/>
        <w:gridCol w:w="1042"/>
        <w:gridCol w:w="1037"/>
        <w:gridCol w:w="1012"/>
        <w:gridCol w:w="913"/>
        <w:gridCol w:w="910"/>
        <w:gridCol w:w="1217"/>
        <w:gridCol w:w="1027"/>
        <w:gridCol w:w="1131"/>
        <w:gridCol w:w="693"/>
        <w:gridCol w:w="1258"/>
        <w:gridCol w:w="1258"/>
      </w:tblGrid>
      <w:tr w14:paraId="3C5D2C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565" w:type="dxa"/>
            <w:vMerge w:val="restart"/>
            <w:shd w:val="clear" w:color="auto" w:fill="auto"/>
            <w:vAlign w:val="center"/>
          </w:tcPr>
          <w:p w14:paraId="50EE2938">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编号</w:t>
            </w:r>
          </w:p>
        </w:tc>
        <w:tc>
          <w:tcPr>
            <w:tcW w:w="1287" w:type="dxa"/>
            <w:vMerge w:val="restart"/>
            <w:shd w:val="clear" w:color="auto" w:fill="auto"/>
            <w:vAlign w:val="center"/>
          </w:tcPr>
          <w:p w14:paraId="18B39940">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名称</w:t>
            </w:r>
          </w:p>
        </w:tc>
        <w:tc>
          <w:tcPr>
            <w:tcW w:w="2079" w:type="dxa"/>
            <w:gridSpan w:val="2"/>
            <w:shd w:val="clear" w:color="auto" w:fill="auto"/>
            <w:vAlign w:val="center"/>
          </w:tcPr>
          <w:p w14:paraId="2FCC42ED">
            <w:pPr>
              <w:pStyle w:val="73"/>
              <w:adjustRightInd w:val="0"/>
              <w:snapToGrid w:val="0"/>
              <w:spacing w:line="260" w:lineRule="atLeast"/>
              <w:rPr>
                <w:rFonts w:cs="Times New Roman"/>
                <w:snapToGrid w:val="0"/>
                <w:color w:val="auto"/>
                <w:szCs w:val="21"/>
                <w:highlight w:val="none"/>
                <w:lang w:val="en-US"/>
              </w:rPr>
            </w:pPr>
            <w:r>
              <w:rPr>
                <w:rFonts w:cs="Times New Roman"/>
                <w:snapToGrid w:val="0"/>
                <w:color w:val="auto"/>
                <w:szCs w:val="21"/>
                <w:highlight w:val="none"/>
              </w:rPr>
              <w:t>面源起点坐标</w:t>
            </w:r>
            <w:r>
              <w:rPr>
                <w:rFonts w:cs="Times New Roman"/>
                <w:snapToGrid w:val="0"/>
                <w:color w:val="auto"/>
                <w:szCs w:val="21"/>
                <w:highlight w:val="none"/>
                <w:lang w:val="en-US"/>
              </w:rPr>
              <w:t>/m</w:t>
            </w:r>
          </w:p>
        </w:tc>
        <w:tc>
          <w:tcPr>
            <w:tcW w:w="1012" w:type="dxa"/>
            <w:vMerge w:val="restart"/>
            <w:shd w:val="clear" w:color="auto" w:fill="auto"/>
            <w:vAlign w:val="center"/>
          </w:tcPr>
          <w:p w14:paraId="3FE62A3C">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面源海拔高度/m</w:t>
            </w:r>
          </w:p>
        </w:tc>
        <w:tc>
          <w:tcPr>
            <w:tcW w:w="913" w:type="dxa"/>
            <w:vMerge w:val="restart"/>
            <w:shd w:val="clear" w:color="auto" w:fill="auto"/>
            <w:vAlign w:val="center"/>
          </w:tcPr>
          <w:p w14:paraId="12879EB3">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面源长度/m</w:t>
            </w:r>
          </w:p>
        </w:tc>
        <w:tc>
          <w:tcPr>
            <w:tcW w:w="910" w:type="dxa"/>
            <w:vMerge w:val="restart"/>
            <w:shd w:val="clear" w:color="auto" w:fill="auto"/>
            <w:vAlign w:val="center"/>
          </w:tcPr>
          <w:p w14:paraId="5658766A">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面源宽度/m</w:t>
            </w:r>
          </w:p>
        </w:tc>
        <w:tc>
          <w:tcPr>
            <w:tcW w:w="1217" w:type="dxa"/>
            <w:vMerge w:val="restart"/>
            <w:shd w:val="clear" w:color="auto" w:fill="auto"/>
            <w:vAlign w:val="center"/>
          </w:tcPr>
          <w:p w14:paraId="0A6C61EC">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与正北向夹角/°</w:t>
            </w:r>
          </w:p>
        </w:tc>
        <w:tc>
          <w:tcPr>
            <w:tcW w:w="1027" w:type="dxa"/>
            <w:vMerge w:val="restart"/>
            <w:shd w:val="clear" w:color="auto" w:fill="auto"/>
            <w:vAlign w:val="center"/>
          </w:tcPr>
          <w:p w14:paraId="3B88DB57">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面源有效排放高度/m</w:t>
            </w:r>
          </w:p>
        </w:tc>
        <w:tc>
          <w:tcPr>
            <w:tcW w:w="1131" w:type="dxa"/>
            <w:vMerge w:val="restart"/>
            <w:shd w:val="clear" w:color="auto" w:fill="auto"/>
            <w:vAlign w:val="center"/>
          </w:tcPr>
          <w:p w14:paraId="216C2FF6">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年排放小时数/h</w:t>
            </w:r>
          </w:p>
        </w:tc>
        <w:tc>
          <w:tcPr>
            <w:tcW w:w="693" w:type="dxa"/>
            <w:vMerge w:val="restart"/>
            <w:shd w:val="clear" w:color="auto" w:fill="auto"/>
            <w:vAlign w:val="center"/>
          </w:tcPr>
          <w:p w14:paraId="45840A12">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排放</w:t>
            </w:r>
          </w:p>
          <w:p w14:paraId="028A70CF">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工况</w:t>
            </w:r>
          </w:p>
        </w:tc>
        <w:tc>
          <w:tcPr>
            <w:tcW w:w="2516" w:type="dxa"/>
            <w:gridSpan w:val="2"/>
            <w:shd w:val="clear" w:color="auto" w:fill="auto"/>
            <w:vAlign w:val="center"/>
          </w:tcPr>
          <w:p w14:paraId="619FA36C">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污染物排放速率/（kg/h）</w:t>
            </w:r>
          </w:p>
        </w:tc>
      </w:tr>
      <w:tr w14:paraId="45E55D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565" w:type="dxa"/>
            <w:vMerge w:val="continue"/>
            <w:shd w:val="clear" w:color="auto" w:fill="auto"/>
            <w:vAlign w:val="center"/>
          </w:tcPr>
          <w:p w14:paraId="0C4F521A">
            <w:pPr>
              <w:pStyle w:val="73"/>
              <w:adjustRightInd w:val="0"/>
              <w:snapToGrid w:val="0"/>
              <w:spacing w:line="260" w:lineRule="atLeast"/>
              <w:rPr>
                <w:rFonts w:cs="Times New Roman"/>
                <w:snapToGrid w:val="0"/>
                <w:color w:val="auto"/>
                <w:szCs w:val="21"/>
                <w:highlight w:val="none"/>
              </w:rPr>
            </w:pPr>
          </w:p>
        </w:tc>
        <w:tc>
          <w:tcPr>
            <w:tcW w:w="1287" w:type="dxa"/>
            <w:vMerge w:val="continue"/>
            <w:shd w:val="clear" w:color="auto" w:fill="auto"/>
            <w:vAlign w:val="center"/>
          </w:tcPr>
          <w:p w14:paraId="32DAB8D8">
            <w:pPr>
              <w:pStyle w:val="73"/>
              <w:adjustRightInd w:val="0"/>
              <w:snapToGrid w:val="0"/>
              <w:spacing w:line="260" w:lineRule="atLeast"/>
              <w:rPr>
                <w:rFonts w:cs="Times New Roman"/>
                <w:snapToGrid w:val="0"/>
                <w:color w:val="auto"/>
                <w:szCs w:val="21"/>
                <w:highlight w:val="none"/>
              </w:rPr>
            </w:pPr>
          </w:p>
        </w:tc>
        <w:tc>
          <w:tcPr>
            <w:tcW w:w="1042" w:type="dxa"/>
            <w:shd w:val="clear" w:color="auto" w:fill="auto"/>
            <w:vAlign w:val="center"/>
          </w:tcPr>
          <w:p w14:paraId="42EA529A">
            <w:pPr>
              <w:pStyle w:val="73"/>
              <w:adjustRightInd w:val="0"/>
              <w:snapToGrid w:val="0"/>
              <w:spacing w:line="260" w:lineRule="atLeast"/>
              <w:rPr>
                <w:rFonts w:cs="Times New Roman"/>
                <w:snapToGrid w:val="0"/>
                <w:color w:val="auto"/>
                <w:szCs w:val="21"/>
                <w:highlight w:val="none"/>
                <w:lang w:val="en-US"/>
              </w:rPr>
            </w:pPr>
            <w:r>
              <w:rPr>
                <w:rFonts w:cs="Times New Roman"/>
                <w:snapToGrid w:val="0"/>
                <w:color w:val="auto"/>
                <w:szCs w:val="21"/>
                <w:highlight w:val="none"/>
                <w:lang w:val="en-US"/>
              </w:rPr>
              <w:t>X</w:t>
            </w:r>
          </w:p>
        </w:tc>
        <w:tc>
          <w:tcPr>
            <w:tcW w:w="1037" w:type="dxa"/>
            <w:shd w:val="clear" w:color="auto" w:fill="auto"/>
            <w:vAlign w:val="center"/>
          </w:tcPr>
          <w:p w14:paraId="63315B3D">
            <w:pPr>
              <w:pStyle w:val="73"/>
              <w:adjustRightInd w:val="0"/>
              <w:snapToGrid w:val="0"/>
              <w:spacing w:line="260" w:lineRule="atLeast"/>
              <w:rPr>
                <w:rFonts w:cs="Times New Roman"/>
                <w:snapToGrid w:val="0"/>
                <w:color w:val="auto"/>
                <w:szCs w:val="21"/>
                <w:highlight w:val="none"/>
                <w:lang w:val="en-US"/>
              </w:rPr>
            </w:pPr>
            <w:r>
              <w:rPr>
                <w:rFonts w:cs="Times New Roman"/>
                <w:snapToGrid w:val="0"/>
                <w:color w:val="auto"/>
                <w:szCs w:val="21"/>
                <w:highlight w:val="none"/>
                <w:lang w:val="en-US"/>
              </w:rPr>
              <w:t>Y</w:t>
            </w:r>
          </w:p>
        </w:tc>
        <w:tc>
          <w:tcPr>
            <w:tcW w:w="1012" w:type="dxa"/>
            <w:vMerge w:val="continue"/>
            <w:shd w:val="clear" w:color="auto" w:fill="auto"/>
            <w:vAlign w:val="center"/>
          </w:tcPr>
          <w:p w14:paraId="191664FE">
            <w:pPr>
              <w:pStyle w:val="73"/>
              <w:adjustRightInd w:val="0"/>
              <w:snapToGrid w:val="0"/>
              <w:spacing w:line="260" w:lineRule="atLeast"/>
              <w:rPr>
                <w:rFonts w:cs="Times New Roman"/>
                <w:snapToGrid w:val="0"/>
                <w:color w:val="auto"/>
                <w:szCs w:val="21"/>
                <w:highlight w:val="none"/>
              </w:rPr>
            </w:pPr>
          </w:p>
        </w:tc>
        <w:tc>
          <w:tcPr>
            <w:tcW w:w="913" w:type="dxa"/>
            <w:vMerge w:val="continue"/>
            <w:shd w:val="clear" w:color="auto" w:fill="auto"/>
            <w:vAlign w:val="center"/>
          </w:tcPr>
          <w:p w14:paraId="68E19A2E">
            <w:pPr>
              <w:pStyle w:val="73"/>
              <w:adjustRightInd w:val="0"/>
              <w:snapToGrid w:val="0"/>
              <w:spacing w:line="260" w:lineRule="atLeast"/>
              <w:rPr>
                <w:rFonts w:cs="Times New Roman"/>
                <w:snapToGrid w:val="0"/>
                <w:color w:val="auto"/>
                <w:szCs w:val="21"/>
                <w:highlight w:val="none"/>
              </w:rPr>
            </w:pPr>
          </w:p>
        </w:tc>
        <w:tc>
          <w:tcPr>
            <w:tcW w:w="910" w:type="dxa"/>
            <w:vMerge w:val="continue"/>
            <w:shd w:val="clear" w:color="auto" w:fill="auto"/>
            <w:vAlign w:val="center"/>
          </w:tcPr>
          <w:p w14:paraId="6E5038E3">
            <w:pPr>
              <w:pStyle w:val="73"/>
              <w:adjustRightInd w:val="0"/>
              <w:snapToGrid w:val="0"/>
              <w:spacing w:line="260" w:lineRule="atLeast"/>
              <w:rPr>
                <w:rFonts w:cs="Times New Roman"/>
                <w:snapToGrid w:val="0"/>
                <w:color w:val="auto"/>
                <w:szCs w:val="21"/>
                <w:highlight w:val="none"/>
              </w:rPr>
            </w:pPr>
          </w:p>
        </w:tc>
        <w:tc>
          <w:tcPr>
            <w:tcW w:w="1217" w:type="dxa"/>
            <w:vMerge w:val="continue"/>
            <w:shd w:val="clear" w:color="auto" w:fill="auto"/>
            <w:vAlign w:val="center"/>
          </w:tcPr>
          <w:p w14:paraId="7FBF0BD1">
            <w:pPr>
              <w:pStyle w:val="73"/>
              <w:adjustRightInd w:val="0"/>
              <w:snapToGrid w:val="0"/>
              <w:spacing w:line="260" w:lineRule="atLeast"/>
              <w:rPr>
                <w:rFonts w:cs="Times New Roman"/>
                <w:snapToGrid w:val="0"/>
                <w:color w:val="auto"/>
                <w:szCs w:val="21"/>
                <w:highlight w:val="none"/>
              </w:rPr>
            </w:pPr>
          </w:p>
        </w:tc>
        <w:tc>
          <w:tcPr>
            <w:tcW w:w="1027" w:type="dxa"/>
            <w:vMerge w:val="continue"/>
            <w:shd w:val="clear" w:color="auto" w:fill="auto"/>
            <w:vAlign w:val="center"/>
          </w:tcPr>
          <w:p w14:paraId="43C6B7C6">
            <w:pPr>
              <w:pStyle w:val="73"/>
              <w:adjustRightInd w:val="0"/>
              <w:snapToGrid w:val="0"/>
              <w:spacing w:line="260" w:lineRule="atLeast"/>
              <w:rPr>
                <w:rFonts w:cs="Times New Roman"/>
                <w:snapToGrid w:val="0"/>
                <w:color w:val="auto"/>
                <w:szCs w:val="21"/>
                <w:highlight w:val="none"/>
              </w:rPr>
            </w:pPr>
          </w:p>
        </w:tc>
        <w:tc>
          <w:tcPr>
            <w:tcW w:w="1131" w:type="dxa"/>
            <w:vMerge w:val="continue"/>
            <w:shd w:val="clear" w:color="auto" w:fill="auto"/>
            <w:vAlign w:val="center"/>
          </w:tcPr>
          <w:p w14:paraId="58545683">
            <w:pPr>
              <w:pStyle w:val="73"/>
              <w:adjustRightInd w:val="0"/>
              <w:snapToGrid w:val="0"/>
              <w:spacing w:line="260" w:lineRule="atLeast"/>
              <w:rPr>
                <w:rFonts w:cs="Times New Roman"/>
                <w:snapToGrid w:val="0"/>
                <w:color w:val="auto"/>
                <w:szCs w:val="21"/>
                <w:highlight w:val="none"/>
              </w:rPr>
            </w:pPr>
          </w:p>
        </w:tc>
        <w:tc>
          <w:tcPr>
            <w:tcW w:w="693" w:type="dxa"/>
            <w:vMerge w:val="continue"/>
            <w:shd w:val="clear" w:color="auto" w:fill="auto"/>
            <w:vAlign w:val="center"/>
          </w:tcPr>
          <w:p w14:paraId="33B30A9F">
            <w:pPr>
              <w:pStyle w:val="73"/>
              <w:adjustRightInd w:val="0"/>
              <w:snapToGrid w:val="0"/>
              <w:spacing w:line="260" w:lineRule="atLeast"/>
              <w:rPr>
                <w:rFonts w:cs="Times New Roman"/>
                <w:snapToGrid w:val="0"/>
                <w:color w:val="auto"/>
                <w:szCs w:val="21"/>
                <w:highlight w:val="none"/>
              </w:rPr>
            </w:pPr>
          </w:p>
        </w:tc>
        <w:tc>
          <w:tcPr>
            <w:tcW w:w="1258" w:type="dxa"/>
            <w:shd w:val="clear" w:color="auto" w:fill="auto"/>
            <w:vAlign w:val="center"/>
          </w:tcPr>
          <w:p w14:paraId="20539C44">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NH</w:t>
            </w:r>
            <w:r>
              <w:rPr>
                <w:rFonts w:cs="Times New Roman"/>
                <w:snapToGrid w:val="0"/>
                <w:color w:val="auto"/>
                <w:szCs w:val="21"/>
                <w:highlight w:val="none"/>
                <w:vertAlign w:val="subscript"/>
              </w:rPr>
              <w:t>3</w:t>
            </w:r>
          </w:p>
        </w:tc>
        <w:tc>
          <w:tcPr>
            <w:tcW w:w="1258" w:type="dxa"/>
            <w:shd w:val="clear" w:color="auto" w:fill="auto"/>
            <w:vAlign w:val="center"/>
          </w:tcPr>
          <w:p w14:paraId="423668A3">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H</w:t>
            </w:r>
            <w:r>
              <w:rPr>
                <w:rFonts w:cs="Times New Roman"/>
                <w:snapToGrid w:val="0"/>
                <w:color w:val="auto"/>
                <w:szCs w:val="21"/>
                <w:highlight w:val="none"/>
                <w:vertAlign w:val="subscript"/>
              </w:rPr>
              <w:t>2</w:t>
            </w:r>
            <w:r>
              <w:rPr>
                <w:rFonts w:cs="Times New Roman"/>
                <w:snapToGrid w:val="0"/>
                <w:color w:val="auto"/>
                <w:szCs w:val="21"/>
                <w:highlight w:val="none"/>
              </w:rPr>
              <w:t>S</w:t>
            </w:r>
          </w:p>
        </w:tc>
      </w:tr>
      <w:tr w14:paraId="5A0E88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565" w:type="dxa"/>
            <w:shd w:val="clear" w:color="auto" w:fill="auto"/>
            <w:vAlign w:val="center"/>
          </w:tcPr>
          <w:p w14:paraId="79E56CF6">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1</w:t>
            </w:r>
          </w:p>
        </w:tc>
        <w:tc>
          <w:tcPr>
            <w:tcW w:w="1287" w:type="dxa"/>
            <w:shd w:val="clear" w:color="auto" w:fill="auto"/>
            <w:vAlign w:val="center"/>
          </w:tcPr>
          <w:p w14:paraId="5B2169A7">
            <w:pPr>
              <w:pStyle w:val="73"/>
              <w:adjustRightInd w:val="0"/>
              <w:snapToGrid w:val="0"/>
              <w:spacing w:line="260" w:lineRule="atLeast"/>
              <w:rPr>
                <w:rFonts w:hint="eastAsia" w:eastAsia="宋体" w:cs="Times New Roman"/>
                <w:snapToGrid w:val="0"/>
                <w:color w:val="auto"/>
                <w:szCs w:val="21"/>
                <w:highlight w:val="none"/>
                <w:lang w:eastAsia="zh-CN"/>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w:t>
            </w:r>
          </w:p>
        </w:tc>
        <w:tc>
          <w:tcPr>
            <w:tcW w:w="1042" w:type="dxa"/>
            <w:shd w:val="clear" w:color="auto" w:fill="auto"/>
            <w:vAlign w:val="center"/>
          </w:tcPr>
          <w:p w14:paraId="178B900F">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eastAsia"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w:t>
            </w:r>
          </w:p>
        </w:tc>
        <w:tc>
          <w:tcPr>
            <w:tcW w:w="1037" w:type="dxa"/>
            <w:shd w:val="clear" w:color="auto" w:fill="auto"/>
            <w:vAlign w:val="center"/>
          </w:tcPr>
          <w:p w14:paraId="726DCFC6">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w:t>
            </w:r>
          </w:p>
        </w:tc>
        <w:tc>
          <w:tcPr>
            <w:tcW w:w="1012" w:type="dxa"/>
            <w:shd w:val="clear" w:color="auto" w:fill="auto"/>
            <w:vAlign w:val="center"/>
          </w:tcPr>
          <w:p w14:paraId="59EFDCBE">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172</w:t>
            </w:r>
          </w:p>
        </w:tc>
        <w:tc>
          <w:tcPr>
            <w:tcW w:w="913" w:type="dxa"/>
            <w:shd w:val="clear" w:color="auto" w:fill="auto"/>
            <w:vAlign w:val="center"/>
          </w:tcPr>
          <w:p w14:paraId="65D1FD9E">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25</w:t>
            </w:r>
          </w:p>
        </w:tc>
        <w:tc>
          <w:tcPr>
            <w:tcW w:w="910" w:type="dxa"/>
            <w:shd w:val="clear" w:color="auto" w:fill="auto"/>
            <w:vAlign w:val="center"/>
          </w:tcPr>
          <w:p w14:paraId="6EAD8121">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85</w:t>
            </w:r>
          </w:p>
        </w:tc>
        <w:tc>
          <w:tcPr>
            <w:tcW w:w="1217" w:type="dxa"/>
            <w:shd w:val="clear" w:color="auto" w:fill="auto"/>
            <w:vAlign w:val="center"/>
          </w:tcPr>
          <w:p w14:paraId="5400CFD4">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cs="Times New Roman"/>
                <w:snapToGrid w:val="0"/>
                <w:color w:val="auto"/>
                <w:szCs w:val="21"/>
                <w:highlight w:val="none"/>
                <w:lang w:val="en-US"/>
              </w:rPr>
            </w:pPr>
            <w:r>
              <w:rPr>
                <w:rFonts w:hint="eastAsia" w:cs="Times New Roman"/>
                <w:snapToGrid w:val="0"/>
                <w:color w:val="auto"/>
                <w:szCs w:val="21"/>
                <w:highlight w:val="none"/>
                <w:lang w:val="en-US" w:eastAsia="zh-CN"/>
              </w:rPr>
              <w:t>-</w:t>
            </w:r>
            <w:r>
              <w:rPr>
                <w:rFonts w:cs="Times New Roman"/>
                <w:snapToGrid w:val="0"/>
                <w:color w:val="auto"/>
                <w:szCs w:val="21"/>
                <w:highlight w:val="none"/>
                <w:lang w:val="en-US"/>
              </w:rPr>
              <w:t>5</w:t>
            </w:r>
          </w:p>
        </w:tc>
        <w:tc>
          <w:tcPr>
            <w:tcW w:w="1027" w:type="dxa"/>
            <w:shd w:val="clear" w:color="auto" w:fill="auto"/>
            <w:vAlign w:val="center"/>
          </w:tcPr>
          <w:p w14:paraId="75621FAC">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4</w:t>
            </w:r>
          </w:p>
        </w:tc>
        <w:tc>
          <w:tcPr>
            <w:tcW w:w="1131" w:type="dxa"/>
            <w:shd w:val="clear" w:color="auto" w:fill="auto"/>
            <w:vAlign w:val="center"/>
          </w:tcPr>
          <w:p w14:paraId="637DFA97">
            <w:pPr>
              <w:pStyle w:val="73"/>
              <w:adjustRightInd w:val="0"/>
              <w:snapToGrid w:val="0"/>
              <w:spacing w:line="260" w:lineRule="atLeast"/>
              <w:rPr>
                <w:rFonts w:hint="default"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7440</w:t>
            </w:r>
          </w:p>
        </w:tc>
        <w:tc>
          <w:tcPr>
            <w:tcW w:w="693" w:type="dxa"/>
            <w:shd w:val="clear" w:color="auto" w:fill="auto"/>
            <w:vAlign w:val="center"/>
          </w:tcPr>
          <w:p w14:paraId="60D6F640">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正常</w:t>
            </w:r>
          </w:p>
        </w:tc>
        <w:tc>
          <w:tcPr>
            <w:tcW w:w="1258" w:type="dxa"/>
            <w:shd w:val="clear" w:color="auto" w:fill="auto"/>
            <w:vAlign w:val="center"/>
          </w:tcPr>
          <w:p w14:paraId="5DF7B67D">
            <w:pPr>
              <w:pStyle w:val="73"/>
              <w:adjustRightInd w:val="0"/>
              <w:snapToGrid w:val="0"/>
              <w:spacing w:line="260" w:lineRule="atLeast"/>
              <w:rPr>
                <w:rFonts w:cs="Times New Roman"/>
                <w:color w:val="auto"/>
                <w:szCs w:val="21"/>
                <w:highlight w:val="none"/>
                <w:lang w:val="en-US"/>
              </w:rPr>
            </w:pPr>
            <w:r>
              <w:rPr>
                <w:rFonts w:hint="eastAsia" w:ascii="Times New Roman" w:hAnsi="Times New Roman" w:eastAsia="宋体" w:cs="Times New Roman"/>
                <w:snapToGrid w:val="0"/>
                <w:color w:val="auto"/>
                <w:kern w:val="0"/>
                <w:sz w:val="21"/>
                <w:szCs w:val="22"/>
                <w:highlight w:val="none"/>
                <w:lang w:val="en-US" w:eastAsia="zh-CN" w:bidi="ar-SA"/>
              </w:rPr>
              <w:t>1.0</w:t>
            </w:r>
            <w:r>
              <w:rPr>
                <w:rFonts w:hint="eastAsia" w:cs="Times New Roman"/>
                <w:color w:val="auto"/>
                <w:sz w:val="21"/>
                <w:szCs w:val="21"/>
                <w:highlight w:val="none"/>
                <w:lang w:val="en-US" w:eastAsia="zh-CN"/>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3</w:t>
            </w:r>
          </w:p>
        </w:tc>
        <w:tc>
          <w:tcPr>
            <w:tcW w:w="1258" w:type="dxa"/>
            <w:shd w:val="clear" w:color="auto" w:fill="auto"/>
            <w:vAlign w:val="center"/>
          </w:tcPr>
          <w:p w14:paraId="58CEC47E">
            <w:pPr>
              <w:pStyle w:val="73"/>
              <w:adjustRightInd w:val="0"/>
              <w:snapToGrid w:val="0"/>
              <w:spacing w:line="260" w:lineRule="atLeast"/>
              <w:rPr>
                <w:rFonts w:hint="eastAsia" w:eastAsia="宋体" w:cs="Times New Roman"/>
                <w:color w:val="auto"/>
                <w:szCs w:val="21"/>
                <w:highlight w:val="none"/>
                <w:lang w:eastAsia="zh-CN"/>
              </w:rPr>
            </w:pPr>
            <w:r>
              <w:rPr>
                <w:rFonts w:hint="eastAsia" w:ascii="Times New Roman" w:hAnsi="Times New Roman" w:eastAsia="宋体" w:cs="Times New Roman"/>
                <w:snapToGrid w:val="0"/>
                <w:color w:val="auto"/>
                <w:kern w:val="0"/>
                <w:sz w:val="21"/>
                <w:szCs w:val="22"/>
                <w:highlight w:val="none"/>
                <w:lang w:val="en-US" w:eastAsia="zh-CN" w:bidi="ar-SA"/>
              </w:rPr>
              <w:t>1.2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r>
      <w:tr w14:paraId="4A2BC8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565" w:type="dxa"/>
            <w:shd w:val="clear" w:color="auto" w:fill="auto"/>
            <w:vAlign w:val="center"/>
          </w:tcPr>
          <w:p w14:paraId="013B3686">
            <w:pPr>
              <w:pStyle w:val="73"/>
              <w:adjustRightInd w:val="0"/>
              <w:snapToGrid w:val="0"/>
              <w:spacing w:line="260" w:lineRule="atLeast"/>
              <w:rPr>
                <w:rFonts w:cs="Times New Roman"/>
                <w:snapToGrid w:val="0"/>
                <w:color w:val="auto"/>
                <w:szCs w:val="21"/>
                <w:highlight w:val="none"/>
                <w:lang w:val="en-US"/>
              </w:rPr>
            </w:pPr>
            <w:r>
              <w:rPr>
                <w:rFonts w:cs="Times New Roman"/>
                <w:snapToGrid w:val="0"/>
                <w:color w:val="auto"/>
                <w:szCs w:val="21"/>
                <w:highlight w:val="none"/>
                <w:lang w:val="en-US"/>
              </w:rPr>
              <w:t>2</w:t>
            </w:r>
          </w:p>
        </w:tc>
        <w:tc>
          <w:tcPr>
            <w:tcW w:w="1287" w:type="dxa"/>
            <w:shd w:val="clear" w:color="auto" w:fill="auto"/>
            <w:vAlign w:val="center"/>
          </w:tcPr>
          <w:p w14:paraId="3ABAD729">
            <w:pPr>
              <w:pStyle w:val="73"/>
              <w:adjustRightInd w:val="0"/>
              <w:snapToGrid w:val="0"/>
              <w:spacing w:line="260" w:lineRule="atLeast"/>
              <w:rPr>
                <w:rFonts w:hint="default"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污水处理站</w:t>
            </w:r>
          </w:p>
        </w:tc>
        <w:tc>
          <w:tcPr>
            <w:tcW w:w="1042" w:type="dxa"/>
            <w:shd w:val="clear" w:color="auto" w:fill="auto"/>
            <w:vAlign w:val="center"/>
          </w:tcPr>
          <w:p w14:paraId="48B24B04">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12</w:t>
            </w:r>
          </w:p>
        </w:tc>
        <w:tc>
          <w:tcPr>
            <w:tcW w:w="1037" w:type="dxa"/>
            <w:shd w:val="clear" w:color="auto" w:fill="auto"/>
            <w:vAlign w:val="center"/>
          </w:tcPr>
          <w:p w14:paraId="3FA625CB">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w:t>
            </w:r>
          </w:p>
        </w:tc>
        <w:tc>
          <w:tcPr>
            <w:tcW w:w="1012" w:type="dxa"/>
            <w:shd w:val="clear" w:color="auto" w:fill="auto"/>
            <w:vAlign w:val="center"/>
          </w:tcPr>
          <w:p w14:paraId="6985ADD4">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170</w:t>
            </w:r>
          </w:p>
        </w:tc>
        <w:tc>
          <w:tcPr>
            <w:tcW w:w="913" w:type="dxa"/>
            <w:shd w:val="clear" w:color="auto" w:fill="auto"/>
            <w:vAlign w:val="center"/>
          </w:tcPr>
          <w:p w14:paraId="519AE625">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14</w:t>
            </w:r>
          </w:p>
        </w:tc>
        <w:tc>
          <w:tcPr>
            <w:tcW w:w="910" w:type="dxa"/>
            <w:shd w:val="clear" w:color="auto" w:fill="auto"/>
            <w:vAlign w:val="center"/>
          </w:tcPr>
          <w:p w14:paraId="0D818B1F">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c>
          <w:tcPr>
            <w:tcW w:w="1217" w:type="dxa"/>
            <w:shd w:val="clear" w:color="auto" w:fill="auto"/>
            <w:vAlign w:val="center"/>
          </w:tcPr>
          <w:p w14:paraId="73715D9F">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0</w:t>
            </w:r>
          </w:p>
        </w:tc>
        <w:tc>
          <w:tcPr>
            <w:tcW w:w="1027" w:type="dxa"/>
            <w:shd w:val="clear" w:color="auto" w:fill="auto"/>
            <w:vAlign w:val="center"/>
          </w:tcPr>
          <w:p w14:paraId="4C2BCE0E">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3</w:t>
            </w:r>
          </w:p>
        </w:tc>
        <w:tc>
          <w:tcPr>
            <w:tcW w:w="1131" w:type="dxa"/>
            <w:shd w:val="clear" w:color="auto" w:fill="auto"/>
            <w:vAlign w:val="center"/>
          </w:tcPr>
          <w:p w14:paraId="5AA2EEDD">
            <w:pPr>
              <w:pStyle w:val="73"/>
              <w:adjustRightInd w:val="0"/>
              <w:snapToGrid w:val="0"/>
              <w:spacing w:line="260" w:lineRule="atLeast"/>
              <w:rPr>
                <w:rFonts w:hint="default"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7440</w:t>
            </w:r>
          </w:p>
        </w:tc>
        <w:tc>
          <w:tcPr>
            <w:tcW w:w="693" w:type="dxa"/>
            <w:shd w:val="clear" w:color="auto" w:fill="auto"/>
            <w:vAlign w:val="center"/>
          </w:tcPr>
          <w:p w14:paraId="3B743D0F">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正常</w:t>
            </w:r>
          </w:p>
        </w:tc>
        <w:tc>
          <w:tcPr>
            <w:tcW w:w="1258" w:type="dxa"/>
            <w:shd w:val="clear" w:color="auto" w:fill="auto"/>
            <w:vAlign w:val="center"/>
          </w:tcPr>
          <w:p w14:paraId="017845CC">
            <w:pPr>
              <w:pStyle w:val="73"/>
              <w:adjustRightInd w:val="0"/>
              <w:snapToGrid w:val="0"/>
              <w:spacing w:line="260" w:lineRule="atLeast"/>
              <w:rPr>
                <w:rFonts w:cs="Times New Roman"/>
                <w:color w:val="auto"/>
                <w:szCs w:val="21"/>
                <w:highlight w:val="none"/>
                <w:lang w:val="en-US"/>
              </w:rPr>
            </w:pPr>
            <w:r>
              <w:rPr>
                <w:rFonts w:hint="eastAsia" w:cs="Times New Roman"/>
                <w:color w:val="auto"/>
                <w:sz w:val="21"/>
                <w:szCs w:val="21"/>
                <w:highlight w:val="none"/>
                <w:lang w:val="en-US" w:eastAsia="zh-CN"/>
              </w:rPr>
              <w:t>3.0</w:t>
            </w:r>
            <w:r>
              <w:rPr>
                <w:rFonts w:cs="Times New Roman"/>
                <w:snapToGrid w:val="0"/>
                <w:color w:val="auto"/>
                <w:sz w:val="21"/>
                <w:szCs w:val="21"/>
                <w:highlight w:val="none"/>
                <w:lang w:val="zh-CN"/>
              </w:rPr>
              <w:t>×</w:t>
            </w:r>
            <w:r>
              <w:rPr>
                <w:rFonts w:hint="eastAsia" w:cs="Times New Roman"/>
                <w:color w:val="auto"/>
                <w:sz w:val="21"/>
                <w:szCs w:val="21"/>
                <w:highlight w:val="none"/>
                <w:lang w:eastAsia="zh-CN"/>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3</w:t>
            </w:r>
          </w:p>
        </w:tc>
        <w:tc>
          <w:tcPr>
            <w:tcW w:w="1258" w:type="dxa"/>
            <w:shd w:val="clear" w:color="auto" w:fill="auto"/>
            <w:vAlign w:val="center"/>
          </w:tcPr>
          <w:p w14:paraId="711358AF">
            <w:pPr>
              <w:pStyle w:val="73"/>
              <w:adjustRightInd w:val="0"/>
              <w:snapToGrid w:val="0"/>
              <w:spacing w:line="260" w:lineRule="atLeast"/>
              <w:rPr>
                <w:rFonts w:cs="Times New Roman"/>
                <w:snapToGrid w:val="0"/>
                <w:color w:val="auto"/>
                <w:szCs w:val="21"/>
                <w:highlight w:val="none"/>
                <w:lang w:val="en-US"/>
              </w:rPr>
            </w:pPr>
            <w:r>
              <w:rPr>
                <w:rFonts w:hint="eastAsia" w:cs="Times New Roman"/>
                <w:color w:val="auto"/>
                <w:sz w:val="21"/>
                <w:szCs w:val="21"/>
                <w:highlight w:val="none"/>
                <w:lang w:val="en-US" w:eastAsia="zh-CN"/>
              </w:rPr>
              <w:t>1.1</w:t>
            </w:r>
            <w:r>
              <w:rPr>
                <w:rFonts w:cs="Times New Roman"/>
                <w:snapToGrid w:val="0"/>
                <w:color w:val="auto"/>
                <w:sz w:val="21"/>
                <w:szCs w:val="21"/>
                <w:highlight w:val="none"/>
                <w:lang w:val="zh-CN"/>
              </w:rPr>
              <w:t>×</w:t>
            </w:r>
            <w:r>
              <w:rPr>
                <w:rFonts w:hint="eastAsia" w:cs="Times New Roman"/>
                <w:color w:val="auto"/>
                <w:sz w:val="21"/>
                <w:szCs w:val="21"/>
                <w:highlight w:val="none"/>
                <w:lang w:eastAsia="zh-CN"/>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4</w:t>
            </w:r>
          </w:p>
        </w:tc>
      </w:tr>
      <w:tr w14:paraId="44A7EC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565" w:type="dxa"/>
            <w:shd w:val="clear" w:color="auto" w:fill="auto"/>
            <w:vAlign w:val="center"/>
          </w:tcPr>
          <w:p w14:paraId="471CA89B">
            <w:pPr>
              <w:pStyle w:val="73"/>
              <w:adjustRightInd w:val="0"/>
              <w:snapToGrid w:val="0"/>
              <w:spacing w:line="260" w:lineRule="atLeast"/>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3</w:t>
            </w:r>
          </w:p>
        </w:tc>
        <w:tc>
          <w:tcPr>
            <w:tcW w:w="1287" w:type="dxa"/>
            <w:shd w:val="clear" w:color="auto" w:fill="auto"/>
            <w:vAlign w:val="center"/>
          </w:tcPr>
          <w:p w14:paraId="66D5A0B7">
            <w:pPr>
              <w:pStyle w:val="73"/>
              <w:adjustRightInd w:val="0"/>
              <w:snapToGrid w:val="0"/>
              <w:spacing w:line="260" w:lineRule="atLeast"/>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待宰圈</w:t>
            </w:r>
          </w:p>
        </w:tc>
        <w:tc>
          <w:tcPr>
            <w:tcW w:w="1042" w:type="dxa"/>
            <w:shd w:val="clear" w:color="auto" w:fill="auto"/>
            <w:vAlign w:val="center"/>
          </w:tcPr>
          <w:p w14:paraId="2DBA5932">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1037" w:type="dxa"/>
            <w:shd w:val="clear" w:color="auto" w:fill="auto"/>
            <w:vAlign w:val="center"/>
          </w:tcPr>
          <w:p w14:paraId="249B5A27">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c>
          <w:tcPr>
            <w:tcW w:w="1012" w:type="dxa"/>
            <w:shd w:val="clear" w:color="auto" w:fill="auto"/>
            <w:vAlign w:val="center"/>
          </w:tcPr>
          <w:p w14:paraId="71F2CCFE">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175</w:t>
            </w:r>
          </w:p>
        </w:tc>
        <w:tc>
          <w:tcPr>
            <w:tcW w:w="913" w:type="dxa"/>
            <w:shd w:val="clear" w:color="auto" w:fill="auto"/>
            <w:vAlign w:val="center"/>
          </w:tcPr>
          <w:p w14:paraId="6BE72746">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c>
          <w:tcPr>
            <w:tcW w:w="910" w:type="dxa"/>
            <w:shd w:val="clear" w:color="auto" w:fill="auto"/>
            <w:vAlign w:val="center"/>
          </w:tcPr>
          <w:p w14:paraId="59442D93">
            <w:pPr>
              <w:keepNext w:val="0"/>
              <w:keepLines w:val="0"/>
              <w:pageBreakBefore w:val="0"/>
              <w:widowControl w:val="0"/>
              <w:kinsoku/>
              <w:wordWrap/>
              <w:overflowPunct/>
              <w:topLinePunct w:val="0"/>
              <w:autoSpaceDE/>
              <w:autoSpaceDN/>
              <w:bidi w:val="0"/>
              <w:adjustRightInd w:val="0"/>
              <w:snapToGrid w:val="0"/>
              <w:spacing w:line="360" w:lineRule="exact"/>
              <w:ind w:firstLine="0" w:firstLineChars="0"/>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c>
          <w:tcPr>
            <w:tcW w:w="1217" w:type="dxa"/>
            <w:shd w:val="clear" w:color="auto" w:fill="auto"/>
            <w:vAlign w:val="center"/>
          </w:tcPr>
          <w:p w14:paraId="10102E13">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1</w:t>
            </w:r>
          </w:p>
        </w:tc>
        <w:tc>
          <w:tcPr>
            <w:tcW w:w="1027" w:type="dxa"/>
            <w:shd w:val="clear" w:color="auto" w:fill="auto"/>
            <w:vAlign w:val="center"/>
          </w:tcPr>
          <w:p w14:paraId="0D51540E">
            <w:pPr>
              <w:pStyle w:val="73"/>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3</w:t>
            </w:r>
          </w:p>
        </w:tc>
        <w:tc>
          <w:tcPr>
            <w:tcW w:w="1131" w:type="dxa"/>
            <w:shd w:val="clear" w:color="auto" w:fill="auto"/>
            <w:vAlign w:val="center"/>
          </w:tcPr>
          <w:p w14:paraId="53CDF305">
            <w:pPr>
              <w:pStyle w:val="73"/>
              <w:adjustRightInd w:val="0"/>
              <w:snapToGrid w:val="0"/>
              <w:spacing w:line="260" w:lineRule="atLeast"/>
              <w:rPr>
                <w:rFonts w:hint="default"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7440</w:t>
            </w:r>
          </w:p>
        </w:tc>
        <w:tc>
          <w:tcPr>
            <w:tcW w:w="693" w:type="dxa"/>
            <w:shd w:val="clear" w:color="auto" w:fill="auto"/>
            <w:vAlign w:val="center"/>
          </w:tcPr>
          <w:p w14:paraId="1695B301">
            <w:pPr>
              <w:pStyle w:val="73"/>
              <w:adjustRightInd w:val="0"/>
              <w:snapToGrid w:val="0"/>
              <w:spacing w:line="260" w:lineRule="atLeast"/>
              <w:rPr>
                <w:rFonts w:cs="Times New Roman"/>
                <w:snapToGrid w:val="0"/>
                <w:color w:val="auto"/>
                <w:szCs w:val="21"/>
                <w:highlight w:val="none"/>
              </w:rPr>
            </w:pPr>
            <w:r>
              <w:rPr>
                <w:rFonts w:cs="Times New Roman"/>
                <w:snapToGrid w:val="0"/>
                <w:color w:val="auto"/>
                <w:szCs w:val="21"/>
                <w:highlight w:val="none"/>
              </w:rPr>
              <w:t>正常</w:t>
            </w:r>
          </w:p>
        </w:tc>
        <w:tc>
          <w:tcPr>
            <w:tcW w:w="1258" w:type="dxa"/>
            <w:shd w:val="clear" w:color="auto" w:fill="auto"/>
            <w:vAlign w:val="center"/>
          </w:tcPr>
          <w:p w14:paraId="3DD8652F">
            <w:pPr>
              <w:pStyle w:val="73"/>
              <w:adjustRightInd w:val="0"/>
              <w:snapToGrid w:val="0"/>
              <w:spacing w:line="260" w:lineRule="atLeast"/>
              <w:rPr>
                <w:rFonts w:cs="Times New Roman"/>
                <w:color w:val="auto"/>
                <w:szCs w:val="21"/>
                <w:highlight w:val="none"/>
                <w:lang w:val="en-US"/>
              </w:rPr>
            </w:pPr>
            <w:r>
              <w:rPr>
                <w:rFonts w:hint="eastAsia" w:cs="Times New Roman"/>
                <w:color w:val="auto"/>
                <w:szCs w:val="21"/>
                <w:highlight w:val="none"/>
                <w:lang w:val="en-US" w:eastAsia="zh-CN"/>
              </w:rPr>
              <w:t>2.5</w:t>
            </w:r>
            <w:r>
              <w:rPr>
                <w:rFonts w:cs="Times New Roman"/>
                <w:color w:val="auto"/>
                <w:szCs w:val="21"/>
                <w:highlight w:val="none"/>
              </w:rPr>
              <w:t>×10</w:t>
            </w:r>
            <w:r>
              <w:rPr>
                <w:rFonts w:cs="Times New Roman"/>
                <w:color w:val="auto"/>
                <w:szCs w:val="21"/>
                <w:highlight w:val="none"/>
                <w:vertAlign w:val="superscript"/>
              </w:rPr>
              <w:t>-</w:t>
            </w:r>
            <w:r>
              <w:rPr>
                <w:rFonts w:cs="Times New Roman"/>
                <w:color w:val="auto"/>
                <w:szCs w:val="21"/>
                <w:highlight w:val="none"/>
                <w:vertAlign w:val="superscript"/>
                <w:lang w:val="en-US"/>
              </w:rPr>
              <w:t>4</w:t>
            </w:r>
          </w:p>
        </w:tc>
        <w:tc>
          <w:tcPr>
            <w:tcW w:w="1258" w:type="dxa"/>
            <w:shd w:val="clear" w:color="auto" w:fill="auto"/>
            <w:vAlign w:val="center"/>
          </w:tcPr>
          <w:p w14:paraId="3938B9E2">
            <w:pPr>
              <w:pStyle w:val="73"/>
              <w:adjustRightInd w:val="0"/>
              <w:snapToGrid w:val="0"/>
              <w:spacing w:line="260" w:lineRule="atLeast"/>
              <w:rPr>
                <w:rFonts w:hint="eastAsia" w:eastAsia="宋体" w:cs="Times New Roman"/>
                <w:snapToGrid w:val="0"/>
                <w:color w:val="auto"/>
                <w:szCs w:val="21"/>
                <w:highlight w:val="none"/>
                <w:lang w:val="en-US" w:eastAsia="zh-CN"/>
              </w:rPr>
            </w:pPr>
            <w:r>
              <w:rPr>
                <w:rFonts w:hint="eastAsia" w:ascii="Times New Roman" w:hAnsi="Times New Roman" w:eastAsia="宋体" w:cs="Times New Roman"/>
                <w:color w:val="auto"/>
                <w:sz w:val="21"/>
                <w:szCs w:val="21"/>
                <w:highlight w:val="none"/>
                <w:lang w:val="en-US" w:eastAsia="zh-CN"/>
              </w:rPr>
              <w:t>3.75</w:t>
            </w:r>
            <w:r>
              <w:rPr>
                <w:rFonts w:ascii="Times New Roman" w:hAnsi="Times New Roman" w:eastAsia="宋体" w:cs="Times New Roman"/>
                <w:color w:val="auto"/>
                <w:sz w:val="21"/>
                <w:szCs w:val="21"/>
                <w:highlight w:val="none"/>
              </w:rPr>
              <w:t>×10</w:t>
            </w:r>
            <w:r>
              <w:rPr>
                <w:rFonts w:ascii="Times New Roman" w:hAnsi="Times New Roman" w:eastAsia="宋体" w:cs="Times New Roman"/>
                <w:color w:val="auto"/>
                <w:sz w:val="21"/>
                <w:szCs w:val="21"/>
                <w:highlight w:val="none"/>
                <w:vertAlign w:val="superscript"/>
              </w:rPr>
              <w:t>-</w:t>
            </w:r>
            <w:r>
              <w:rPr>
                <w:rFonts w:hint="eastAsia" w:ascii="Times New Roman" w:hAnsi="Times New Roman" w:eastAsia="宋体" w:cs="Times New Roman"/>
                <w:color w:val="auto"/>
                <w:sz w:val="21"/>
                <w:szCs w:val="21"/>
                <w:highlight w:val="none"/>
                <w:vertAlign w:val="superscript"/>
                <w:lang w:val="en-US" w:eastAsia="zh-CN"/>
              </w:rPr>
              <w:t>5</w:t>
            </w:r>
          </w:p>
        </w:tc>
      </w:tr>
    </w:tbl>
    <w:p w14:paraId="3980C86F">
      <w:pPr>
        <w:pStyle w:val="117"/>
        <w:adjustRightInd w:val="0"/>
        <w:snapToGrid w:val="0"/>
        <w:spacing w:line="240" w:lineRule="auto"/>
        <w:ind w:firstLine="0" w:firstLineChars="0"/>
        <w:rPr>
          <w:rFonts w:hint="eastAsia" w:eastAsia="宋体" w:cs="Times New Roman"/>
          <w:b/>
          <w:bCs/>
          <w:color w:val="auto"/>
          <w:sz w:val="21"/>
          <w:szCs w:val="21"/>
          <w:highlight w:val="none"/>
          <w:lang w:eastAsia="zh-CN"/>
        </w:rPr>
      </w:pPr>
      <w:r>
        <w:rPr>
          <w:rFonts w:cs="Times New Roman"/>
          <w:b/>
          <w:bCs/>
          <w:color w:val="auto"/>
          <w:sz w:val="21"/>
          <w:szCs w:val="21"/>
          <w:highlight w:val="none"/>
        </w:rPr>
        <w:t>注：</w:t>
      </w:r>
      <w:r>
        <w:rPr>
          <w:rFonts w:cs="Times New Roman"/>
          <w:b/>
          <w:bCs/>
          <w:color w:val="auto"/>
          <w:sz w:val="21"/>
          <w:szCs w:val="21"/>
          <w:highlight w:val="none"/>
        </w:rPr>
        <w:fldChar w:fldCharType="begin"/>
      </w:r>
      <w:r>
        <w:rPr>
          <w:rFonts w:cs="Times New Roman"/>
          <w:b/>
          <w:bCs/>
          <w:color w:val="auto"/>
          <w:sz w:val="21"/>
          <w:szCs w:val="21"/>
          <w:highlight w:val="none"/>
        </w:rPr>
        <w:instrText xml:space="preserve"> = 1 \* GB3 \* MERGEFORMAT </w:instrText>
      </w:r>
      <w:r>
        <w:rPr>
          <w:rFonts w:cs="Times New Roman"/>
          <w:b/>
          <w:bCs/>
          <w:color w:val="auto"/>
          <w:sz w:val="21"/>
          <w:szCs w:val="21"/>
          <w:highlight w:val="none"/>
        </w:rPr>
        <w:fldChar w:fldCharType="separate"/>
      </w:r>
      <w:r>
        <w:rPr>
          <w:rFonts w:cs="Times New Roman"/>
          <w:b/>
          <w:bCs/>
          <w:color w:val="auto"/>
          <w:sz w:val="21"/>
          <w:szCs w:val="21"/>
          <w:highlight w:val="none"/>
        </w:rPr>
        <w:t>①</w:t>
      </w:r>
      <w:r>
        <w:rPr>
          <w:rFonts w:cs="Times New Roman"/>
          <w:b/>
          <w:bCs/>
          <w:color w:val="auto"/>
          <w:sz w:val="21"/>
          <w:szCs w:val="21"/>
          <w:highlight w:val="none"/>
        </w:rPr>
        <w:fldChar w:fldCharType="end"/>
      </w:r>
      <w:r>
        <w:rPr>
          <w:rFonts w:cs="Times New Roman"/>
          <w:b/>
          <w:bCs/>
          <w:color w:val="auto"/>
          <w:sz w:val="21"/>
          <w:szCs w:val="21"/>
          <w:highlight w:val="none"/>
        </w:rPr>
        <w:t>生产车间高</w:t>
      </w:r>
      <w:r>
        <w:rPr>
          <w:rFonts w:hint="eastAsia" w:cs="Times New Roman"/>
          <w:b/>
          <w:bCs/>
          <w:color w:val="auto"/>
          <w:sz w:val="21"/>
          <w:szCs w:val="21"/>
          <w:highlight w:val="none"/>
          <w:lang w:val="en-US" w:eastAsia="zh-CN"/>
        </w:rPr>
        <w:t>12</w:t>
      </w:r>
      <w:r>
        <w:rPr>
          <w:rFonts w:cs="Times New Roman"/>
          <w:b/>
          <w:bCs/>
          <w:color w:val="auto"/>
          <w:sz w:val="21"/>
          <w:szCs w:val="21"/>
          <w:highlight w:val="none"/>
        </w:rPr>
        <w:t>m，因此屠宰车间无组织面源高度按</w:t>
      </w:r>
      <w:r>
        <w:rPr>
          <w:rFonts w:hint="eastAsia" w:cs="Times New Roman"/>
          <w:b/>
          <w:bCs/>
          <w:color w:val="auto"/>
          <w:sz w:val="21"/>
          <w:szCs w:val="21"/>
          <w:highlight w:val="none"/>
          <w:lang w:val="en-US" w:eastAsia="zh-CN"/>
        </w:rPr>
        <w:t>换气设施平均</w:t>
      </w:r>
      <w:r>
        <w:rPr>
          <w:rFonts w:cs="Times New Roman"/>
          <w:b/>
          <w:bCs/>
          <w:color w:val="auto"/>
          <w:sz w:val="21"/>
          <w:szCs w:val="21"/>
          <w:highlight w:val="none"/>
        </w:rPr>
        <w:t>高度进行取值，取</w:t>
      </w:r>
      <w:r>
        <w:rPr>
          <w:rFonts w:hint="eastAsia" w:cs="Times New Roman"/>
          <w:b/>
          <w:bCs/>
          <w:color w:val="auto"/>
          <w:sz w:val="21"/>
          <w:szCs w:val="21"/>
          <w:highlight w:val="none"/>
          <w:lang w:val="en-US" w:eastAsia="zh-CN"/>
        </w:rPr>
        <w:t>4</w:t>
      </w:r>
      <w:r>
        <w:rPr>
          <w:rFonts w:cs="Times New Roman"/>
          <w:b/>
          <w:bCs/>
          <w:color w:val="auto"/>
          <w:sz w:val="21"/>
          <w:szCs w:val="21"/>
          <w:highlight w:val="none"/>
        </w:rPr>
        <w:t>m；</w:t>
      </w:r>
      <w:r>
        <w:rPr>
          <w:rFonts w:hint="eastAsia" w:cs="Times New Roman"/>
          <w:b/>
          <w:bCs/>
          <w:color w:val="auto"/>
          <w:sz w:val="21"/>
          <w:szCs w:val="21"/>
          <w:highlight w:val="none"/>
          <w:lang w:val="en-US" w:eastAsia="zh-CN"/>
        </w:rPr>
        <w:t xml:space="preserve">  污水处理站</w:t>
      </w:r>
      <w:r>
        <w:rPr>
          <w:rFonts w:cs="Times New Roman"/>
          <w:b/>
          <w:bCs/>
          <w:color w:val="auto"/>
          <w:sz w:val="21"/>
          <w:szCs w:val="21"/>
          <w:highlight w:val="none"/>
        </w:rPr>
        <w:t>及</w:t>
      </w:r>
      <w:r>
        <w:rPr>
          <w:rFonts w:hint="eastAsia" w:cs="Times New Roman"/>
          <w:b/>
          <w:bCs/>
          <w:color w:val="auto"/>
          <w:sz w:val="21"/>
          <w:szCs w:val="21"/>
          <w:highlight w:val="none"/>
          <w:lang w:eastAsia="zh-CN"/>
        </w:rPr>
        <w:t>待宰圈</w:t>
      </w:r>
      <w:r>
        <w:rPr>
          <w:rFonts w:hint="eastAsia" w:cs="Times New Roman"/>
          <w:b/>
          <w:bCs/>
          <w:color w:val="auto"/>
          <w:sz w:val="21"/>
          <w:szCs w:val="21"/>
          <w:highlight w:val="none"/>
          <w:lang w:val="en-US" w:eastAsia="zh-CN"/>
        </w:rPr>
        <w:t>建设高度为5.5米，因此</w:t>
      </w:r>
      <w:r>
        <w:rPr>
          <w:rFonts w:cs="Times New Roman"/>
          <w:b/>
          <w:bCs/>
          <w:color w:val="auto"/>
          <w:sz w:val="21"/>
          <w:szCs w:val="21"/>
          <w:highlight w:val="none"/>
        </w:rPr>
        <w:t>无组织面源高度按</w:t>
      </w:r>
      <w:r>
        <w:rPr>
          <w:rFonts w:hint="eastAsia" w:cs="Times New Roman"/>
          <w:b/>
          <w:bCs/>
          <w:color w:val="auto"/>
          <w:sz w:val="21"/>
          <w:szCs w:val="21"/>
          <w:highlight w:val="none"/>
          <w:lang w:val="en-US" w:eastAsia="zh-CN"/>
        </w:rPr>
        <w:t>换气设施平均</w:t>
      </w:r>
      <w:r>
        <w:rPr>
          <w:rFonts w:cs="Times New Roman"/>
          <w:b/>
          <w:bCs/>
          <w:color w:val="auto"/>
          <w:sz w:val="21"/>
          <w:szCs w:val="21"/>
          <w:highlight w:val="none"/>
        </w:rPr>
        <w:t>高度进行取值，取</w:t>
      </w:r>
      <w:r>
        <w:rPr>
          <w:rFonts w:hint="eastAsia" w:cs="Times New Roman"/>
          <w:b/>
          <w:bCs/>
          <w:color w:val="auto"/>
          <w:sz w:val="21"/>
          <w:szCs w:val="21"/>
          <w:highlight w:val="none"/>
          <w:lang w:val="en-US" w:eastAsia="zh-CN"/>
        </w:rPr>
        <w:t>3</w:t>
      </w:r>
      <w:r>
        <w:rPr>
          <w:rFonts w:cs="Times New Roman"/>
          <w:b/>
          <w:bCs/>
          <w:color w:val="auto"/>
          <w:sz w:val="21"/>
          <w:szCs w:val="21"/>
          <w:highlight w:val="none"/>
        </w:rPr>
        <w:t>m</w:t>
      </w:r>
      <w:r>
        <w:rPr>
          <w:rFonts w:hint="eastAsia" w:cs="Times New Roman"/>
          <w:b/>
          <w:bCs/>
          <w:color w:val="auto"/>
          <w:sz w:val="21"/>
          <w:szCs w:val="21"/>
          <w:highlight w:val="none"/>
          <w:lang w:eastAsia="zh-CN"/>
        </w:rPr>
        <w:t>。</w:t>
      </w:r>
    </w:p>
    <w:p w14:paraId="6F0FBD55">
      <w:pPr>
        <w:pStyle w:val="66"/>
        <w:rPr>
          <w:rFonts w:cs="Times New Roman"/>
          <w:snapToGrid w:val="0"/>
          <w:color w:val="auto"/>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1B7E4CC4">
      <w:pPr>
        <w:pStyle w:val="66"/>
        <w:spacing w:line="240" w:lineRule="auto"/>
        <w:rPr>
          <w:rFonts w:eastAsia="宋体" w:cs="Times New Roman"/>
          <w:b/>
          <w:bCs/>
          <w:snapToGrid w:val="0"/>
          <w:color w:val="auto"/>
          <w:szCs w:val="24"/>
          <w:highlight w:val="none"/>
          <w:lang w:val="en-US"/>
        </w:rPr>
      </w:pPr>
      <w:r>
        <w:rPr>
          <w:rFonts w:eastAsia="宋体" w:cs="Times New Roman"/>
          <w:b/>
          <w:bCs/>
          <w:snapToGrid w:val="0"/>
          <w:color w:val="auto"/>
          <w:szCs w:val="24"/>
          <w:highlight w:val="none"/>
          <w:lang w:val="en-US"/>
        </w:rPr>
        <w:t>表2</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3-6  主要污染源估算模型计算结果见表</w:t>
      </w:r>
    </w:p>
    <w:tbl>
      <w:tblPr>
        <w:tblStyle w:val="47"/>
        <w:tblW w:w="498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886"/>
        <w:gridCol w:w="1267"/>
        <w:gridCol w:w="1340"/>
        <w:gridCol w:w="1177"/>
        <w:gridCol w:w="917"/>
        <w:gridCol w:w="1072"/>
        <w:gridCol w:w="760"/>
      </w:tblGrid>
      <w:tr w14:paraId="782511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1154" w:type="pct"/>
            <w:gridSpan w:val="2"/>
            <w:vAlign w:val="center"/>
          </w:tcPr>
          <w:p w14:paraId="516F999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745" w:type="pct"/>
            <w:vAlign w:val="center"/>
          </w:tcPr>
          <w:p w14:paraId="205940D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环境质量标准</w:t>
            </w:r>
            <w:r>
              <w:rPr>
                <w:rFonts w:cs="Times New Roman"/>
                <w:color w:val="auto"/>
                <w:sz w:val="21"/>
                <w:szCs w:val="21"/>
                <w:highlight w:val="none"/>
                <w:lang w:val="en-GB"/>
              </w:rPr>
              <w:t>（</w:t>
            </w:r>
            <w:r>
              <w:rPr>
                <w:rFonts w:cs="Times New Roman"/>
                <w:snapToGrid w:val="0"/>
                <w:color w:val="auto"/>
                <w:kern w:val="0"/>
                <w:sz w:val="21"/>
                <w:szCs w:val="21"/>
                <w:highlight w:val="none"/>
              </w:rPr>
              <w:t>m</w:t>
            </w:r>
            <w:r>
              <w:rPr>
                <w:rFonts w:cs="Times New Roman"/>
                <w:color w:val="auto"/>
                <w:sz w:val="21"/>
                <w:szCs w:val="21"/>
                <w:highlight w:val="none"/>
              </w:rPr>
              <w:t>g/m</w:t>
            </w:r>
            <w:r>
              <w:rPr>
                <w:rFonts w:cs="Times New Roman"/>
                <w:color w:val="auto"/>
                <w:sz w:val="21"/>
                <w:szCs w:val="21"/>
                <w:highlight w:val="none"/>
                <w:vertAlign w:val="superscript"/>
              </w:rPr>
              <w:t>3</w:t>
            </w:r>
            <w:r>
              <w:rPr>
                <w:rFonts w:cs="Times New Roman"/>
                <w:color w:val="auto"/>
                <w:sz w:val="21"/>
                <w:szCs w:val="21"/>
                <w:highlight w:val="none"/>
                <w:lang w:val="en-GB"/>
              </w:rPr>
              <w:t>）</w:t>
            </w:r>
          </w:p>
        </w:tc>
        <w:tc>
          <w:tcPr>
            <w:tcW w:w="788" w:type="pct"/>
            <w:vAlign w:val="center"/>
          </w:tcPr>
          <w:p w14:paraId="62EE4AE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预测下风向最大质量浓度</w:t>
            </w:r>
            <w:r>
              <w:rPr>
                <w:rFonts w:cs="Times New Roman"/>
                <w:color w:val="auto"/>
                <w:sz w:val="21"/>
                <w:szCs w:val="21"/>
                <w:highlight w:val="none"/>
                <w:lang w:val="en-GB"/>
              </w:rPr>
              <w:t>（</w:t>
            </w:r>
            <w:r>
              <w:rPr>
                <w:rFonts w:cs="Times New Roman"/>
                <w:snapToGrid w:val="0"/>
                <w:color w:val="auto"/>
                <w:kern w:val="0"/>
                <w:sz w:val="21"/>
                <w:szCs w:val="21"/>
                <w:highlight w:val="none"/>
              </w:rPr>
              <w:t>m</w:t>
            </w:r>
            <w:r>
              <w:rPr>
                <w:rFonts w:cs="Times New Roman"/>
                <w:color w:val="auto"/>
                <w:sz w:val="21"/>
                <w:szCs w:val="21"/>
                <w:highlight w:val="none"/>
              </w:rPr>
              <w:t>g/m</w:t>
            </w:r>
            <w:r>
              <w:rPr>
                <w:rFonts w:cs="Times New Roman"/>
                <w:color w:val="auto"/>
                <w:sz w:val="21"/>
                <w:szCs w:val="21"/>
                <w:highlight w:val="none"/>
                <w:vertAlign w:val="superscript"/>
              </w:rPr>
              <w:t>3</w:t>
            </w:r>
            <w:r>
              <w:rPr>
                <w:rFonts w:cs="Times New Roman"/>
                <w:color w:val="auto"/>
                <w:sz w:val="21"/>
                <w:szCs w:val="21"/>
                <w:highlight w:val="none"/>
                <w:lang w:val="en-GB"/>
              </w:rPr>
              <w:t>）</w:t>
            </w:r>
          </w:p>
        </w:tc>
        <w:tc>
          <w:tcPr>
            <w:tcW w:w="692" w:type="pct"/>
            <w:vAlign w:val="center"/>
          </w:tcPr>
          <w:p w14:paraId="5693FC49">
            <w:pPr>
              <w:spacing w:line="360" w:lineRule="exact"/>
              <w:ind w:firstLine="0" w:firstLineChars="0"/>
              <w:jc w:val="center"/>
              <w:rPr>
                <w:rFonts w:cs="Times New Roman"/>
                <w:color w:val="auto"/>
                <w:sz w:val="21"/>
                <w:szCs w:val="21"/>
                <w:highlight w:val="none"/>
              </w:rPr>
            </w:pPr>
            <w:r>
              <w:rPr>
                <w:rFonts w:cs="Times New Roman"/>
                <w:snapToGrid w:val="0"/>
                <w:color w:val="auto"/>
                <w:kern w:val="0"/>
                <w:sz w:val="21"/>
                <w:szCs w:val="21"/>
                <w:highlight w:val="none"/>
              </w:rPr>
              <w:t>D10%最远距离（m）</w:t>
            </w:r>
          </w:p>
        </w:tc>
        <w:tc>
          <w:tcPr>
            <w:tcW w:w="539" w:type="pct"/>
            <w:vAlign w:val="center"/>
          </w:tcPr>
          <w:p w14:paraId="73FA02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占标率（%）</w:t>
            </w:r>
          </w:p>
        </w:tc>
        <w:tc>
          <w:tcPr>
            <w:tcW w:w="630" w:type="pct"/>
            <w:vAlign w:val="center"/>
          </w:tcPr>
          <w:p w14:paraId="0C3643B9">
            <w:pPr>
              <w:spacing w:line="360" w:lineRule="exact"/>
              <w:ind w:firstLine="0" w:firstLineChars="0"/>
              <w:contextualSpacing/>
              <w:jc w:val="center"/>
              <w:rPr>
                <w:rFonts w:cs="Times New Roman"/>
                <w:color w:val="auto"/>
                <w:sz w:val="21"/>
                <w:szCs w:val="21"/>
                <w:highlight w:val="none"/>
              </w:rPr>
            </w:pPr>
            <w:r>
              <w:rPr>
                <w:rFonts w:cs="Times New Roman"/>
                <w:color w:val="auto"/>
                <w:kern w:val="0"/>
                <w:sz w:val="21"/>
                <w:szCs w:val="21"/>
                <w:highlight w:val="none"/>
              </w:rPr>
              <w:t>最大浓度出现距离（m）</w:t>
            </w:r>
          </w:p>
        </w:tc>
        <w:tc>
          <w:tcPr>
            <w:tcW w:w="447" w:type="pct"/>
            <w:vAlign w:val="center"/>
          </w:tcPr>
          <w:p w14:paraId="181A1621">
            <w:pPr>
              <w:spacing w:line="360" w:lineRule="exact"/>
              <w:ind w:firstLine="0" w:firstLineChars="0"/>
              <w:contextualSpacing/>
              <w:jc w:val="center"/>
              <w:rPr>
                <w:rFonts w:cs="Times New Roman"/>
                <w:color w:val="auto"/>
                <w:kern w:val="0"/>
                <w:sz w:val="21"/>
                <w:szCs w:val="21"/>
                <w:highlight w:val="none"/>
              </w:rPr>
            </w:pPr>
            <w:r>
              <w:rPr>
                <w:rFonts w:cs="Times New Roman"/>
                <w:color w:val="auto"/>
                <w:kern w:val="0"/>
                <w:sz w:val="21"/>
                <w:szCs w:val="21"/>
                <w:highlight w:val="none"/>
              </w:rPr>
              <w:t>评价</w:t>
            </w:r>
          </w:p>
          <w:p w14:paraId="5DB18D5C">
            <w:pPr>
              <w:spacing w:line="360" w:lineRule="exact"/>
              <w:ind w:firstLine="0" w:firstLineChars="0"/>
              <w:contextualSpacing/>
              <w:jc w:val="center"/>
              <w:rPr>
                <w:rFonts w:cs="Times New Roman"/>
                <w:color w:val="auto"/>
                <w:sz w:val="21"/>
                <w:szCs w:val="21"/>
                <w:highlight w:val="none"/>
              </w:rPr>
            </w:pPr>
            <w:r>
              <w:rPr>
                <w:rFonts w:cs="Times New Roman"/>
                <w:color w:val="auto"/>
                <w:kern w:val="0"/>
                <w:sz w:val="21"/>
                <w:szCs w:val="21"/>
                <w:highlight w:val="none"/>
              </w:rPr>
              <w:t>等级</w:t>
            </w:r>
          </w:p>
        </w:tc>
      </w:tr>
      <w:tr w14:paraId="1D35EF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restart"/>
            <w:vAlign w:val="center"/>
          </w:tcPr>
          <w:p w14:paraId="476D53DF">
            <w:pPr>
              <w:spacing w:line="360" w:lineRule="exact"/>
              <w:ind w:firstLine="0" w:firstLineChars="0"/>
              <w:jc w:val="center"/>
              <w:rPr>
                <w:rFonts w:cs="Times New Roman"/>
                <w:color w:val="auto"/>
                <w:sz w:val="21"/>
                <w:szCs w:val="21"/>
                <w:highlight w:val="none"/>
              </w:rPr>
            </w:pPr>
            <w:r>
              <w:rPr>
                <w:rFonts w:cs="Times New Roman"/>
                <w:snapToGrid w:val="0"/>
                <w:color w:val="auto"/>
                <w:sz w:val="21"/>
                <w:szCs w:val="21"/>
                <w:highlight w:val="none"/>
              </w:rPr>
              <w:t>DA001</w:t>
            </w:r>
          </w:p>
        </w:tc>
        <w:tc>
          <w:tcPr>
            <w:tcW w:w="521" w:type="pct"/>
            <w:vAlign w:val="center"/>
          </w:tcPr>
          <w:p w14:paraId="1C6F4010">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745" w:type="pct"/>
            <w:vAlign w:val="center"/>
          </w:tcPr>
          <w:p w14:paraId="0C569ED0">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200.0</w:t>
            </w:r>
          </w:p>
        </w:tc>
        <w:tc>
          <w:tcPr>
            <w:tcW w:w="788" w:type="pct"/>
            <w:vAlign w:val="center"/>
          </w:tcPr>
          <w:p w14:paraId="53666964">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2.06E-03</w:t>
            </w:r>
          </w:p>
        </w:tc>
        <w:tc>
          <w:tcPr>
            <w:tcW w:w="692" w:type="pct"/>
            <w:vAlign w:val="center"/>
          </w:tcPr>
          <w:p w14:paraId="0D74DB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319F59F1">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1.62</w:t>
            </w:r>
          </w:p>
        </w:tc>
        <w:tc>
          <w:tcPr>
            <w:tcW w:w="630" w:type="pct"/>
            <w:vMerge w:val="restart"/>
            <w:vAlign w:val="center"/>
          </w:tcPr>
          <w:p w14:paraId="6635B4A9">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31</w:t>
            </w:r>
          </w:p>
        </w:tc>
        <w:tc>
          <w:tcPr>
            <w:tcW w:w="447" w:type="pct"/>
            <w:vMerge w:val="restart"/>
            <w:vAlign w:val="center"/>
          </w:tcPr>
          <w:p w14:paraId="5861D849">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二</w:t>
            </w:r>
            <w:r>
              <w:rPr>
                <w:rFonts w:cs="Times New Roman"/>
                <w:color w:val="auto"/>
                <w:sz w:val="21"/>
                <w:szCs w:val="21"/>
                <w:highlight w:val="none"/>
              </w:rPr>
              <w:t>级</w:t>
            </w:r>
          </w:p>
        </w:tc>
      </w:tr>
      <w:tr w14:paraId="173653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continue"/>
            <w:vAlign w:val="center"/>
          </w:tcPr>
          <w:p w14:paraId="53E828BE">
            <w:pPr>
              <w:spacing w:line="360" w:lineRule="exact"/>
              <w:ind w:firstLine="0" w:firstLineChars="0"/>
              <w:jc w:val="center"/>
              <w:rPr>
                <w:rFonts w:cs="Times New Roman"/>
                <w:color w:val="auto"/>
                <w:sz w:val="21"/>
                <w:szCs w:val="21"/>
                <w:highlight w:val="none"/>
              </w:rPr>
            </w:pPr>
          </w:p>
        </w:tc>
        <w:tc>
          <w:tcPr>
            <w:tcW w:w="521" w:type="pct"/>
            <w:vAlign w:val="center"/>
          </w:tcPr>
          <w:p w14:paraId="405B117F">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745" w:type="pct"/>
            <w:vAlign w:val="center"/>
          </w:tcPr>
          <w:p w14:paraId="7AA1A6FD">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10.0</w:t>
            </w:r>
          </w:p>
        </w:tc>
        <w:tc>
          <w:tcPr>
            <w:tcW w:w="788" w:type="pct"/>
            <w:vAlign w:val="center"/>
          </w:tcPr>
          <w:p w14:paraId="5CEF9C08">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1.64E-05</w:t>
            </w:r>
          </w:p>
        </w:tc>
        <w:tc>
          <w:tcPr>
            <w:tcW w:w="692" w:type="pct"/>
            <w:vAlign w:val="center"/>
          </w:tcPr>
          <w:p w14:paraId="4CD1C1C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77272D1A">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0.25</w:t>
            </w:r>
          </w:p>
        </w:tc>
        <w:tc>
          <w:tcPr>
            <w:tcW w:w="630" w:type="pct"/>
            <w:vMerge w:val="continue"/>
            <w:vAlign w:val="center"/>
          </w:tcPr>
          <w:p w14:paraId="496C06C5">
            <w:pPr>
              <w:spacing w:line="360" w:lineRule="exact"/>
              <w:ind w:firstLine="0" w:firstLineChars="0"/>
              <w:jc w:val="center"/>
              <w:rPr>
                <w:rFonts w:cs="Times New Roman"/>
                <w:color w:val="auto"/>
                <w:sz w:val="21"/>
                <w:szCs w:val="21"/>
                <w:highlight w:val="none"/>
              </w:rPr>
            </w:pPr>
          </w:p>
        </w:tc>
        <w:tc>
          <w:tcPr>
            <w:tcW w:w="447" w:type="pct"/>
            <w:vMerge w:val="continue"/>
            <w:vAlign w:val="center"/>
          </w:tcPr>
          <w:p w14:paraId="154BFB57">
            <w:pPr>
              <w:spacing w:line="360" w:lineRule="exact"/>
              <w:ind w:firstLine="0" w:firstLineChars="0"/>
              <w:jc w:val="center"/>
              <w:rPr>
                <w:rFonts w:cs="Times New Roman"/>
                <w:color w:val="auto"/>
                <w:sz w:val="21"/>
                <w:szCs w:val="21"/>
                <w:highlight w:val="none"/>
              </w:rPr>
            </w:pPr>
          </w:p>
        </w:tc>
      </w:tr>
      <w:tr w14:paraId="238DAB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restart"/>
            <w:vAlign w:val="center"/>
          </w:tcPr>
          <w:p w14:paraId="517B87A5">
            <w:pPr>
              <w:spacing w:line="360" w:lineRule="exact"/>
              <w:ind w:firstLine="0" w:firstLineChars="0"/>
              <w:jc w:val="center"/>
              <w:rPr>
                <w:rFonts w:cs="Times New Roman"/>
                <w:color w:val="auto"/>
                <w:sz w:val="21"/>
                <w:szCs w:val="21"/>
                <w:highlight w:val="none"/>
              </w:rPr>
            </w:pPr>
            <w:r>
              <w:rPr>
                <w:rFonts w:cs="Times New Roman"/>
                <w:snapToGrid w:val="0"/>
                <w:color w:val="auto"/>
                <w:sz w:val="21"/>
                <w:szCs w:val="21"/>
                <w:highlight w:val="none"/>
              </w:rPr>
              <w:t>DA002</w:t>
            </w:r>
          </w:p>
        </w:tc>
        <w:tc>
          <w:tcPr>
            <w:tcW w:w="521" w:type="pct"/>
            <w:vAlign w:val="center"/>
          </w:tcPr>
          <w:p w14:paraId="1F3AE6E5">
            <w:pPr>
              <w:pStyle w:val="73"/>
              <w:adjustRightInd w:val="0"/>
              <w:snapToGrid w:val="0"/>
              <w:rPr>
                <w:rFonts w:cs="Times New Roman"/>
                <w:snapToGrid w:val="0"/>
                <w:color w:val="auto"/>
                <w:szCs w:val="21"/>
                <w:highlight w:val="none"/>
                <w:lang w:val="en-US"/>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745" w:type="pct"/>
            <w:vAlign w:val="center"/>
          </w:tcPr>
          <w:p w14:paraId="1C480242">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200.0</w:t>
            </w:r>
          </w:p>
        </w:tc>
        <w:tc>
          <w:tcPr>
            <w:tcW w:w="788" w:type="pct"/>
            <w:vAlign w:val="center"/>
          </w:tcPr>
          <w:p w14:paraId="655118D6">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2.47E-03</w:t>
            </w:r>
          </w:p>
        </w:tc>
        <w:tc>
          <w:tcPr>
            <w:tcW w:w="692" w:type="pct"/>
            <w:vAlign w:val="center"/>
          </w:tcPr>
          <w:p w14:paraId="268A38A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1CA3F170">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1.84</w:t>
            </w:r>
          </w:p>
        </w:tc>
        <w:tc>
          <w:tcPr>
            <w:tcW w:w="630" w:type="pct"/>
            <w:vMerge w:val="restart"/>
            <w:vAlign w:val="center"/>
          </w:tcPr>
          <w:p w14:paraId="360D3ED1">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31</w:t>
            </w:r>
          </w:p>
        </w:tc>
        <w:tc>
          <w:tcPr>
            <w:tcW w:w="447" w:type="pct"/>
            <w:vMerge w:val="restart"/>
            <w:vAlign w:val="center"/>
          </w:tcPr>
          <w:p w14:paraId="4CD12D48">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二</w:t>
            </w:r>
            <w:r>
              <w:rPr>
                <w:rFonts w:cs="Times New Roman"/>
                <w:color w:val="auto"/>
                <w:sz w:val="21"/>
                <w:szCs w:val="21"/>
                <w:highlight w:val="none"/>
              </w:rPr>
              <w:t>级</w:t>
            </w:r>
          </w:p>
        </w:tc>
      </w:tr>
      <w:tr w14:paraId="3F36CE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continue"/>
            <w:vAlign w:val="center"/>
          </w:tcPr>
          <w:p w14:paraId="3B0D749A">
            <w:pPr>
              <w:spacing w:line="360" w:lineRule="exact"/>
              <w:ind w:firstLine="0" w:firstLineChars="0"/>
              <w:jc w:val="center"/>
              <w:rPr>
                <w:rFonts w:cs="Times New Roman"/>
                <w:color w:val="auto"/>
                <w:sz w:val="21"/>
                <w:szCs w:val="21"/>
                <w:highlight w:val="none"/>
              </w:rPr>
            </w:pPr>
          </w:p>
        </w:tc>
        <w:tc>
          <w:tcPr>
            <w:tcW w:w="521" w:type="pct"/>
            <w:vAlign w:val="center"/>
          </w:tcPr>
          <w:p w14:paraId="29A50301">
            <w:pPr>
              <w:pStyle w:val="73"/>
              <w:adjustRightInd w:val="0"/>
              <w:snapToGrid w:val="0"/>
              <w:rPr>
                <w:rFonts w:cs="Times New Roman"/>
                <w:snapToGrid w:val="0"/>
                <w:color w:val="auto"/>
                <w:szCs w:val="21"/>
                <w:highlight w:val="none"/>
                <w:lang w:val="en-US"/>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745" w:type="pct"/>
            <w:vAlign w:val="center"/>
          </w:tcPr>
          <w:p w14:paraId="5C11154F">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10.0</w:t>
            </w:r>
          </w:p>
        </w:tc>
        <w:tc>
          <w:tcPr>
            <w:tcW w:w="788" w:type="pct"/>
            <w:vAlign w:val="center"/>
          </w:tcPr>
          <w:p w14:paraId="0DA268A0">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2.33E-04</w:t>
            </w:r>
          </w:p>
        </w:tc>
        <w:tc>
          <w:tcPr>
            <w:tcW w:w="692" w:type="pct"/>
            <w:vAlign w:val="center"/>
          </w:tcPr>
          <w:p w14:paraId="60BBE66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38B0BA6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3.53</w:t>
            </w:r>
          </w:p>
        </w:tc>
        <w:tc>
          <w:tcPr>
            <w:tcW w:w="630" w:type="pct"/>
            <w:vMerge w:val="continue"/>
            <w:vAlign w:val="center"/>
          </w:tcPr>
          <w:p w14:paraId="14FEDC12">
            <w:pPr>
              <w:spacing w:line="360" w:lineRule="exact"/>
              <w:ind w:firstLine="0" w:firstLineChars="0"/>
              <w:jc w:val="center"/>
              <w:rPr>
                <w:rFonts w:cs="Times New Roman"/>
                <w:color w:val="auto"/>
                <w:sz w:val="21"/>
                <w:szCs w:val="21"/>
                <w:highlight w:val="none"/>
              </w:rPr>
            </w:pPr>
          </w:p>
        </w:tc>
        <w:tc>
          <w:tcPr>
            <w:tcW w:w="447" w:type="pct"/>
            <w:vMerge w:val="continue"/>
            <w:vAlign w:val="center"/>
          </w:tcPr>
          <w:p w14:paraId="7FBB36C5">
            <w:pPr>
              <w:spacing w:line="360" w:lineRule="exact"/>
              <w:ind w:firstLine="0" w:firstLineChars="0"/>
              <w:jc w:val="center"/>
              <w:rPr>
                <w:rFonts w:cs="Times New Roman"/>
                <w:color w:val="auto"/>
                <w:sz w:val="21"/>
                <w:szCs w:val="21"/>
                <w:highlight w:val="none"/>
              </w:rPr>
            </w:pPr>
          </w:p>
        </w:tc>
      </w:tr>
      <w:tr w14:paraId="213D0B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79" w:hRule="atLeast"/>
          <w:jc w:val="center"/>
        </w:trPr>
        <w:tc>
          <w:tcPr>
            <w:tcW w:w="633" w:type="pct"/>
            <w:vMerge w:val="restart"/>
            <w:vAlign w:val="center"/>
          </w:tcPr>
          <w:p w14:paraId="7165DF10">
            <w:pPr>
              <w:pStyle w:val="73"/>
              <w:adjustRightInd w:val="0"/>
              <w:snapToGrid w:val="0"/>
              <w:rPr>
                <w:rFonts w:hint="default" w:cs="Times New Roman"/>
                <w:color w:val="auto"/>
                <w:szCs w:val="21"/>
                <w:highlight w:val="none"/>
                <w:lang w:val="en-US"/>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急宰间、隔离间及固体废物暂存间无组织</w:t>
            </w:r>
          </w:p>
        </w:tc>
        <w:tc>
          <w:tcPr>
            <w:tcW w:w="521" w:type="pct"/>
            <w:vAlign w:val="center"/>
          </w:tcPr>
          <w:p w14:paraId="52752DE1">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745" w:type="pct"/>
            <w:vAlign w:val="center"/>
          </w:tcPr>
          <w:p w14:paraId="3CF79C15">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200.0</w:t>
            </w:r>
          </w:p>
        </w:tc>
        <w:tc>
          <w:tcPr>
            <w:tcW w:w="788" w:type="pct"/>
            <w:vAlign w:val="center"/>
          </w:tcPr>
          <w:p w14:paraId="3934C85F">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2.28E-04</w:t>
            </w:r>
          </w:p>
        </w:tc>
        <w:tc>
          <w:tcPr>
            <w:tcW w:w="692" w:type="pct"/>
            <w:vAlign w:val="center"/>
          </w:tcPr>
          <w:p w14:paraId="162729A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6865605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0.41</w:t>
            </w:r>
          </w:p>
        </w:tc>
        <w:tc>
          <w:tcPr>
            <w:tcW w:w="630" w:type="pct"/>
            <w:vMerge w:val="restart"/>
            <w:vAlign w:val="center"/>
          </w:tcPr>
          <w:p w14:paraId="6B664095">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65</w:t>
            </w:r>
          </w:p>
        </w:tc>
        <w:tc>
          <w:tcPr>
            <w:tcW w:w="447" w:type="pct"/>
            <w:vMerge w:val="restart"/>
            <w:vAlign w:val="center"/>
          </w:tcPr>
          <w:p w14:paraId="37B12CB1">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三</w:t>
            </w:r>
            <w:r>
              <w:rPr>
                <w:rFonts w:cs="Times New Roman"/>
                <w:color w:val="auto"/>
                <w:sz w:val="21"/>
                <w:szCs w:val="21"/>
                <w:highlight w:val="none"/>
              </w:rPr>
              <w:t>级</w:t>
            </w:r>
          </w:p>
        </w:tc>
      </w:tr>
      <w:tr w14:paraId="72EB8E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continue"/>
            <w:vAlign w:val="center"/>
          </w:tcPr>
          <w:p w14:paraId="079060AB">
            <w:pPr>
              <w:spacing w:line="360" w:lineRule="exact"/>
              <w:ind w:firstLine="0" w:firstLineChars="0"/>
              <w:jc w:val="center"/>
              <w:rPr>
                <w:rFonts w:cs="Times New Roman"/>
                <w:color w:val="auto"/>
                <w:sz w:val="21"/>
                <w:szCs w:val="21"/>
                <w:highlight w:val="none"/>
              </w:rPr>
            </w:pPr>
          </w:p>
        </w:tc>
        <w:tc>
          <w:tcPr>
            <w:tcW w:w="521" w:type="pct"/>
            <w:vAlign w:val="center"/>
          </w:tcPr>
          <w:p w14:paraId="69F403F0">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745" w:type="pct"/>
            <w:vAlign w:val="center"/>
          </w:tcPr>
          <w:p w14:paraId="700C7819">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10.0</w:t>
            </w:r>
          </w:p>
        </w:tc>
        <w:tc>
          <w:tcPr>
            <w:tcW w:w="788" w:type="pct"/>
            <w:vAlign w:val="center"/>
          </w:tcPr>
          <w:p w14:paraId="39E1E151">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1.83E-06</w:t>
            </w:r>
          </w:p>
        </w:tc>
        <w:tc>
          <w:tcPr>
            <w:tcW w:w="692" w:type="pct"/>
            <w:vAlign w:val="center"/>
          </w:tcPr>
          <w:p w14:paraId="0481A98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7F8424D6">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0.08</w:t>
            </w:r>
          </w:p>
        </w:tc>
        <w:tc>
          <w:tcPr>
            <w:tcW w:w="630" w:type="pct"/>
            <w:vMerge w:val="continue"/>
            <w:vAlign w:val="center"/>
          </w:tcPr>
          <w:p w14:paraId="4A371ADB">
            <w:pPr>
              <w:spacing w:line="360" w:lineRule="exact"/>
              <w:ind w:firstLine="0" w:firstLineChars="0"/>
              <w:jc w:val="center"/>
              <w:rPr>
                <w:rFonts w:cs="Times New Roman"/>
                <w:color w:val="auto"/>
                <w:sz w:val="21"/>
                <w:szCs w:val="21"/>
                <w:highlight w:val="none"/>
              </w:rPr>
            </w:pPr>
          </w:p>
        </w:tc>
        <w:tc>
          <w:tcPr>
            <w:tcW w:w="447" w:type="pct"/>
            <w:vMerge w:val="continue"/>
            <w:vAlign w:val="center"/>
          </w:tcPr>
          <w:p w14:paraId="31D65D96">
            <w:pPr>
              <w:spacing w:line="360" w:lineRule="exact"/>
              <w:ind w:firstLine="0" w:firstLineChars="0"/>
              <w:jc w:val="center"/>
              <w:rPr>
                <w:rFonts w:cs="Times New Roman"/>
                <w:color w:val="auto"/>
                <w:sz w:val="21"/>
                <w:szCs w:val="21"/>
                <w:highlight w:val="none"/>
              </w:rPr>
            </w:pPr>
          </w:p>
        </w:tc>
      </w:tr>
      <w:tr w14:paraId="787887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restart"/>
            <w:vAlign w:val="center"/>
          </w:tcPr>
          <w:p w14:paraId="1B102323">
            <w:pPr>
              <w:pStyle w:val="73"/>
              <w:adjustRightInd w:val="0"/>
              <w:snapToGrid w:val="0"/>
              <w:rPr>
                <w:rFonts w:cs="Times New Roman"/>
                <w:color w:val="auto"/>
                <w:szCs w:val="21"/>
                <w:highlight w:val="none"/>
              </w:rPr>
            </w:pPr>
            <w:r>
              <w:rPr>
                <w:rFonts w:cs="Times New Roman"/>
                <w:snapToGrid w:val="0"/>
                <w:color w:val="auto"/>
                <w:szCs w:val="21"/>
                <w:highlight w:val="none"/>
              </w:rPr>
              <w:t>污水处理站无组织</w:t>
            </w:r>
          </w:p>
        </w:tc>
        <w:tc>
          <w:tcPr>
            <w:tcW w:w="521" w:type="pct"/>
            <w:vAlign w:val="center"/>
          </w:tcPr>
          <w:p w14:paraId="7462A9E1">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745" w:type="pct"/>
            <w:vAlign w:val="center"/>
          </w:tcPr>
          <w:p w14:paraId="293A8DB6">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200.0</w:t>
            </w:r>
          </w:p>
        </w:tc>
        <w:tc>
          <w:tcPr>
            <w:tcW w:w="788" w:type="pct"/>
            <w:vAlign w:val="center"/>
          </w:tcPr>
          <w:p w14:paraId="2D23AD25">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2.72E-04</w:t>
            </w:r>
          </w:p>
        </w:tc>
        <w:tc>
          <w:tcPr>
            <w:tcW w:w="692" w:type="pct"/>
            <w:vAlign w:val="center"/>
          </w:tcPr>
          <w:p w14:paraId="3C9433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58CECEEC">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3.14</w:t>
            </w:r>
          </w:p>
        </w:tc>
        <w:tc>
          <w:tcPr>
            <w:tcW w:w="630" w:type="pct"/>
            <w:vMerge w:val="restart"/>
            <w:vAlign w:val="center"/>
          </w:tcPr>
          <w:p w14:paraId="58122905">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15</w:t>
            </w:r>
          </w:p>
        </w:tc>
        <w:tc>
          <w:tcPr>
            <w:tcW w:w="447" w:type="pct"/>
            <w:vMerge w:val="restart"/>
            <w:vAlign w:val="center"/>
          </w:tcPr>
          <w:p w14:paraId="0F93D8B6">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二</w:t>
            </w:r>
            <w:r>
              <w:rPr>
                <w:rFonts w:cs="Times New Roman"/>
                <w:color w:val="auto"/>
                <w:sz w:val="21"/>
                <w:szCs w:val="21"/>
                <w:highlight w:val="none"/>
              </w:rPr>
              <w:t>级</w:t>
            </w:r>
          </w:p>
        </w:tc>
      </w:tr>
      <w:tr w14:paraId="745CDE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continue"/>
            <w:vAlign w:val="center"/>
          </w:tcPr>
          <w:p w14:paraId="1BB520B1">
            <w:pPr>
              <w:spacing w:line="360" w:lineRule="exact"/>
              <w:ind w:firstLine="0" w:firstLineChars="0"/>
              <w:jc w:val="center"/>
              <w:rPr>
                <w:rFonts w:cs="Times New Roman"/>
                <w:color w:val="auto"/>
                <w:sz w:val="21"/>
                <w:szCs w:val="21"/>
                <w:highlight w:val="none"/>
              </w:rPr>
            </w:pPr>
          </w:p>
        </w:tc>
        <w:tc>
          <w:tcPr>
            <w:tcW w:w="521" w:type="pct"/>
            <w:vAlign w:val="center"/>
          </w:tcPr>
          <w:p w14:paraId="39553396">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745" w:type="pct"/>
            <w:vAlign w:val="center"/>
          </w:tcPr>
          <w:p w14:paraId="0F114506">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10.0</w:t>
            </w:r>
          </w:p>
        </w:tc>
        <w:tc>
          <w:tcPr>
            <w:tcW w:w="788" w:type="pct"/>
            <w:vAlign w:val="center"/>
          </w:tcPr>
          <w:p w14:paraId="5913752E">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rPr>
              <w:t>2.33E-05</w:t>
            </w:r>
          </w:p>
        </w:tc>
        <w:tc>
          <w:tcPr>
            <w:tcW w:w="692" w:type="pct"/>
            <w:vAlign w:val="center"/>
          </w:tcPr>
          <w:p w14:paraId="58F5EC2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539" w:type="pct"/>
            <w:vAlign w:val="center"/>
          </w:tcPr>
          <w:p w14:paraId="1B16C622">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5.69</w:t>
            </w:r>
          </w:p>
        </w:tc>
        <w:tc>
          <w:tcPr>
            <w:tcW w:w="630" w:type="pct"/>
            <w:vMerge w:val="continue"/>
            <w:vAlign w:val="center"/>
          </w:tcPr>
          <w:p w14:paraId="6912EDC6">
            <w:pPr>
              <w:spacing w:line="360" w:lineRule="exact"/>
              <w:ind w:firstLine="0" w:firstLineChars="0"/>
              <w:jc w:val="center"/>
              <w:rPr>
                <w:rFonts w:cs="Times New Roman"/>
                <w:color w:val="auto"/>
                <w:sz w:val="21"/>
                <w:szCs w:val="21"/>
                <w:highlight w:val="none"/>
              </w:rPr>
            </w:pPr>
          </w:p>
        </w:tc>
        <w:tc>
          <w:tcPr>
            <w:tcW w:w="447" w:type="pct"/>
            <w:vMerge w:val="continue"/>
            <w:vAlign w:val="center"/>
          </w:tcPr>
          <w:p w14:paraId="3016FE5D">
            <w:pPr>
              <w:spacing w:line="360" w:lineRule="exact"/>
              <w:ind w:firstLine="0" w:firstLineChars="0"/>
              <w:jc w:val="center"/>
              <w:rPr>
                <w:rFonts w:cs="Times New Roman"/>
                <w:color w:val="auto"/>
                <w:sz w:val="21"/>
                <w:szCs w:val="21"/>
                <w:highlight w:val="none"/>
              </w:rPr>
            </w:pPr>
          </w:p>
        </w:tc>
      </w:tr>
      <w:tr w14:paraId="606F88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633" w:type="pct"/>
            <w:vMerge w:val="restart"/>
            <w:vAlign w:val="center"/>
          </w:tcPr>
          <w:p w14:paraId="710E12A5">
            <w:pPr>
              <w:pStyle w:val="73"/>
              <w:adjustRightInd w:val="0"/>
              <w:snapToGrid w:val="0"/>
              <w:rPr>
                <w:rFonts w:cs="Times New Roman"/>
                <w:color w:val="auto"/>
                <w:szCs w:val="21"/>
                <w:highlight w:val="none"/>
              </w:rPr>
            </w:pPr>
            <w:bookmarkStart w:id="62" w:name="_Hlk17895063"/>
            <w:r>
              <w:rPr>
                <w:rFonts w:hint="eastAsia" w:cs="Times New Roman"/>
                <w:snapToGrid w:val="0"/>
                <w:color w:val="auto"/>
                <w:szCs w:val="21"/>
                <w:highlight w:val="none"/>
                <w:lang w:val="en-US" w:eastAsia="zh-CN"/>
              </w:rPr>
              <w:t>待宰圈</w:t>
            </w:r>
            <w:r>
              <w:rPr>
                <w:rFonts w:cs="Times New Roman"/>
                <w:snapToGrid w:val="0"/>
                <w:color w:val="auto"/>
                <w:szCs w:val="21"/>
                <w:highlight w:val="none"/>
              </w:rPr>
              <w:t>无组织</w:t>
            </w:r>
          </w:p>
        </w:tc>
        <w:tc>
          <w:tcPr>
            <w:tcW w:w="521" w:type="pct"/>
            <w:vAlign w:val="center"/>
          </w:tcPr>
          <w:p w14:paraId="18846C8F">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745" w:type="pct"/>
            <w:vAlign w:val="center"/>
          </w:tcPr>
          <w:p w14:paraId="4F1C7426">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200.0</w:t>
            </w:r>
          </w:p>
        </w:tc>
        <w:tc>
          <w:tcPr>
            <w:tcW w:w="788" w:type="pct"/>
            <w:vAlign w:val="center"/>
          </w:tcPr>
          <w:p w14:paraId="068BF346">
            <w:pPr>
              <w:spacing w:line="360" w:lineRule="exact"/>
              <w:ind w:firstLine="0" w:firstLineChars="0"/>
              <w:jc w:val="center"/>
              <w:rPr>
                <w:rFonts w:hint="eastAsia" w:eastAsia="宋体" w:cs="Times New Roman"/>
                <w:b w:val="0"/>
                <w:bCs w:val="0"/>
                <w:color w:val="auto"/>
                <w:sz w:val="21"/>
                <w:szCs w:val="21"/>
                <w:highlight w:val="none"/>
                <w:lang w:eastAsia="zh-CN"/>
              </w:rPr>
            </w:pPr>
            <w:r>
              <w:rPr>
                <w:rFonts w:hint="eastAsia" w:cs="Times New Roman"/>
                <w:b w:val="0"/>
                <w:bCs w:val="0"/>
                <w:color w:val="auto"/>
                <w:sz w:val="21"/>
                <w:szCs w:val="21"/>
                <w:highlight w:val="none"/>
              </w:rPr>
              <w:t>6.94E-05</w:t>
            </w:r>
          </w:p>
        </w:tc>
        <w:tc>
          <w:tcPr>
            <w:tcW w:w="692" w:type="pct"/>
            <w:vAlign w:val="center"/>
          </w:tcPr>
          <w:p w14:paraId="6E9D583E">
            <w:pPr>
              <w:spacing w:line="360" w:lineRule="exact"/>
              <w:ind w:firstLine="0" w:firstLineChars="0"/>
              <w:jc w:val="center"/>
              <w:rPr>
                <w:rFonts w:cs="Times New Roman"/>
                <w:b w:val="0"/>
                <w:bCs w:val="0"/>
                <w:color w:val="auto"/>
                <w:sz w:val="21"/>
                <w:szCs w:val="21"/>
                <w:highlight w:val="none"/>
              </w:rPr>
            </w:pPr>
            <w:r>
              <w:rPr>
                <w:rFonts w:cs="Times New Roman"/>
                <w:b w:val="0"/>
                <w:bCs w:val="0"/>
                <w:color w:val="auto"/>
                <w:sz w:val="21"/>
                <w:szCs w:val="21"/>
                <w:highlight w:val="none"/>
              </w:rPr>
              <w:t>0</w:t>
            </w:r>
          </w:p>
        </w:tc>
        <w:tc>
          <w:tcPr>
            <w:tcW w:w="539" w:type="pct"/>
            <w:vAlign w:val="center"/>
          </w:tcPr>
          <w:p w14:paraId="509359ED">
            <w:pPr>
              <w:spacing w:line="360" w:lineRule="exact"/>
              <w:ind w:firstLine="0" w:firstLineChars="0"/>
              <w:jc w:val="center"/>
              <w:rPr>
                <w:rFonts w:hint="default"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0.67</w:t>
            </w:r>
          </w:p>
        </w:tc>
        <w:tc>
          <w:tcPr>
            <w:tcW w:w="630" w:type="pct"/>
            <w:vMerge w:val="restart"/>
            <w:vAlign w:val="center"/>
          </w:tcPr>
          <w:p w14:paraId="46D0E402">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c>
          <w:tcPr>
            <w:tcW w:w="447" w:type="pct"/>
            <w:vMerge w:val="restart"/>
            <w:vAlign w:val="center"/>
          </w:tcPr>
          <w:p w14:paraId="1CD63B9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二级</w:t>
            </w:r>
          </w:p>
        </w:tc>
      </w:tr>
      <w:tr w14:paraId="45AD68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633" w:type="pct"/>
            <w:vMerge w:val="continue"/>
            <w:vAlign w:val="center"/>
          </w:tcPr>
          <w:p w14:paraId="31DDB068">
            <w:pPr>
              <w:spacing w:line="360" w:lineRule="exact"/>
              <w:ind w:firstLine="0" w:firstLineChars="0"/>
              <w:jc w:val="center"/>
              <w:rPr>
                <w:rFonts w:cs="Times New Roman"/>
                <w:color w:val="auto"/>
                <w:sz w:val="21"/>
                <w:szCs w:val="21"/>
                <w:highlight w:val="none"/>
              </w:rPr>
            </w:pPr>
          </w:p>
        </w:tc>
        <w:tc>
          <w:tcPr>
            <w:tcW w:w="521" w:type="pct"/>
            <w:vAlign w:val="center"/>
          </w:tcPr>
          <w:p w14:paraId="6DFE7813">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745" w:type="pct"/>
            <w:vAlign w:val="center"/>
          </w:tcPr>
          <w:p w14:paraId="5CCF5D24">
            <w:pPr>
              <w:spacing w:line="360" w:lineRule="exact"/>
              <w:ind w:firstLine="0" w:firstLineChars="0"/>
              <w:jc w:val="center"/>
              <w:rPr>
                <w:rFonts w:cs="Times New Roman"/>
                <w:snapToGrid w:val="0"/>
                <w:color w:val="auto"/>
                <w:sz w:val="21"/>
                <w:szCs w:val="21"/>
                <w:highlight w:val="none"/>
              </w:rPr>
            </w:pPr>
            <w:r>
              <w:rPr>
                <w:rFonts w:cs="Times New Roman"/>
                <w:color w:val="auto"/>
                <w:sz w:val="21"/>
                <w:szCs w:val="21"/>
                <w:highlight w:val="none"/>
              </w:rPr>
              <w:t>10.0</w:t>
            </w:r>
          </w:p>
        </w:tc>
        <w:tc>
          <w:tcPr>
            <w:tcW w:w="788" w:type="pct"/>
            <w:vAlign w:val="center"/>
          </w:tcPr>
          <w:p w14:paraId="3EA29C77">
            <w:pPr>
              <w:spacing w:line="360" w:lineRule="exact"/>
              <w:ind w:firstLine="0" w:firstLineChars="0"/>
              <w:jc w:val="center"/>
              <w:rPr>
                <w:rFonts w:hint="eastAsia" w:eastAsia="宋体" w:cs="Times New Roman"/>
                <w:b w:val="0"/>
                <w:bCs w:val="0"/>
                <w:color w:val="auto"/>
                <w:sz w:val="21"/>
                <w:szCs w:val="21"/>
                <w:highlight w:val="none"/>
                <w:lang w:eastAsia="zh-CN"/>
              </w:rPr>
            </w:pPr>
            <w:r>
              <w:rPr>
                <w:rFonts w:hint="eastAsia" w:cs="Times New Roman"/>
                <w:b w:val="0"/>
                <w:bCs w:val="0"/>
                <w:color w:val="auto"/>
                <w:sz w:val="21"/>
                <w:szCs w:val="21"/>
                <w:highlight w:val="none"/>
              </w:rPr>
              <w:t>6.94E-06</w:t>
            </w:r>
          </w:p>
        </w:tc>
        <w:tc>
          <w:tcPr>
            <w:tcW w:w="692" w:type="pct"/>
            <w:vAlign w:val="center"/>
          </w:tcPr>
          <w:p w14:paraId="159BD725">
            <w:pPr>
              <w:spacing w:line="360" w:lineRule="exact"/>
              <w:ind w:firstLine="0" w:firstLineChars="0"/>
              <w:jc w:val="center"/>
              <w:rPr>
                <w:rFonts w:cs="Times New Roman"/>
                <w:b w:val="0"/>
                <w:bCs w:val="0"/>
                <w:color w:val="auto"/>
                <w:sz w:val="21"/>
                <w:szCs w:val="21"/>
                <w:highlight w:val="none"/>
              </w:rPr>
            </w:pPr>
            <w:r>
              <w:rPr>
                <w:rFonts w:cs="Times New Roman"/>
                <w:b w:val="0"/>
                <w:bCs w:val="0"/>
                <w:color w:val="auto"/>
                <w:sz w:val="21"/>
                <w:szCs w:val="21"/>
                <w:highlight w:val="none"/>
              </w:rPr>
              <w:t>0</w:t>
            </w:r>
          </w:p>
        </w:tc>
        <w:tc>
          <w:tcPr>
            <w:tcW w:w="539" w:type="pct"/>
            <w:vAlign w:val="center"/>
          </w:tcPr>
          <w:p w14:paraId="365D438D">
            <w:pPr>
              <w:spacing w:line="360" w:lineRule="exact"/>
              <w:ind w:firstLine="0" w:firstLineChars="0"/>
              <w:jc w:val="center"/>
              <w:rPr>
                <w:rFonts w:hint="default"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1.38</w:t>
            </w:r>
          </w:p>
        </w:tc>
        <w:tc>
          <w:tcPr>
            <w:tcW w:w="630" w:type="pct"/>
            <w:vMerge w:val="continue"/>
            <w:vAlign w:val="center"/>
          </w:tcPr>
          <w:p w14:paraId="0B2C2326">
            <w:pPr>
              <w:spacing w:line="360" w:lineRule="exact"/>
              <w:ind w:firstLine="0" w:firstLineChars="0"/>
              <w:jc w:val="center"/>
              <w:rPr>
                <w:rFonts w:cs="Times New Roman"/>
                <w:color w:val="auto"/>
                <w:sz w:val="21"/>
                <w:szCs w:val="21"/>
                <w:highlight w:val="none"/>
              </w:rPr>
            </w:pPr>
          </w:p>
        </w:tc>
        <w:tc>
          <w:tcPr>
            <w:tcW w:w="447" w:type="pct"/>
            <w:vMerge w:val="continue"/>
            <w:vAlign w:val="center"/>
          </w:tcPr>
          <w:p w14:paraId="760D2891">
            <w:pPr>
              <w:spacing w:line="360" w:lineRule="exact"/>
              <w:ind w:firstLine="0" w:firstLineChars="0"/>
              <w:jc w:val="center"/>
              <w:rPr>
                <w:rFonts w:cs="Times New Roman"/>
                <w:color w:val="auto"/>
                <w:sz w:val="21"/>
                <w:szCs w:val="21"/>
                <w:highlight w:val="none"/>
              </w:rPr>
            </w:pPr>
          </w:p>
        </w:tc>
      </w:tr>
    </w:tbl>
    <w:p w14:paraId="69EA7FC0">
      <w:pPr>
        <w:pStyle w:val="117"/>
        <w:adjustRightInd w:val="0"/>
        <w:snapToGrid w:val="0"/>
        <w:rPr>
          <w:rFonts w:cs="Times New Roman"/>
          <w:snapToGrid w:val="0"/>
          <w:color w:val="auto"/>
          <w:highlight w:val="none"/>
        </w:rPr>
      </w:pPr>
      <w:r>
        <w:rPr>
          <w:rFonts w:cs="Times New Roman"/>
          <w:color w:val="auto"/>
          <w:kern w:val="0"/>
          <w:highlight w:val="none"/>
        </w:rPr>
        <w:t>由上表可知，</w:t>
      </w:r>
      <w:r>
        <w:rPr>
          <w:rFonts w:cs="Times New Roman"/>
          <w:snapToGrid w:val="0"/>
          <w:color w:val="auto"/>
          <w:highlight w:val="none"/>
        </w:rPr>
        <w:t>最大占标率为</w:t>
      </w:r>
      <w:r>
        <w:rPr>
          <w:rFonts w:hint="eastAsia" w:cs="Times New Roman"/>
          <w:snapToGrid w:val="0"/>
          <w:color w:val="auto"/>
          <w:szCs w:val="21"/>
          <w:highlight w:val="none"/>
          <w:lang w:val="en-US" w:eastAsia="zh-CN"/>
        </w:rPr>
        <w:t>污水处理站排放的</w:t>
      </w: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r>
        <w:rPr>
          <w:rFonts w:cs="Times New Roman"/>
          <w:snapToGrid w:val="0"/>
          <w:color w:val="auto"/>
          <w:szCs w:val="21"/>
          <w:highlight w:val="none"/>
        </w:rPr>
        <w:t>，</w:t>
      </w:r>
      <w:r>
        <w:rPr>
          <w:rFonts w:cs="Times New Roman"/>
          <w:snapToGrid w:val="0"/>
          <w:color w:val="auto"/>
          <w:highlight w:val="none"/>
        </w:rPr>
        <w:t>Pmax=</w:t>
      </w:r>
      <w:r>
        <w:rPr>
          <w:rFonts w:hint="eastAsia" w:cs="Times New Roman"/>
          <w:snapToGrid w:val="0"/>
          <w:color w:val="auto"/>
          <w:highlight w:val="none"/>
          <w:lang w:val="en-US" w:eastAsia="zh-CN"/>
        </w:rPr>
        <w:t>5.69</w:t>
      </w:r>
      <w:r>
        <w:rPr>
          <w:rFonts w:cs="Times New Roman"/>
          <w:snapToGrid w:val="0"/>
          <w:color w:val="auto"/>
          <w:highlight w:val="none"/>
        </w:rPr>
        <w:t>&lt;10%，本项目大气环境评价等级为二级。</w:t>
      </w:r>
    </w:p>
    <w:bookmarkEnd w:id="62"/>
    <w:p w14:paraId="485F5951">
      <w:pPr>
        <w:pStyle w:val="4"/>
        <w:spacing w:after="156"/>
        <w:rPr>
          <w:rFonts w:cs="Times New Roman"/>
          <w:color w:val="auto"/>
          <w:highlight w:val="none"/>
        </w:rPr>
      </w:pPr>
      <w:bookmarkStart w:id="63" w:name="_Toc29868"/>
      <w:r>
        <w:rPr>
          <w:rFonts w:cs="Times New Roman"/>
          <w:color w:val="auto"/>
          <w:highlight w:val="none"/>
        </w:rPr>
        <w:t>2.3.2地表水环境评价等级</w:t>
      </w:r>
      <w:bookmarkEnd w:id="63"/>
    </w:p>
    <w:p w14:paraId="2669E27C">
      <w:pPr>
        <w:spacing w:line="500" w:lineRule="exact"/>
        <w:rPr>
          <w:rFonts w:cs="Times New Roman"/>
          <w:color w:val="auto"/>
          <w:szCs w:val="24"/>
          <w:highlight w:val="none"/>
        </w:rPr>
      </w:pPr>
      <w:r>
        <w:rPr>
          <w:rFonts w:cs="Times New Roman"/>
          <w:color w:val="auto"/>
          <w:szCs w:val="24"/>
          <w:highlight w:val="none"/>
        </w:rPr>
        <w:t>本项目根据《环境影响评价技术导则  地表水环境》（HJ2.3-2018）确定地表水环境评价等级。</w:t>
      </w:r>
    </w:p>
    <w:p w14:paraId="534B2193">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3-7  水污染影响型建设项目评价等级判定</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13"/>
        <w:gridCol w:w="2065"/>
        <w:gridCol w:w="3561"/>
      </w:tblGrid>
      <w:tr w14:paraId="7DF193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2813" w:type="dxa"/>
            <w:vMerge w:val="restart"/>
            <w:tcBorders>
              <w:top w:val="single" w:color="auto" w:sz="12" w:space="0"/>
              <w:left w:val="nil"/>
              <w:bottom w:val="single" w:color="auto" w:sz="4" w:space="0"/>
              <w:right w:val="single" w:color="auto" w:sz="4" w:space="0"/>
            </w:tcBorders>
            <w:vAlign w:val="center"/>
          </w:tcPr>
          <w:p w14:paraId="2B8995E5">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评价等级</w:t>
            </w:r>
          </w:p>
        </w:tc>
        <w:tc>
          <w:tcPr>
            <w:tcW w:w="5626" w:type="dxa"/>
            <w:gridSpan w:val="2"/>
            <w:tcBorders>
              <w:top w:val="single" w:color="auto" w:sz="12" w:space="0"/>
              <w:left w:val="single" w:color="auto" w:sz="4" w:space="0"/>
              <w:bottom w:val="single" w:color="auto" w:sz="4" w:space="0"/>
              <w:right w:val="nil"/>
            </w:tcBorders>
            <w:vAlign w:val="center"/>
          </w:tcPr>
          <w:p w14:paraId="1C94F3AF">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判定依据</w:t>
            </w:r>
          </w:p>
        </w:tc>
      </w:tr>
      <w:tr w14:paraId="7525E2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13" w:type="dxa"/>
            <w:vMerge w:val="continue"/>
            <w:tcBorders>
              <w:top w:val="single" w:color="auto" w:sz="12" w:space="0"/>
              <w:left w:val="nil"/>
              <w:bottom w:val="single" w:color="auto" w:sz="4" w:space="0"/>
              <w:right w:val="single" w:color="auto" w:sz="4" w:space="0"/>
            </w:tcBorders>
            <w:vAlign w:val="center"/>
          </w:tcPr>
          <w:p w14:paraId="2F7BDB0E">
            <w:pPr>
              <w:keepNext w:val="0"/>
              <w:keepLines w:val="0"/>
              <w:pageBreakBefore w:val="0"/>
              <w:widowControl/>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p>
        </w:tc>
        <w:tc>
          <w:tcPr>
            <w:tcW w:w="2065" w:type="dxa"/>
            <w:tcBorders>
              <w:top w:val="single" w:color="auto" w:sz="4" w:space="0"/>
              <w:left w:val="single" w:color="auto" w:sz="4" w:space="0"/>
              <w:bottom w:val="single" w:color="auto" w:sz="4" w:space="0"/>
              <w:right w:val="single" w:color="auto" w:sz="4" w:space="0"/>
            </w:tcBorders>
            <w:vAlign w:val="center"/>
          </w:tcPr>
          <w:p w14:paraId="2FE0F9F6">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排放方式</w:t>
            </w:r>
          </w:p>
        </w:tc>
        <w:tc>
          <w:tcPr>
            <w:tcW w:w="3561" w:type="dxa"/>
            <w:tcBorders>
              <w:top w:val="single" w:color="auto" w:sz="4" w:space="0"/>
              <w:left w:val="single" w:color="auto" w:sz="4" w:space="0"/>
              <w:bottom w:val="single" w:color="auto" w:sz="4" w:space="0"/>
              <w:right w:val="nil"/>
            </w:tcBorders>
            <w:vAlign w:val="center"/>
          </w:tcPr>
          <w:p w14:paraId="3C5FD6CF">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废水排放量Q/（m</w:t>
            </w:r>
            <w:r>
              <w:rPr>
                <w:rFonts w:cs="Times New Roman"/>
                <w:color w:val="auto"/>
                <w:sz w:val="21"/>
                <w:szCs w:val="21"/>
                <w:highlight w:val="none"/>
                <w:vertAlign w:val="superscript"/>
              </w:rPr>
              <w:t>3</w:t>
            </w:r>
            <w:r>
              <w:rPr>
                <w:rFonts w:cs="Times New Roman"/>
                <w:color w:val="auto"/>
                <w:sz w:val="21"/>
                <w:szCs w:val="21"/>
                <w:highlight w:val="none"/>
              </w:rPr>
              <w:t>/d）</w:t>
            </w:r>
          </w:p>
          <w:p w14:paraId="0B77FBC9">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水污染物当量数W/（无量纲）</w:t>
            </w:r>
          </w:p>
        </w:tc>
      </w:tr>
      <w:tr w14:paraId="28A416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2813" w:type="dxa"/>
            <w:tcBorders>
              <w:top w:val="single" w:color="auto" w:sz="4" w:space="0"/>
              <w:left w:val="nil"/>
              <w:bottom w:val="single" w:color="auto" w:sz="4" w:space="0"/>
              <w:right w:val="single" w:color="auto" w:sz="4" w:space="0"/>
            </w:tcBorders>
            <w:vAlign w:val="center"/>
          </w:tcPr>
          <w:p w14:paraId="7182444B">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一级</w:t>
            </w:r>
          </w:p>
        </w:tc>
        <w:tc>
          <w:tcPr>
            <w:tcW w:w="2065" w:type="dxa"/>
            <w:tcBorders>
              <w:top w:val="single" w:color="auto" w:sz="4" w:space="0"/>
              <w:left w:val="single" w:color="auto" w:sz="4" w:space="0"/>
              <w:bottom w:val="single" w:color="auto" w:sz="4" w:space="0"/>
              <w:right w:val="single" w:color="auto" w:sz="4" w:space="0"/>
            </w:tcBorders>
            <w:vAlign w:val="center"/>
          </w:tcPr>
          <w:p w14:paraId="2B5AD90D">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直接排放</w:t>
            </w:r>
          </w:p>
        </w:tc>
        <w:tc>
          <w:tcPr>
            <w:tcW w:w="3561" w:type="dxa"/>
            <w:tcBorders>
              <w:top w:val="single" w:color="auto" w:sz="4" w:space="0"/>
              <w:left w:val="single" w:color="auto" w:sz="4" w:space="0"/>
              <w:bottom w:val="single" w:color="auto" w:sz="4" w:space="0"/>
              <w:right w:val="nil"/>
            </w:tcBorders>
            <w:vAlign w:val="center"/>
          </w:tcPr>
          <w:p w14:paraId="301428C2">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Q≥20000或W≥600000</w:t>
            </w:r>
          </w:p>
        </w:tc>
      </w:tr>
      <w:tr w14:paraId="46AA7C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2813" w:type="dxa"/>
            <w:tcBorders>
              <w:top w:val="single" w:color="auto" w:sz="4" w:space="0"/>
              <w:left w:val="nil"/>
              <w:bottom w:val="single" w:color="auto" w:sz="4" w:space="0"/>
              <w:right w:val="single" w:color="auto" w:sz="4" w:space="0"/>
            </w:tcBorders>
            <w:vAlign w:val="center"/>
          </w:tcPr>
          <w:p w14:paraId="3B47CA73">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二级</w:t>
            </w:r>
          </w:p>
        </w:tc>
        <w:tc>
          <w:tcPr>
            <w:tcW w:w="2065" w:type="dxa"/>
            <w:tcBorders>
              <w:top w:val="single" w:color="auto" w:sz="4" w:space="0"/>
              <w:left w:val="single" w:color="auto" w:sz="4" w:space="0"/>
              <w:bottom w:val="single" w:color="auto" w:sz="4" w:space="0"/>
              <w:right w:val="single" w:color="auto" w:sz="4" w:space="0"/>
            </w:tcBorders>
            <w:vAlign w:val="center"/>
          </w:tcPr>
          <w:p w14:paraId="5DAA063F">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直接排放</w:t>
            </w:r>
          </w:p>
        </w:tc>
        <w:tc>
          <w:tcPr>
            <w:tcW w:w="3561" w:type="dxa"/>
            <w:tcBorders>
              <w:top w:val="single" w:color="auto" w:sz="4" w:space="0"/>
              <w:left w:val="single" w:color="auto" w:sz="4" w:space="0"/>
              <w:bottom w:val="single" w:color="auto" w:sz="4" w:space="0"/>
              <w:right w:val="nil"/>
            </w:tcBorders>
            <w:vAlign w:val="center"/>
          </w:tcPr>
          <w:p w14:paraId="6F327D1D">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其他</w:t>
            </w:r>
          </w:p>
        </w:tc>
      </w:tr>
      <w:tr w14:paraId="768DB6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2813" w:type="dxa"/>
            <w:tcBorders>
              <w:top w:val="single" w:color="auto" w:sz="4" w:space="0"/>
              <w:left w:val="nil"/>
              <w:bottom w:val="single" w:color="auto" w:sz="4" w:space="0"/>
              <w:right w:val="single" w:color="auto" w:sz="4" w:space="0"/>
            </w:tcBorders>
            <w:vAlign w:val="center"/>
          </w:tcPr>
          <w:p w14:paraId="6B6B9082">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三级A</w:t>
            </w:r>
          </w:p>
        </w:tc>
        <w:tc>
          <w:tcPr>
            <w:tcW w:w="2065" w:type="dxa"/>
            <w:tcBorders>
              <w:top w:val="single" w:color="auto" w:sz="4" w:space="0"/>
              <w:left w:val="single" w:color="auto" w:sz="4" w:space="0"/>
              <w:bottom w:val="single" w:color="auto" w:sz="4" w:space="0"/>
              <w:right w:val="single" w:color="auto" w:sz="4" w:space="0"/>
            </w:tcBorders>
            <w:vAlign w:val="center"/>
          </w:tcPr>
          <w:p w14:paraId="53376C5D">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直接排放</w:t>
            </w:r>
          </w:p>
        </w:tc>
        <w:tc>
          <w:tcPr>
            <w:tcW w:w="3561" w:type="dxa"/>
            <w:tcBorders>
              <w:top w:val="single" w:color="auto" w:sz="4" w:space="0"/>
              <w:left w:val="single" w:color="auto" w:sz="4" w:space="0"/>
              <w:bottom w:val="single" w:color="auto" w:sz="4" w:space="0"/>
              <w:right w:val="nil"/>
            </w:tcBorders>
            <w:vAlign w:val="center"/>
          </w:tcPr>
          <w:p w14:paraId="661CE4BF">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Q＜200且W＜6000</w:t>
            </w:r>
          </w:p>
        </w:tc>
      </w:tr>
      <w:tr w14:paraId="6B0D55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2813" w:type="dxa"/>
            <w:tcBorders>
              <w:top w:val="single" w:color="auto" w:sz="4" w:space="0"/>
              <w:left w:val="nil"/>
              <w:bottom w:val="single" w:color="auto" w:sz="12" w:space="0"/>
              <w:right w:val="single" w:color="auto" w:sz="4" w:space="0"/>
            </w:tcBorders>
            <w:vAlign w:val="center"/>
          </w:tcPr>
          <w:p w14:paraId="5D14CDF8">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三级B</w:t>
            </w:r>
          </w:p>
        </w:tc>
        <w:tc>
          <w:tcPr>
            <w:tcW w:w="2065" w:type="dxa"/>
            <w:tcBorders>
              <w:top w:val="single" w:color="auto" w:sz="4" w:space="0"/>
              <w:left w:val="single" w:color="auto" w:sz="4" w:space="0"/>
              <w:bottom w:val="single" w:color="auto" w:sz="12" w:space="0"/>
              <w:right w:val="single" w:color="auto" w:sz="4" w:space="0"/>
            </w:tcBorders>
            <w:vAlign w:val="center"/>
          </w:tcPr>
          <w:p w14:paraId="5F2197C3">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间接排放</w:t>
            </w:r>
          </w:p>
        </w:tc>
        <w:tc>
          <w:tcPr>
            <w:tcW w:w="3561" w:type="dxa"/>
            <w:tcBorders>
              <w:top w:val="single" w:color="auto" w:sz="4" w:space="0"/>
              <w:left w:val="single" w:color="auto" w:sz="4" w:space="0"/>
              <w:bottom w:val="single" w:color="auto" w:sz="12" w:space="0"/>
              <w:right w:val="nil"/>
            </w:tcBorders>
            <w:vAlign w:val="center"/>
          </w:tcPr>
          <w:p w14:paraId="2872C24C">
            <w:pPr>
              <w:keepNext w:val="0"/>
              <w:keepLines w:val="0"/>
              <w:pageBreakBefore w:val="0"/>
              <w:kinsoku/>
              <w:wordWrap/>
              <w:overflowPunct/>
              <w:topLinePunct w:val="0"/>
              <w:autoSpaceDE/>
              <w:autoSpaceDN/>
              <w:bidi w:val="0"/>
              <w:adjustRightInd w:val="0"/>
              <w:snapToGrid w:val="0"/>
              <w:spacing w:line="360" w:lineRule="exact"/>
              <w:ind w:firstLine="0" w:firstLineChars="0"/>
              <w:jc w:val="center"/>
              <w:textAlignment w:val="auto"/>
              <w:rPr>
                <w:rFonts w:cs="Times New Roman"/>
                <w:color w:val="auto"/>
                <w:sz w:val="21"/>
                <w:szCs w:val="21"/>
                <w:highlight w:val="none"/>
              </w:rPr>
            </w:pPr>
            <w:r>
              <w:rPr>
                <w:rFonts w:cs="Times New Roman"/>
                <w:color w:val="auto"/>
                <w:sz w:val="21"/>
                <w:szCs w:val="21"/>
                <w:highlight w:val="none"/>
              </w:rPr>
              <w:t>--</w:t>
            </w:r>
          </w:p>
        </w:tc>
      </w:tr>
    </w:tbl>
    <w:p w14:paraId="6CDE123E">
      <w:pPr>
        <w:pStyle w:val="117"/>
        <w:adjustRightInd w:val="0"/>
        <w:snapToGrid w:val="0"/>
        <w:ind w:firstLine="472"/>
        <w:rPr>
          <w:rFonts w:cs="Times New Roman"/>
          <w:snapToGrid w:val="0"/>
          <w:color w:val="auto"/>
          <w:highlight w:val="none"/>
        </w:rPr>
      </w:pPr>
      <w:r>
        <w:rPr>
          <w:rFonts w:cs="Times New Roman"/>
          <w:bCs/>
          <w:color w:val="auto"/>
          <w:spacing w:val="-2"/>
          <w:szCs w:val="24"/>
          <w:highlight w:val="none"/>
        </w:rPr>
        <w:t>本项目</w:t>
      </w:r>
      <w:r>
        <w:rPr>
          <w:rFonts w:hint="eastAsia" w:cs="Times New Roman"/>
          <w:bCs/>
          <w:color w:val="auto"/>
          <w:spacing w:val="-2"/>
          <w:szCs w:val="24"/>
          <w:highlight w:val="none"/>
          <w:lang w:val="en-US" w:eastAsia="zh-CN"/>
        </w:rPr>
        <w:t>生产</w:t>
      </w:r>
      <w:r>
        <w:rPr>
          <w:rFonts w:cs="Times New Roman"/>
          <w:bCs/>
          <w:color w:val="auto"/>
          <w:spacing w:val="-2"/>
          <w:szCs w:val="24"/>
          <w:highlight w:val="none"/>
        </w:rPr>
        <w:t>废水经厂区自建的污水处理站进行处理，处理后</w:t>
      </w:r>
      <w:r>
        <w:rPr>
          <w:rFonts w:cs="Times New Roman"/>
          <w:color w:val="auto"/>
          <w:szCs w:val="24"/>
          <w:highlight w:val="none"/>
        </w:rPr>
        <w:t>满足《肉类加工工业水污染物排放标准》（GB13457-1992）表3中的畜类屠宰加工三级标准后与生活污水一同经市政污水管网</w:t>
      </w:r>
      <w:r>
        <w:rPr>
          <w:rFonts w:cs="Times New Roman"/>
          <w:bCs/>
          <w:color w:val="auto"/>
          <w:spacing w:val="-2"/>
          <w:szCs w:val="24"/>
          <w:highlight w:val="none"/>
        </w:rPr>
        <w:t>进入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处理，</w:t>
      </w:r>
      <w:r>
        <w:rPr>
          <w:rFonts w:cs="Times New Roman"/>
          <w:snapToGrid w:val="0"/>
          <w:color w:val="auto"/>
          <w:highlight w:val="none"/>
        </w:rPr>
        <w:t>处理达标后</w:t>
      </w:r>
      <w:r>
        <w:rPr>
          <w:rFonts w:cs="Times New Roman"/>
          <w:snapToGrid w:val="0"/>
          <w:color w:val="auto"/>
          <w:highlight w:val="none"/>
          <w:lang w:val="en-GB"/>
        </w:rPr>
        <w:t>排入</w:t>
      </w:r>
      <w:r>
        <w:rPr>
          <w:rFonts w:hint="eastAsia" w:cs="Times New Roman"/>
          <w:snapToGrid w:val="0"/>
          <w:color w:val="auto"/>
          <w:highlight w:val="none"/>
          <w:lang w:val="en-GB" w:eastAsia="zh-CN"/>
        </w:rPr>
        <w:t>安邦河</w:t>
      </w:r>
      <w:r>
        <w:rPr>
          <w:rFonts w:cs="Times New Roman"/>
          <w:bCs/>
          <w:color w:val="auto"/>
          <w:spacing w:val="-2"/>
          <w:szCs w:val="24"/>
          <w:highlight w:val="none"/>
        </w:rPr>
        <w:t>。根据《环境影响评价技术导则 地表水环境》（HJ 2.3-2018）表1水污染物影响型建设项目评价等级判定，可知，本项目地表水评价等级为三级B。</w:t>
      </w:r>
    </w:p>
    <w:p w14:paraId="659F3E75">
      <w:pPr>
        <w:pStyle w:val="4"/>
        <w:spacing w:after="156"/>
        <w:rPr>
          <w:rFonts w:cs="Times New Roman"/>
          <w:color w:val="auto"/>
          <w:highlight w:val="none"/>
        </w:rPr>
      </w:pPr>
      <w:bookmarkStart w:id="64" w:name="_Toc18086"/>
      <w:r>
        <w:rPr>
          <w:rFonts w:cs="Times New Roman"/>
          <w:color w:val="auto"/>
          <w:highlight w:val="none"/>
        </w:rPr>
        <w:t>2.3.3地下水环境评价等级</w:t>
      </w:r>
      <w:bookmarkEnd w:id="64"/>
    </w:p>
    <w:p w14:paraId="5408B78B">
      <w:pPr>
        <w:pStyle w:val="117"/>
        <w:adjustRightInd w:val="0"/>
        <w:snapToGrid w:val="0"/>
        <w:rPr>
          <w:rFonts w:cs="Times New Roman"/>
          <w:snapToGrid w:val="0"/>
          <w:color w:val="auto"/>
          <w:szCs w:val="24"/>
          <w:highlight w:val="none"/>
        </w:rPr>
      </w:pPr>
      <w:r>
        <w:rPr>
          <w:rFonts w:cs="Times New Roman"/>
          <w:snapToGrid w:val="0"/>
          <w:color w:val="auto"/>
          <w:szCs w:val="24"/>
          <w:highlight w:val="none"/>
        </w:rPr>
        <w:t>根据</w:t>
      </w:r>
      <w:r>
        <w:rPr>
          <w:rFonts w:cs="Times New Roman"/>
          <w:color w:val="auto"/>
          <w:szCs w:val="24"/>
          <w:highlight w:val="none"/>
        </w:rPr>
        <w:t>《环境影响评价技术导则 地下水环境》</w:t>
      </w:r>
      <w:r>
        <w:rPr>
          <w:rFonts w:cs="Times New Roman"/>
          <w:snapToGrid w:val="0"/>
          <w:color w:val="auto"/>
          <w:szCs w:val="24"/>
          <w:highlight w:val="none"/>
        </w:rPr>
        <w:t>（HJ610-2016）要求，地下水环境影响评价工作等级的划分</w:t>
      </w:r>
      <w:r>
        <w:rPr>
          <w:rFonts w:cs="Times New Roman"/>
          <w:color w:val="auto"/>
          <w:szCs w:val="24"/>
          <w:highlight w:val="none"/>
        </w:rPr>
        <w:t>依据</w:t>
      </w:r>
      <w:r>
        <w:rPr>
          <w:rFonts w:cs="Times New Roman"/>
          <w:snapToGrid w:val="0"/>
          <w:color w:val="auto"/>
          <w:szCs w:val="24"/>
          <w:highlight w:val="none"/>
        </w:rPr>
        <w:t>建设项目行业分类和地下水环境敏感程度分级进行判定。对照</w:t>
      </w:r>
      <w:r>
        <w:rPr>
          <w:rFonts w:cs="Times New Roman"/>
          <w:color w:val="auto"/>
          <w:szCs w:val="24"/>
          <w:highlight w:val="none"/>
        </w:rPr>
        <w:t>《环境影响评价技术导则 地下水环境》</w:t>
      </w:r>
      <w:r>
        <w:rPr>
          <w:rFonts w:cs="Times New Roman"/>
          <w:snapToGrid w:val="0"/>
          <w:color w:val="auto"/>
          <w:szCs w:val="24"/>
          <w:highlight w:val="none"/>
        </w:rPr>
        <w:t>（HJ610-2016）中“附录A</w:t>
      </w:r>
      <w:r>
        <w:rPr>
          <w:rFonts w:cs="Times New Roman"/>
          <w:color w:val="auto"/>
          <w:szCs w:val="24"/>
          <w:highlight w:val="none"/>
        </w:rPr>
        <w:t>地下水</w:t>
      </w:r>
      <w:r>
        <w:rPr>
          <w:rFonts w:cs="Times New Roman"/>
          <w:snapToGrid w:val="0"/>
          <w:color w:val="auto"/>
          <w:szCs w:val="24"/>
          <w:highlight w:val="none"/>
        </w:rPr>
        <w:t>环境影响评价行业分类表”可知，项目属于“N轻工，98、屠宰”，因此项目属于Ⅲ类建设项目。</w:t>
      </w:r>
    </w:p>
    <w:p w14:paraId="1D6025EF">
      <w:pPr>
        <w:pStyle w:val="117"/>
        <w:adjustRightInd w:val="0"/>
        <w:snapToGrid w:val="0"/>
        <w:rPr>
          <w:rFonts w:cs="Times New Roman"/>
          <w:snapToGrid w:val="0"/>
          <w:color w:val="auto"/>
          <w:highlight w:val="none"/>
        </w:rPr>
      </w:pPr>
      <w:r>
        <w:rPr>
          <w:rFonts w:cs="Times New Roman"/>
          <w:color w:val="auto"/>
          <w:szCs w:val="24"/>
          <w:highlight w:val="none"/>
        </w:rPr>
        <w:t>建设项目的地下水环境敏感程度可分为敏感、较敏感、不敏感三级，分级原则见表2</w:t>
      </w:r>
      <w:r>
        <w:rPr>
          <w:rFonts w:hint="eastAsia" w:cs="Times New Roman"/>
          <w:color w:val="auto"/>
          <w:szCs w:val="24"/>
          <w:highlight w:val="none"/>
          <w:lang w:val="en-US" w:eastAsia="zh-CN"/>
        </w:rPr>
        <w:t>.</w:t>
      </w:r>
      <w:r>
        <w:rPr>
          <w:rFonts w:cs="Times New Roman"/>
          <w:color w:val="auto"/>
          <w:szCs w:val="24"/>
          <w:highlight w:val="none"/>
        </w:rPr>
        <w:t xml:space="preserve">3-8。 </w:t>
      </w:r>
    </w:p>
    <w:p w14:paraId="2C7D6998">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3-8  地下水环境敏感程度分级表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7240"/>
      </w:tblGrid>
      <w:tr w14:paraId="1B300C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blHeader/>
          <w:jc w:val="center"/>
        </w:trPr>
        <w:tc>
          <w:tcPr>
            <w:tcW w:w="1179" w:type="dxa"/>
            <w:tcBorders>
              <w:top w:val="single" w:color="auto" w:sz="12" w:space="0"/>
              <w:left w:val="nil"/>
              <w:bottom w:val="single" w:color="auto" w:sz="4" w:space="0"/>
              <w:right w:val="single" w:color="auto" w:sz="4" w:space="0"/>
            </w:tcBorders>
            <w:vAlign w:val="center"/>
          </w:tcPr>
          <w:p w14:paraId="74654AC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敏感程度</w:t>
            </w:r>
          </w:p>
        </w:tc>
        <w:tc>
          <w:tcPr>
            <w:tcW w:w="7240" w:type="dxa"/>
            <w:tcBorders>
              <w:top w:val="single" w:color="auto" w:sz="12" w:space="0"/>
              <w:left w:val="single" w:color="auto" w:sz="4" w:space="0"/>
              <w:bottom w:val="single" w:color="auto" w:sz="4" w:space="0"/>
              <w:right w:val="nil"/>
            </w:tcBorders>
            <w:vAlign w:val="center"/>
          </w:tcPr>
          <w:p w14:paraId="3C08C99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地下水环境敏感特征</w:t>
            </w:r>
          </w:p>
        </w:tc>
      </w:tr>
      <w:tr w14:paraId="4EA76D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79" w:hRule="atLeast"/>
          <w:jc w:val="center"/>
        </w:trPr>
        <w:tc>
          <w:tcPr>
            <w:tcW w:w="1179" w:type="dxa"/>
            <w:tcBorders>
              <w:top w:val="single" w:color="auto" w:sz="4" w:space="0"/>
              <w:left w:val="nil"/>
              <w:bottom w:val="single" w:color="auto" w:sz="4" w:space="0"/>
              <w:right w:val="single" w:color="auto" w:sz="4" w:space="0"/>
            </w:tcBorders>
            <w:vAlign w:val="center"/>
          </w:tcPr>
          <w:p w14:paraId="4A02B0C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敏感</w:t>
            </w:r>
          </w:p>
        </w:tc>
        <w:tc>
          <w:tcPr>
            <w:tcW w:w="7240" w:type="dxa"/>
            <w:tcBorders>
              <w:top w:val="single" w:color="auto" w:sz="4" w:space="0"/>
              <w:left w:val="single" w:color="auto" w:sz="4" w:space="0"/>
              <w:bottom w:val="single" w:color="auto" w:sz="4" w:space="0"/>
              <w:right w:val="nil"/>
            </w:tcBorders>
            <w:vAlign w:val="center"/>
          </w:tcPr>
          <w:p w14:paraId="32AA330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集中式饮用水水源（包括已建成的在用、备用、应急水源，在建和规划的饮用水源）准保护区；除集中式饮用水水源以外的国家或地方政府设定的与地下水环境相关的其他保护区，如热水、矿泉水</w:t>
            </w:r>
          </w:p>
        </w:tc>
      </w:tr>
      <w:tr w14:paraId="2835EB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69" w:hRule="atLeast"/>
          <w:jc w:val="center"/>
        </w:trPr>
        <w:tc>
          <w:tcPr>
            <w:tcW w:w="1179" w:type="dxa"/>
            <w:tcBorders>
              <w:top w:val="single" w:color="auto" w:sz="4" w:space="0"/>
              <w:left w:val="nil"/>
              <w:bottom w:val="single" w:color="auto" w:sz="4" w:space="0"/>
              <w:right w:val="single" w:color="auto" w:sz="4" w:space="0"/>
            </w:tcBorders>
            <w:vAlign w:val="center"/>
          </w:tcPr>
          <w:p w14:paraId="0A0C244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较敏感</w:t>
            </w:r>
          </w:p>
        </w:tc>
        <w:tc>
          <w:tcPr>
            <w:tcW w:w="7240" w:type="dxa"/>
            <w:tcBorders>
              <w:top w:val="single" w:color="auto" w:sz="4" w:space="0"/>
              <w:left w:val="single" w:color="auto" w:sz="4" w:space="0"/>
              <w:bottom w:val="single" w:color="auto" w:sz="4" w:space="0"/>
              <w:right w:val="nil"/>
            </w:tcBorders>
            <w:vAlign w:val="center"/>
          </w:tcPr>
          <w:p w14:paraId="749BEFF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集中式饮用水水源（包括已建成的在用、备用、应急水源，在建和规划的饮用水源）准保护区以外的补给径流区；未划定准保护区的集中水式饮用水源，其保护区外的补给径流区；分散式饮用水水源；特殊地下水资源（如矿泉水）保护区以外的分布区等其他未列入上述敏感分级的环境敏感区</w:t>
            </w:r>
          </w:p>
        </w:tc>
      </w:tr>
      <w:tr w14:paraId="3047CD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179" w:type="dxa"/>
            <w:tcBorders>
              <w:top w:val="single" w:color="auto" w:sz="4" w:space="0"/>
              <w:left w:val="nil"/>
              <w:bottom w:val="single" w:color="auto" w:sz="4" w:space="0"/>
              <w:right w:val="single" w:color="auto" w:sz="4" w:space="0"/>
            </w:tcBorders>
            <w:vAlign w:val="center"/>
          </w:tcPr>
          <w:p w14:paraId="78822A4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不敏感</w:t>
            </w:r>
          </w:p>
        </w:tc>
        <w:tc>
          <w:tcPr>
            <w:tcW w:w="7240" w:type="dxa"/>
            <w:tcBorders>
              <w:top w:val="single" w:color="auto" w:sz="4" w:space="0"/>
              <w:left w:val="single" w:color="auto" w:sz="4" w:space="0"/>
              <w:bottom w:val="single" w:color="auto" w:sz="4" w:space="0"/>
              <w:right w:val="nil"/>
            </w:tcBorders>
            <w:vAlign w:val="center"/>
          </w:tcPr>
          <w:p w14:paraId="09D0595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上述地区之外的其它地区。</w:t>
            </w:r>
          </w:p>
        </w:tc>
      </w:tr>
      <w:tr w14:paraId="182E47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2" w:hRule="atLeast"/>
          <w:jc w:val="center"/>
        </w:trPr>
        <w:tc>
          <w:tcPr>
            <w:tcW w:w="8419" w:type="dxa"/>
            <w:gridSpan w:val="2"/>
            <w:tcBorders>
              <w:top w:val="single" w:color="auto" w:sz="4" w:space="0"/>
              <w:left w:val="nil"/>
              <w:bottom w:val="single" w:color="auto" w:sz="12" w:space="0"/>
              <w:right w:val="nil"/>
            </w:tcBorders>
            <w:vAlign w:val="center"/>
          </w:tcPr>
          <w:p w14:paraId="09DB5FB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注：a“环境敏感区”是指《建设项目环境影响评价分类管理名录》中所涉及地下水的环境敏感区。</w:t>
            </w:r>
          </w:p>
        </w:tc>
      </w:tr>
    </w:tbl>
    <w:p w14:paraId="6357813B">
      <w:pPr>
        <w:pStyle w:val="117"/>
        <w:adjustRightInd w:val="0"/>
        <w:snapToGrid w:val="0"/>
        <w:rPr>
          <w:rFonts w:cs="Times New Roman"/>
          <w:snapToGrid w:val="0"/>
          <w:color w:val="auto"/>
          <w:szCs w:val="24"/>
          <w:highlight w:val="none"/>
          <w:lang w:val="zh-CN"/>
        </w:rPr>
      </w:pPr>
      <w:r>
        <w:rPr>
          <w:rFonts w:cs="Times New Roman"/>
          <w:snapToGrid w:val="0"/>
          <w:color w:val="auto"/>
          <w:szCs w:val="24"/>
          <w:highlight w:val="none"/>
        </w:rPr>
        <w:t>建设项目地下水环境影响评价工作等级的划分见表2</w:t>
      </w:r>
      <w:r>
        <w:rPr>
          <w:rFonts w:hint="eastAsia" w:cs="Times New Roman"/>
          <w:snapToGrid w:val="0"/>
          <w:color w:val="auto"/>
          <w:szCs w:val="24"/>
          <w:highlight w:val="none"/>
          <w:lang w:val="en-US" w:eastAsia="zh-CN"/>
        </w:rPr>
        <w:t>.</w:t>
      </w:r>
      <w:r>
        <w:rPr>
          <w:rFonts w:cs="Times New Roman"/>
          <w:snapToGrid w:val="0"/>
          <w:color w:val="auto"/>
          <w:szCs w:val="24"/>
          <w:highlight w:val="none"/>
        </w:rPr>
        <w:t>3-9。</w:t>
      </w:r>
    </w:p>
    <w:p w14:paraId="1B2D9D06">
      <w:pPr>
        <w:spacing w:line="240" w:lineRule="auto"/>
        <w:ind w:firstLine="482"/>
        <w:jc w:val="center"/>
        <w:rPr>
          <w:rFonts w:cs="Times New Roman"/>
          <w:b/>
          <w:color w:val="auto"/>
          <w:szCs w:val="24"/>
          <w:highlight w:val="none"/>
          <w:lang w:val="zh-CN"/>
        </w:rPr>
      </w:pPr>
      <w:r>
        <w:rPr>
          <w:rFonts w:cs="Times New Roman"/>
          <w:b/>
          <w:color w:val="auto"/>
          <w:szCs w:val="24"/>
          <w:highlight w:val="none"/>
          <w:lang w:val="zh-CN"/>
        </w:rPr>
        <w:t>表</w:t>
      </w:r>
      <w:r>
        <w:rPr>
          <w:rFonts w:cs="Times New Roman"/>
          <w:b/>
          <w:color w:val="auto"/>
          <w:szCs w:val="24"/>
          <w:highlight w:val="none"/>
        </w:rPr>
        <w:t>2</w:t>
      </w:r>
      <w:r>
        <w:rPr>
          <w:rFonts w:hint="eastAsia" w:cs="Times New Roman"/>
          <w:b/>
          <w:color w:val="auto"/>
          <w:szCs w:val="24"/>
          <w:highlight w:val="none"/>
          <w:lang w:val="en-US" w:eastAsia="zh-CN"/>
        </w:rPr>
        <w:t>.</w:t>
      </w:r>
      <w:r>
        <w:rPr>
          <w:rFonts w:cs="Times New Roman"/>
          <w:b/>
          <w:color w:val="auto"/>
          <w:szCs w:val="24"/>
          <w:highlight w:val="none"/>
        </w:rPr>
        <w:t xml:space="preserve">3-9  </w:t>
      </w:r>
      <w:r>
        <w:rPr>
          <w:rFonts w:cs="Times New Roman"/>
          <w:b/>
          <w:color w:val="auto"/>
          <w:szCs w:val="24"/>
          <w:highlight w:val="none"/>
          <w:lang w:val="zh-CN"/>
        </w:rPr>
        <w:t>地下水评价工作等级分级表</w:t>
      </w:r>
    </w:p>
    <w:tbl>
      <w:tblPr>
        <w:tblStyle w:val="398"/>
        <w:tblW w:w="849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69"/>
        <w:gridCol w:w="1808"/>
        <w:gridCol w:w="2111"/>
        <w:gridCol w:w="2111"/>
      </w:tblGrid>
      <w:tr w14:paraId="4ED059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8" w:hRule="atLeast"/>
          <w:jc w:val="center"/>
        </w:trPr>
        <w:tc>
          <w:tcPr>
            <w:tcW w:w="2469" w:type="dxa"/>
            <w:vAlign w:val="center"/>
          </w:tcPr>
          <w:p w14:paraId="78BB4C01">
            <w:pPr>
              <w:spacing w:line="360" w:lineRule="exact"/>
              <w:ind w:firstLine="0" w:firstLineChars="0"/>
              <w:jc w:val="right"/>
              <w:rPr>
                <w:rFonts w:cs="Times New Roman"/>
                <w:snapToGrid w:val="0"/>
                <w:color w:val="auto"/>
                <w:kern w:val="0"/>
                <w:sz w:val="21"/>
                <w:szCs w:val="21"/>
                <w:highlight w:val="none"/>
                <w:lang w:val="en-GB"/>
              </w:rPr>
            </w:pPr>
            <w:r>
              <w:rPr>
                <w:rFonts w:cs="Times New Roman"/>
                <w:snapToGrid w:val="0"/>
                <w:color w:val="auto"/>
                <w:kern w:val="0"/>
                <w:sz w:val="21"/>
                <w:szCs w:val="21"/>
                <w:highlight w:val="none"/>
              </w:rPr>
              <mc:AlternateContent>
                <mc:Choice Requires="wps">
                  <w:drawing>
                    <wp:anchor distT="0" distB="0" distL="114300" distR="114300" simplePos="0" relativeHeight="251661312" behindDoc="0" locked="0" layoutInCell="1" allowOverlap="1">
                      <wp:simplePos x="0" y="0"/>
                      <wp:positionH relativeFrom="column">
                        <wp:posOffset>-29210</wp:posOffset>
                      </wp:positionH>
                      <wp:positionV relativeFrom="paragraph">
                        <wp:posOffset>-635</wp:posOffset>
                      </wp:positionV>
                      <wp:extent cx="1529715" cy="479425"/>
                      <wp:effectExtent l="1270" t="4445" r="12065" b="11430"/>
                      <wp:wrapNone/>
                      <wp:docPr id="55" name="直接箭头连接符 55"/>
                      <wp:cNvGraphicFramePr/>
                      <a:graphic xmlns:a="http://schemas.openxmlformats.org/drawingml/2006/main">
                        <a:graphicData uri="http://schemas.microsoft.com/office/word/2010/wordprocessingShape">
                          <wps:wsp>
                            <wps:cNvCnPr>
                              <a:cxnSpLocks noChangeShapeType="1"/>
                            </wps:cNvCnPr>
                            <wps:spPr bwMode="auto">
                              <a:xfrm>
                                <a:off x="0" y="0"/>
                                <a:ext cx="1529715" cy="479425"/>
                              </a:xfrm>
                              <a:prstGeom prst="straightConnector1">
                                <a:avLst/>
                              </a:prstGeom>
                              <a:noFill/>
                              <a:ln w="3175">
                                <a:solidFill>
                                  <a:srgbClr val="000000"/>
                                </a:solidFill>
                                <a:round/>
                              </a:ln>
                            </wps:spPr>
                            <wps:bodyPr/>
                          </wps:wsp>
                        </a:graphicData>
                      </a:graphic>
                    </wp:anchor>
                  </w:drawing>
                </mc:Choice>
                <mc:Fallback>
                  <w:pict>
                    <v:shape id="_x0000_s1026" o:spid="_x0000_s1026" o:spt="32" type="#_x0000_t32" style="position:absolute;left:0pt;margin-left:-2.3pt;margin-top:-0.05pt;height:37.75pt;width:120.45pt;z-index:251661312;mso-width-relative:page;mso-height-relative:page;" filled="f" stroked="t" coordsize="21600,21600" o:gfxdata="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hLepJ1gAAAAcBAAAPAAAAAAAAAAEAIAAAACIAAABkcnMvZG93bnJldi54&#10;bWxQSwECFAAUAAAACACHTuJAK0eXmvwBAADFAwAADgAAAAAAAAABACAAAAAlAQAAZHJzL2Uyb0Rv&#10;Yy54bWxQSwUGAAAAAAYABgBZAQAAkwUAAAAA&#10;">
                      <v:fill on="f" focussize="0,0"/>
                      <v:stroke weight="0.25pt" color="#000000" joinstyle="round"/>
                      <v:imagedata o:title=""/>
                      <o:lock v:ext="edit" aspectratio="f"/>
                    </v:shape>
                  </w:pict>
                </mc:Fallback>
              </mc:AlternateContent>
            </w:r>
            <w:r>
              <w:rPr>
                <w:rFonts w:cs="Times New Roman"/>
                <w:snapToGrid w:val="0"/>
                <w:color w:val="auto"/>
                <w:kern w:val="0"/>
                <w:sz w:val="21"/>
                <w:szCs w:val="21"/>
                <w:highlight w:val="none"/>
                <w:lang w:val="en-GB"/>
              </w:rPr>
              <w:t>项目类别</w:t>
            </w:r>
          </w:p>
          <w:p w14:paraId="0CDC7474">
            <w:pPr>
              <w:spacing w:line="360" w:lineRule="exact"/>
              <w:ind w:firstLine="0" w:firstLineChars="0"/>
              <w:jc w:val="left"/>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环境敏感程度</w:t>
            </w:r>
          </w:p>
        </w:tc>
        <w:tc>
          <w:tcPr>
            <w:tcW w:w="1808" w:type="dxa"/>
            <w:vAlign w:val="center"/>
          </w:tcPr>
          <w:p w14:paraId="248BEB63">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fldChar w:fldCharType="begin"/>
            </w:r>
            <w:r>
              <w:rPr>
                <w:rFonts w:cs="Times New Roman"/>
                <w:snapToGrid w:val="0"/>
                <w:color w:val="auto"/>
                <w:kern w:val="0"/>
                <w:sz w:val="21"/>
                <w:szCs w:val="21"/>
                <w:highlight w:val="none"/>
                <w:lang w:val="en-GB"/>
              </w:rPr>
              <w:instrText xml:space="preserve"> = 1 \* ROMAN </w:instrText>
            </w:r>
            <w:r>
              <w:rPr>
                <w:rFonts w:cs="Times New Roman"/>
                <w:snapToGrid w:val="0"/>
                <w:color w:val="auto"/>
                <w:kern w:val="0"/>
                <w:sz w:val="21"/>
                <w:szCs w:val="21"/>
                <w:highlight w:val="none"/>
                <w:lang w:val="en-GB"/>
              </w:rPr>
              <w:fldChar w:fldCharType="separate"/>
            </w:r>
            <w:r>
              <w:rPr>
                <w:rFonts w:cs="Times New Roman"/>
                <w:snapToGrid w:val="0"/>
                <w:color w:val="auto"/>
                <w:kern w:val="0"/>
                <w:sz w:val="21"/>
                <w:szCs w:val="21"/>
                <w:highlight w:val="none"/>
                <w:lang w:val="en-GB"/>
              </w:rPr>
              <w:t>I</w:t>
            </w:r>
            <w:r>
              <w:rPr>
                <w:rFonts w:cs="Times New Roman"/>
                <w:snapToGrid w:val="0"/>
                <w:color w:val="auto"/>
                <w:kern w:val="0"/>
                <w:sz w:val="21"/>
                <w:szCs w:val="21"/>
                <w:highlight w:val="none"/>
                <w:lang w:val="en-GB"/>
              </w:rPr>
              <w:fldChar w:fldCharType="end"/>
            </w:r>
            <w:r>
              <w:rPr>
                <w:rFonts w:cs="Times New Roman"/>
                <w:snapToGrid w:val="0"/>
                <w:color w:val="auto"/>
                <w:kern w:val="0"/>
                <w:sz w:val="21"/>
                <w:szCs w:val="21"/>
                <w:highlight w:val="none"/>
                <w:lang w:val="en-GB"/>
              </w:rPr>
              <w:t>类项目</w:t>
            </w:r>
          </w:p>
        </w:tc>
        <w:tc>
          <w:tcPr>
            <w:tcW w:w="2111" w:type="dxa"/>
            <w:vAlign w:val="center"/>
          </w:tcPr>
          <w:p w14:paraId="2B1E7115">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fldChar w:fldCharType="begin"/>
            </w:r>
            <w:r>
              <w:rPr>
                <w:rFonts w:cs="Times New Roman"/>
                <w:snapToGrid w:val="0"/>
                <w:color w:val="auto"/>
                <w:kern w:val="0"/>
                <w:sz w:val="21"/>
                <w:szCs w:val="21"/>
                <w:highlight w:val="none"/>
                <w:lang w:val="en-GB"/>
              </w:rPr>
              <w:instrText xml:space="preserve"> = 2 \* ROMAN </w:instrText>
            </w:r>
            <w:r>
              <w:rPr>
                <w:rFonts w:cs="Times New Roman"/>
                <w:snapToGrid w:val="0"/>
                <w:color w:val="auto"/>
                <w:kern w:val="0"/>
                <w:sz w:val="21"/>
                <w:szCs w:val="21"/>
                <w:highlight w:val="none"/>
                <w:lang w:val="en-GB"/>
              </w:rPr>
              <w:fldChar w:fldCharType="separate"/>
            </w:r>
            <w:r>
              <w:rPr>
                <w:rFonts w:cs="Times New Roman"/>
                <w:snapToGrid w:val="0"/>
                <w:color w:val="auto"/>
                <w:kern w:val="0"/>
                <w:sz w:val="21"/>
                <w:szCs w:val="21"/>
                <w:highlight w:val="none"/>
                <w:lang w:val="en-GB"/>
              </w:rPr>
              <w:t>II</w:t>
            </w:r>
            <w:r>
              <w:rPr>
                <w:rFonts w:cs="Times New Roman"/>
                <w:snapToGrid w:val="0"/>
                <w:color w:val="auto"/>
                <w:kern w:val="0"/>
                <w:sz w:val="21"/>
                <w:szCs w:val="21"/>
                <w:highlight w:val="none"/>
                <w:lang w:val="en-GB"/>
              </w:rPr>
              <w:fldChar w:fldCharType="end"/>
            </w:r>
            <w:r>
              <w:rPr>
                <w:rFonts w:cs="Times New Roman"/>
                <w:snapToGrid w:val="0"/>
                <w:color w:val="auto"/>
                <w:kern w:val="0"/>
                <w:sz w:val="21"/>
                <w:szCs w:val="21"/>
                <w:highlight w:val="none"/>
                <w:lang w:val="en-GB"/>
              </w:rPr>
              <w:t>类项目</w:t>
            </w:r>
          </w:p>
        </w:tc>
        <w:tc>
          <w:tcPr>
            <w:tcW w:w="2111" w:type="dxa"/>
            <w:vAlign w:val="center"/>
          </w:tcPr>
          <w:p w14:paraId="678764C2">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fldChar w:fldCharType="begin"/>
            </w:r>
            <w:r>
              <w:rPr>
                <w:rFonts w:cs="Times New Roman"/>
                <w:snapToGrid w:val="0"/>
                <w:color w:val="auto"/>
                <w:kern w:val="0"/>
                <w:sz w:val="21"/>
                <w:szCs w:val="21"/>
                <w:highlight w:val="none"/>
                <w:lang w:val="en-GB"/>
              </w:rPr>
              <w:instrText xml:space="preserve"> = 3 \* ROMAN </w:instrText>
            </w:r>
            <w:r>
              <w:rPr>
                <w:rFonts w:cs="Times New Roman"/>
                <w:snapToGrid w:val="0"/>
                <w:color w:val="auto"/>
                <w:kern w:val="0"/>
                <w:sz w:val="21"/>
                <w:szCs w:val="21"/>
                <w:highlight w:val="none"/>
                <w:lang w:val="en-GB"/>
              </w:rPr>
              <w:fldChar w:fldCharType="separate"/>
            </w:r>
            <w:r>
              <w:rPr>
                <w:rFonts w:cs="Times New Roman"/>
                <w:snapToGrid w:val="0"/>
                <w:color w:val="auto"/>
                <w:kern w:val="0"/>
                <w:sz w:val="21"/>
                <w:szCs w:val="21"/>
                <w:highlight w:val="none"/>
                <w:lang w:val="en-GB"/>
              </w:rPr>
              <w:t>III</w:t>
            </w:r>
            <w:r>
              <w:rPr>
                <w:rFonts w:cs="Times New Roman"/>
                <w:snapToGrid w:val="0"/>
                <w:color w:val="auto"/>
                <w:kern w:val="0"/>
                <w:sz w:val="21"/>
                <w:szCs w:val="21"/>
                <w:highlight w:val="none"/>
                <w:lang w:val="en-GB"/>
              </w:rPr>
              <w:fldChar w:fldCharType="end"/>
            </w:r>
            <w:r>
              <w:rPr>
                <w:rFonts w:cs="Times New Roman"/>
                <w:snapToGrid w:val="0"/>
                <w:color w:val="auto"/>
                <w:kern w:val="0"/>
                <w:sz w:val="21"/>
                <w:szCs w:val="21"/>
                <w:highlight w:val="none"/>
                <w:lang w:val="en-GB"/>
              </w:rPr>
              <w:t>类项目</w:t>
            </w:r>
          </w:p>
        </w:tc>
      </w:tr>
      <w:tr w14:paraId="10D18E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469" w:type="dxa"/>
            <w:vAlign w:val="center"/>
          </w:tcPr>
          <w:p w14:paraId="3F9B2DCD">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敏感</w:t>
            </w:r>
          </w:p>
        </w:tc>
        <w:tc>
          <w:tcPr>
            <w:tcW w:w="1808" w:type="dxa"/>
            <w:vAlign w:val="center"/>
          </w:tcPr>
          <w:p w14:paraId="23B5B51D">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一</w:t>
            </w:r>
          </w:p>
        </w:tc>
        <w:tc>
          <w:tcPr>
            <w:tcW w:w="2111" w:type="dxa"/>
            <w:vAlign w:val="center"/>
          </w:tcPr>
          <w:p w14:paraId="7B6BCD6C">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一</w:t>
            </w:r>
          </w:p>
        </w:tc>
        <w:tc>
          <w:tcPr>
            <w:tcW w:w="2111" w:type="dxa"/>
            <w:vAlign w:val="center"/>
          </w:tcPr>
          <w:p w14:paraId="49D507BE">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二</w:t>
            </w:r>
          </w:p>
        </w:tc>
      </w:tr>
      <w:tr w14:paraId="74B64E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2469" w:type="dxa"/>
            <w:vAlign w:val="center"/>
          </w:tcPr>
          <w:p w14:paraId="7C09A2DC">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较敏感</w:t>
            </w:r>
          </w:p>
        </w:tc>
        <w:tc>
          <w:tcPr>
            <w:tcW w:w="1808" w:type="dxa"/>
            <w:vAlign w:val="center"/>
          </w:tcPr>
          <w:p w14:paraId="3FFCCEA8">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一</w:t>
            </w:r>
          </w:p>
        </w:tc>
        <w:tc>
          <w:tcPr>
            <w:tcW w:w="2111" w:type="dxa"/>
            <w:vAlign w:val="center"/>
          </w:tcPr>
          <w:p w14:paraId="1D981B18">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二</w:t>
            </w:r>
          </w:p>
        </w:tc>
        <w:tc>
          <w:tcPr>
            <w:tcW w:w="2111" w:type="dxa"/>
            <w:vAlign w:val="center"/>
          </w:tcPr>
          <w:p w14:paraId="578E1750">
            <w:pPr>
              <w:spacing w:line="360" w:lineRule="exact"/>
              <w:ind w:firstLine="0" w:firstLineChars="0"/>
              <w:jc w:val="center"/>
              <w:rPr>
                <w:rFonts w:cs="Times New Roman"/>
                <w:snapToGrid w:val="0"/>
                <w:color w:val="auto"/>
                <w:kern w:val="0"/>
                <w:sz w:val="21"/>
                <w:szCs w:val="21"/>
                <w:highlight w:val="none"/>
                <w:lang w:val="en-GB"/>
              </w:rPr>
            </w:pPr>
            <w:r>
              <w:rPr>
                <w:rFonts w:cs="Times New Roman"/>
                <w:b/>
                <w:bCs/>
                <w:snapToGrid w:val="0"/>
                <w:color w:val="auto"/>
                <w:kern w:val="0"/>
                <w:sz w:val="21"/>
                <w:szCs w:val="21"/>
                <w:highlight w:val="none"/>
                <w:lang w:val="en-GB"/>
              </w:rPr>
              <w:t>三</w:t>
            </w:r>
          </w:p>
        </w:tc>
      </w:tr>
      <w:tr w14:paraId="7F9798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469" w:type="dxa"/>
            <w:vAlign w:val="center"/>
          </w:tcPr>
          <w:p w14:paraId="666C3B20">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不敏感</w:t>
            </w:r>
          </w:p>
        </w:tc>
        <w:tc>
          <w:tcPr>
            <w:tcW w:w="1808" w:type="dxa"/>
            <w:vAlign w:val="center"/>
          </w:tcPr>
          <w:p w14:paraId="6A4A22D1">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二</w:t>
            </w:r>
          </w:p>
        </w:tc>
        <w:tc>
          <w:tcPr>
            <w:tcW w:w="2111" w:type="dxa"/>
            <w:vAlign w:val="center"/>
          </w:tcPr>
          <w:p w14:paraId="1444C743">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三</w:t>
            </w:r>
          </w:p>
        </w:tc>
        <w:tc>
          <w:tcPr>
            <w:tcW w:w="2111" w:type="dxa"/>
            <w:vAlign w:val="center"/>
          </w:tcPr>
          <w:p w14:paraId="47EA5356">
            <w:pPr>
              <w:spacing w:line="360" w:lineRule="exact"/>
              <w:ind w:firstLine="0" w:firstLineChars="0"/>
              <w:jc w:val="center"/>
              <w:rPr>
                <w:rFonts w:cs="Times New Roman"/>
                <w:snapToGrid w:val="0"/>
                <w:color w:val="auto"/>
                <w:kern w:val="0"/>
                <w:sz w:val="21"/>
                <w:szCs w:val="21"/>
                <w:highlight w:val="none"/>
                <w:lang w:val="en-GB"/>
              </w:rPr>
            </w:pPr>
            <w:r>
              <w:rPr>
                <w:rFonts w:cs="Times New Roman"/>
                <w:snapToGrid w:val="0"/>
                <w:color w:val="auto"/>
                <w:kern w:val="0"/>
                <w:sz w:val="21"/>
                <w:szCs w:val="21"/>
                <w:highlight w:val="none"/>
                <w:lang w:val="en-GB"/>
              </w:rPr>
              <w:t>三</w:t>
            </w:r>
          </w:p>
        </w:tc>
      </w:tr>
    </w:tbl>
    <w:p w14:paraId="1D5E5DB1">
      <w:pPr>
        <w:pStyle w:val="480"/>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结合《饮用水水源保护区划分技术规范》</w:t>
      </w:r>
      <w:r>
        <w:rPr>
          <w:rFonts w:hint="default" w:ascii="Times New Roman" w:hAnsi="Times New Roman" w:cs="Times New Roman"/>
          <w:color w:val="auto"/>
          <w:highlight w:val="none"/>
          <w:lang w:eastAsia="zh-CN"/>
        </w:rPr>
        <w:t>（HJ/T 338-2007）</w:t>
      </w:r>
      <w:r>
        <w:rPr>
          <w:rFonts w:hint="default" w:ascii="Times New Roman" w:hAnsi="Times New Roman" w:cs="Times New Roman"/>
          <w:color w:val="auto"/>
          <w:highlight w:val="none"/>
        </w:rPr>
        <w:t>，地下水敏感性判定依据如下：</w:t>
      </w:r>
    </w:p>
    <w:p w14:paraId="29EAA749">
      <w:pPr>
        <w:pStyle w:val="480"/>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437380" cy="2745740"/>
            <wp:effectExtent l="0" t="0" r="1270" b="16510"/>
            <wp:docPr id="26" name="图片 26" descr="0648ac79880cb6e754c4e5c35cfa6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648ac79880cb6e754c4e5c35cfa62d"/>
                    <pic:cNvPicPr>
                      <a:picLocks noChangeAspect="1"/>
                    </pic:cNvPicPr>
                  </pic:nvPicPr>
                  <pic:blipFill>
                    <a:blip r:embed="rId26"/>
                    <a:stretch>
                      <a:fillRect/>
                    </a:stretch>
                  </pic:blipFill>
                  <pic:spPr>
                    <a:xfrm>
                      <a:off x="0" y="0"/>
                      <a:ext cx="4437380" cy="2745740"/>
                    </a:xfrm>
                    <a:prstGeom prst="rect">
                      <a:avLst/>
                    </a:prstGeom>
                    <a:noFill/>
                    <a:ln>
                      <a:noFill/>
                    </a:ln>
                  </pic:spPr>
                </pic:pic>
              </a:graphicData>
            </a:graphic>
          </wp:inline>
        </w:drawing>
      </w:r>
    </w:p>
    <w:p w14:paraId="51CCBBF0">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eastAsia" w:cs="Times New Roman"/>
          <w:color w:val="auto"/>
          <w:highlight w:val="none"/>
          <w:lang w:val="en-US" w:eastAsia="zh-CN"/>
        </w:rPr>
        <w:t>集中式</w:t>
      </w:r>
      <w:r>
        <w:rPr>
          <w:rFonts w:hint="default" w:ascii="Times New Roman" w:hAnsi="Times New Roman" w:cs="Times New Roman"/>
          <w:color w:val="auto"/>
          <w:highlight w:val="none"/>
        </w:rPr>
        <w:t>饮用水水源保护区划分：</w:t>
      </w:r>
    </w:p>
    <w:p w14:paraId="24DE7291">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对于</w:t>
      </w:r>
      <w:r>
        <w:rPr>
          <w:rFonts w:hint="eastAsia" w:cs="Times New Roman"/>
          <w:color w:val="auto"/>
          <w:highlight w:val="none"/>
          <w:lang w:val="en-US" w:eastAsia="zh-CN"/>
        </w:rPr>
        <w:t>已</w:t>
      </w:r>
      <w:r>
        <w:rPr>
          <w:rFonts w:hint="default" w:ascii="Times New Roman" w:hAnsi="Times New Roman" w:cs="Times New Roman"/>
          <w:color w:val="auto"/>
          <w:highlight w:val="none"/>
        </w:rPr>
        <w:t>划定保护区的</w:t>
      </w:r>
      <w:r>
        <w:rPr>
          <w:rFonts w:hint="default" w:ascii="Times New Roman" w:hAnsi="Times New Roman" w:cs="Times New Roman"/>
          <w:color w:val="auto"/>
          <w:highlight w:val="none"/>
          <w:lang w:val="en-US" w:eastAsia="zh-CN"/>
        </w:rPr>
        <w:t>分散</w:t>
      </w:r>
      <w:r>
        <w:rPr>
          <w:rFonts w:hint="default" w:ascii="Times New Roman" w:hAnsi="Times New Roman" w:cs="Times New Roman"/>
          <w:color w:val="auto"/>
          <w:highlight w:val="none"/>
        </w:rPr>
        <w:t>式地下饮用水水源地，可参照地下水水质点运移</w:t>
      </w:r>
      <w:r>
        <w:rPr>
          <w:rFonts w:hint="eastAsia" w:cs="Times New Roman"/>
          <w:color w:val="auto"/>
          <w:highlight w:val="none"/>
          <w:lang w:val="en-US" w:eastAsia="zh-CN"/>
        </w:rPr>
        <w:t>100</w:t>
      </w:r>
      <w:r>
        <w:rPr>
          <w:rFonts w:hint="default" w:ascii="Times New Roman" w:hAnsi="Times New Roman" w:cs="Times New Roman"/>
          <w:color w:val="auto"/>
          <w:highlight w:val="none"/>
        </w:rPr>
        <w:t>天</w:t>
      </w:r>
      <w:r>
        <w:rPr>
          <w:rFonts w:hint="eastAsia" w:cs="Times New Roman"/>
          <w:color w:val="auto"/>
          <w:highlight w:val="none"/>
          <w:lang w:val="en-US" w:eastAsia="zh-CN"/>
        </w:rPr>
        <w:t>对应</w:t>
      </w:r>
      <w:r>
        <w:rPr>
          <w:rFonts w:hint="default" w:ascii="Times New Roman" w:hAnsi="Times New Roman" w:cs="Times New Roman"/>
          <w:color w:val="auto"/>
          <w:highlight w:val="none"/>
        </w:rPr>
        <w:t>距离划定为一级保护区，水质点运移</w:t>
      </w:r>
      <w:r>
        <w:rPr>
          <w:rFonts w:hint="eastAsia" w:cs="Times New Roman"/>
          <w:color w:val="auto"/>
          <w:highlight w:val="none"/>
          <w:lang w:val="en-US" w:eastAsia="zh-CN"/>
        </w:rPr>
        <w:t>1</w:t>
      </w:r>
      <w:r>
        <w:rPr>
          <w:rFonts w:hint="default" w:ascii="Times New Roman" w:hAnsi="Times New Roman" w:cs="Times New Roman"/>
          <w:color w:val="auto"/>
          <w:highlight w:val="none"/>
        </w:rPr>
        <w:t>000天对应距离划定为二级保护区</w:t>
      </w:r>
      <w:r>
        <w:rPr>
          <w:rFonts w:hint="eastAsia" w:cs="Times New Roman"/>
          <w:color w:val="auto"/>
          <w:highlight w:val="none"/>
          <w:lang w:eastAsia="zh-CN"/>
        </w:rPr>
        <w:t>，</w:t>
      </w:r>
      <w:r>
        <w:rPr>
          <w:rFonts w:hint="default" w:ascii="Times New Roman" w:hAnsi="Times New Roman" w:cs="Times New Roman"/>
          <w:color w:val="auto"/>
          <w:highlight w:val="none"/>
        </w:rPr>
        <w:t>水质点运移</w:t>
      </w:r>
      <w:r>
        <w:rPr>
          <w:rFonts w:hint="eastAsia" w:cs="Times New Roman"/>
          <w:color w:val="auto"/>
          <w:highlight w:val="none"/>
          <w:lang w:val="en-US" w:eastAsia="zh-CN"/>
        </w:rPr>
        <w:t>3</w:t>
      </w:r>
      <w:r>
        <w:rPr>
          <w:rFonts w:hint="default" w:ascii="Times New Roman" w:hAnsi="Times New Roman" w:cs="Times New Roman"/>
          <w:color w:val="auto"/>
          <w:highlight w:val="none"/>
        </w:rPr>
        <w:t>000天</w:t>
      </w:r>
      <w:r>
        <w:rPr>
          <w:rFonts w:hint="eastAsia" w:cs="Times New Roman"/>
          <w:color w:val="auto"/>
          <w:highlight w:val="none"/>
          <w:lang w:val="en-US" w:eastAsia="zh-CN"/>
        </w:rPr>
        <w:t>对应距离划定为较敏感区，</w:t>
      </w:r>
      <w:r>
        <w:rPr>
          <w:rFonts w:hint="default" w:ascii="Times New Roman" w:hAnsi="Times New Roman" w:cs="Times New Roman"/>
          <w:color w:val="auto"/>
          <w:highlight w:val="none"/>
        </w:rPr>
        <w:t>并将较敏感区外界定为不敏感区。</w:t>
      </w:r>
    </w:p>
    <w:p w14:paraId="105530C1">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根据地下水质点运移距离计算公式：</w:t>
      </w:r>
    </w:p>
    <w:p w14:paraId="16074C6E">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L＝α×K×I×T/ne</w:t>
      </w:r>
    </w:p>
    <w:p w14:paraId="3C02DE24">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式中：</w:t>
      </w:r>
    </w:p>
    <w:p w14:paraId="1A159706">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L：下游迁移距离，m；</w:t>
      </w:r>
    </w:p>
    <w:p w14:paraId="321EDDB6">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α：变化系数，α≥1，一般取2；</w:t>
      </w:r>
    </w:p>
    <w:p w14:paraId="5042C524">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K：渗透系数，m/d，根据区域含水层特点，本次取K=</w:t>
      </w:r>
      <w:r>
        <w:rPr>
          <w:rFonts w:hint="eastAsia" w:cs="Times New Roman"/>
          <w:color w:val="auto"/>
          <w:highlight w:val="none"/>
          <w:lang w:val="en-US" w:eastAsia="zh-CN"/>
        </w:rPr>
        <w:t>50</w:t>
      </w:r>
      <w:r>
        <w:rPr>
          <w:rFonts w:hint="default" w:ascii="Times New Roman" w:hAnsi="Times New Roman" w:cs="Times New Roman"/>
          <w:color w:val="auto"/>
          <w:highlight w:val="none"/>
        </w:rPr>
        <w:t>；</w:t>
      </w:r>
    </w:p>
    <w:p w14:paraId="1FD2BA75">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I：水力坡度，无量纲；根据区域等水位线与距离确定本次取I=0.2‰；</w:t>
      </w:r>
    </w:p>
    <w:p w14:paraId="0DDFFA08">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T：质点迁移天数，取值不小于3000d；本次取T=</w:t>
      </w:r>
      <w:r>
        <w:rPr>
          <w:rFonts w:hint="eastAsia" w:cs="Times New Roman"/>
          <w:color w:val="auto"/>
          <w:highlight w:val="none"/>
          <w:lang w:val="en-US" w:eastAsia="zh-CN"/>
        </w:rPr>
        <w:t>3</w:t>
      </w:r>
      <w:r>
        <w:rPr>
          <w:rFonts w:hint="default" w:ascii="Times New Roman" w:hAnsi="Times New Roman" w:cs="Times New Roman"/>
          <w:color w:val="auto"/>
          <w:highlight w:val="none"/>
        </w:rPr>
        <w:t>000；</w:t>
      </w:r>
    </w:p>
    <w:p w14:paraId="1CC2508B">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rPr>
        <w:t>ne：有效孔隙度，无量纲；本次取ne=</w:t>
      </w:r>
      <w:r>
        <w:rPr>
          <w:rFonts w:hint="eastAsia" w:cs="Times New Roman"/>
          <w:color w:val="auto"/>
          <w:highlight w:val="none"/>
          <w:lang w:val="en-US" w:eastAsia="zh-CN"/>
        </w:rPr>
        <w:t>1</w:t>
      </w:r>
    </w:p>
    <w:p w14:paraId="2DB2EAF1">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rPr>
        <w:t>本项目含水层主要由透水性很强的</w:t>
      </w:r>
      <w:r>
        <w:rPr>
          <w:rFonts w:hint="eastAsia" w:cs="Times New Roman"/>
          <w:color w:val="auto"/>
          <w:highlight w:val="none"/>
          <w:lang w:val="en-US" w:eastAsia="zh-CN"/>
        </w:rPr>
        <w:t>砂砾石</w:t>
      </w:r>
      <w:r>
        <w:rPr>
          <w:rFonts w:hint="default" w:ascii="Times New Roman" w:hAnsi="Times New Roman" w:cs="Times New Roman"/>
          <w:color w:val="auto"/>
          <w:highlight w:val="none"/>
        </w:rPr>
        <w:t>组成，水力坡度为0.1～0.3‰，根据《环境影响评价技术导则 地下水环境》（HJ 610-2016）附录B，项目所在区域地质、水文地质条件，</w:t>
      </w:r>
      <w:r>
        <w:rPr>
          <w:rFonts w:hint="eastAsia" w:cs="Times New Roman"/>
          <w:color w:val="auto"/>
          <w:highlight w:val="none"/>
          <w:lang w:val="en-US" w:eastAsia="zh-CN"/>
        </w:rPr>
        <w:t>砂砾石</w:t>
      </w:r>
      <w:r>
        <w:rPr>
          <w:rFonts w:hint="default" w:ascii="Times New Roman" w:hAnsi="Times New Roman" w:cs="Times New Roman"/>
          <w:color w:val="auto"/>
          <w:highlight w:val="none"/>
        </w:rPr>
        <w:t>渗透系数取平均值</w:t>
      </w:r>
      <w:r>
        <w:rPr>
          <w:rFonts w:hint="eastAsia" w:cs="Times New Roman"/>
          <w:color w:val="auto"/>
          <w:highlight w:val="none"/>
          <w:lang w:val="en-US" w:eastAsia="zh-CN"/>
        </w:rPr>
        <w:t>50</w:t>
      </w:r>
      <w:r>
        <w:rPr>
          <w:rFonts w:hint="default" w:ascii="Times New Roman" w:hAnsi="Times New Roman" w:cs="Times New Roman"/>
          <w:color w:val="auto"/>
          <w:highlight w:val="none"/>
        </w:rPr>
        <w:t>m/d；水力坡度取平均值I=0.2‰；有效孔隙度（n）取中粗砂、砂砾石的有效孔隙度</w:t>
      </w:r>
      <w:r>
        <w:rPr>
          <w:rFonts w:hint="eastAsia" w:cs="Times New Roman"/>
          <w:color w:val="auto"/>
          <w:highlight w:val="none"/>
          <w:lang w:val="en-US" w:eastAsia="zh-CN"/>
        </w:rPr>
        <w:t>1</w:t>
      </w:r>
      <w:r>
        <w:rPr>
          <w:rFonts w:hint="default" w:ascii="Times New Roman" w:hAnsi="Times New Roman" w:cs="Times New Roman"/>
          <w:color w:val="auto"/>
          <w:highlight w:val="none"/>
        </w:rPr>
        <w:t>。因此，下游迁徙距离为</w:t>
      </w:r>
      <w:r>
        <w:rPr>
          <w:rFonts w:hint="default" w:ascii="Times New Roman" w:hAnsi="Times New Roman" w:cs="Times New Roman"/>
          <w:color w:val="auto"/>
          <w:highlight w:val="none"/>
          <w:lang w:eastAsia="zh-CN"/>
        </w:rPr>
        <w:t>：</w:t>
      </w:r>
    </w:p>
    <w:p w14:paraId="46FC893C">
      <w:pPr>
        <w:pStyle w:val="480"/>
        <w:keepNext w:val="0"/>
        <w:keepLines w:val="0"/>
        <w:pageBreakBefore w:val="0"/>
        <w:widowControl/>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eastAsia" w:cs="Times New Roman"/>
          <w:color w:val="auto"/>
          <w:highlight w:val="none"/>
          <w:lang w:val="en-US" w:eastAsia="zh-CN"/>
        </w:rPr>
        <w:t>3000</w:t>
      </w:r>
      <w:r>
        <w:rPr>
          <w:rFonts w:hint="default" w:ascii="Times New Roman" w:hAnsi="Times New Roman" w:cs="Times New Roman"/>
          <w:color w:val="auto"/>
          <w:highlight w:val="none"/>
        </w:rPr>
        <w:t>天：L=α×K×I×T/ne</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rPr>
        <w:t>2×</w:t>
      </w:r>
      <w:r>
        <w:rPr>
          <w:rFonts w:hint="eastAsia" w:cs="Times New Roman"/>
          <w:color w:val="auto"/>
          <w:highlight w:val="none"/>
          <w:lang w:val="en-US" w:eastAsia="zh-CN"/>
        </w:rPr>
        <w:t>50</w:t>
      </w:r>
      <w:r>
        <w:rPr>
          <w:rFonts w:hint="default" w:ascii="Times New Roman" w:hAnsi="Times New Roman" w:cs="Times New Roman"/>
          <w:color w:val="auto"/>
          <w:highlight w:val="none"/>
        </w:rPr>
        <w:t>×0.00</w:t>
      </w:r>
      <w:r>
        <w:rPr>
          <w:rFonts w:hint="default" w:ascii="Times New Roman" w:hAnsi="Times New Roman" w:cs="Times New Roman"/>
          <w:color w:val="auto"/>
          <w:highlight w:val="none"/>
          <w:lang w:val="en-US" w:eastAsia="zh-CN"/>
        </w:rPr>
        <w:t>02</w:t>
      </w:r>
      <w:r>
        <w:rPr>
          <w:rFonts w:hint="default" w:ascii="Times New Roman" w:hAnsi="Times New Roman" w:cs="Times New Roman"/>
          <w:color w:val="auto"/>
          <w:highlight w:val="none"/>
        </w:rPr>
        <w:t>×</w:t>
      </w:r>
      <w:r>
        <w:rPr>
          <w:rFonts w:hint="eastAsia" w:cs="Times New Roman"/>
          <w:color w:val="auto"/>
          <w:highlight w:val="none"/>
          <w:lang w:val="en-US" w:eastAsia="zh-CN"/>
        </w:rPr>
        <w:t>3</w:t>
      </w:r>
      <w:r>
        <w:rPr>
          <w:rFonts w:hint="default" w:ascii="Times New Roman" w:hAnsi="Times New Roman" w:cs="Times New Roman"/>
          <w:color w:val="auto"/>
          <w:highlight w:val="none"/>
          <w:lang w:val="en-US" w:eastAsia="zh-CN"/>
        </w:rPr>
        <w:t>0</w:t>
      </w:r>
      <w:r>
        <w:rPr>
          <w:rFonts w:hint="default" w:ascii="Times New Roman" w:hAnsi="Times New Roman" w:cs="Times New Roman"/>
          <w:color w:val="auto"/>
          <w:highlight w:val="none"/>
        </w:rPr>
        <w:t>0</w:t>
      </w:r>
      <w:r>
        <w:rPr>
          <w:rFonts w:hint="default" w:ascii="Times New Roman" w:hAnsi="Times New Roman" w:cs="Times New Roman"/>
          <w:color w:val="auto"/>
          <w:highlight w:val="none"/>
          <w:lang w:val="en-US" w:eastAsia="zh-CN"/>
        </w:rPr>
        <w:t>0</w:t>
      </w:r>
      <w:r>
        <w:rPr>
          <w:rFonts w:hint="default" w:ascii="Times New Roman" w:hAnsi="Times New Roman" w:cs="Times New Roman"/>
          <w:color w:val="auto"/>
          <w:highlight w:val="none"/>
        </w:rPr>
        <w:t>/</w:t>
      </w:r>
      <w:r>
        <w:rPr>
          <w:rFonts w:hint="eastAsia" w:cs="Times New Roman"/>
          <w:color w:val="auto"/>
          <w:highlight w:val="none"/>
          <w:lang w:val="en-US" w:eastAsia="zh-CN"/>
        </w:rPr>
        <w:t>1</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6</w:t>
      </w:r>
      <w:r>
        <w:rPr>
          <w:rFonts w:hint="eastAsia" w:cs="Times New Roman"/>
          <w:color w:val="auto"/>
          <w:highlight w:val="none"/>
          <w:lang w:val="en-US" w:eastAsia="zh-CN"/>
        </w:rPr>
        <w:t>0</w:t>
      </w:r>
      <w:r>
        <w:rPr>
          <w:rFonts w:hint="default" w:ascii="Times New Roman" w:hAnsi="Times New Roman" w:cs="Times New Roman"/>
          <w:color w:val="auto"/>
          <w:highlight w:val="none"/>
        </w:rPr>
        <w:t>m</w:t>
      </w:r>
    </w:p>
    <w:p w14:paraId="66AD40A6">
      <w:pPr>
        <w:pStyle w:val="480"/>
        <w:keepNext w:val="0"/>
        <w:keepLines w:val="0"/>
        <w:pageBreakBefore w:val="0"/>
        <w:kinsoku/>
        <w:wordWrap/>
        <w:overflowPunct/>
        <w:topLinePunct w:val="0"/>
        <w:autoSpaceDE/>
        <w:autoSpaceDN/>
        <w:bidi w:val="0"/>
        <w:adjustRightInd w:val="0"/>
        <w:snapToGrid w:val="0"/>
        <w:spacing w:line="520" w:lineRule="atLeas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即</w:t>
      </w:r>
      <w:r>
        <w:rPr>
          <w:rFonts w:hint="default" w:ascii="Times New Roman" w:hAnsi="Times New Roman" w:cs="Times New Roman"/>
          <w:color w:val="auto"/>
          <w:highlight w:val="none"/>
        </w:rPr>
        <w:t>：饮用水水源井</w:t>
      </w:r>
      <w:r>
        <w:rPr>
          <w:rFonts w:hint="eastAsia" w:cs="Times New Roman"/>
          <w:color w:val="auto"/>
          <w:highlight w:val="none"/>
          <w:lang w:val="en-US" w:eastAsia="zh-CN"/>
        </w:rPr>
        <w:t>60</w:t>
      </w:r>
      <w:r>
        <w:rPr>
          <w:rFonts w:hint="default" w:ascii="Times New Roman" w:hAnsi="Times New Roman" w:cs="Times New Roman"/>
          <w:color w:val="auto"/>
          <w:highlight w:val="none"/>
        </w:rPr>
        <w:t>m以外区域属于“不敏感”区域。</w:t>
      </w:r>
    </w:p>
    <w:p w14:paraId="4E36578F">
      <w:pPr>
        <w:pStyle w:val="117"/>
        <w:keepNext w:val="0"/>
        <w:keepLines w:val="0"/>
        <w:pageBreakBefore w:val="0"/>
        <w:kinsoku/>
        <w:wordWrap/>
        <w:overflowPunct/>
        <w:topLinePunct w:val="0"/>
        <w:autoSpaceDE/>
        <w:autoSpaceDN/>
        <w:bidi w:val="0"/>
        <w:adjustRightInd w:val="0"/>
        <w:snapToGrid w:val="0"/>
        <w:spacing w:line="520" w:lineRule="atLeast"/>
        <w:textAlignment w:val="auto"/>
        <w:rPr>
          <w:rFonts w:hint="default" w:eastAsia="宋体" w:cs="Times New Roman"/>
          <w:snapToGrid w:val="0"/>
          <w:color w:val="auto"/>
          <w:highlight w:val="none"/>
          <w:lang w:val="en-US" w:eastAsia="zh-CN"/>
        </w:rPr>
      </w:pPr>
      <w:r>
        <w:rPr>
          <w:rFonts w:hint="eastAsia" w:cs="Times New Roman"/>
          <w:color w:val="auto"/>
          <w:highlight w:val="none"/>
          <w:lang w:val="en-US" w:eastAsia="zh-CN"/>
        </w:rPr>
        <w:t>经计算，</w:t>
      </w:r>
      <w:r>
        <w:rPr>
          <w:rFonts w:hint="default" w:ascii="Times New Roman" w:hAnsi="Times New Roman" w:cs="Times New Roman"/>
          <w:color w:val="auto"/>
          <w:highlight w:val="none"/>
          <w:lang w:val="en-US" w:eastAsia="zh-CN"/>
        </w:rPr>
        <w:t>本项目厂界</w:t>
      </w:r>
      <w:r>
        <w:rPr>
          <w:rFonts w:hint="eastAsia" w:cs="Times New Roman"/>
          <w:color w:val="auto"/>
          <w:highlight w:val="none"/>
          <w:lang w:val="en-US" w:eastAsia="zh-CN"/>
        </w:rPr>
        <w:t>60</w:t>
      </w:r>
      <w:r>
        <w:rPr>
          <w:rFonts w:hint="default" w:ascii="Times New Roman" w:hAnsi="Times New Roman" w:cs="Times New Roman"/>
          <w:color w:val="auto"/>
          <w:highlight w:val="none"/>
          <w:lang w:val="en-US" w:eastAsia="zh-CN"/>
        </w:rPr>
        <w:t>m范围内</w:t>
      </w:r>
      <w:r>
        <w:rPr>
          <w:rFonts w:hint="eastAsia" w:ascii="Times New Roman" w:hAnsi="Times New Roman" w:cs="Times New Roman"/>
          <w:color w:val="auto"/>
          <w:highlight w:val="none"/>
          <w:lang w:val="en-US" w:eastAsia="zh-CN"/>
        </w:rPr>
        <w:t>属于较敏感区</w:t>
      </w:r>
      <w:r>
        <w:rPr>
          <w:rFonts w:hint="eastAsia" w:cs="Times New Roman"/>
          <w:color w:val="auto"/>
          <w:highlight w:val="none"/>
          <w:lang w:val="en-US" w:eastAsia="zh-CN"/>
        </w:rPr>
        <w:t>，</w:t>
      </w:r>
      <w:r>
        <w:rPr>
          <w:rFonts w:hint="eastAsia" w:cs="Times New Roman"/>
          <w:color w:val="auto"/>
          <w:szCs w:val="24"/>
          <w:highlight w:val="none"/>
          <w:lang w:val="en-US" w:eastAsia="zh-CN"/>
        </w:rPr>
        <w:t>周边居民现均已使用自来水管线，仍有分布分散式饮用水井均位于较敏感区以外，所属含水层为具有供水意义的潜水层。</w:t>
      </w:r>
      <w:r>
        <w:rPr>
          <w:rFonts w:hint="default" w:ascii="Times New Roman" w:hAnsi="Times New Roman" w:cs="Times New Roman"/>
          <w:color w:val="auto"/>
          <w:highlight w:val="none"/>
        </w:rPr>
        <w:t>因此，</w:t>
      </w:r>
      <w:r>
        <w:rPr>
          <w:rFonts w:hint="default" w:ascii="Times New Roman" w:hAnsi="Times New Roman" w:cs="Times New Roman"/>
          <w:color w:val="auto"/>
          <w:highlight w:val="none"/>
          <w:lang w:val="en-US" w:eastAsia="zh-CN"/>
        </w:rPr>
        <w:t>本项目</w:t>
      </w:r>
      <w:r>
        <w:rPr>
          <w:rFonts w:hint="default" w:ascii="Times New Roman" w:hAnsi="Times New Roman" w:cs="Times New Roman"/>
          <w:color w:val="auto"/>
          <w:highlight w:val="none"/>
        </w:rPr>
        <w:t>敏感性判定为</w:t>
      </w:r>
      <w:r>
        <w:rPr>
          <w:rFonts w:hint="default" w:ascii="Times New Roman" w:hAnsi="Times New Roman" w:cs="Times New Roman"/>
          <w:color w:val="auto"/>
          <w:highlight w:val="none"/>
          <w:lang w:val="en-US" w:eastAsia="zh-CN"/>
        </w:rPr>
        <w:t>不</w:t>
      </w:r>
      <w:r>
        <w:rPr>
          <w:rFonts w:hint="default" w:ascii="Times New Roman" w:hAnsi="Times New Roman" w:cs="Times New Roman"/>
          <w:color w:val="auto"/>
          <w:highlight w:val="none"/>
        </w:rPr>
        <w:t>敏感。</w:t>
      </w:r>
      <w:r>
        <w:rPr>
          <w:rFonts w:cs="Times New Roman"/>
          <w:color w:val="auto"/>
          <w:szCs w:val="24"/>
          <w:highlight w:val="none"/>
        </w:rPr>
        <w:t>项目类别为Ⅲ类建设项目，根据地下水评价等级判别结果表，确定地下水评价等级为“三级”。</w:t>
      </w:r>
    </w:p>
    <w:p w14:paraId="72F2770D">
      <w:pPr>
        <w:pStyle w:val="117"/>
        <w:keepNext w:val="0"/>
        <w:keepLines w:val="0"/>
        <w:pageBreakBefore w:val="0"/>
        <w:kinsoku/>
        <w:wordWrap/>
        <w:overflowPunct/>
        <w:topLinePunct w:val="0"/>
        <w:autoSpaceDE/>
        <w:autoSpaceDN/>
        <w:bidi w:val="0"/>
        <w:adjustRightInd w:val="0"/>
        <w:snapToGrid w:val="0"/>
        <w:spacing w:line="520" w:lineRule="atLeast"/>
        <w:textAlignment w:val="auto"/>
        <w:rPr>
          <w:rFonts w:hint="default" w:ascii="Times New Roman" w:hAnsi="Times New Roman" w:eastAsia="宋体" w:cs="Times New Roman"/>
          <w:color w:val="auto"/>
          <w:highlight w:val="none"/>
          <w:lang w:val="en-US" w:eastAsia="zh-CN"/>
        </w:rPr>
      </w:pPr>
      <w:bookmarkStart w:id="65" w:name="_Toc88900496"/>
      <w:bookmarkStart w:id="66" w:name="_Toc88969056"/>
      <w:bookmarkStart w:id="67" w:name="_Toc89231866"/>
      <w:bookmarkStart w:id="68" w:name="_Toc88968913"/>
      <w:r>
        <w:rPr>
          <w:rFonts w:hint="default" w:ascii="Times New Roman" w:hAnsi="Times New Roman" w:eastAsia="宋体" w:cs="Times New Roman"/>
          <w:color w:val="auto"/>
          <w:highlight w:val="none"/>
        </w:rPr>
        <w:t>根据《环境影响评价技术导则 地下水环境》（HJ610-2016），本项目地下水评价等级为三级，本次评价地下水调查范围采用查表法确定。地下水调查范围为以项目所在地为中心，上游（</w:t>
      </w:r>
      <w:r>
        <w:rPr>
          <w:rFonts w:hint="eastAsia" w:ascii="Times New Roman" w:hAnsi="Times New Roman" w:eastAsia="宋体" w:cs="Times New Roman"/>
          <w:color w:val="auto"/>
          <w:highlight w:val="none"/>
          <w:lang w:val="en-US" w:eastAsia="zh-CN"/>
        </w:rPr>
        <w:t>东南</w:t>
      </w:r>
      <w:r>
        <w:rPr>
          <w:rFonts w:hint="default" w:ascii="Times New Roman" w:hAnsi="Times New Roman" w:eastAsia="宋体" w:cs="Times New Roman"/>
          <w:color w:val="auto"/>
          <w:highlight w:val="none"/>
        </w:rPr>
        <w:t>侧）</w:t>
      </w:r>
      <w:r>
        <w:rPr>
          <w:rFonts w:hint="eastAsia" w:ascii="Times New Roman" w:hAnsi="Times New Roman" w:eastAsia="宋体" w:cs="Times New Roman"/>
          <w:color w:val="auto"/>
          <w:highlight w:val="none"/>
          <w:lang w:val="en-US" w:eastAsia="zh-CN"/>
        </w:rPr>
        <w:t>1.0</w:t>
      </w:r>
      <w:r>
        <w:rPr>
          <w:rFonts w:hint="default" w:ascii="Times New Roman" w:hAnsi="Times New Roman" w:eastAsia="宋体" w:cs="Times New Roman"/>
          <w:color w:val="auto"/>
          <w:highlight w:val="none"/>
        </w:rPr>
        <w:t>km，</w:t>
      </w:r>
      <w:r>
        <w:rPr>
          <w:rFonts w:hint="eastAsia" w:ascii="Times New Roman" w:hAnsi="Times New Roman" w:eastAsia="宋体" w:cs="Times New Roman"/>
          <w:color w:val="auto"/>
          <w:highlight w:val="none"/>
          <w:lang w:val="en-US" w:eastAsia="zh-CN"/>
        </w:rPr>
        <w:t>西南</w:t>
      </w:r>
      <w:r>
        <w:rPr>
          <w:rFonts w:hint="default" w:ascii="Times New Roman" w:hAnsi="Times New Roman" w:eastAsia="宋体" w:cs="Times New Roman"/>
          <w:color w:val="auto"/>
          <w:highlight w:val="none"/>
        </w:rPr>
        <w:t>侧为</w:t>
      </w:r>
      <w:r>
        <w:rPr>
          <w:rFonts w:hint="eastAsia" w:ascii="Times New Roman" w:hAnsi="Times New Roman" w:eastAsia="宋体" w:cs="Times New Roman"/>
          <w:color w:val="auto"/>
          <w:highlight w:val="none"/>
          <w:lang w:val="en-US" w:eastAsia="zh-CN"/>
        </w:rPr>
        <w:t>1.0</w:t>
      </w:r>
      <w:r>
        <w:rPr>
          <w:rFonts w:hint="default" w:ascii="Times New Roman" w:hAnsi="Times New Roman" w:eastAsia="宋体" w:cs="Times New Roman"/>
          <w:color w:val="auto"/>
          <w:highlight w:val="none"/>
        </w:rPr>
        <w:t>km，</w:t>
      </w:r>
      <w:r>
        <w:rPr>
          <w:rFonts w:hint="eastAsia" w:ascii="Times New Roman" w:hAnsi="Times New Roman" w:eastAsia="宋体" w:cs="Times New Roman"/>
          <w:color w:val="auto"/>
          <w:highlight w:val="none"/>
          <w:lang w:val="en-US" w:eastAsia="zh-CN"/>
        </w:rPr>
        <w:t>东北</w:t>
      </w:r>
      <w:r>
        <w:rPr>
          <w:rFonts w:hint="default" w:ascii="Times New Roman" w:hAnsi="Times New Roman" w:eastAsia="宋体" w:cs="Times New Roman"/>
          <w:color w:val="auto"/>
          <w:highlight w:val="none"/>
        </w:rPr>
        <w:t>侧为</w:t>
      </w:r>
      <w:r>
        <w:rPr>
          <w:rFonts w:hint="eastAsia" w:ascii="Times New Roman" w:hAnsi="Times New Roman" w:eastAsia="宋体" w:cs="Times New Roman"/>
          <w:color w:val="auto"/>
          <w:highlight w:val="none"/>
          <w:lang w:val="en-US" w:eastAsia="zh-CN"/>
        </w:rPr>
        <w:t>1.0</w:t>
      </w:r>
      <w:r>
        <w:rPr>
          <w:rFonts w:hint="default" w:ascii="Times New Roman" w:hAnsi="Times New Roman" w:eastAsia="宋体" w:cs="Times New Roman"/>
          <w:color w:val="auto"/>
          <w:highlight w:val="none"/>
        </w:rPr>
        <w:t>km，下游（</w:t>
      </w:r>
      <w:r>
        <w:rPr>
          <w:rFonts w:hint="eastAsia" w:ascii="Times New Roman" w:hAnsi="Times New Roman" w:eastAsia="宋体" w:cs="Times New Roman"/>
          <w:color w:val="auto"/>
          <w:highlight w:val="none"/>
          <w:lang w:val="en-US" w:eastAsia="zh-CN"/>
        </w:rPr>
        <w:t>西北</w:t>
      </w:r>
      <w:r>
        <w:rPr>
          <w:rFonts w:hint="default" w:ascii="Times New Roman" w:hAnsi="Times New Roman" w:eastAsia="宋体" w:cs="Times New Roman"/>
          <w:color w:val="auto"/>
          <w:highlight w:val="none"/>
        </w:rPr>
        <w:t>侧）</w:t>
      </w:r>
      <w:r>
        <w:rPr>
          <w:rFonts w:hint="eastAsia" w:ascii="Times New Roman" w:hAnsi="Times New Roman" w:eastAsia="宋体" w:cs="Times New Roman"/>
          <w:color w:val="auto"/>
          <w:highlight w:val="none"/>
          <w:lang w:val="en-US" w:eastAsia="zh-CN"/>
        </w:rPr>
        <w:t>2.0</w:t>
      </w:r>
      <w:r>
        <w:rPr>
          <w:rFonts w:hint="default" w:ascii="Times New Roman" w:hAnsi="Times New Roman" w:eastAsia="宋体" w:cs="Times New Roman"/>
          <w:color w:val="auto"/>
          <w:highlight w:val="none"/>
        </w:rPr>
        <w:t>km，面积约为6km</w:t>
      </w:r>
      <w:r>
        <w:rPr>
          <w:rFonts w:hint="default" w:ascii="Times New Roman" w:hAnsi="Times New Roman" w:eastAsia="宋体" w:cs="Times New Roman"/>
          <w:color w:val="auto"/>
          <w:highlight w:val="none"/>
          <w:vertAlign w:val="superscript"/>
        </w:rPr>
        <w:t>2</w:t>
      </w:r>
      <w:r>
        <w:rPr>
          <w:rFonts w:hint="default"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地下水预测章节见5.2.3.2。</w:t>
      </w:r>
    </w:p>
    <w:p w14:paraId="514FA793">
      <w:pPr>
        <w:pStyle w:val="4"/>
        <w:spacing w:after="156"/>
        <w:rPr>
          <w:rFonts w:cs="Times New Roman"/>
          <w:color w:val="auto"/>
          <w:highlight w:val="none"/>
        </w:rPr>
      </w:pPr>
      <w:bookmarkStart w:id="69" w:name="_Toc9211"/>
      <w:r>
        <w:rPr>
          <w:rFonts w:cs="Times New Roman"/>
          <w:color w:val="auto"/>
          <w:highlight w:val="none"/>
        </w:rPr>
        <w:t>2.3.4声环境</w:t>
      </w:r>
      <w:bookmarkEnd w:id="65"/>
      <w:bookmarkEnd w:id="66"/>
      <w:bookmarkEnd w:id="67"/>
      <w:bookmarkEnd w:id="68"/>
      <w:r>
        <w:rPr>
          <w:rFonts w:cs="Times New Roman"/>
          <w:snapToGrid w:val="0"/>
          <w:color w:val="auto"/>
          <w:szCs w:val="24"/>
          <w:highlight w:val="none"/>
        </w:rPr>
        <w:t>评价等级</w:t>
      </w:r>
      <w:bookmarkEnd w:id="69"/>
    </w:p>
    <w:p w14:paraId="17FF9EAF">
      <w:pPr>
        <w:rPr>
          <w:rFonts w:cs="Times New Roman"/>
          <w:color w:val="auto"/>
          <w:szCs w:val="24"/>
          <w:highlight w:val="none"/>
        </w:rPr>
      </w:pPr>
      <w:r>
        <w:rPr>
          <w:rFonts w:cs="Times New Roman"/>
          <w:color w:val="auto"/>
          <w:szCs w:val="24"/>
          <w:highlight w:val="none"/>
        </w:rPr>
        <w:t>本项目运营期主要噪声源为牛、羊嚎叫以及设备产生的噪声，项目运营期采取的降噪措施主要为厂房隔声、选用低噪声设备、安装减振垫、消声器等。评价范围内</w:t>
      </w:r>
      <w:r>
        <w:rPr>
          <w:rFonts w:hint="eastAsia" w:cs="Times New Roman"/>
          <w:color w:val="auto"/>
          <w:szCs w:val="24"/>
          <w:highlight w:val="none"/>
          <w:lang w:val="en-US" w:eastAsia="zh-CN"/>
        </w:rPr>
        <w:t>有</w:t>
      </w:r>
      <w:r>
        <w:rPr>
          <w:rFonts w:cs="Times New Roman"/>
          <w:color w:val="auto"/>
          <w:szCs w:val="24"/>
          <w:highlight w:val="none"/>
        </w:rPr>
        <w:t>声环境敏感目标</w:t>
      </w:r>
      <w:r>
        <w:rPr>
          <w:rFonts w:hint="eastAsia" w:cs="Times New Roman"/>
          <w:color w:val="auto"/>
          <w:szCs w:val="24"/>
          <w:highlight w:val="none"/>
          <w:lang w:eastAsia="zh-CN"/>
        </w:rPr>
        <w:t>，</w:t>
      </w:r>
      <w:r>
        <w:rPr>
          <w:rFonts w:hint="eastAsia" w:cs="Times New Roman"/>
          <w:color w:val="auto"/>
          <w:szCs w:val="24"/>
          <w:highlight w:val="none"/>
          <w:lang w:val="en-US" w:eastAsia="zh-CN"/>
        </w:rPr>
        <w:t>位于厂区西侧居民区</w:t>
      </w:r>
      <w:r>
        <w:rPr>
          <w:rFonts w:cs="Times New Roman"/>
          <w:color w:val="auto"/>
          <w:szCs w:val="24"/>
          <w:highlight w:val="none"/>
        </w:rPr>
        <w:t>。根据《环境影响评价技术导则-声环境》（HJ2.4-2021），声环境影响评价工作等级划分依据包括：</w:t>
      </w:r>
    </w:p>
    <w:p w14:paraId="69B2E9AD">
      <w:pPr>
        <w:rPr>
          <w:rFonts w:cs="Times New Roman"/>
          <w:color w:val="auto"/>
          <w:szCs w:val="24"/>
          <w:highlight w:val="none"/>
        </w:rPr>
      </w:pPr>
      <w:r>
        <w:rPr>
          <w:rFonts w:cs="Times New Roman"/>
          <w:color w:val="auto"/>
          <w:szCs w:val="24"/>
          <w:highlight w:val="none"/>
        </w:rPr>
        <w:t>①建设项目所在区域的声环境功能区类别；</w:t>
      </w:r>
    </w:p>
    <w:p w14:paraId="0C3D8A7D">
      <w:pPr>
        <w:rPr>
          <w:rFonts w:cs="Times New Roman"/>
          <w:color w:val="auto"/>
          <w:szCs w:val="24"/>
          <w:highlight w:val="none"/>
        </w:rPr>
      </w:pPr>
      <w:r>
        <w:rPr>
          <w:rFonts w:cs="Times New Roman"/>
          <w:color w:val="auto"/>
          <w:szCs w:val="24"/>
          <w:highlight w:val="none"/>
        </w:rPr>
        <w:t>②建设项目建设前后所在区域的声环境质量变化程度；</w:t>
      </w:r>
    </w:p>
    <w:p w14:paraId="34CF92A9">
      <w:pPr>
        <w:rPr>
          <w:rFonts w:cs="Times New Roman"/>
          <w:color w:val="auto"/>
          <w:szCs w:val="24"/>
          <w:highlight w:val="none"/>
        </w:rPr>
      </w:pPr>
      <w:r>
        <w:rPr>
          <w:rFonts w:cs="Times New Roman"/>
          <w:color w:val="auto"/>
          <w:szCs w:val="24"/>
          <w:highlight w:val="none"/>
        </w:rPr>
        <w:t>③受建设项目影响人口的数量；</w:t>
      </w:r>
    </w:p>
    <w:p w14:paraId="5DC65407">
      <w:pPr>
        <w:rPr>
          <w:rFonts w:cs="Times New Roman"/>
          <w:color w:val="auto"/>
          <w:szCs w:val="24"/>
          <w:highlight w:val="none"/>
        </w:rPr>
      </w:pPr>
      <w:r>
        <w:rPr>
          <w:rFonts w:cs="Times New Roman"/>
          <w:color w:val="auto"/>
          <w:szCs w:val="24"/>
          <w:highlight w:val="none"/>
        </w:rPr>
        <w:t>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szCs w:val="24"/>
          <w:highlight w:val="none"/>
        </w:rPr>
        <w:t>，</w:t>
      </w:r>
      <w:r>
        <w:rPr>
          <w:rFonts w:cs="Times New Roman"/>
          <w:color w:val="auto"/>
          <w:szCs w:val="24"/>
          <w:highlight w:val="none"/>
          <w:lang w:bidi="ar"/>
        </w:rPr>
        <w:t>属于</w:t>
      </w:r>
      <w:r>
        <w:rPr>
          <w:rFonts w:hint="eastAsia" w:cs="Times New Roman"/>
          <w:color w:val="auto"/>
          <w:szCs w:val="24"/>
          <w:highlight w:val="none"/>
          <w:lang w:val="en-US" w:eastAsia="zh-CN" w:bidi="ar"/>
        </w:rPr>
        <w:t>2</w:t>
      </w:r>
      <w:r>
        <w:rPr>
          <w:rFonts w:cs="Times New Roman"/>
          <w:color w:val="auto"/>
          <w:szCs w:val="24"/>
          <w:highlight w:val="none"/>
          <w:lang w:bidi="ar"/>
        </w:rPr>
        <w:t>类声功能区。根据《环境影响评价技术导则-声环境》（HJ2.4-2021）中“5.</w:t>
      </w:r>
      <w:r>
        <w:rPr>
          <w:rFonts w:hint="eastAsia" w:cs="Times New Roman"/>
          <w:color w:val="auto"/>
          <w:szCs w:val="24"/>
          <w:highlight w:val="none"/>
          <w:lang w:val="en-US" w:eastAsia="zh-CN" w:bidi="ar"/>
        </w:rPr>
        <w:t>1</w:t>
      </w:r>
      <w:r>
        <w:rPr>
          <w:rFonts w:cs="Times New Roman"/>
          <w:color w:val="auto"/>
          <w:szCs w:val="24"/>
          <w:highlight w:val="none"/>
          <w:lang w:bidi="ar"/>
        </w:rPr>
        <w:t>.3建设项目所处的声环境功能区为</w:t>
      </w:r>
      <w:r>
        <w:rPr>
          <w:rFonts w:hint="default" w:cs="Times New Roman"/>
          <w:color w:val="auto"/>
          <w:szCs w:val="24"/>
          <w:highlight w:val="none"/>
          <w:lang w:bidi="ar"/>
        </w:rPr>
        <w:t>GB3096规定的1类、2类地区，或建设项目建设前后评价范围内声环境保护目标噪声级增量达3dB</w:t>
      </w:r>
      <w:r>
        <w:rPr>
          <w:rFonts w:cs="Times New Roman"/>
          <w:color w:val="auto"/>
          <w:szCs w:val="24"/>
          <w:highlight w:val="none"/>
          <w:lang w:bidi="ar"/>
        </w:rPr>
        <w:t>(</w:t>
      </w:r>
      <w:r>
        <w:rPr>
          <w:rFonts w:hint="default" w:cs="Times New Roman"/>
          <w:color w:val="auto"/>
          <w:szCs w:val="24"/>
          <w:highlight w:val="none"/>
          <w:lang w:bidi="ar"/>
        </w:rPr>
        <w:t>A)～5dB(A)，或受噪声影响人口数量增加较多时，按二级评价。</w:t>
      </w:r>
      <w:r>
        <w:rPr>
          <w:rFonts w:cs="Times New Roman"/>
          <w:color w:val="auto"/>
          <w:szCs w:val="24"/>
          <w:highlight w:val="none"/>
          <w:lang w:bidi="ar"/>
        </w:rPr>
        <w:t>”，本项目所在地属于声环境质量功能区中的</w:t>
      </w:r>
      <w:r>
        <w:rPr>
          <w:rFonts w:hint="eastAsia" w:cs="Times New Roman"/>
          <w:color w:val="auto"/>
          <w:szCs w:val="24"/>
          <w:highlight w:val="none"/>
          <w:lang w:val="en-US" w:eastAsia="zh-CN" w:bidi="ar"/>
        </w:rPr>
        <w:t>2</w:t>
      </w:r>
      <w:r>
        <w:rPr>
          <w:rFonts w:cs="Times New Roman"/>
          <w:color w:val="auto"/>
          <w:szCs w:val="24"/>
          <w:highlight w:val="none"/>
          <w:lang w:bidi="ar"/>
        </w:rPr>
        <w:t>类区，评价范围内</w:t>
      </w:r>
      <w:r>
        <w:rPr>
          <w:rFonts w:hint="eastAsia" w:cs="Times New Roman"/>
          <w:color w:val="auto"/>
          <w:szCs w:val="24"/>
          <w:highlight w:val="none"/>
          <w:lang w:val="en-US" w:eastAsia="zh-CN" w:bidi="ar"/>
        </w:rPr>
        <w:t>有</w:t>
      </w:r>
      <w:r>
        <w:rPr>
          <w:rFonts w:cs="Times New Roman"/>
          <w:color w:val="auto"/>
          <w:szCs w:val="24"/>
          <w:highlight w:val="none"/>
          <w:lang w:bidi="ar"/>
        </w:rPr>
        <w:t>敏感目标，</w:t>
      </w:r>
      <w:r>
        <w:rPr>
          <w:rFonts w:hint="eastAsia" w:cs="Times New Roman"/>
          <w:color w:val="auto"/>
          <w:szCs w:val="24"/>
          <w:highlight w:val="none"/>
          <w:lang w:val="en-US" w:eastAsia="zh-CN" w:bidi="ar"/>
        </w:rPr>
        <w:t>根据表5-2-22敏感目标噪声环境影响预测结果，噪声增级量小于</w:t>
      </w:r>
      <w:r>
        <w:rPr>
          <w:rFonts w:hint="default" w:cs="Times New Roman"/>
          <w:color w:val="auto"/>
          <w:szCs w:val="24"/>
          <w:highlight w:val="none"/>
          <w:lang w:bidi="ar"/>
        </w:rPr>
        <w:t>3dB</w:t>
      </w:r>
      <w:r>
        <w:rPr>
          <w:rFonts w:cs="Times New Roman"/>
          <w:color w:val="auto"/>
          <w:szCs w:val="24"/>
          <w:highlight w:val="none"/>
          <w:lang w:bidi="ar"/>
        </w:rPr>
        <w:t>(</w:t>
      </w:r>
      <w:r>
        <w:rPr>
          <w:rFonts w:hint="default" w:cs="Times New Roman"/>
          <w:color w:val="auto"/>
          <w:szCs w:val="24"/>
          <w:highlight w:val="none"/>
          <w:lang w:bidi="ar"/>
        </w:rPr>
        <w:t>A)</w:t>
      </w:r>
      <w:r>
        <w:rPr>
          <w:rFonts w:hint="eastAsia" w:cs="Times New Roman"/>
          <w:color w:val="auto"/>
          <w:szCs w:val="24"/>
          <w:highlight w:val="none"/>
          <w:lang w:eastAsia="zh-CN" w:bidi="ar"/>
        </w:rPr>
        <w:t>，</w:t>
      </w:r>
      <w:r>
        <w:rPr>
          <w:rFonts w:hint="eastAsia" w:cs="Times New Roman"/>
          <w:color w:val="auto"/>
          <w:szCs w:val="24"/>
          <w:highlight w:val="none"/>
          <w:lang w:val="en-US" w:eastAsia="zh-CN" w:bidi="ar"/>
        </w:rPr>
        <w:t>受噪声影响人数约为20人，为保证项目实际运行期间产噪值大于预测值，</w:t>
      </w:r>
      <w:r>
        <w:rPr>
          <w:rFonts w:cs="Times New Roman"/>
          <w:color w:val="auto"/>
          <w:szCs w:val="24"/>
          <w:highlight w:val="none"/>
          <w:lang w:bidi="ar"/>
        </w:rPr>
        <w:t>因此，确定本项目声环境评价等级为</w:t>
      </w:r>
      <w:r>
        <w:rPr>
          <w:rFonts w:hint="eastAsia" w:cs="Times New Roman"/>
          <w:color w:val="auto"/>
          <w:szCs w:val="24"/>
          <w:highlight w:val="none"/>
          <w:lang w:val="en-US" w:eastAsia="zh-CN" w:bidi="ar"/>
        </w:rPr>
        <w:t>二</w:t>
      </w:r>
      <w:r>
        <w:rPr>
          <w:rFonts w:cs="Times New Roman"/>
          <w:color w:val="auto"/>
          <w:szCs w:val="24"/>
          <w:highlight w:val="none"/>
          <w:lang w:bidi="ar"/>
        </w:rPr>
        <w:t>级评价。</w:t>
      </w:r>
    </w:p>
    <w:p w14:paraId="130DA4A7">
      <w:pPr>
        <w:pStyle w:val="4"/>
        <w:spacing w:after="156"/>
        <w:rPr>
          <w:rFonts w:cs="Times New Roman"/>
          <w:color w:val="auto"/>
          <w:highlight w:val="none"/>
        </w:rPr>
      </w:pPr>
      <w:bookmarkStart w:id="70" w:name="_Toc24800"/>
      <w:r>
        <w:rPr>
          <w:rFonts w:cs="Times New Roman"/>
          <w:color w:val="auto"/>
          <w:highlight w:val="none"/>
        </w:rPr>
        <w:t>2.3.5生态环境</w:t>
      </w:r>
      <w:r>
        <w:rPr>
          <w:rFonts w:cs="Times New Roman"/>
          <w:snapToGrid w:val="0"/>
          <w:color w:val="auto"/>
          <w:szCs w:val="24"/>
          <w:highlight w:val="none"/>
        </w:rPr>
        <w:t>评价等级</w:t>
      </w:r>
      <w:bookmarkEnd w:id="70"/>
    </w:p>
    <w:p w14:paraId="607D92CF">
      <w:pPr>
        <w:rPr>
          <w:rFonts w:cs="Times New Roman"/>
          <w:snapToGrid w:val="0"/>
          <w:color w:val="auto"/>
          <w:kern w:val="0"/>
          <w:highlight w:val="none"/>
        </w:rPr>
      </w:pPr>
      <w:r>
        <w:rPr>
          <w:rFonts w:cs="Times New Roman"/>
          <w:color w:val="auto"/>
          <w:szCs w:val="24"/>
          <w:highlight w:val="none"/>
        </w:rPr>
        <w:t>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szCs w:val="24"/>
          <w:highlight w:val="none"/>
        </w:rPr>
        <w:t>，</w:t>
      </w:r>
      <w:r>
        <w:rPr>
          <w:rFonts w:hint="default" w:ascii="Times New Roman" w:hAnsi="Times New Roman" w:cs="Times New Roman"/>
          <w:color w:val="auto"/>
          <w:highlight w:val="none"/>
          <w:lang w:val="en-US" w:eastAsia="zh-CN"/>
        </w:rPr>
        <w:t>占地及其周边不涉及国家公园、自然保护区、世界自然遗产、重要生境、自然公园、生态保护红线等区域，</w:t>
      </w:r>
      <w:r>
        <w:rPr>
          <w:rFonts w:hint="default" w:ascii="Times New Roman" w:hAnsi="Times New Roman" w:cs="Times New Roman"/>
          <w:color w:val="auto"/>
          <w:highlight w:val="none"/>
        </w:rPr>
        <w:t>根据《环境影响评价技术导则 生态影响》（HJ19-20</w:t>
      </w:r>
      <w:r>
        <w:rPr>
          <w:rFonts w:hint="default" w:ascii="Times New Roman" w:hAnsi="Times New Roman" w:cs="Times New Roman"/>
          <w:color w:val="auto"/>
          <w:highlight w:val="none"/>
          <w:lang w:val="en-US" w:eastAsia="zh-CN"/>
        </w:rPr>
        <w:t>22</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本项目属于除导则6.1.2条中a）、b）、c）、d）、e）、f）以外的情况，因此</w:t>
      </w:r>
      <w:r>
        <w:rPr>
          <w:rFonts w:hint="default" w:ascii="Times New Roman" w:hAnsi="Times New Roman" w:cs="Times New Roman"/>
          <w:color w:val="auto"/>
          <w:highlight w:val="none"/>
        </w:rPr>
        <w:t>生态评价等级定为三级。</w:t>
      </w:r>
    </w:p>
    <w:p w14:paraId="351790C1">
      <w:pPr>
        <w:pStyle w:val="4"/>
        <w:spacing w:after="156"/>
        <w:rPr>
          <w:rFonts w:cs="Times New Roman"/>
          <w:color w:val="auto"/>
          <w:highlight w:val="none"/>
        </w:rPr>
      </w:pPr>
      <w:bookmarkStart w:id="71" w:name="_Toc32628"/>
      <w:r>
        <w:rPr>
          <w:rFonts w:cs="Times New Roman"/>
          <w:color w:val="auto"/>
          <w:highlight w:val="none"/>
        </w:rPr>
        <w:t>2.3.6土壤评价等级</w:t>
      </w:r>
      <w:bookmarkEnd w:id="71"/>
    </w:p>
    <w:p w14:paraId="35ABB893">
      <w:pPr>
        <w:rPr>
          <w:rFonts w:cs="Times New Roman"/>
          <w:snapToGrid w:val="0"/>
          <w:color w:val="auto"/>
          <w:kern w:val="0"/>
          <w:highlight w:val="none"/>
        </w:rPr>
      </w:pPr>
      <w:r>
        <w:rPr>
          <w:rFonts w:cs="Times New Roman"/>
          <w:color w:val="auto"/>
          <w:szCs w:val="24"/>
          <w:highlight w:val="none"/>
        </w:rPr>
        <w:t>本项目类别为牲畜屠宰，对照《环境影响评价技术导则土壤环境（试行）》（HJ964-2018）及附录A土壤环境影响评价项目类别，本项目应属于“其他行业”，项目类别为IV类；故本项目可不开展土壤环境影响评价工作。</w:t>
      </w:r>
    </w:p>
    <w:p w14:paraId="008A90F4">
      <w:pPr>
        <w:pStyle w:val="4"/>
        <w:spacing w:after="156"/>
        <w:rPr>
          <w:rFonts w:cs="Times New Roman"/>
          <w:color w:val="auto"/>
          <w:highlight w:val="none"/>
        </w:rPr>
      </w:pPr>
      <w:bookmarkStart w:id="72" w:name="_Toc26654"/>
      <w:r>
        <w:rPr>
          <w:rFonts w:cs="Times New Roman"/>
          <w:color w:val="auto"/>
          <w:highlight w:val="none"/>
        </w:rPr>
        <w:t>2.3.7风险评价等级</w:t>
      </w:r>
      <w:bookmarkEnd w:id="72"/>
    </w:p>
    <w:p w14:paraId="1E000E38">
      <w:pPr>
        <w:widowControl/>
        <w:rPr>
          <w:rFonts w:cs="Times New Roman"/>
          <w:color w:val="auto"/>
          <w:highlight w:val="none"/>
        </w:rPr>
      </w:pPr>
      <w:r>
        <w:rPr>
          <w:rFonts w:cs="Times New Roman"/>
          <w:color w:val="auto"/>
          <w:kern w:val="0"/>
          <w:szCs w:val="24"/>
          <w:highlight w:val="none"/>
          <w:lang w:bidi="ar"/>
        </w:rPr>
        <w:t>根据</w:t>
      </w:r>
      <w:r>
        <w:rPr>
          <w:rFonts w:cs="Times New Roman"/>
          <w:color w:val="auto"/>
          <w:szCs w:val="24"/>
          <w:highlight w:val="none"/>
        </w:rPr>
        <w:t>《建设项目环境风险评价技术导则》（HJ169-2018）</w:t>
      </w:r>
      <w:r>
        <w:rPr>
          <w:rFonts w:cs="Times New Roman"/>
          <w:color w:val="auto"/>
          <w:kern w:val="0"/>
          <w:szCs w:val="24"/>
          <w:highlight w:val="none"/>
          <w:lang w:bidi="ar"/>
        </w:rPr>
        <w:t>，环境风险评价的工作等级划分为标准见下表。</w:t>
      </w:r>
    </w:p>
    <w:p w14:paraId="4D118064">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3-1</w:t>
      </w:r>
      <w:r>
        <w:rPr>
          <w:rFonts w:hint="eastAsia" w:cs="Times New Roman"/>
          <w:b/>
          <w:color w:val="auto"/>
          <w:szCs w:val="24"/>
          <w:highlight w:val="none"/>
          <w:lang w:val="en-US" w:eastAsia="zh-CN"/>
        </w:rPr>
        <w:t>0</w:t>
      </w:r>
      <w:r>
        <w:rPr>
          <w:rFonts w:cs="Times New Roman"/>
          <w:b/>
          <w:color w:val="auto"/>
          <w:szCs w:val="24"/>
          <w:highlight w:val="none"/>
        </w:rPr>
        <w:t xml:space="preserve">  风险评价等级</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696"/>
        <w:gridCol w:w="1696"/>
        <w:gridCol w:w="1696"/>
        <w:gridCol w:w="1696"/>
      </w:tblGrid>
      <w:tr w14:paraId="3EEE85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696" w:type="dxa"/>
            <w:tcBorders>
              <w:top w:val="single" w:color="auto" w:sz="12" w:space="0"/>
              <w:left w:val="nil"/>
              <w:bottom w:val="single" w:color="auto" w:sz="4" w:space="0"/>
              <w:right w:val="single" w:color="auto" w:sz="4" w:space="0"/>
            </w:tcBorders>
            <w:vAlign w:val="center"/>
          </w:tcPr>
          <w:p w14:paraId="33F50A3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环境风险潜势</w:t>
            </w:r>
          </w:p>
        </w:tc>
        <w:tc>
          <w:tcPr>
            <w:tcW w:w="1696" w:type="dxa"/>
            <w:tcBorders>
              <w:top w:val="single" w:color="auto" w:sz="12" w:space="0"/>
              <w:left w:val="single" w:color="auto" w:sz="4" w:space="0"/>
              <w:bottom w:val="single" w:color="auto" w:sz="4" w:space="0"/>
              <w:right w:val="single" w:color="auto" w:sz="4" w:space="0"/>
            </w:tcBorders>
            <w:vAlign w:val="center"/>
          </w:tcPr>
          <w:p w14:paraId="1ED69C7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Ⅳ、Ⅳ+</w:t>
            </w:r>
          </w:p>
        </w:tc>
        <w:tc>
          <w:tcPr>
            <w:tcW w:w="1696" w:type="dxa"/>
            <w:tcBorders>
              <w:top w:val="single" w:color="auto" w:sz="12" w:space="0"/>
              <w:left w:val="single" w:color="auto" w:sz="4" w:space="0"/>
              <w:bottom w:val="single" w:color="auto" w:sz="4" w:space="0"/>
              <w:right w:val="single" w:color="auto" w:sz="4" w:space="0"/>
            </w:tcBorders>
            <w:vAlign w:val="center"/>
          </w:tcPr>
          <w:p w14:paraId="02E869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Ⅲ</w:t>
            </w:r>
          </w:p>
        </w:tc>
        <w:tc>
          <w:tcPr>
            <w:tcW w:w="1696" w:type="dxa"/>
            <w:tcBorders>
              <w:top w:val="single" w:color="auto" w:sz="12" w:space="0"/>
              <w:left w:val="single" w:color="auto" w:sz="4" w:space="0"/>
              <w:bottom w:val="single" w:color="auto" w:sz="4" w:space="0"/>
              <w:right w:val="single" w:color="auto" w:sz="4" w:space="0"/>
            </w:tcBorders>
            <w:vAlign w:val="center"/>
          </w:tcPr>
          <w:p w14:paraId="57E14F3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Ⅱ</w:t>
            </w:r>
          </w:p>
        </w:tc>
        <w:tc>
          <w:tcPr>
            <w:tcW w:w="1696" w:type="dxa"/>
            <w:tcBorders>
              <w:top w:val="single" w:color="auto" w:sz="12" w:space="0"/>
              <w:left w:val="single" w:color="auto" w:sz="4" w:space="0"/>
              <w:bottom w:val="single" w:color="auto" w:sz="4" w:space="0"/>
              <w:right w:val="nil"/>
            </w:tcBorders>
            <w:vAlign w:val="center"/>
          </w:tcPr>
          <w:p w14:paraId="1AE2B27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Ⅰ</w:t>
            </w:r>
          </w:p>
        </w:tc>
      </w:tr>
      <w:tr w14:paraId="7DFFC3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696" w:type="dxa"/>
            <w:tcBorders>
              <w:top w:val="single" w:color="auto" w:sz="4" w:space="0"/>
              <w:left w:val="nil"/>
              <w:bottom w:val="single" w:color="auto" w:sz="12" w:space="0"/>
              <w:right w:val="single" w:color="auto" w:sz="4" w:space="0"/>
            </w:tcBorders>
            <w:vAlign w:val="center"/>
          </w:tcPr>
          <w:p w14:paraId="5CB7561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评价工作等级</w:t>
            </w:r>
          </w:p>
        </w:tc>
        <w:tc>
          <w:tcPr>
            <w:tcW w:w="1696" w:type="dxa"/>
            <w:tcBorders>
              <w:top w:val="single" w:color="auto" w:sz="4" w:space="0"/>
              <w:left w:val="single" w:color="auto" w:sz="4" w:space="0"/>
              <w:bottom w:val="single" w:color="auto" w:sz="12" w:space="0"/>
              <w:right w:val="single" w:color="auto" w:sz="4" w:space="0"/>
            </w:tcBorders>
            <w:vAlign w:val="center"/>
          </w:tcPr>
          <w:p w14:paraId="271EE4E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w:t>
            </w:r>
          </w:p>
        </w:tc>
        <w:tc>
          <w:tcPr>
            <w:tcW w:w="1696" w:type="dxa"/>
            <w:tcBorders>
              <w:top w:val="single" w:color="auto" w:sz="4" w:space="0"/>
              <w:left w:val="single" w:color="auto" w:sz="4" w:space="0"/>
              <w:bottom w:val="single" w:color="auto" w:sz="12" w:space="0"/>
              <w:right w:val="single" w:color="auto" w:sz="4" w:space="0"/>
            </w:tcBorders>
            <w:vAlign w:val="center"/>
          </w:tcPr>
          <w:p w14:paraId="6143080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二</w:t>
            </w:r>
          </w:p>
        </w:tc>
        <w:tc>
          <w:tcPr>
            <w:tcW w:w="1696" w:type="dxa"/>
            <w:tcBorders>
              <w:top w:val="single" w:color="auto" w:sz="4" w:space="0"/>
              <w:left w:val="single" w:color="auto" w:sz="4" w:space="0"/>
              <w:bottom w:val="single" w:color="auto" w:sz="12" w:space="0"/>
              <w:right w:val="single" w:color="auto" w:sz="4" w:space="0"/>
            </w:tcBorders>
            <w:vAlign w:val="center"/>
          </w:tcPr>
          <w:p w14:paraId="2854FE1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三</w:t>
            </w:r>
          </w:p>
        </w:tc>
        <w:tc>
          <w:tcPr>
            <w:tcW w:w="1696" w:type="dxa"/>
            <w:tcBorders>
              <w:top w:val="single" w:color="auto" w:sz="4" w:space="0"/>
              <w:left w:val="single" w:color="auto" w:sz="4" w:space="0"/>
              <w:bottom w:val="single" w:color="auto" w:sz="12" w:space="0"/>
              <w:right w:val="nil"/>
            </w:tcBorders>
            <w:vAlign w:val="center"/>
          </w:tcPr>
          <w:p w14:paraId="437E589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简单分析</w:t>
            </w:r>
          </w:p>
        </w:tc>
      </w:tr>
    </w:tbl>
    <w:p w14:paraId="47C59BB7">
      <w:pPr>
        <w:spacing w:before="156" w:beforeLines="50"/>
        <w:rPr>
          <w:rFonts w:ascii="Times New Roman" w:hAnsi="Times New Roman" w:eastAsia="宋体" w:cs="Times New Roman"/>
          <w:color w:val="auto"/>
          <w:szCs w:val="24"/>
          <w:highlight w:val="none"/>
        </w:rPr>
      </w:pPr>
      <w:r>
        <w:rPr>
          <w:rFonts w:cs="Times New Roman"/>
          <w:color w:val="auto"/>
          <w:szCs w:val="24"/>
          <w:highlight w:val="none"/>
        </w:rPr>
        <w:t>本项目涉及的危险物质主要为</w:t>
      </w:r>
      <w:r>
        <w:rPr>
          <w:rFonts w:hint="eastAsia" w:cs="Times New Roman"/>
          <w:snapToGrid w:val="0"/>
          <w:color w:val="auto"/>
          <w:kern w:val="0"/>
          <w:szCs w:val="24"/>
          <w:highlight w:val="none"/>
          <w:lang w:val="en-US" w:eastAsia="zh-CN"/>
        </w:rPr>
        <w:t>污水处理站消毒工艺中使用的次氯酸钠，</w:t>
      </w:r>
      <w:r>
        <w:rPr>
          <w:rFonts w:hint="default" w:ascii="Times New Roman" w:hAnsi="Times New Roman" w:cs="Times New Roman" w:eastAsiaTheme="minorEastAsia"/>
          <w:color w:val="auto"/>
          <w:spacing w:val="0"/>
          <w:w w:val="100"/>
          <w:position w:val="0"/>
          <w:sz w:val="24"/>
          <w:szCs w:val="24"/>
          <w:highlight w:val="none"/>
          <w:lang w:val="en-US" w:eastAsia="zh-CN"/>
        </w:rPr>
        <w:t>屠宰车间和待宰圈产生的</w:t>
      </w:r>
      <w:r>
        <w:rPr>
          <w:rFonts w:hint="default" w:ascii="Times New Roman" w:hAnsi="Times New Roman" w:eastAsia="宋体" w:cs="Times New Roman"/>
          <w:color w:val="auto"/>
          <w:sz w:val="24"/>
          <w:szCs w:val="24"/>
          <w:highlight w:val="none"/>
          <w:lang w:val="en-US" w:eastAsia="zh-CN"/>
        </w:rPr>
        <w:t>氨气和硫化氢</w:t>
      </w:r>
      <w:r>
        <w:rPr>
          <w:rFonts w:hint="eastAsia" w:ascii="Times New Roman" w:hAnsi="Times New Roman" w:eastAsia="宋体" w:cs="Times New Roman"/>
          <w:color w:val="auto"/>
          <w:sz w:val="24"/>
          <w:szCs w:val="24"/>
          <w:highlight w:val="none"/>
          <w:lang w:val="en-US" w:eastAsia="zh-CN"/>
        </w:rPr>
        <w:t>，危险废物（废润滑油）、在线监测废液</w:t>
      </w:r>
      <w:r>
        <w:rPr>
          <w:rFonts w:cs="Times New Roman"/>
          <w:color w:val="auto"/>
          <w:szCs w:val="24"/>
          <w:highlight w:val="none"/>
        </w:rPr>
        <w:t>，属于《建设项目环境风险评价技术导则》（HJ169-2018）附录B中危险物质。根</w:t>
      </w:r>
      <w:r>
        <w:rPr>
          <w:rFonts w:ascii="Times New Roman" w:hAnsi="Times New Roman" w:eastAsia="宋体" w:cs="Times New Roman"/>
          <w:color w:val="auto"/>
          <w:szCs w:val="24"/>
          <w:highlight w:val="none"/>
        </w:rPr>
        <w:t>据附录B，可知</w:t>
      </w:r>
      <w:r>
        <w:rPr>
          <w:rFonts w:hint="eastAsia" w:cs="Times New Roman"/>
          <w:color w:val="auto"/>
          <w:szCs w:val="24"/>
          <w:highlight w:val="none"/>
          <w:lang w:val="en-US" w:eastAsia="zh-CN"/>
        </w:rPr>
        <w:t>次氯酸钠</w:t>
      </w:r>
      <w:r>
        <w:rPr>
          <w:rFonts w:ascii="Times New Roman" w:hAnsi="Times New Roman" w:eastAsia="宋体" w:cs="Times New Roman"/>
          <w:color w:val="auto"/>
          <w:szCs w:val="24"/>
          <w:highlight w:val="none"/>
        </w:rPr>
        <w:t>临界量为5t。</w:t>
      </w:r>
    </w:p>
    <w:p w14:paraId="17051A39">
      <w:pPr>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当只涉及一种危险物质时，计算该物质的总量与其临界量的比值，即为Q；</w:t>
      </w:r>
    </w:p>
    <w:p w14:paraId="60A46B46">
      <w:pPr>
        <w:pStyle w:val="117"/>
        <w:adjustRightInd w:val="0"/>
        <w:snapToGrid w:val="0"/>
        <w:spacing w:line="360" w:lineRule="auto"/>
        <w:ind w:firstLine="0" w:firstLineChars="0"/>
        <w:jc w:val="center"/>
        <w:rPr>
          <w:color w:val="auto"/>
          <w:highlight w:val="none"/>
        </w:rPr>
      </w:pPr>
      <w:r>
        <w:rPr>
          <w:color w:val="auto"/>
          <w:highlight w:val="none"/>
        </w:rPr>
        <w:drawing>
          <wp:inline distT="0" distB="0" distL="114300" distR="114300">
            <wp:extent cx="676275" cy="619125"/>
            <wp:effectExtent l="0" t="0" r="9525" b="9525"/>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1"/>
                    </pic:cNvPicPr>
                  </pic:nvPicPr>
                  <pic:blipFill>
                    <a:blip r:embed="rId27"/>
                    <a:stretch>
                      <a:fillRect/>
                    </a:stretch>
                  </pic:blipFill>
                  <pic:spPr>
                    <a:xfrm>
                      <a:off x="0" y="0"/>
                      <a:ext cx="676275" cy="619125"/>
                    </a:xfrm>
                    <a:prstGeom prst="rect">
                      <a:avLst/>
                    </a:prstGeom>
                    <a:noFill/>
                    <a:ln>
                      <a:noFill/>
                    </a:ln>
                  </pic:spPr>
                </pic:pic>
              </a:graphicData>
            </a:graphic>
          </wp:inline>
        </w:drawing>
      </w:r>
    </w:p>
    <w:p w14:paraId="39EB71A0">
      <w:pPr>
        <w:pStyle w:val="117"/>
        <w:adjustRightInd w:val="0"/>
        <w:snapToGrid w:val="0"/>
        <w:spacing w:line="360" w:lineRule="auto"/>
        <w:ind w:firstLine="480" w:firstLineChars="200"/>
        <w:jc w:val="both"/>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式中：q1—危险物质实际存在总量，t。</w:t>
      </w:r>
    </w:p>
    <w:p w14:paraId="78A3DE13">
      <w:pPr>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Q1—危险物质的临界量，t。</w:t>
      </w:r>
    </w:p>
    <w:p w14:paraId="06A2927B">
      <w:pPr>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当Q＜1时，该项目环境风险潜势为</w:t>
      </w:r>
      <w:r>
        <w:rPr>
          <w:rFonts w:ascii="Times New Roman" w:hAnsi="Times New Roman" w:eastAsia="宋体" w:cs="Times New Roman"/>
          <w:color w:val="auto"/>
          <w:szCs w:val="24"/>
          <w:highlight w:val="none"/>
        </w:rPr>
        <w:fldChar w:fldCharType="begin"/>
      </w:r>
      <w:r>
        <w:rPr>
          <w:rFonts w:ascii="Times New Roman" w:hAnsi="Times New Roman" w:eastAsia="宋体" w:cs="Times New Roman"/>
          <w:color w:val="auto"/>
          <w:szCs w:val="24"/>
          <w:highlight w:val="none"/>
        </w:rPr>
        <w:instrText xml:space="preserve"> = 1 \* ROMAN </w:instrText>
      </w:r>
      <w:r>
        <w:rPr>
          <w:rFonts w:ascii="Times New Roman" w:hAnsi="Times New Roman" w:eastAsia="宋体" w:cs="Times New Roman"/>
          <w:color w:val="auto"/>
          <w:szCs w:val="24"/>
          <w:highlight w:val="none"/>
        </w:rPr>
        <w:fldChar w:fldCharType="separate"/>
      </w:r>
      <w:r>
        <w:rPr>
          <w:rFonts w:ascii="Times New Roman" w:hAnsi="Times New Roman" w:eastAsia="宋体" w:cs="Times New Roman"/>
          <w:color w:val="auto"/>
          <w:szCs w:val="24"/>
          <w:highlight w:val="none"/>
        </w:rPr>
        <w:t>I</w:t>
      </w:r>
      <w:r>
        <w:rPr>
          <w:rFonts w:ascii="Times New Roman" w:hAnsi="Times New Roman" w:eastAsia="宋体" w:cs="Times New Roman"/>
          <w:color w:val="auto"/>
          <w:szCs w:val="24"/>
          <w:highlight w:val="none"/>
        </w:rPr>
        <w:fldChar w:fldCharType="end"/>
      </w:r>
      <w:r>
        <w:rPr>
          <w:rFonts w:ascii="Times New Roman" w:hAnsi="Times New Roman" w:eastAsia="宋体" w:cs="Times New Roman"/>
          <w:color w:val="auto"/>
          <w:szCs w:val="24"/>
          <w:highlight w:val="none"/>
        </w:rPr>
        <w:t>。</w:t>
      </w:r>
    </w:p>
    <w:p w14:paraId="49C03456">
      <w:pPr>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当Q≥1时，将Q值划分为：（1）1≤Q＜10；（2）10≤Q＜100；（3）Q≥100。</w:t>
      </w:r>
    </w:p>
    <w:p w14:paraId="111CD324">
      <w:pPr>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结果见表2</w:t>
      </w:r>
      <w:r>
        <w:rPr>
          <w:rFonts w:hint="eastAsia" w:cs="Times New Roman"/>
          <w:color w:val="auto"/>
          <w:szCs w:val="24"/>
          <w:highlight w:val="none"/>
          <w:lang w:val="en-US" w:eastAsia="zh-CN"/>
        </w:rPr>
        <w:t>.</w:t>
      </w:r>
      <w:r>
        <w:rPr>
          <w:rFonts w:ascii="Times New Roman" w:hAnsi="Times New Roman" w:eastAsia="宋体" w:cs="Times New Roman"/>
          <w:color w:val="auto"/>
          <w:szCs w:val="24"/>
          <w:highlight w:val="none"/>
        </w:rPr>
        <w:t>3-1</w:t>
      </w:r>
      <w:r>
        <w:rPr>
          <w:rFonts w:hint="eastAsia" w:cs="Times New Roman"/>
          <w:color w:val="auto"/>
          <w:szCs w:val="24"/>
          <w:highlight w:val="none"/>
          <w:lang w:val="en-US" w:eastAsia="zh-CN"/>
        </w:rPr>
        <w:t>1</w:t>
      </w:r>
      <w:r>
        <w:rPr>
          <w:rFonts w:ascii="Times New Roman" w:hAnsi="Times New Roman" w:eastAsia="宋体" w:cs="Times New Roman"/>
          <w:color w:val="auto"/>
          <w:szCs w:val="24"/>
          <w:highlight w:val="none"/>
        </w:rPr>
        <w:t>。</w:t>
      </w:r>
    </w:p>
    <w:p w14:paraId="59B8D20D">
      <w:pPr>
        <w:spacing w:line="240" w:lineRule="auto"/>
        <w:ind w:firstLine="482"/>
        <w:jc w:val="center"/>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3-1</w:t>
      </w:r>
      <w:r>
        <w:rPr>
          <w:rFonts w:hint="eastAsia" w:cs="Times New Roman"/>
          <w:b/>
          <w:color w:val="auto"/>
          <w:szCs w:val="24"/>
          <w:highlight w:val="none"/>
          <w:lang w:val="en-US" w:eastAsia="zh-CN"/>
        </w:rPr>
        <w:t>1</w:t>
      </w:r>
      <w:r>
        <w:rPr>
          <w:rFonts w:cs="Times New Roman"/>
          <w:b/>
          <w:color w:val="auto"/>
          <w:szCs w:val="24"/>
          <w:highlight w:val="none"/>
        </w:rPr>
        <w:t xml:space="preserve">  危险物质数量与临界量比值</w:t>
      </w:r>
    </w:p>
    <w:tbl>
      <w:tblPr>
        <w:tblStyle w:val="4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70"/>
        <w:gridCol w:w="1627"/>
        <w:gridCol w:w="1186"/>
        <w:gridCol w:w="2391"/>
        <w:gridCol w:w="1264"/>
        <w:gridCol w:w="1221"/>
      </w:tblGrid>
      <w:tr w14:paraId="1DB633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497" w:hRule="atLeast"/>
          <w:jc w:val="center"/>
        </w:trPr>
        <w:tc>
          <w:tcPr>
            <w:tcW w:w="401" w:type="pct"/>
            <w:vAlign w:val="center"/>
          </w:tcPr>
          <w:p w14:paraId="444E33C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973" w:type="pct"/>
            <w:vAlign w:val="center"/>
          </w:tcPr>
          <w:p w14:paraId="12DC960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危险物质名称</w:t>
            </w:r>
          </w:p>
        </w:tc>
        <w:tc>
          <w:tcPr>
            <w:tcW w:w="709" w:type="pct"/>
            <w:vAlign w:val="center"/>
          </w:tcPr>
          <w:p w14:paraId="6F210A6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CAS号</w:t>
            </w:r>
          </w:p>
        </w:tc>
        <w:tc>
          <w:tcPr>
            <w:tcW w:w="1430" w:type="pct"/>
            <w:vAlign w:val="center"/>
          </w:tcPr>
          <w:p w14:paraId="5E6D32B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最大存在总量（qn/t）</w:t>
            </w:r>
          </w:p>
        </w:tc>
        <w:tc>
          <w:tcPr>
            <w:tcW w:w="755" w:type="pct"/>
            <w:vAlign w:val="center"/>
          </w:tcPr>
          <w:p w14:paraId="3544671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临界量（t）</w:t>
            </w:r>
          </w:p>
        </w:tc>
        <w:tc>
          <w:tcPr>
            <w:tcW w:w="730" w:type="pct"/>
            <w:vAlign w:val="center"/>
          </w:tcPr>
          <w:p w14:paraId="449562C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Q值</w:t>
            </w:r>
          </w:p>
        </w:tc>
      </w:tr>
      <w:tr w14:paraId="542E0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471" w:hRule="atLeast"/>
          <w:jc w:val="center"/>
        </w:trPr>
        <w:tc>
          <w:tcPr>
            <w:tcW w:w="401" w:type="pct"/>
            <w:vAlign w:val="center"/>
          </w:tcPr>
          <w:p w14:paraId="07AF2DB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973" w:type="pct"/>
            <w:vAlign w:val="center"/>
          </w:tcPr>
          <w:p w14:paraId="3A600843">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次氯酸钠</w:t>
            </w:r>
          </w:p>
        </w:tc>
        <w:tc>
          <w:tcPr>
            <w:tcW w:w="709" w:type="pct"/>
            <w:vAlign w:val="center"/>
          </w:tcPr>
          <w:p w14:paraId="0C6DE3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10049-04-4</w:t>
            </w:r>
          </w:p>
        </w:tc>
        <w:tc>
          <w:tcPr>
            <w:tcW w:w="1430" w:type="pct"/>
            <w:vAlign w:val="center"/>
          </w:tcPr>
          <w:p w14:paraId="3C048FD7">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2</w:t>
            </w:r>
          </w:p>
        </w:tc>
        <w:tc>
          <w:tcPr>
            <w:tcW w:w="755" w:type="pct"/>
            <w:vAlign w:val="center"/>
          </w:tcPr>
          <w:p w14:paraId="63B9CB39">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5</w:t>
            </w:r>
          </w:p>
        </w:tc>
        <w:tc>
          <w:tcPr>
            <w:tcW w:w="730" w:type="pct"/>
            <w:vAlign w:val="center"/>
          </w:tcPr>
          <w:p w14:paraId="1E6507F7">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0.</w:t>
            </w:r>
            <w:r>
              <w:rPr>
                <w:rFonts w:hint="eastAsia" w:cs="Times New Roman"/>
                <w:color w:val="auto"/>
                <w:sz w:val="21"/>
                <w:szCs w:val="21"/>
                <w:highlight w:val="none"/>
                <w:lang w:val="en-US" w:eastAsia="zh-CN"/>
              </w:rPr>
              <w:t>4</w:t>
            </w:r>
          </w:p>
        </w:tc>
      </w:tr>
      <w:tr w14:paraId="1326B5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471" w:hRule="atLeast"/>
          <w:jc w:val="center"/>
        </w:trPr>
        <w:tc>
          <w:tcPr>
            <w:tcW w:w="401" w:type="pct"/>
            <w:vAlign w:val="center"/>
          </w:tcPr>
          <w:p w14:paraId="35782032">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w:t>
            </w:r>
          </w:p>
        </w:tc>
        <w:tc>
          <w:tcPr>
            <w:tcW w:w="973" w:type="pct"/>
            <w:vAlign w:val="center"/>
          </w:tcPr>
          <w:p w14:paraId="3FDC45F8">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氨气</w:t>
            </w:r>
          </w:p>
        </w:tc>
        <w:tc>
          <w:tcPr>
            <w:tcW w:w="709" w:type="pct"/>
            <w:vAlign w:val="center"/>
          </w:tcPr>
          <w:p w14:paraId="0B309054">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7664-41-7</w:t>
            </w:r>
          </w:p>
        </w:tc>
        <w:tc>
          <w:tcPr>
            <w:tcW w:w="1430" w:type="pct"/>
            <w:vAlign w:val="center"/>
          </w:tcPr>
          <w:p w14:paraId="7C1CCDEA">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755" w:type="pct"/>
            <w:vAlign w:val="center"/>
          </w:tcPr>
          <w:p w14:paraId="739207C4">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730" w:type="pct"/>
            <w:vAlign w:val="center"/>
          </w:tcPr>
          <w:p w14:paraId="60A4DCAB">
            <w:pPr>
              <w:spacing w:line="360" w:lineRule="exact"/>
              <w:ind w:firstLine="0" w:firstLineChars="0"/>
              <w:jc w:val="center"/>
              <w:rPr>
                <w:rFonts w:cs="Times New Roman"/>
                <w:color w:val="auto"/>
                <w:sz w:val="21"/>
                <w:szCs w:val="21"/>
                <w:highlight w:val="none"/>
              </w:rPr>
            </w:pPr>
          </w:p>
        </w:tc>
      </w:tr>
      <w:tr w14:paraId="572D42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471" w:hRule="atLeast"/>
          <w:jc w:val="center"/>
        </w:trPr>
        <w:tc>
          <w:tcPr>
            <w:tcW w:w="401" w:type="pct"/>
            <w:vAlign w:val="center"/>
          </w:tcPr>
          <w:p w14:paraId="02854C76">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w:t>
            </w:r>
          </w:p>
        </w:tc>
        <w:tc>
          <w:tcPr>
            <w:tcW w:w="973" w:type="pct"/>
            <w:vAlign w:val="center"/>
          </w:tcPr>
          <w:p w14:paraId="6B12A8F7">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硫化氢</w:t>
            </w:r>
          </w:p>
        </w:tc>
        <w:tc>
          <w:tcPr>
            <w:tcW w:w="709" w:type="pct"/>
            <w:vAlign w:val="center"/>
          </w:tcPr>
          <w:p w14:paraId="419BF5CC">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7783-06-4</w:t>
            </w:r>
          </w:p>
        </w:tc>
        <w:tc>
          <w:tcPr>
            <w:tcW w:w="1430" w:type="pct"/>
            <w:vAlign w:val="center"/>
          </w:tcPr>
          <w:p w14:paraId="0A506982">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755" w:type="pct"/>
            <w:vAlign w:val="center"/>
          </w:tcPr>
          <w:p w14:paraId="016985D5">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2.5</w:t>
            </w:r>
          </w:p>
        </w:tc>
        <w:tc>
          <w:tcPr>
            <w:tcW w:w="730" w:type="pct"/>
            <w:vAlign w:val="center"/>
          </w:tcPr>
          <w:p w14:paraId="7D62B3BD">
            <w:pPr>
              <w:spacing w:line="360" w:lineRule="exact"/>
              <w:ind w:firstLine="0" w:firstLineChars="0"/>
              <w:jc w:val="center"/>
              <w:rPr>
                <w:rFonts w:cs="Times New Roman"/>
                <w:color w:val="auto"/>
                <w:sz w:val="21"/>
                <w:szCs w:val="21"/>
                <w:highlight w:val="none"/>
              </w:rPr>
            </w:pPr>
          </w:p>
        </w:tc>
      </w:tr>
      <w:tr w14:paraId="789996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71" w:hRule="atLeast"/>
          <w:jc w:val="center"/>
        </w:trPr>
        <w:tc>
          <w:tcPr>
            <w:tcW w:w="401" w:type="pct"/>
            <w:vAlign w:val="center"/>
          </w:tcPr>
          <w:p w14:paraId="3A866F9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w:t>
            </w:r>
          </w:p>
        </w:tc>
        <w:tc>
          <w:tcPr>
            <w:tcW w:w="973" w:type="pct"/>
            <w:vAlign w:val="center"/>
          </w:tcPr>
          <w:p w14:paraId="69062B76">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油类物质（废润滑油）</w:t>
            </w:r>
          </w:p>
        </w:tc>
        <w:tc>
          <w:tcPr>
            <w:tcW w:w="709" w:type="pct"/>
            <w:vAlign w:val="center"/>
          </w:tcPr>
          <w:p w14:paraId="68F7177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430" w:type="pct"/>
            <w:vAlign w:val="center"/>
          </w:tcPr>
          <w:p w14:paraId="3E357F8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0.08</w:t>
            </w:r>
          </w:p>
        </w:tc>
        <w:tc>
          <w:tcPr>
            <w:tcW w:w="755" w:type="pct"/>
            <w:vAlign w:val="center"/>
          </w:tcPr>
          <w:p w14:paraId="6DD93E22">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2500</w:t>
            </w:r>
          </w:p>
        </w:tc>
        <w:tc>
          <w:tcPr>
            <w:tcW w:w="730" w:type="pct"/>
            <w:vAlign w:val="center"/>
          </w:tcPr>
          <w:p w14:paraId="2D9834B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0.000032</w:t>
            </w:r>
          </w:p>
        </w:tc>
      </w:tr>
      <w:tr w14:paraId="4EE64F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471" w:hRule="atLeast"/>
          <w:jc w:val="center"/>
        </w:trPr>
        <w:tc>
          <w:tcPr>
            <w:tcW w:w="401" w:type="pct"/>
            <w:vAlign w:val="center"/>
          </w:tcPr>
          <w:p w14:paraId="03CB1114">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973" w:type="pct"/>
            <w:vAlign w:val="center"/>
          </w:tcPr>
          <w:p w14:paraId="2D2B1A41">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在线监测废液（铬及其化合物）</w:t>
            </w:r>
          </w:p>
        </w:tc>
        <w:tc>
          <w:tcPr>
            <w:tcW w:w="709" w:type="pct"/>
            <w:vAlign w:val="center"/>
          </w:tcPr>
          <w:p w14:paraId="75606DF8">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430" w:type="pct"/>
            <w:vAlign w:val="center"/>
          </w:tcPr>
          <w:p w14:paraId="2DFA486F">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0.02</w:t>
            </w:r>
          </w:p>
        </w:tc>
        <w:tc>
          <w:tcPr>
            <w:tcW w:w="755" w:type="pct"/>
            <w:vAlign w:val="center"/>
          </w:tcPr>
          <w:p w14:paraId="015549F7">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0.25</w:t>
            </w:r>
          </w:p>
        </w:tc>
        <w:tc>
          <w:tcPr>
            <w:tcW w:w="730" w:type="pct"/>
            <w:vAlign w:val="center"/>
          </w:tcPr>
          <w:p w14:paraId="6A5A3F6C">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0.08</w:t>
            </w:r>
          </w:p>
        </w:tc>
      </w:tr>
      <w:tr w14:paraId="2E829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509" w:hRule="atLeast"/>
          <w:jc w:val="center"/>
        </w:trPr>
        <w:tc>
          <w:tcPr>
            <w:tcW w:w="4269" w:type="pct"/>
            <w:gridSpan w:val="5"/>
            <w:vAlign w:val="center"/>
          </w:tcPr>
          <w:p w14:paraId="65418A2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合计</w:t>
            </w:r>
          </w:p>
        </w:tc>
        <w:tc>
          <w:tcPr>
            <w:tcW w:w="730" w:type="pct"/>
            <w:vAlign w:val="center"/>
          </w:tcPr>
          <w:p w14:paraId="0D295351">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0.</w:t>
            </w:r>
            <w:r>
              <w:rPr>
                <w:rFonts w:hint="eastAsia" w:cs="Times New Roman"/>
                <w:color w:val="auto"/>
                <w:sz w:val="21"/>
                <w:szCs w:val="21"/>
                <w:highlight w:val="none"/>
                <w:lang w:val="en-US" w:eastAsia="zh-CN"/>
              </w:rPr>
              <w:t>48</w:t>
            </w:r>
          </w:p>
        </w:tc>
      </w:tr>
    </w:tbl>
    <w:p w14:paraId="2DA12207">
      <w:pPr>
        <w:rPr>
          <w:rFonts w:cs="Times New Roman"/>
          <w:color w:val="auto"/>
          <w:szCs w:val="24"/>
          <w:highlight w:val="none"/>
        </w:rPr>
      </w:pPr>
      <w:r>
        <w:rPr>
          <w:rFonts w:cs="Times New Roman"/>
          <w:color w:val="auto"/>
          <w:highlight w:val="none"/>
        </w:rPr>
        <w:t>本项目Q=</w:t>
      </w:r>
      <w:r>
        <w:rPr>
          <w:rFonts w:hint="eastAsia" w:cs="Times New Roman"/>
          <w:color w:val="auto"/>
          <w:highlight w:val="none"/>
          <w:lang w:val="en-US" w:eastAsia="zh-CN"/>
        </w:rPr>
        <w:t>0.48</w:t>
      </w:r>
      <w:r>
        <w:rPr>
          <w:rFonts w:cs="Times New Roman"/>
          <w:color w:val="auto"/>
          <w:highlight w:val="none"/>
        </w:rPr>
        <w:t>＜1，因此，本项目风险潜势为</w:t>
      </w:r>
      <w:r>
        <w:rPr>
          <w:rFonts w:cs="Times New Roman"/>
          <w:color w:val="auto"/>
          <w:highlight w:val="none"/>
        </w:rPr>
        <w:fldChar w:fldCharType="begin"/>
      </w:r>
      <w:r>
        <w:rPr>
          <w:rFonts w:cs="Times New Roman"/>
          <w:color w:val="auto"/>
          <w:highlight w:val="none"/>
        </w:rPr>
        <w:instrText xml:space="preserve"> = 1 \* ROMAN </w:instrText>
      </w:r>
      <w:r>
        <w:rPr>
          <w:rFonts w:cs="Times New Roman"/>
          <w:color w:val="auto"/>
          <w:highlight w:val="none"/>
        </w:rPr>
        <w:fldChar w:fldCharType="separate"/>
      </w:r>
      <w:r>
        <w:rPr>
          <w:rFonts w:cs="Times New Roman"/>
          <w:color w:val="auto"/>
          <w:highlight w:val="none"/>
        </w:rPr>
        <w:t>I</w:t>
      </w:r>
      <w:r>
        <w:rPr>
          <w:rFonts w:cs="Times New Roman"/>
          <w:color w:val="auto"/>
          <w:highlight w:val="none"/>
        </w:rPr>
        <w:fldChar w:fldCharType="end"/>
      </w:r>
      <w:r>
        <w:rPr>
          <w:rFonts w:cs="Times New Roman"/>
          <w:color w:val="auto"/>
          <w:highlight w:val="none"/>
        </w:rPr>
        <w:t>，根据《建设项目环境风险评价技术导则》(HJ169-2018)中表1的评价分级原则，风险潜势为</w:t>
      </w:r>
      <w:r>
        <w:rPr>
          <w:rFonts w:cs="Times New Roman"/>
          <w:color w:val="auto"/>
          <w:highlight w:val="none"/>
        </w:rPr>
        <w:fldChar w:fldCharType="begin"/>
      </w:r>
      <w:r>
        <w:rPr>
          <w:rFonts w:cs="Times New Roman"/>
          <w:color w:val="auto"/>
          <w:highlight w:val="none"/>
        </w:rPr>
        <w:instrText xml:space="preserve"> = 1 \* ROMAN </w:instrText>
      </w:r>
      <w:r>
        <w:rPr>
          <w:rFonts w:cs="Times New Roman"/>
          <w:color w:val="auto"/>
          <w:highlight w:val="none"/>
        </w:rPr>
        <w:fldChar w:fldCharType="separate"/>
      </w:r>
      <w:r>
        <w:rPr>
          <w:rFonts w:cs="Times New Roman"/>
          <w:color w:val="auto"/>
          <w:highlight w:val="none"/>
        </w:rPr>
        <w:t>I</w:t>
      </w:r>
      <w:r>
        <w:rPr>
          <w:rFonts w:cs="Times New Roman"/>
          <w:color w:val="auto"/>
          <w:highlight w:val="none"/>
        </w:rPr>
        <w:fldChar w:fldCharType="end"/>
      </w:r>
      <w:r>
        <w:rPr>
          <w:rFonts w:cs="Times New Roman"/>
          <w:color w:val="auto"/>
          <w:highlight w:val="none"/>
        </w:rPr>
        <w:t>仅开展简单分析</w:t>
      </w:r>
      <w:r>
        <w:rPr>
          <w:rFonts w:cs="Times New Roman"/>
          <w:color w:val="auto"/>
          <w:szCs w:val="24"/>
          <w:highlight w:val="none"/>
        </w:rPr>
        <w:t>。</w:t>
      </w:r>
    </w:p>
    <w:p w14:paraId="2FD35BF6">
      <w:pPr>
        <w:pStyle w:val="3"/>
        <w:spacing w:before="156" w:after="156"/>
        <w:rPr>
          <w:rFonts w:cs="Times New Roman"/>
          <w:color w:val="auto"/>
          <w:highlight w:val="none"/>
        </w:rPr>
      </w:pPr>
      <w:bookmarkStart w:id="73" w:name="_Toc61529194"/>
      <w:bookmarkStart w:id="74" w:name="_Toc21599"/>
      <w:r>
        <w:rPr>
          <w:rFonts w:cs="Times New Roman"/>
          <w:color w:val="auto"/>
          <w:highlight w:val="none"/>
        </w:rPr>
        <w:t>2.4 评价范围</w:t>
      </w:r>
      <w:bookmarkEnd w:id="73"/>
      <w:bookmarkEnd w:id="74"/>
    </w:p>
    <w:p w14:paraId="0276DC6E">
      <w:pPr>
        <w:rPr>
          <w:rFonts w:cs="Times New Roman"/>
          <w:color w:val="auto"/>
          <w:szCs w:val="24"/>
          <w:highlight w:val="none"/>
        </w:rPr>
      </w:pPr>
      <w:r>
        <w:rPr>
          <w:rFonts w:cs="Times New Roman"/>
          <w:color w:val="auto"/>
          <w:szCs w:val="24"/>
          <w:highlight w:val="none"/>
        </w:rPr>
        <w:t>按照《环境影响评价技术导则》的要求，依据本项目的工程特点和评价工作等级，确定了本次环境影响评价范围。</w:t>
      </w:r>
    </w:p>
    <w:p w14:paraId="14A08A7D">
      <w:pPr>
        <w:pStyle w:val="4"/>
        <w:spacing w:after="156"/>
        <w:rPr>
          <w:rFonts w:cs="Times New Roman"/>
          <w:color w:val="auto"/>
          <w:highlight w:val="none"/>
        </w:rPr>
      </w:pPr>
      <w:bookmarkStart w:id="75" w:name="_Toc657"/>
      <w:r>
        <w:rPr>
          <w:rFonts w:cs="Times New Roman"/>
          <w:color w:val="auto"/>
          <w:highlight w:val="none"/>
        </w:rPr>
        <w:t>2.4.1 大气评价范围</w:t>
      </w:r>
      <w:bookmarkEnd w:id="75"/>
    </w:p>
    <w:p w14:paraId="7A28E9E8">
      <w:pPr>
        <w:rPr>
          <w:rFonts w:cs="Times New Roman"/>
          <w:color w:val="auto"/>
          <w:highlight w:val="none"/>
        </w:rPr>
      </w:pPr>
      <w:r>
        <w:rPr>
          <w:rFonts w:cs="Times New Roman"/>
          <w:color w:val="auto"/>
          <w:szCs w:val="24"/>
          <w:highlight w:val="none"/>
        </w:rPr>
        <w:t>根据《环境影响评价技术导则-大气环境》（HJ2.2-2018）大气二级评价工作的要求，确定本项目大气环境评价范围为</w:t>
      </w:r>
      <w:r>
        <w:rPr>
          <w:rFonts w:hint="eastAsia" w:cs="Times New Roman"/>
          <w:color w:val="auto"/>
          <w:szCs w:val="24"/>
          <w:highlight w:val="none"/>
          <w:lang w:val="en-US" w:eastAsia="zh-CN"/>
        </w:rPr>
        <w:t>以项目厂址为</w:t>
      </w:r>
      <w:r>
        <w:rPr>
          <w:rFonts w:cs="Times New Roman"/>
          <w:color w:val="auto"/>
          <w:szCs w:val="24"/>
          <w:highlight w:val="none"/>
        </w:rPr>
        <w:t>中心边长为5km的矩形区域。</w:t>
      </w:r>
    </w:p>
    <w:p w14:paraId="72FD4652">
      <w:pPr>
        <w:pStyle w:val="4"/>
        <w:spacing w:after="156"/>
        <w:rPr>
          <w:rFonts w:cs="Times New Roman"/>
          <w:color w:val="auto"/>
          <w:highlight w:val="none"/>
        </w:rPr>
      </w:pPr>
      <w:bookmarkStart w:id="76" w:name="_Toc11784"/>
      <w:r>
        <w:rPr>
          <w:rFonts w:cs="Times New Roman"/>
          <w:color w:val="auto"/>
          <w:highlight w:val="none"/>
        </w:rPr>
        <w:t>2.4.2 水环境评价范围</w:t>
      </w:r>
      <w:bookmarkEnd w:id="76"/>
    </w:p>
    <w:p w14:paraId="0E731C62">
      <w:pPr>
        <w:pStyle w:val="5"/>
        <w:bidi w:val="0"/>
        <w:rPr>
          <w:color w:val="auto"/>
          <w:highlight w:val="none"/>
        </w:rPr>
      </w:pPr>
      <w:bookmarkStart w:id="77" w:name="_Toc5031"/>
      <w:bookmarkStart w:id="78" w:name="_Toc703"/>
      <w:bookmarkStart w:id="79" w:name="_Toc5819"/>
      <w:r>
        <w:rPr>
          <w:color w:val="auto"/>
          <w:highlight w:val="none"/>
        </w:rPr>
        <w:t>2.4.2.1 地表水环境评价范围</w:t>
      </w:r>
      <w:bookmarkEnd w:id="77"/>
      <w:bookmarkEnd w:id="78"/>
      <w:bookmarkEnd w:id="79"/>
    </w:p>
    <w:p w14:paraId="3BC6B13C">
      <w:pPr>
        <w:rPr>
          <w:rFonts w:cs="Times New Roman"/>
          <w:color w:val="auto"/>
          <w:szCs w:val="24"/>
          <w:highlight w:val="none"/>
        </w:rPr>
      </w:pPr>
      <w:r>
        <w:rPr>
          <w:rFonts w:cs="Times New Roman"/>
          <w:color w:val="auto"/>
          <w:szCs w:val="24"/>
          <w:highlight w:val="none"/>
        </w:rPr>
        <w:t>本项目地表水环境影响评价工作等级为三级B，因此本评价</w:t>
      </w:r>
      <w:r>
        <w:rPr>
          <w:rFonts w:cs="Times New Roman"/>
          <w:snapToGrid w:val="0"/>
          <w:color w:val="auto"/>
          <w:szCs w:val="24"/>
          <w:highlight w:val="none"/>
        </w:rPr>
        <w:t>主要针对地表水环境影响现状以及</w:t>
      </w:r>
      <w:r>
        <w:rPr>
          <w:rFonts w:cs="Times New Roman"/>
          <w:color w:val="auto"/>
          <w:szCs w:val="24"/>
          <w:highlight w:val="none"/>
        </w:rPr>
        <w:t>产生的废水能否满足国家、地方的排放标准要求，做简单的废水达标可行性分析，不设地表水环境影响评价范围。</w:t>
      </w:r>
      <w:bookmarkStart w:id="80" w:name="_Toc2672"/>
      <w:bookmarkStart w:id="81" w:name="_Toc8452"/>
      <w:bookmarkStart w:id="82" w:name="_Toc18475"/>
    </w:p>
    <w:p w14:paraId="6244303C">
      <w:pPr>
        <w:pStyle w:val="5"/>
        <w:bidi w:val="0"/>
        <w:rPr>
          <w:color w:val="auto"/>
          <w:highlight w:val="none"/>
        </w:rPr>
      </w:pPr>
      <w:r>
        <w:rPr>
          <w:color w:val="auto"/>
          <w:highlight w:val="none"/>
        </w:rPr>
        <w:t>2.4.2.2 地下水环境评价范围</w:t>
      </w:r>
      <w:bookmarkEnd w:id="80"/>
      <w:bookmarkEnd w:id="81"/>
      <w:bookmarkEnd w:id="82"/>
    </w:p>
    <w:p w14:paraId="468C11A4">
      <w:pPr>
        <w:rPr>
          <w:rFonts w:cs="Times New Roman"/>
          <w:color w:val="auto"/>
          <w:szCs w:val="24"/>
          <w:highlight w:val="none"/>
        </w:rPr>
      </w:pPr>
      <w:r>
        <w:rPr>
          <w:rFonts w:cs="Times New Roman"/>
          <w:color w:val="auto"/>
          <w:szCs w:val="24"/>
          <w:highlight w:val="none"/>
        </w:rPr>
        <w:t>本次评价地下水调查范围采用查表法确定。</w:t>
      </w:r>
    </w:p>
    <w:p w14:paraId="37096B75">
      <w:pPr>
        <w:spacing w:line="240" w:lineRule="auto"/>
        <w:ind w:firstLine="482"/>
        <w:jc w:val="center"/>
        <w:rPr>
          <w:rFonts w:cs="Times New Roman"/>
          <w:b/>
          <w:bCs/>
          <w:color w:val="auto"/>
          <w:szCs w:val="24"/>
          <w:highlight w:val="none"/>
        </w:rPr>
      </w:pPr>
      <w:r>
        <w:rPr>
          <w:rFonts w:cs="Times New Roman"/>
          <w:b/>
          <w:bCs/>
          <w:color w:val="auto"/>
          <w:szCs w:val="24"/>
          <w:highlight w:val="none"/>
        </w:rPr>
        <w:t>表2</w:t>
      </w:r>
      <w:r>
        <w:rPr>
          <w:rFonts w:hint="eastAsia" w:cs="Times New Roman"/>
          <w:b/>
          <w:bCs/>
          <w:color w:val="auto"/>
          <w:szCs w:val="24"/>
          <w:highlight w:val="none"/>
          <w:lang w:val="en-US" w:eastAsia="zh-CN"/>
        </w:rPr>
        <w:t>.</w:t>
      </w:r>
      <w:r>
        <w:rPr>
          <w:rFonts w:cs="Times New Roman"/>
          <w:b/>
          <w:bCs/>
          <w:color w:val="auto"/>
          <w:szCs w:val="24"/>
          <w:highlight w:val="none"/>
        </w:rPr>
        <w:t>4-1  地下水环境现状调查评价范围参照表</w:t>
      </w:r>
    </w:p>
    <w:tbl>
      <w:tblPr>
        <w:tblStyle w:val="47"/>
        <w:tblW w:w="851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3254"/>
        <w:gridCol w:w="4003"/>
      </w:tblGrid>
      <w:tr w14:paraId="04D786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1262" w:type="dxa"/>
            <w:shd w:val="clear" w:color="auto" w:fill="auto"/>
            <w:vAlign w:val="center"/>
          </w:tcPr>
          <w:p w14:paraId="4000775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评价等级</w:t>
            </w:r>
          </w:p>
        </w:tc>
        <w:tc>
          <w:tcPr>
            <w:tcW w:w="3254" w:type="dxa"/>
            <w:shd w:val="clear" w:color="auto" w:fill="auto"/>
            <w:vAlign w:val="center"/>
          </w:tcPr>
          <w:p w14:paraId="05726DF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调查评价范围（km</w:t>
            </w:r>
            <w:r>
              <w:rPr>
                <w:rFonts w:cs="Times New Roman"/>
                <w:color w:val="auto"/>
                <w:sz w:val="21"/>
                <w:szCs w:val="21"/>
                <w:highlight w:val="none"/>
                <w:vertAlign w:val="superscript"/>
              </w:rPr>
              <w:t>2</w:t>
            </w:r>
            <w:r>
              <w:rPr>
                <w:rFonts w:cs="Times New Roman"/>
                <w:color w:val="auto"/>
                <w:sz w:val="21"/>
                <w:szCs w:val="21"/>
                <w:highlight w:val="none"/>
              </w:rPr>
              <w:t>）</w:t>
            </w:r>
          </w:p>
        </w:tc>
        <w:tc>
          <w:tcPr>
            <w:tcW w:w="4003" w:type="dxa"/>
            <w:shd w:val="clear" w:color="auto" w:fill="auto"/>
            <w:vAlign w:val="center"/>
          </w:tcPr>
          <w:p w14:paraId="3E485D0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备注</w:t>
            </w:r>
          </w:p>
        </w:tc>
      </w:tr>
      <w:tr w14:paraId="33805C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262" w:type="dxa"/>
            <w:shd w:val="clear" w:color="auto" w:fill="auto"/>
            <w:vAlign w:val="center"/>
          </w:tcPr>
          <w:p w14:paraId="58BA4D7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一级</w:t>
            </w:r>
          </w:p>
        </w:tc>
        <w:tc>
          <w:tcPr>
            <w:tcW w:w="3254" w:type="dxa"/>
            <w:shd w:val="clear" w:color="auto" w:fill="auto"/>
            <w:vAlign w:val="center"/>
          </w:tcPr>
          <w:p w14:paraId="4F18D2E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≧20</w:t>
            </w:r>
          </w:p>
        </w:tc>
        <w:tc>
          <w:tcPr>
            <w:tcW w:w="4003" w:type="dxa"/>
            <w:vMerge w:val="restart"/>
            <w:shd w:val="clear" w:color="auto" w:fill="auto"/>
            <w:vAlign w:val="center"/>
          </w:tcPr>
          <w:p w14:paraId="59D1BD8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应包括重要的地下水环境保护目标，必要时适当扩大范围</w:t>
            </w:r>
          </w:p>
        </w:tc>
      </w:tr>
      <w:tr w14:paraId="6409C9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262" w:type="dxa"/>
            <w:shd w:val="clear" w:color="auto" w:fill="auto"/>
            <w:vAlign w:val="center"/>
          </w:tcPr>
          <w:p w14:paraId="2009906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二级</w:t>
            </w:r>
          </w:p>
        </w:tc>
        <w:tc>
          <w:tcPr>
            <w:tcW w:w="3254" w:type="dxa"/>
            <w:shd w:val="clear" w:color="auto" w:fill="auto"/>
            <w:vAlign w:val="center"/>
          </w:tcPr>
          <w:p w14:paraId="750A792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6-20</w:t>
            </w:r>
          </w:p>
        </w:tc>
        <w:tc>
          <w:tcPr>
            <w:tcW w:w="4003" w:type="dxa"/>
            <w:vMerge w:val="continue"/>
            <w:shd w:val="clear" w:color="auto" w:fill="auto"/>
            <w:vAlign w:val="center"/>
          </w:tcPr>
          <w:p w14:paraId="5D282681">
            <w:pPr>
              <w:pStyle w:val="119"/>
              <w:adjustRightInd w:val="0"/>
              <w:snapToGrid w:val="0"/>
              <w:spacing w:line="360" w:lineRule="exact"/>
              <w:ind w:firstLine="0" w:firstLineChars="0"/>
              <w:jc w:val="center"/>
              <w:rPr>
                <w:rFonts w:ascii="Times New Roman" w:hAnsi="Times New Roman" w:cs="Times New Roman"/>
                <w:color w:val="auto"/>
                <w:sz w:val="21"/>
                <w:szCs w:val="21"/>
                <w:highlight w:val="none"/>
              </w:rPr>
            </w:pPr>
          </w:p>
        </w:tc>
      </w:tr>
      <w:tr w14:paraId="7C6AA8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262" w:type="dxa"/>
            <w:shd w:val="clear" w:color="auto" w:fill="auto"/>
            <w:vAlign w:val="center"/>
          </w:tcPr>
          <w:p w14:paraId="1083178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三级</w:t>
            </w:r>
          </w:p>
        </w:tc>
        <w:tc>
          <w:tcPr>
            <w:tcW w:w="3254" w:type="dxa"/>
            <w:shd w:val="clear" w:color="auto" w:fill="auto"/>
            <w:vAlign w:val="center"/>
          </w:tcPr>
          <w:p w14:paraId="4772F4E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≤6</w:t>
            </w:r>
          </w:p>
        </w:tc>
        <w:tc>
          <w:tcPr>
            <w:tcW w:w="4003" w:type="dxa"/>
            <w:vMerge w:val="continue"/>
            <w:shd w:val="clear" w:color="auto" w:fill="auto"/>
            <w:vAlign w:val="center"/>
          </w:tcPr>
          <w:p w14:paraId="5DB5B8DC">
            <w:pPr>
              <w:pStyle w:val="119"/>
              <w:adjustRightInd w:val="0"/>
              <w:snapToGrid w:val="0"/>
              <w:spacing w:line="360" w:lineRule="exact"/>
              <w:ind w:firstLine="0" w:firstLineChars="0"/>
              <w:jc w:val="center"/>
              <w:rPr>
                <w:rFonts w:ascii="Times New Roman" w:hAnsi="Times New Roman" w:cs="Times New Roman"/>
                <w:color w:val="auto"/>
                <w:sz w:val="21"/>
                <w:szCs w:val="21"/>
                <w:highlight w:val="none"/>
              </w:rPr>
            </w:pPr>
          </w:p>
        </w:tc>
      </w:tr>
    </w:tbl>
    <w:p w14:paraId="53D34CF4">
      <w:pPr>
        <w:ind w:firstLine="528"/>
        <w:rPr>
          <w:rFonts w:cs="Times New Roman"/>
          <w:color w:val="auto"/>
          <w:szCs w:val="24"/>
          <w:highlight w:val="none"/>
        </w:rPr>
      </w:pPr>
      <w:r>
        <w:rPr>
          <w:rFonts w:hint="eastAsia" w:ascii="Times New Roman"/>
          <w:color w:val="auto"/>
          <w:highlight w:val="none"/>
        </w:rPr>
        <w:t>根据《环境影响评价技术导则 地下水环境》（HJ610-2016），综合考虑评价区域水文地质单元的完整性和边界条件的概化，</w:t>
      </w:r>
      <w:r>
        <w:rPr>
          <w:rFonts w:hint="eastAsia" w:ascii="Times New Roman"/>
          <w:color w:val="auto"/>
          <w:highlight w:val="none"/>
          <w:lang w:val="zh-TW" w:eastAsia="zh-TW"/>
        </w:rPr>
        <w:t>结合周边</w:t>
      </w:r>
      <w:r>
        <w:rPr>
          <w:rFonts w:hint="eastAsia" w:ascii="Times New Roman"/>
          <w:color w:val="auto"/>
          <w:highlight w:val="none"/>
        </w:rPr>
        <w:t>敏感目标</w:t>
      </w:r>
      <w:r>
        <w:rPr>
          <w:rFonts w:hint="eastAsia" w:ascii="Times New Roman"/>
          <w:color w:val="auto"/>
          <w:highlight w:val="none"/>
          <w:lang w:val="zh-TW" w:eastAsia="zh-TW"/>
        </w:rPr>
        <w:t>分布和地下水流向确定评价范围，</w:t>
      </w:r>
      <w:r>
        <w:rPr>
          <w:rFonts w:hint="eastAsia" w:ascii="Times New Roman"/>
          <w:color w:val="auto"/>
          <w:highlight w:val="none"/>
          <w:lang w:val="en-US" w:eastAsia="zh-CN"/>
        </w:rPr>
        <w:t>本项目</w:t>
      </w:r>
      <w:r>
        <w:rPr>
          <w:rFonts w:hint="eastAsia" w:ascii="Times New Roman"/>
          <w:color w:val="auto"/>
          <w:highlight w:val="none"/>
        </w:rPr>
        <w:t>采用自定义法结合计算法、查表法，确定以项目区外扩面积</w:t>
      </w:r>
      <w:r>
        <w:rPr>
          <w:rFonts w:hint="eastAsia" w:ascii="Times New Roman"/>
          <w:color w:val="auto"/>
          <w:highlight w:val="none"/>
          <w:lang w:val="en-US" w:eastAsia="zh-CN"/>
        </w:rPr>
        <w:t>6</w:t>
      </w:r>
      <w:r>
        <w:rPr>
          <w:rFonts w:hint="eastAsia" w:ascii="Times New Roman"/>
          <w:color w:val="auto"/>
          <w:highlight w:val="none"/>
        </w:rPr>
        <w:t>.0km</w:t>
      </w:r>
      <w:r>
        <w:rPr>
          <w:rFonts w:hint="eastAsia" w:ascii="Times New Roman"/>
          <w:color w:val="auto"/>
          <w:highlight w:val="none"/>
          <w:vertAlign w:val="superscript"/>
        </w:rPr>
        <w:t>2</w:t>
      </w:r>
      <w:r>
        <w:rPr>
          <w:rFonts w:hint="eastAsia" w:ascii="Times New Roman"/>
          <w:color w:val="auto"/>
          <w:highlight w:val="none"/>
        </w:rPr>
        <w:t>范围为地下水调查评价范围。</w:t>
      </w:r>
      <w:r>
        <w:rPr>
          <w:rFonts w:hint="default" w:ascii="Times New Roman" w:hAnsi="Times New Roman" w:eastAsia="宋体" w:cs="Times New Roman"/>
          <w:color w:val="auto"/>
          <w:highlight w:val="none"/>
        </w:rPr>
        <w:t>地下水调查范围为以项目所在地为中心，上游（</w:t>
      </w:r>
      <w:r>
        <w:rPr>
          <w:rFonts w:hint="eastAsia" w:ascii="Times New Roman" w:hAnsi="Times New Roman" w:eastAsia="宋体" w:cs="Times New Roman"/>
          <w:color w:val="auto"/>
          <w:highlight w:val="none"/>
          <w:lang w:val="en-US" w:eastAsia="zh-CN"/>
        </w:rPr>
        <w:t>东南</w:t>
      </w:r>
      <w:r>
        <w:rPr>
          <w:rFonts w:hint="default" w:ascii="Times New Roman" w:hAnsi="Times New Roman" w:eastAsia="宋体" w:cs="Times New Roman"/>
          <w:color w:val="auto"/>
          <w:highlight w:val="none"/>
        </w:rPr>
        <w:t>侧）</w:t>
      </w:r>
      <w:r>
        <w:rPr>
          <w:rFonts w:hint="eastAsia" w:ascii="Times New Roman" w:hAnsi="Times New Roman" w:eastAsia="宋体" w:cs="Times New Roman"/>
          <w:color w:val="auto"/>
          <w:highlight w:val="none"/>
          <w:lang w:val="en-US" w:eastAsia="zh-CN"/>
        </w:rPr>
        <w:t>1.0</w:t>
      </w:r>
      <w:r>
        <w:rPr>
          <w:rFonts w:hint="default" w:ascii="Times New Roman" w:hAnsi="Times New Roman" w:eastAsia="宋体" w:cs="Times New Roman"/>
          <w:color w:val="auto"/>
          <w:highlight w:val="none"/>
        </w:rPr>
        <w:t>km，</w:t>
      </w:r>
      <w:r>
        <w:rPr>
          <w:rFonts w:hint="eastAsia" w:ascii="Times New Roman" w:hAnsi="Times New Roman" w:eastAsia="宋体" w:cs="Times New Roman"/>
          <w:color w:val="auto"/>
          <w:highlight w:val="none"/>
          <w:lang w:val="en-US" w:eastAsia="zh-CN"/>
        </w:rPr>
        <w:t>西南</w:t>
      </w:r>
      <w:r>
        <w:rPr>
          <w:rFonts w:hint="default" w:ascii="Times New Roman" w:hAnsi="Times New Roman" w:eastAsia="宋体" w:cs="Times New Roman"/>
          <w:color w:val="auto"/>
          <w:highlight w:val="none"/>
        </w:rPr>
        <w:t>侧为</w:t>
      </w:r>
      <w:r>
        <w:rPr>
          <w:rFonts w:hint="eastAsia" w:ascii="Times New Roman" w:hAnsi="Times New Roman" w:eastAsia="宋体" w:cs="Times New Roman"/>
          <w:color w:val="auto"/>
          <w:highlight w:val="none"/>
          <w:lang w:val="en-US" w:eastAsia="zh-CN"/>
        </w:rPr>
        <w:t>1.0</w:t>
      </w:r>
      <w:r>
        <w:rPr>
          <w:rFonts w:hint="default" w:ascii="Times New Roman" w:hAnsi="Times New Roman" w:eastAsia="宋体" w:cs="Times New Roman"/>
          <w:color w:val="auto"/>
          <w:highlight w:val="none"/>
        </w:rPr>
        <w:t>km，</w:t>
      </w:r>
      <w:r>
        <w:rPr>
          <w:rFonts w:hint="eastAsia" w:ascii="Times New Roman" w:hAnsi="Times New Roman" w:eastAsia="宋体" w:cs="Times New Roman"/>
          <w:color w:val="auto"/>
          <w:highlight w:val="none"/>
          <w:lang w:val="en-US" w:eastAsia="zh-CN"/>
        </w:rPr>
        <w:t>东北</w:t>
      </w:r>
      <w:r>
        <w:rPr>
          <w:rFonts w:hint="default" w:ascii="Times New Roman" w:hAnsi="Times New Roman" w:eastAsia="宋体" w:cs="Times New Roman"/>
          <w:color w:val="auto"/>
          <w:highlight w:val="none"/>
        </w:rPr>
        <w:t>侧为</w:t>
      </w:r>
      <w:r>
        <w:rPr>
          <w:rFonts w:hint="eastAsia" w:ascii="Times New Roman" w:hAnsi="Times New Roman" w:eastAsia="宋体" w:cs="Times New Roman"/>
          <w:color w:val="auto"/>
          <w:highlight w:val="none"/>
          <w:lang w:val="en-US" w:eastAsia="zh-CN"/>
        </w:rPr>
        <w:t>1.0</w:t>
      </w:r>
      <w:r>
        <w:rPr>
          <w:rFonts w:hint="default" w:ascii="Times New Roman" w:hAnsi="Times New Roman" w:eastAsia="宋体" w:cs="Times New Roman"/>
          <w:color w:val="auto"/>
          <w:highlight w:val="none"/>
        </w:rPr>
        <w:t>km，下游（</w:t>
      </w:r>
      <w:r>
        <w:rPr>
          <w:rFonts w:hint="eastAsia" w:ascii="Times New Roman" w:hAnsi="Times New Roman" w:eastAsia="宋体" w:cs="Times New Roman"/>
          <w:color w:val="auto"/>
          <w:highlight w:val="none"/>
          <w:lang w:val="en-US" w:eastAsia="zh-CN"/>
        </w:rPr>
        <w:t>西北</w:t>
      </w:r>
      <w:r>
        <w:rPr>
          <w:rFonts w:hint="default" w:ascii="Times New Roman" w:hAnsi="Times New Roman" w:eastAsia="宋体" w:cs="Times New Roman"/>
          <w:color w:val="auto"/>
          <w:highlight w:val="none"/>
        </w:rPr>
        <w:t>侧）</w:t>
      </w:r>
      <w:r>
        <w:rPr>
          <w:rFonts w:hint="eastAsia" w:ascii="Times New Roman" w:hAnsi="Times New Roman" w:eastAsia="宋体" w:cs="Times New Roman"/>
          <w:color w:val="auto"/>
          <w:highlight w:val="none"/>
          <w:lang w:val="en-US" w:eastAsia="zh-CN"/>
        </w:rPr>
        <w:t>2.0</w:t>
      </w:r>
      <w:r>
        <w:rPr>
          <w:rFonts w:hint="default" w:ascii="Times New Roman" w:hAnsi="Times New Roman" w:eastAsia="宋体" w:cs="Times New Roman"/>
          <w:color w:val="auto"/>
          <w:highlight w:val="none"/>
        </w:rPr>
        <w:t>km，面积约为6km</w:t>
      </w:r>
      <w:r>
        <w:rPr>
          <w:rFonts w:hint="default" w:ascii="Times New Roman" w:hAnsi="Times New Roman" w:eastAsia="宋体" w:cs="Times New Roman"/>
          <w:color w:val="auto"/>
          <w:highlight w:val="none"/>
          <w:vertAlign w:val="superscript"/>
        </w:rPr>
        <w:t>2</w:t>
      </w:r>
      <w:r>
        <w:rPr>
          <w:rFonts w:hint="default"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地下水预测章节见5.2.3.2。</w:t>
      </w:r>
    </w:p>
    <w:p w14:paraId="6102496D">
      <w:pPr>
        <w:pStyle w:val="4"/>
        <w:spacing w:after="156"/>
        <w:rPr>
          <w:rFonts w:cs="Times New Roman"/>
          <w:color w:val="auto"/>
          <w:highlight w:val="none"/>
        </w:rPr>
      </w:pPr>
      <w:bookmarkStart w:id="83" w:name="_Toc7344"/>
      <w:r>
        <w:rPr>
          <w:rFonts w:cs="Times New Roman"/>
          <w:color w:val="auto"/>
          <w:highlight w:val="none"/>
        </w:rPr>
        <w:t>2.4.3 声环境评价范围</w:t>
      </w:r>
      <w:bookmarkEnd w:id="83"/>
    </w:p>
    <w:p w14:paraId="34C964B0">
      <w:pPr>
        <w:rPr>
          <w:rFonts w:cs="Times New Roman"/>
          <w:color w:val="auto"/>
          <w:szCs w:val="24"/>
          <w:highlight w:val="none"/>
        </w:rPr>
      </w:pPr>
      <w:r>
        <w:rPr>
          <w:rFonts w:cs="Times New Roman"/>
          <w:color w:val="auto"/>
          <w:szCs w:val="24"/>
          <w:highlight w:val="none"/>
        </w:rPr>
        <w:t>根据《环境影响评价技术导则-声环境》（HJ2.4-2021）对评价工作的要求，从该项目周围环境具体情况出发，对噪声现状调查及影响分析，确定声环境评价范围为</w:t>
      </w:r>
      <w:r>
        <w:rPr>
          <w:rFonts w:cs="Times New Roman"/>
          <w:bCs/>
          <w:color w:val="auto"/>
          <w:szCs w:val="24"/>
          <w:highlight w:val="none"/>
        </w:rPr>
        <w:t>本项目厂区边界外200m范围。</w:t>
      </w:r>
    </w:p>
    <w:p w14:paraId="74298279">
      <w:pPr>
        <w:pStyle w:val="4"/>
        <w:spacing w:after="156"/>
        <w:rPr>
          <w:rFonts w:cs="Times New Roman"/>
          <w:color w:val="auto"/>
          <w:highlight w:val="none"/>
        </w:rPr>
      </w:pPr>
      <w:bookmarkStart w:id="84" w:name="_Toc1021"/>
      <w:r>
        <w:rPr>
          <w:rFonts w:cs="Times New Roman"/>
          <w:color w:val="auto"/>
          <w:highlight w:val="none"/>
        </w:rPr>
        <w:t>2.4.4 风险评价范围</w:t>
      </w:r>
      <w:bookmarkEnd w:id="84"/>
    </w:p>
    <w:p w14:paraId="576B9B23">
      <w:pPr>
        <w:rPr>
          <w:rFonts w:cs="Times New Roman"/>
          <w:color w:val="auto"/>
          <w:szCs w:val="24"/>
          <w:highlight w:val="none"/>
        </w:rPr>
      </w:pPr>
      <w:r>
        <w:rPr>
          <w:rFonts w:cs="Times New Roman"/>
          <w:color w:val="auto"/>
          <w:szCs w:val="24"/>
          <w:highlight w:val="none"/>
        </w:rPr>
        <w:t>按《建设项目环境风险评价技术导则》（HJ169-2018）要求，不设风险环境影响评价范围。</w:t>
      </w:r>
    </w:p>
    <w:p w14:paraId="4E8A25C4">
      <w:pPr>
        <w:pStyle w:val="3"/>
        <w:spacing w:before="156" w:after="156"/>
        <w:rPr>
          <w:rFonts w:cs="Times New Roman"/>
          <w:color w:val="auto"/>
          <w:highlight w:val="none"/>
        </w:rPr>
      </w:pPr>
      <w:bookmarkStart w:id="85" w:name="_Toc56"/>
      <w:bookmarkStart w:id="86" w:name="_Toc61529195"/>
      <w:bookmarkStart w:id="87" w:name="_Toc24826"/>
      <w:r>
        <w:rPr>
          <w:rFonts w:cs="Times New Roman"/>
          <w:color w:val="auto"/>
          <w:highlight w:val="none"/>
        </w:rPr>
        <w:t>2.5 评价重点与环境保护目标</w:t>
      </w:r>
      <w:bookmarkEnd w:id="85"/>
      <w:bookmarkEnd w:id="86"/>
      <w:bookmarkEnd w:id="87"/>
    </w:p>
    <w:p w14:paraId="07E07198">
      <w:pPr>
        <w:pStyle w:val="4"/>
        <w:spacing w:after="156"/>
        <w:rPr>
          <w:rFonts w:cs="Times New Roman"/>
          <w:color w:val="auto"/>
          <w:highlight w:val="none"/>
        </w:rPr>
      </w:pPr>
      <w:bookmarkStart w:id="88" w:name="_Toc17360"/>
      <w:bookmarkStart w:id="89" w:name="_Toc19267"/>
      <w:r>
        <w:rPr>
          <w:rFonts w:cs="Times New Roman"/>
          <w:color w:val="auto"/>
          <w:highlight w:val="none"/>
        </w:rPr>
        <w:t>2.5.1 评价重点</w:t>
      </w:r>
      <w:bookmarkEnd w:id="88"/>
      <w:bookmarkEnd w:id="89"/>
    </w:p>
    <w:p w14:paraId="3FA0123D">
      <w:pPr>
        <w:rPr>
          <w:rFonts w:cs="Times New Roman"/>
          <w:color w:val="auto"/>
          <w:szCs w:val="24"/>
          <w:highlight w:val="none"/>
        </w:rPr>
      </w:pPr>
      <w:r>
        <w:rPr>
          <w:rFonts w:cs="Times New Roman"/>
          <w:color w:val="auto"/>
          <w:szCs w:val="24"/>
          <w:highlight w:val="none"/>
        </w:rPr>
        <w:t>通过前述环境影响因子识别、评价因子的确定和评价等级的确定，并根据项目工程特点，确定本项目环境影响评价工作的重点和主要内容如下：</w:t>
      </w:r>
    </w:p>
    <w:p w14:paraId="6B8D60D6">
      <w:pPr>
        <w:rPr>
          <w:rFonts w:cs="Times New Roman"/>
          <w:color w:val="auto"/>
          <w:szCs w:val="24"/>
          <w:highlight w:val="none"/>
        </w:rPr>
      </w:pPr>
      <w:r>
        <w:rPr>
          <w:rFonts w:cs="Times New Roman"/>
          <w:color w:val="auto"/>
          <w:szCs w:val="24"/>
          <w:highlight w:val="none"/>
        </w:rPr>
        <w:t>①工程所在区域环境质量现状调查。</w:t>
      </w:r>
    </w:p>
    <w:p w14:paraId="35BAD632">
      <w:pPr>
        <w:rPr>
          <w:rFonts w:cs="Times New Roman"/>
          <w:color w:val="auto"/>
          <w:szCs w:val="24"/>
          <w:highlight w:val="none"/>
        </w:rPr>
      </w:pPr>
      <w:r>
        <w:rPr>
          <w:rFonts w:cs="Times New Roman"/>
          <w:color w:val="auto"/>
          <w:szCs w:val="24"/>
          <w:highlight w:val="none"/>
        </w:rPr>
        <w:t>②对项目进行详实的工程分析。通过充分的调查和分析，结合生产工艺流程，查清各生产环节产生的污染源种类、排放方式和排放源强等。</w:t>
      </w:r>
    </w:p>
    <w:p w14:paraId="1532C80B">
      <w:pPr>
        <w:rPr>
          <w:rFonts w:cs="Times New Roman"/>
          <w:color w:val="auto"/>
          <w:szCs w:val="24"/>
          <w:highlight w:val="none"/>
        </w:rPr>
      </w:pPr>
      <w:r>
        <w:rPr>
          <w:rFonts w:cs="Times New Roman"/>
          <w:color w:val="auto"/>
          <w:szCs w:val="24"/>
          <w:highlight w:val="none"/>
        </w:rPr>
        <w:t>③根据污染源监测数据和相关环保要求，并通过预测分析，论证项目采取的环境保护治理措施实施的适用性和有效性，确定是否符合相关环保要求。</w:t>
      </w:r>
    </w:p>
    <w:p w14:paraId="530542DD">
      <w:pPr>
        <w:pStyle w:val="4"/>
        <w:spacing w:after="156"/>
        <w:ind w:firstLine="480" w:firstLineChars="200"/>
        <w:rPr>
          <w:rFonts w:cs="Times New Roman"/>
          <w:color w:val="auto"/>
          <w:highlight w:val="none"/>
        </w:rPr>
      </w:pPr>
      <w:bookmarkStart w:id="90" w:name="_Toc6877"/>
      <w:r>
        <w:rPr>
          <w:rFonts w:cs="Times New Roman"/>
          <w:color w:val="auto"/>
          <w:highlight w:val="none"/>
        </w:rPr>
        <w:t>2.5.2 环境保护目标</w:t>
      </w:r>
      <w:bookmarkEnd w:id="90"/>
    </w:p>
    <w:p w14:paraId="1C0C472F">
      <w:pPr>
        <w:pStyle w:val="18"/>
        <w:keepNext w:val="0"/>
        <w:keepLines w:val="0"/>
        <w:pageBreakBefore w:val="0"/>
        <w:widowControl w:val="0"/>
        <w:kinsoku/>
        <w:wordWrap/>
        <w:overflowPunct/>
        <w:topLinePunct w:val="0"/>
        <w:autoSpaceDE/>
        <w:autoSpaceDN/>
        <w:bidi w:val="0"/>
        <w:adjustRightInd w:val="0"/>
        <w:snapToGrid w:val="0"/>
        <w:spacing w:line="520" w:lineRule="atLeast"/>
        <w:jc w:val="both"/>
        <w:textAlignment w:val="auto"/>
        <w:rPr>
          <w:rFonts w:cs="Times New Roman"/>
          <w:color w:val="auto"/>
          <w:szCs w:val="24"/>
          <w:highlight w:val="none"/>
        </w:rPr>
      </w:pPr>
      <w:r>
        <w:rPr>
          <w:rFonts w:cs="Times New Roman"/>
          <w:bCs/>
          <w:color w:val="auto"/>
          <w:szCs w:val="24"/>
          <w:highlight w:val="none"/>
        </w:rPr>
        <w:t>根据现场踏勘结果，项目评价范围内</w:t>
      </w:r>
      <w:r>
        <w:rPr>
          <w:rFonts w:hint="eastAsia" w:cs="Times New Roman"/>
          <w:bCs/>
          <w:color w:val="auto"/>
          <w:szCs w:val="24"/>
          <w:highlight w:val="none"/>
          <w:lang w:val="en-US" w:eastAsia="zh-CN"/>
        </w:rPr>
        <w:t>无</w:t>
      </w:r>
      <w:r>
        <w:rPr>
          <w:rFonts w:cs="Times New Roman"/>
          <w:color w:val="auto"/>
          <w:szCs w:val="24"/>
          <w:highlight w:val="none"/>
        </w:rPr>
        <w:t>风景名胜区和文物古迹，</w:t>
      </w:r>
      <w:r>
        <w:rPr>
          <w:rFonts w:hint="eastAsia" w:cs="Times New Roman"/>
          <w:color w:val="auto"/>
          <w:szCs w:val="24"/>
          <w:highlight w:val="none"/>
          <w:lang w:val="en-US" w:eastAsia="zh-CN"/>
        </w:rPr>
        <w:t>有国家公园保护地</w:t>
      </w:r>
      <w:r>
        <w:rPr>
          <w:rFonts w:hint="eastAsia" w:cs="Times New Roman"/>
          <w:color w:val="auto"/>
          <w:szCs w:val="24"/>
          <w:highlight w:val="none"/>
          <w:lang w:eastAsia="zh-CN"/>
        </w:rPr>
        <w:t>——</w:t>
      </w:r>
      <w:r>
        <w:rPr>
          <w:rFonts w:hint="eastAsia" w:cs="Times New Roman"/>
          <w:color w:val="auto"/>
          <w:szCs w:val="24"/>
          <w:highlight w:val="none"/>
          <w:lang w:val="en-US" w:eastAsia="zh-CN"/>
        </w:rPr>
        <w:t>青山国家森林公园，该地位于本项目主导风向上风向，</w:t>
      </w:r>
      <w:r>
        <w:rPr>
          <w:rFonts w:cs="Times New Roman"/>
          <w:color w:val="auto"/>
          <w:szCs w:val="24"/>
          <w:highlight w:val="none"/>
        </w:rPr>
        <w:t>项目运营期排放的恶臭气体（NH₃、H₂S）经大气扩散稀释后，预计对森林公园的空气质量影响较小。但须确保废气处理设施始终正常运行，杜绝事故性排放。</w:t>
      </w:r>
      <w:r>
        <w:rPr>
          <w:rFonts w:hint="eastAsia" w:cs="Times New Roman"/>
          <w:color w:val="auto"/>
          <w:szCs w:val="24"/>
          <w:highlight w:val="none"/>
        </w:rPr>
        <w:t>无</w:t>
      </w:r>
      <w:r>
        <w:rPr>
          <w:rFonts w:cs="Times New Roman"/>
          <w:color w:val="auto"/>
          <w:szCs w:val="24"/>
          <w:highlight w:val="none"/>
        </w:rPr>
        <w:t>饮用水水源地等需要特殊保护的环境敏感对象，厂界200m范围内</w:t>
      </w:r>
      <w:r>
        <w:rPr>
          <w:rFonts w:hint="eastAsia" w:cs="Times New Roman"/>
          <w:color w:val="auto"/>
          <w:szCs w:val="24"/>
          <w:highlight w:val="none"/>
          <w:lang w:val="en-US" w:eastAsia="zh-CN"/>
        </w:rPr>
        <w:t>有</w:t>
      </w:r>
      <w:r>
        <w:rPr>
          <w:rFonts w:cs="Times New Roman"/>
          <w:color w:val="auto"/>
          <w:szCs w:val="24"/>
          <w:highlight w:val="none"/>
        </w:rPr>
        <w:t>声环境敏感目标；无风险环境保护目标</w:t>
      </w:r>
      <w:r>
        <w:rPr>
          <w:rFonts w:cs="Times New Roman"/>
          <w:color w:val="auto"/>
          <w:highlight w:val="none"/>
        </w:rPr>
        <w:t>。</w:t>
      </w:r>
      <w:r>
        <w:rPr>
          <w:rFonts w:cs="Times New Roman"/>
          <w:color w:val="auto"/>
          <w:szCs w:val="24"/>
          <w:highlight w:val="none"/>
        </w:rPr>
        <w:t>根据本地区环境规划要求，结合本工程的主要污染物特征，明确本工程控制污染与环境保护目标如下：</w:t>
      </w:r>
    </w:p>
    <w:p w14:paraId="69B5BC2A">
      <w:pPr>
        <w:keepNext w:val="0"/>
        <w:keepLines w:val="0"/>
        <w:pageBreakBefore w:val="0"/>
        <w:widowControl w:val="0"/>
        <w:kinsoku/>
        <w:wordWrap/>
        <w:overflowPunct/>
        <w:topLinePunct w:val="0"/>
        <w:autoSpaceDE/>
        <w:autoSpaceDN/>
        <w:bidi w:val="0"/>
        <w:adjustRightInd w:val="0"/>
        <w:snapToGrid w:val="0"/>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表2</w:t>
      </w:r>
      <w:r>
        <w:rPr>
          <w:rFonts w:hint="eastAsia" w:cs="Times New Roman"/>
          <w:b/>
          <w:color w:val="auto"/>
          <w:szCs w:val="24"/>
          <w:highlight w:val="none"/>
          <w:lang w:val="en-US" w:eastAsia="zh-CN"/>
        </w:rPr>
        <w:t>.</w:t>
      </w:r>
      <w:r>
        <w:rPr>
          <w:rFonts w:cs="Times New Roman"/>
          <w:b/>
          <w:color w:val="auto"/>
          <w:szCs w:val="24"/>
          <w:highlight w:val="none"/>
        </w:rPr>
        <w:t>5-1  主要环境保护目标一览表</w:t>
      </w:r>
    </w:p>
    <w:tbl>
      <w:tblPr>
        <w:tblStyle w:val="47"/>
        <w:tblW w:w="903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088"/>
        <w:gridCol w:w="1343"/>
        <w:gridCol w:w="1225"/>
        <w:gridCol w:w="986"/>
        <w:gridCol w:w="742"/>
        <w:gridCol w:w="1046"/>
        <w:gridCol w:w="1375"/>
        <w:gridCol w:w="726"/>
      </w:tblGrid>
      <w:tr w14:paraId="63643E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500" w:type="dxa"/>
            <w:vMerge w:val="restart"/>
            <w:vAlign w:val="center"/>
          </w:tcPr>
          <w:p w14:paraId="54593DD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环境要素</w:t>
            </w:r>
          </w:p>
        </w:tc>
        <w:tc>
          <w:tcPr>
            <w:tcW w:w="1088" w:type="dxa"/>
            <w:vMerge w:val="restart"/>
            <w:vAlign w:val="center"/>
          </w:tcPr>
          <w:p w14:paraId="2EB8A0B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名称</w:t>
            </w:r>
          </w:p>
        </w:tc>
        <w:tc>
          <w:tcPr>
            <w:tcW w:w="2568" w:type="dxa"/>
            <w:gridSpan w:val="2"/>
            <w:vAlign w:val="center"/>
          </w:tcPr>
          <w:p w14:paraId="5CD0C59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坐标</w:t>
            </w:r>
          </w:p>
        </w:tc>
        <w:tc>
          <w:tcPr>
            <w:tcW w:w="986" w:type="dxa"/>
            <w:vMerge w:val="restart"/>
            <w:vAlign w:val="center"/>
          </w:tcPr>
          <w:p w14:paraId="216407E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保护</w:t>
            </w:r>
          </w:p>
          <w:p w14:paraId="020FFE7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对象</w:t>
            </w:r>
          </w:p>
        </w:tc>
        <w:tc>
          <w:tcPr>
            <w:tcW w:w="742" w:type="dxa"/>
            <w:vMerge w:val="restart"/>
            <w:vAlign w:val="center"/>
          </w:tcPr>
          <w:p w14:paraId="4315681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保护内容</w:t>
            </w:r>
          </w:p>
        </w:tc>
        <w:tc>
          <w:tcPr>
            <w:tcW w:w="1046" w:type="dxa"/>
            <w:vMerge w:val="restart"/>
            <w:vAlign w:val="center"/>
          </w:tcPr>
          <w:p w14:paraId="4FC415E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环境功能区</w:t>
            </w:r>
          </w:p>
        </w:tc>
        <w:tc>
          <w:tcPr>
            <w:tcW w:w="1375" w:type="dxa"/>
            <w:vMerge w:val="restart"/>
            <w:vAlign w:val="center"/>
          </w:tcPr>
          <w:p w14:paraId="46A5AEF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相对厂址</w:t>
            </w:r>
          </w:p>
          <w:p w14:paraId="6DD4003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方位</w:t>
            </w:r>
          </w:p>
        </w:tc>
        <w:tc>
          <w:tcPr>
            <w:tcW w:w="726" w:type="dxa"/>
            <w:vMerge w:val="restart"/>
            <w:vAlign w:val="center"/>
          </w:tcPr>
          <w:p w14:paraId="0281259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相对厂界距离/m</w:t>
            </w:r>
          </w:p>
        </w:tc>
      </w:tr>
      <w:tr w14:paraId="0022FE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00" w:type="dxa"/>
            <w:vMerge w:val="continue"/>
            <w:vAlign w:val="center"/>
          </w:tcPr>
          <w:p w14:paraId="4AFF9FB9">
            <w:pPr>
              <w:widowControl/>
              <w:spacing w:line="360" w:lineRule="exact"/>
              <w:ind w:firstLine="0" w:firstLineChars="0"/>
              <w:jc w:val="center"/>
              <w:rPr>
                <w:rFonts w:cs="Times New Roman"/>
                <w:color w:val="auto"/>
                <w:sz w:val="21"/>
                <w:szCs w:val="21"/>
                <w:highlight w:val="none"/>
              </w:rPr>
            </w:pPr>
          </w:p>
        </w:tc>
        <w:tc>
          <w:tcPr>
            <w:tcW w:w="1088" w:type="dxa"/>
            <w:vMerge w:val="continue"/>
            <w:vAlign w:val="center"/>
          </w:tcPr>
          <w:p w14:paraId="69C609F0">
            <w:pPr>
              <w:widowControl/>
              <w:spacing w:line="360" w:lineRule="exact"/>
              <w:ind w:firstLine="0" w:firstLineChars="0"/>
              <w:jc w:val="center"/>
              <w:rPr>
                <w:rFonts w:cs="Times New Roman"/>
                <w:color w:val="auto"/>
                <w:sz w:val="21"/>
                <w:szCs w:val="21"/>
                <w:highlight w:val="none"/>
              </w:rPr>
            </w:pPr>
          </w:p>
        </w:tc>
        <w:tc>
          <w:tcPr>
            <w:tcW w:w="1343" w:type="dxa"/>
            <w:shd w:val="clear" w:color="auto" w:fill="auto"/>
            <w:vAlign w:val="center"/>
          </w:tcPr>
          <w:p w14:paraId="13BB74B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经度/°</w:t>
            </w:r>
          </w:p>
        </w:tc>
        <w:tc>
          <w:tcPr>
            <w:tcW w:w="1225" w:type="dxa"/>
            <w:shd w:val="clear" w:color="auto" w:fill="auto"/>
            <w:vAlign w:val="center"/>
          </w:tcPr>
          <w:p w14:paraId="6561B93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纬度/°</w:t>
            </w:r>
          </w:p>
        </w:tc>
        <w:tc>
          <w:tcPr>
            <w:tcW w:w="986" w:type="dxa"/>
            <w:vMerge w:val="continue"/>
            <w:vAlign w:val="center"/>
          </w:tcPr>
          <w:p w14:paraId="06E69323">
            <w:pPr>
              <w:widowControl/>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79DA2361">
            <w:pPr>
              <w:widowControl/>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1669DA3E">
            <w:pPr>
              <w:widowControl/>
              <w:spacing w:line="360" w:lineRule="exact"/>
              <w:ind w:firstLine="0" w:firstLineChars="0"/>
              <w:jc w:val="center"/>
              <w:rPr>
                <w:rFonts w:cs="Times New Roman"/>
                <w:color w:val="auto"/>
                <w:sz w:val="21"/>
                <w:szCs w:val="21"/>
                <w:highlight w:val="none"/>
              </w:rPr>
            </w:pPr>
          </w:p>
        </w:tc>
        <w:tc>
          <w:tcPr>
            <w:tcW w:w="1375" w:type="dxa"/>
            <w:vMerge w:val="continue"/>
            <w:vAlign w:val="center"/>
          </w:tcPr>
          <w:p w14:paraId="18DFD4C1">
            <w:pPr>
              <w:widowControl/>
              <w:spacing w:line="360" w:lineRule="exact"/>
              <w:ind w:firstLine="0" w:firstLineChars="0"/>
              <w:jc w:val="center"/>
              <w:rPr>
                <w:rFonts w:cs="Times New Roman"/>
                <w:color w:val="auto"/>
                <w:sz w:val="21"/>
                <w:szCs w:val="21"/>
                <w:highlight w:val="none"/>
              </w:rPr>
            </w:pPr>
          </w:p>
        </w:tc>
        <w:tc>
          <w:tcPr>
            <w:tcW w:w="726" w:type="dxa"/>
            <w:vMerge w:val="continue"/>
            <w:vAlign w:val="center"/>
          </w:tcPr>
          <w:p w14:paraId="13E09B0A">
            <w:pPr>
              <w:widowControl/>
              <w:spacing w:line="360" w:lineRule="exact"/>
              <w:ind w:firstLine="0" w:firstLineChars="0"/>
              <w:jc w:val="center"/>
              <w:rPr>
                <w:rFonts w:cs="Times New Roman"/>
                <w:color w:val="auto"/>
                <w:sz w:val="21"/>
                <w:szCs w:val="21"/>
                <w:highlight w:val="none"/>
              </w:rPr>
            </w:pPr>
          </w:p>
        </w:tc>
      </w:tr>
      <w:tr w14:paraId="3E8615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500" w:type="dxa"/>
            <w:vMerge w:val="restart"/>
            <w:vAlign w:val="center"/>
          </w:tcPr>
          <w:p w14:paraId="796C61C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环境空气</w:t>
            </w:r>
          </w:p>
        </w:tc>
        <w:tc>
          <w:tcPr>
            <w:tcW w:w="1088" w:type="dxa"/>
            <w:vAlign w:val="center"/>
          </w:tcPr>
          <w:p w14:paraId="29752BB7">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小区居民楼</w:t>
            </w:r>
          </w:p>
        </w:tc>
        <w:tc>
          <w:tcPr>
            <w:tcW w:w="1343" w:type="dxa"/>
            <w:vAlign w:val="center"/>
          </w:tcPr>
          <w:p w14:paraId="787EE427">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131.151582</w:t>
            </w:r>
          </w:p>
        </w:tc>
        <w:tc>
          <w:tcPr>
            <w:tcW w:w="1225" w:type="dxa"/>
            <w:vAlign w:val="center"/>
          </w:tcPr>
          <w:p w14:paraId="57353BAE">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46.578089</w:t>
            </w:r>
          </w:p>
        </w:tc>
        <w:tc>
          <w:tcPr>
            <w:tcW w:w="986" w:type="dxa"/>
            <w:vMerge w:val="restart"/>
            <w:vAlign w:val="center"/>
          </w:tcPr>
          <w:p w14:paraId="17A6936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农村人群集中区</w:t>
            </w:r>
          </w:p>
        </w:tc>
        <w:tc>
          <w:tcPr>
            <w:tcW w:w="742" w:type="dxa"/>
            <w:vMerge w:val="restart"/>
            <w:vAlign w:val="center"/>
          </w:tcPr>
          <w:p w14:paraId="48DB1A0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群众</w:t>
            </w:r>
          </w:p>
        </w:tc>
        <w:tc>
          <w:tcPr>
            <w:tcW w:w="1046" w:type="dxa"/>
            <w:vMerge w:val="restart"/>
            <w:vAlign w:val="center"/>
          </w:tcPr>
          <w:p w14:paraId="7EBE154B">
            <w:pPr>
              <w:widowControl/>
              <w:spacing w:line="360" w:lineRule="exact"/>
              <w:ind w:firstLine="0" w:firstLineChars="0"/>
              <w:jc w:val="center"/>
              <w:rPr>
                <w:rFonts w:cs="Times New Roman"/>
                <w:color w:val="auto"/>
                <w:sz w:val="21"/>
                <w:szCs w:val="21"/>
                <w:highlight w:val="none"/>
              </w:rPr>
            </w:pPr>
            <w:r>
              <w:rPr>
                <w:rFonts w:ascii="Times New Roman" w:hAnsi="Times New Roman" w:eastAsia="宋体" w:cs="Times New Roman"/>
                <w:color w:val="auto"/>
                <w:sz w:val="21"/>
                <w:szCs w:val="21"/>
                <w:highlight w:val="none"/>
              </w:rPr>
              <w:t>GB3095-2012二类区</w:t>
            </w:r>
          </w:p>
        </w:tc>
        <w:tc>
          <w:tcPr>
            <w:tcW w:w="1375" w:type="dxa"/>
            <w:vAlign w:val="center"/>
          </w:tcPr>
          <w:p w14:paraId="0B7F1D39">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NNW</w:t>
            </w:r>
          </w:p>
        </w:tc>
        <w:tc>
          <w:tcPr>
            <w:tcW w:w="726" w:type="dxa"/>
            <w:vAlign w:val="center"/>
          </w:tcPr>
          <w:p w14:paraId="21A3C4F2">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1900</w:t>
            </w:r>
          </w:p>
        </w:tc>
      </w:tr>
      <w:tr w14:paraId="055DB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1D20E6F5">
            <w:pPr>
              <w:spacing w:line="360" w:lineRule="exact"/>
              <w:ind w:firstLine="0" w:firstLineChars="0"/>
              <w:jc w:val="center"/>
              <w:rPr>
                <w:rFonts w:cs="Times New Roman"/>
                <w:color w:val="auto"/>
                <w:sz w:val="21"/>
                <w:szCs w:val="21"/>
                <w:highlight w:val="none"/>
              </w:rPr>
            </w:pPr>
          </w:p>
        </w:tc>
        <w:tc>
          <w:tcPr>
            <w:tcW w:w="1088" w:type="dxa"/>
            <w:vAlign w:val="center"/>
          </w:tcPr>
          <w:p w14:paraId="3D3E7B0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岭东八村</w:t>
            </w:r>
          </w:p>
        </w:tc>
        <w:tc>
          <w:tcPr>
            <w:tcW w:w="1343" w:type="dxa"/>
            <w:vAlign w:val="center"/>
          </w:tcPr>
          <w:p w14:paraId="50D17E3A">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131.129126</w:t>
            </w:r>
          </w:p>
        </w:tc>
        <w:tc>
          <w:tcPr>
            <w:tcW w:w="1225" w:type="dxa"/>
            <w:vAlign w:val="center"/>
          </w:tcPr>
          <w:p w14:paraId="6979CFD2">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46.575314</w:t>
            </w:r>
          </w:p>
        </w:tc>
        <w:tc>
          <w:tcPr>
            <w:tcW w:w="986" w:type="dxa"/>
            <w:vMerge w:val="continue"/>
            <w:vAlign w:val="center"/>
          </w:tcPr>
          <w:p w14:paraId="01FFA6FE">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7C4CE7B6">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581E1CFA">
            <w:pPr>
              <w:widowControl/>
              <w:spacing w:line="360" w:lineRule="exact"/>
              <w:ind w:firstLine="0" w:firstLineChars="0"/>
              <w:jc w:val="center"/>
              <w:rPr>
                <w:rFonts w:cs="Times New Roman"/>
                <w:color w:val="auto"/>
                <w:sz w:val="21"/>
                <w:szCs w:val="21"/>
                <w:highlight w:val="none"/>
              </w:rPr>
            </w:pPr>
          </w:p>
        </w:tc>
        <w:tc>
          <w:tcPr>
            <w:tcW w:w="1375" w:type="dxa"/>
            <w:vAlign w:val="center"/>
          </w:tcPr>
          <w:p w14:paraId="51FEF00C">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NW</w:t>
            </w:r>
          </w:p>
        </w:tc>
        <w:tc>
          <w:tcPr>
            <w:tcW w:w="726" w:type="dxa"/>
            <w:vAlign w:val="center"/>
          </w:tcPr>
          <w:p w14:paraId="3B434EC2">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2350</w:t>
            </w:r>
          </w:p>
        </w:tc>
      </w:tr>
      <w:tr w14:paraId="5B3294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23EF61A7">
            <w:pPr>
              <w:spacing w:line="360" w:lineRule="exact"/>
              <w:ind w:firstLine="0" w:firstLineChars="0"/>
              <w:jc w:val="center"/>
              <w:rPr>
                <w:rFonts w:cs="Times New Roman"/>
                <w:color w:val="auto"/>
                <w:sz w:val="21"/>
                <w:szCs w:val="21"/>
                <w:highlight w:val="none"/>
              </w:rPr>
            </w:pPr>
          </w:p>
        </w:tc>
        <w:tc>
          <w:tcPr>
            <w:tcW w:w="1088" w:type="dxa"/>
            <w:vAlign w:val="center"/>
          </w:tcPr>
          <w:p w14:paraId="50EC646A">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东湖旅游度假区</w:t>
            </w:r>
          </w:p>
        </w:tc>
        <w:tc>
          <w:tcPr>
            <w:tcW w:w="1343" w:type="dxa"/>
            <w:vAlign w:val="center"/>
          </w:tcPr>
          <w:p w14:paraId="3D728558">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131.129296</w:t>
            </w:r>
          </w:p>
        </w:tc>
        <w:tc>
          <w:tcPr>
            <w:tcW w:w="1225" w:type="dxa"/>
            <w:vAlign w:val="center"/>
          </w:tcPr>
          <w:p w14:paraId="266B79E1">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46.569205</w:t>
            </w:r>
          </w:p>
        </w:tc>
        <w:tc>
          <w:tcPr>
            <w:tcW w:w="986" w:type="dxa"/>
            <w:vMerge w:val="continue"/>
            <w:vAlign w:val="center"/>
          </w:tcPr>
          <w:p w14:paraId="64246D26">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14BFAF21">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43686E83">
            <w:pPr>
              <w:widowControl/>
              <w:spacing w:line="360" w:lineRule="exact"/>
              <w:ind w:firstLine="0" w:firstLineChars="0"/>
              <w:jc w:val="center"/>
              <w:rPr>
                <w:rFonts w:cs="Times New Roman"/>
                <w:color w:val="auto"/>
                <w:sz w:val="21"/>
                <w:szCs w:val="21"/>
                <w:highlight w:val="none"/>
              </w:rPr>
            </w:pPr>
          </w:p>
        </w:tc>
        <w:tc>
          <w:tcPr>
            <w:tcW w:w="1375" w:type="dxa"/>
            <w:vAlign w:val="center"/>
          </w:tcPr>
          <w:p w14:paraId="33F47209">
            <w:pPr>
              <w:widowControl/>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WNW</w:t>
            </w:r>
          </w:p>
        </w:tc>
        <w:tc>
          <w:tcPr>
            <w:tcW w:w="726" w:type="dxa"/>
            <w:vAlign w:val="center"/>
          </w:tcPr>
          <w:p w14:paraId="3EEF506D">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1850</w:t>
            </w:r>
          </w:p>
        </w:tc>
      </w:tr>
      <w:tr w14:paraId="7D9A0D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612929F3">
            <w:pPr>
              <w:spacing w:line="360" w:lineRule="exact"/>
              <w:ind w:firstLine="0" w:firstLineChars="0"/>
              <w:jc w:val="center"/>
              <w:rPr>
                <w:rFonts w:cs="Times New Roman"/>
                <w:color w:val="auto"/>
                <w:sz w:val="21"/>
                <w:szCs w:val="21"/>
                <w:highlight w:val="none"/>
              </w:rPr>
            </w:pPr>
          </w:p>
        </w:tc>
        <w:tc>
          <w:tcPr>
            <w:tcW w:w="1088" w:type="dxa"/>
            <w:vAlign w:val="center"/>
          </w:tcPr>
          <w:p w14:paraId="5F9927A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东湖福园小区</w:t>
            </w:r>
          </w:p>
        </w:tc>
        <w:tc>
          <w:tcPr>
            <w:tcW w:w="1343" w:type="dxa"/>
            <w:vAlign w:val="center"/>
          </w:tcPr>
          <w:p w14:paraId="41F92A00">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131.131952</w:t>
            </w:r>
          </w:p>
        </w:tc>
        <w:tc>
          <w:tcPr>
            <w:tcW w:w="1225" w:type="dxa"/>
            <w:vAlign w:val="center"/>
          </w:tcPr>
          <w:p w14:paraId="5ED6B8E5">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46.556984</w:t>
            </w:r>
          </w:p>
        </w:tc>
        <w:tc>
          <w:tcPr>
            <w:tcW w:w="986" w:type="dxa"/>
            <w:vMerge w:val="continue"/>
            <w:vAlign w:val="center"/>
          </w:tcPr>
          <w:p w14:paraId="788FBF76">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29A94E5D">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04F7BD61">
            <w:pPr>
              <w:widowControl/>
              <w:spacing w:line="360" w:lineRule="exact"/>
              <w:ind w:firstLine="0" w:firstLineChars="0"/>
              <w:jc w:val="center"/>
              <w:rPr>
                <w:rFonts w:cs="Times New Roman"/>
                <w:color w:val="auto"/>
                <w:sz w:val="21"/>
                <w:szCs w:val="21"/>
                <w:highlight w:val="none"/>
              </w:rPr>
            </w:pPr>
          </w:p>
        </w:tc>
        <w:tc>
          <w:tcPr>
            <w:tcW w:w="1375" w:type="dxa"/>
            <w:vAlign w:val="center"/>
          </w:tcPr>
          <w:p w14:paraId="785D443C">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w:t>
            </w:r>
          </w:p>
        </w:tc>
        <w:tc>
          <w:tcPr>
            <w:tcW w:w="726" w:type="dxa"/>
            <w:vAlign w:val="center"/>
          </w:tcPr>
          <w:p w14:paraId="134FF0F5">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1250</w:t>
            </w:r>
          </w:p>
        </w:tc>
      </w:tr>
      <w:tr w14:paraId="73ACA1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706F8B60">
            <w:pPr>
              <w:spacing w:line="360" w:lineRule="exact"/>
              <w:ind w:firstLine="0" w:firstLineChars="0"/>
              <w:jc w:val="center"/>
              <w:rPr>
                <w:rFonts w:cs="Times New Roman"/>
                <w:color w:val="auto"/>
                <w:sz w:val="21"/>
                <w:szCs w:val="21"/>
                <w:highlight w:val="none"/>
              </w:rPr>
            </w:pPr>
          </w:p>
        </w:tc>
        <w:tc>
          <w:tcPr>
            <w:tcW w:w="1088" w:type="dxa"/>
            <w:vAlign w:val="center"/>
          </w:tcPr>
          <w:p w14:paraId="269B2C09">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青山社区</w:t>
            </w:r>
          </w:p>
        </w:tc>
        <w:tc>
          <w:tcPr>
            <w:tcW w:w="1343" w:type="dxa"/>
            <w:vAlign w:val="center"/>
          </w:tcPr>
          <w:p w14:paraId="261EFA7F">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131.132208</w:t>
            </w:r>
          </w:p>
        </w:tc>
        <w:tc>
          <w:tcPr>
            <w:tcW w:w="1225" w:type="dxa"/>
            <w:vAlign w:val="center"/>
          </w:tcPr>
          <w:p w14:paraId="2E985C8B">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46.551493</w:t>
            </w:r>
          </w:p>
        </w:tc>
        <w:tc>
          <w:tcPr>
            <w:tcW w:w="986" w:type="dxa"/>
            <w:vMerge w:val="continue"/>
            <w:vAlign w:val="center"/>
          </w:tcPr>
          <w:p w14:paraId="7586E6FE">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581040C3">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318428E1">
            <w:pPr>
              <w:widowControl/>
              <w:spacing w:line="360" w:lineRule="exact"/>
              <w:ind w:firstLine="0" w:firstLineChars="0"/>
              <w:jc w:val="center"/>
              <w:rPr>
                <w:rFonts w:cs="Times New Roman"/>
                <w:color w:val="auto"/>
                <w:sz w:val="21"/>
                <w:szCs w:val="21"/>
                <w:highlight w:val="none"/>
              </w:rPr>
            </w:pPr>
          </w:p>
        </w:tc>
        <w:tc>
          <w:tcPr>
            <w:tcW w:w="1375" w:type="dxa"/>
            <w:vAlign w:val="center"/>
          </w:tcPr>
          <w:p w14:paraId="46C39950">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WSW</w:t>
            </w:r>
          </w:p>
        </w:tc>
        <w:tc>
          <w:tcPr>
            <w:tcW w:w="726" w:type="dxa"/>
            <w:vAlign w:val="center"/>
          </w:tcPr>
          <w:p w14:paraId="2595876E">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1400</w:t>
            </w:r>
          </w:p>
        </w:tc>
      </w:tr>
      <w:tr w14:paraId="5F8DC0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0FE858DF">
            <w:pPr>
              <w:spacing w:line="360" w:lineRule="exact"/>
              <w:ind w:firstLine="0" w:firstLineChars="0"/>
              <w:jc w:val="center"/>
              <w:rPr>
                <w:rFonts w:cs="Times New Roman"/>
                <w:color w:val="auto"/>
                <w:sz w:val="21"/>
                <w:szCs w:val="21"/>
                <w:highlight w:val="none"/>
              </w:rPr>
            </w:pPr>
          </w:p>
        </w:tc>
        <w:tc>
          <w:tcPr>
            <w:tcW w:w="1088" w:type="dxa"/>
            <w:vAlign w:val="center"/>
          </w:tcPr>
          <w:p w14:paraId="061966E5">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厂区西侧平房</w:t>
            </w:r>
          </w:p>
        </w:tc>
        <w:tc>
          <w:tcPr>
            <w:tcW w:w="1343" w:type="dxa"/>
            <w:vAlign w:val="center"/>
          </w:tcPr>
          <w:p w14:paraId="7E85C43E">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131.147294</w:t>
            </w:r>
          </w:p>
        </w:tc>
        <w:tc>
          <w:tcPr>
            <w:tcW w:w="1225" w:type="dxa"/>
            <w:vAlign w:val="center"/>
          </w:tcPr>
          <w:p w14:paraId="4404ADDD">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46.557614</w:t>
            </w:r>
          </w:p>
        </w:tc>
        <w:tc>
          <w:tcPr>
            <w:tcW w:w="986" w:type="dxa"/>
            <w:vMerge w:val="continue"/>
            <w:vAlign w:val="center"/>
          </w:tcPr>
          <w:p w14:paraId="6860AEFF">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618D0F68">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71043160">
            <w:pPr>
              <w:widowControl/>
              <w:spacing w:line="360" w:lineRule="exact"/>
              <w:ind w:firstLine="0" w:firstLineChars="0"/>
              <w:jc w:val="center"/>
              <w:rPr>
                <w:rFonts w:cs="Times New Roman"/>
                <w:color w:val="auto"/>
                <w:sz w:val="21"/>
                <w:szCs w:val="21"/>
                <w:highlight w:val="none"/>
              </w:rPr>
            </w:pPr>
          </w:p>
        </w:tc>
        <w:tc>
          <w:tcPr>
            <w:tcW w:w="1375" w:type="dxa"/>
            <w:vAlign w:val="center"/>
          </w:tcPr>
          <w:p w14:paraId="17B863AC">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w:t>
            </w:r>
          </w:p>
        </w:tc>
        <w:tc>
          <w:tcPr>
            <w:tcW w:w="726" w:type="dxa"/>
            <w:vAlign w:val="center"/>
          </w:tcPr>
          <w:p w14:paraId="4B46E955">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w:t>
            </w:r>
          </w:p>
        </w:tc>
      </w:tr>
      <w:tr w14:paraId="61ED24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7817343F">
            <w:pPr>
              <w:spacing w:line="360" w:lineRule="exact"/>
              <w:ind w:firstLine="0" w:firstLineChars="0"/>
              <w:jc w:val="center"/>
              <w:rPr>
                <w:rFonts w:cs="Times New Roman"/>
                <w:color w:val="auto"/>
                <w:sz w:val="21"/>
                <w:szCs w:val="21"/>
                <w:highlight w:val="none"/>
              </w:rPr>
            </w:pPr>
          </w:p>
        </w:tc>
        <w:tc>
          <w:tcPr>
            <w:tcW w:w="1088" w:type="dxa"/>
            <w:vAlign w:val="center"/>
          </w:tcPr>
          <w:p w14:paraId="36DB3837">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长胜乡人民政府</w:t>
            </w:r>
          </w:p>
        </w:tc>
        <w:tc>
          <w:tcPr>
            <w:tcW w:w="1343" w:type="dxa"/>
            <w:vAlign w:val="center"/>
          </w:tcPr>
          <w:p w14:paraId="5FE28DCC">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131.147981</w:t>
            </w:r>
          </w:p>
        </w:tc>
        <w:tc>
          <w:tcPr>
            <w:tcW w:w="1225" w:type="dxa"/>
            <w:vAlign w:val="center"/>
          </w:tcPr>
          <w:p w14:paraId="7F15F5FB">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46.564697</w:t>
            </w:r>
          </w:p>
        </w:tc>
        <w:tc>
          <w:tcPr>
            <w:tcW w:w="986" w:type="dxa"/>
            <w:vMerge w:val="continue"/>
            <w:vAlign w:val="center"/>
          </w:tcPr>
          <w:p w14:paraId="4DA932B5">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3052E523">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19DEC189">
            <w:pPr>
              <w:widowControl/>
              <w:spacing w:line="360" w:lineRule="exact"/>
              <w:ind w:firstLine="0" w:firstLineChars="0"/>
              <w:jc w:val="center"/>
              <w:rPr>
                <w:rFonts w:cs="Times New Roman"/>
                <w:color w:val="auto"/>
                <w:sz w:val="21"/>
                <w:szCs w:val="21"/>
                <w:highlight w:val="none"/>
              </w:rPr>
            </w:pPr>
          </w:p>
        </w:tc>
        <w:tc>
          <w:tcPr>
            <w:tcW w:w="1375" w:type="dxa"/>
            <w:vAlign w:val="center"/>
          </w:tcPr>
          <w:p w14:paraId="0344039D">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N</w:t>
            </w:r>
          </w:p>
        </w:tc>
        <w:tc>
          <w:tcPr>
            <w:tcW w:w="726" w:type="dxa"/>
            <w:vAlign w:val="center"/>
          </w:tcPr>
          <w:p w14:paraId="69096322">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310</w:t>
            </w:r>
          </w:p>
        </w:tc>
      </w:tr>
      <w:tr w14:paraId="710DF6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48A09B0F">
            <w:pPr>
              <w:spacing w:line="360" w:lineRule="exact"/>
              <w:ind w:firstLine="0" w:firstLineChars="0"/>
              <w:jc w:val="center"/>
              <w:rPr>
                <w:rFonts w:cs="Times New Roman"/>
                <w:color w:val="auto"/>
                <w:sz w:val="21"/>
                <w:szCs w:val="21"/>
                <w:highlight w:val="none"/>
              </w:rPr>
            </w:pPr>
          </w:p>
        </w:tc>
        <w:tc>
          <w:tcPr>
            <w:tcW w:w="1088" w:type="dxa"/>
            <w:vAlign w:val="center"/>
          </w:tcPr>
          <w:p w14:paraId="272D563C">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小北屯</w:t>
            </w:r>
          </w:p>
        </w:tc>
        <w:tc>
          <w:tcPr>
            <w:tcW w:w="1343" w:type="dxa"/>
            <w:vAlign w:val="center"/>
          </w:tcPr>
          <w:p w14:paraId="55AEFD78">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131.156713</w:t>
            </w:r>
          </w:p>
        </w:tc>
        <w:tc>
          <w:tcPr>
            <w:tcW w:w="1225" w:type="dxa"/>
            <w:vAlign w:val="center"/>
          </w:tcPr>
          <w:p w14:paraId="73620327">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46.536461</w:t>
            </w:r>
          </w:p>
        </w:tc>
        <w:tc>
          <w:tcPr>
            <w:tcW w:w="986" w:type="dxa"/>
            <w:vMerge w:val="continue"/>
            <w:vAlign w:val="center"/>
          </w:tcPr>
          <w:p w14:paraId="197E9A98">
            <w:pPr>
              <w:spacing w:line="360" w:lineRule="exact"/>
              <w:ind w:firstLine="0" w:firstLineChars="0"/>
              <w:jc w:val="center"/>
              <w:rPr>
                <w:rFonts w:cs="Times New Roman"/>
                <w:color w:val="auto"/>
                <w:sz w:val="21"/>
                <w:szCs w:val="21"/>
                <w:highlight w:val="none"/>
              </w:rPr>
            </w:pPr>
          </w:p>
        </w:tc>
        <w:tc>
          <w:tcPr>
            <w:tcW w:w="742" w:type="dxa"/>
            <w:vMerge w:val="continue"/>
            <w:vAlign w:val="center"/>
          </w:tcPr>
          <w:p w14:paraId="53D9C277">
            <w:pPr>
              <w:spacing w:line="360" w:lineRule="exact"/>
              <w:ind w:firstLine="0" w:firstLineChars="0"/>
              <w:jc w:val="center"/>
              <w:rPr>
                <w:rFonts w:cs="Times New Roman"/>
                <w:color w:val="auto"/>
                <w:sz w:val="21"/>
                <w:szCs w:val="21"/>
                <w:highlight w:val="none"/>
              </w:rPr>
            </w:pPr>
          </w:p>
        </w:tc>
        <w:tc>
          <w:tcPr>
            <w:tcW w:w="1046" w:type="dxa"/>
            <w:vMerge w:val="continue"/>
            <w:vAlign w:val="center"/>
          </w:tcPr>
          <w:p w14:paraId="3F453F13">
            <w:pPr>
              <w:widowControl/>
              <w:spacing w:line="360" w:lineRule="exact"/>
              <w:ind w:firstLine="0" w:firstLineChars="0"/>
              <w:jc w:val="center"/>
              <w:rPr>
                <w:rFonts w:cs="Times New Roman"/>
                <w:color w:val="auto"/>
                <w:sz w:val="21"/>
                <w:szCs w:val="21"/>
                <w:highlight w:val="none"/>
              </w:rPr>
            </w:pPr>
          </w:p>
        </w:tc>
        <w:tc>
          <w:tcPr>
            <w:tcW w:w="1375" w:type="dxa"/>
            <w:vAlign w:val="center"/>
          </w:tcPr>
          <w:p w14:paraId="6DC53969">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SSE</w:t>
            </w:r>
          </w:p>
        </w:tc>
        <w:tc>
          <w:tcPr>
            <w:tcW w:w="726" w:type="dxa"/>
            <w:vAlign w:val="center"/>
          </w:tcPr>
          <w:p w14:paraId="3F0CA594">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1900</w:t>
            </w:r>
          </w:p>
        </w:tc>
      </w:tr>
      <w:tr w14:paraId="7C8E9A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0AF9C55E">
            <w:pPr>
              <w:spacing w:line="360" w:lineRule="exact"/>
              <w:ind w:firstLine="0" w:firstLineChars="0"/>
              <w:jc w:val="center"/>
              <w:rPr>
                <w:rFonts w:cs="Times New Roman"/>
                <w:color w:val="auto"/>
                <w:sz w:val="21"/>
                <w:szCs w:val="21"/>
                <w:highlight w:val="none"/>
              </w:rPr>
            </w:pPr>
          </w:p>
        </w:tc>
        <w:tc>
          <w:tcPr>
            <w:tcW w:w="1088" w:type="dxa"/>
            <w:vAlign w:val="center"/>
          </w:tcPr>
          <w:p w14:paraId="263A0374">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青山国家森林公园</w:t>
            </w:r>
          </w:p>
        </w:tc>
        <w:tc>
          <w:tcPr>
            <w:tcW w:w="1343" w:type="dxa"/>
            <w:vAlign w:val="center"/>
          </w:tcPr>
          <w:p w14:paraId="7E00B58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rPr>
              <w:t>131.129719</w:t>
            </w:r>
          </w:p>
        </w:tc>
        <w:tc>
          <w:tcPr>
            <w:tcW w:w="1225" w:type="dxa"/>
            <w:vAlign w:val="center"/>
          </w:tcPr>
          <w:p w14:paraId="64D2DDB0">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46.539627</w:t>
            </w:r>
          </w:p>
        </w:tc>
        <w:tc>
          <w:tcPr>
            <w:tcW w:w="986" w:type="dxa"/>
            <w:vAlign w:val="center"/>
          </w:tcPr>
          <w:p w14:paraId="2C781990">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保护地</w:t>
            </w:r>
          </w:p>
        </w:tc>
        <w:tc>
          <w:tcPr>
            <w:tcW w:w="742" w:type="dxa"/>
            <w:vAlign w:val="center"/>
          </w:tcPr>
          <w:p w14:paraId="3CBC2DD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生态环境</w:t>
            </w:r>
          </w:p>
        </w:tc>
        <w:tc>
          <w:tcPr>
            <w:tcW w:w="1046" w:type="dxa"/>
            <w:vAlign w:val="center"/>
          </w:tcPr>
          <w:p w14:paraId="7E40EAEC">
            <w:pPr>
              <w:widowControl/>
              <w:spacing w:line="360" w:lineRule="exact"/>
              <w:ind w:firstLine="0" w:firstLineChars="0"/>
              <w:jc w:val="center"/>
              <w:rPr>
                <w:rFonts w:cs="Times New Roman"/>
                <w:color w:val="auto"/>
                <w:sz w:val="21"/>
                <w:szCs w:val="21"/>
                <w:highlight w:val="none"/>
              </w:rPr>
            </w:pPr>
            <w:r>
              <w:rPr>
                <w:rFonts w:ascii="Times New Roman" w:hAnsi="Times New Roman" w:eastAsia="宋体" w:cs="Times New Roman"/>
                <w:color w:val="auto"/>
                <w:sz w:val="21"/>
                <w:szCs w:val="21"/>
                <w:highlight w:val="none"/>
              </w:rPr>
              <w:t>GB3095-2012二类区</w:t>
            </w:r>
          </w:p>
        </w:tc>
        <w:tc>
          <w:tcPr>
            <w:tcW w:w="1375" w:type="dxa"/>
            <w:vAlign w:val="center"/>
          </w:tcPr>
          <w:p w14:paraId="172E8584">
            <w:pPr>
              <w:widowControl/>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SW</w:t>
            </w:r>
          </w:p>
        </w:tc>
        <w:tc>
          <w:tcPr>
            <w:tcW w:w="726" w:type="dxa"/>
            <w:vAlign w:val="center"/>
          </w:tcPr>
          <w:p w14:paraId="2500ED44">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2300</w:t>
            </w:r>
          </w:p>
        </w:tc>
      </w:tr>
      <w:tr w14:paraId="46FE5E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restart"/>
            <w:vAlign w:val="center"/>
          </w:tcPr>
          <w:p w14:paraId="15176EE7">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地下水</w:t>
            </w:r>
          </w:p>
        </w:tc>
        <w:tc>
          <w:tcPr>
            <w:tcW w:w="1088" w:type="dxa"/>
            <w:vAlign w:val="center"/>
          </w:tcPr>
          <w:p w14:paraId="38E4F075">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启源佰草制药有限公司</w:t>
            </w:r>
          </w:p>
        </w:tc>
        <w:tc>
          <w:tcPr>
            <w:tcW w:w="1343" w:type="dxa"/>
            <w:vAlign w:val="center"/>
          </w:tcPr>
          <w:p w14:paraId="37CF407D">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131.153944</w:t>
            </w:r>
          </w:p>
        </w:tc>
        <w:tc>
          <w:tcPr>
            <w:tcW w:w="1225" w:type="dxa"/>
            <w:vAlign w:val="center"/>
          </w:tcPr>
          <w:p w14:paraId="42D71570">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46.556637</w:t>
            </w:r>
          </w:p>
        </w:tc>
        <w:tc>
          <w:tcPr>
            <w:tcW w:w="986" w:type="dxa"/>
            <w:vMerge w:val="restart"/>
            <w:vAlign w:val="center"/>
          </w:tcPr>
          <w:p w14:paraId="4D497E6A">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水源井（用作备用水源）</w:t>
            </w:r>
          </w:p>
        </w:tc>
        <w:tc>
          <w:tcPr>
            <w:tcW w:w="742" w:type="dxa"/>
            <w:vMerge w:val="restart"/>
            <w:vAlign w:val="center"/>
          </w:tcPr>
          <w:p w14:paraId="38C4FB85">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地下水</w:t>
            </w:r>
            <w:r>
              <w:rPr>
                <w:rFonts w:cs="Times New Roman"/>
                <w:color w:val="auto"/>
                <w:sz w:val="21"/>
                <w:szCs w:val="21"/>
                <w:highlight w:val="none"/>
              </w:rPr>
              <w:t>潜水含水层</w:t>
            </w:r>
          </w:p>
        </w:tc>
        <w:tc>
          <w:tcPr>
            <w:tcW w:w="1046" w:type="dxa"/>
            <w:vMerge w:val="restart"/>
            <w:vAlign w:val="center"/>
          </w:tcPr>
          <w:p w14:paraId="34DBCBD4">
            <w:pPr>
              <w:widowControl/>
              <w:spacing w:line="360" w:lineRule="exact"/>
              <w:ind w:firstLine="0" w:firstLineChars="0"/>
              <w:jc w:val="center"/>
              <w:rPr>
                <w:rFonts w:ascii="Times New Roman" w:hAnsi="Times New Roman" w:eastAsia="宋体" w:cs="Times New Roman"/>
                <w:color w:val="auto"/>
                <w:sz w:val="21"/>
                <w:szCs w:val="21"/>
                <w:highlight w:val="none"/>
              </w:rPr>
            </w:pPr>
            <w:r>
              <w:rPr>
                <w:rFonts w:cs="Times New Roman"/>
                <w:color w:val="auto"/>
                <w:sz w:val="21"/>
                <w:szCs w:val="21"/>
                <w:highlight w:val="none"/>
              </w:rPr>
              <w:t>GB/T14848-2017Ⅲ类</w:t>
            </w:r>
          </w:p>
        </w:tc>
        <w:tc>
          <w:tcPr>
            <w:tcW w:w="1375" w:type="dxa"/>
            <w:vAlign w:val="center"/>
          </w:tcPr>
          <w:p w14:paraId="05208CFD">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ESE（上游）</w:t>
            </w:r>
          </w:p>
        </w:tc>
        <w:tc>
          <w:tcPr>
            <w:tcW w:w="726" w:type="dxa"/>
            <w:vAlign w:val="center"/>
          </w:tcPr>
          <w:p w14:paraId="10E1FDD1">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200</w:t>
            </w:r>
          </w:p>
        </w:tc>
      </w:tr>
      <w:tr w14:paraId="7F1F6D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6F6B1AFE">
            <w:pPr>
              <w:spacing w:line="360" w:lineRule="exact"/>
              <w:ind w:firstLine="0" w:firstLineChars="0"/>
              <w:jc w:val="center"/>
              <w:rPr>
                <w:rFonts w:cs="Times New Roman"/>
                <w:color w:val="auto"/>
                <w:sz w:val="21"/>
                <w:szCs w:val="21"/>
                <w:highlight w:val="none"/>
              </w:rPr>
            </w:pPr>
          </w:p>
        </w:tc>
        <w:tc>
          <w:tcPr>
            <w:tcW w:w="1088" w:type="dxa"/>
            <w:vAlign w:val="center"/>
          </w:tcPr>
          <w:p w14:paraId="1FE6A732">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东矿路药店院内</w:t>
            </w:r>
          </w:p>
        </w:tc>
        <w:tc>
          <w:tcPr>
            <w:tcW w:w="1343" w:type="dxa"/>
            <w:vAlign w:val="center"/>
          </w:tcPr>
          <w:p w14:paraId="7D38EE20">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131.146845</w:t>
            </w:r>
          </w:p>
        </w:tc>
        <w:tc>
          <w:tcPr>
            <w:tcW w:w="1225" w:type="dxa"/>
            <w:vAlign w:val="center"/>
          </w:tcPr>
          <w:p w14:paraId="715BFC2B">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46.562241</w:t>
            </w:r>
          </w:p>
        </w:tc>
        <w:tc>
          <w:tcPr>
            <w:tcW w:w="986" w:type="dxa"/>
            <w:vMerge w:val="continue"/>
            <w:vAlign w:val="center"/>
          </w:tcPr>
          <w:p w14:paraId="033A266C">
            <w:pPr>
              <w:spacing w:line="360" w:lineRule="exact"/>
              <w:ind w:firstLine="0" w:firstLineChars="0"/>
              <w:jc w:val="center"/>
              <w:rPr>
                <w:rFonts w:hint="eastAsia" w:cs="Times New Roman"/>
                <w:color w:val="auto"/>
                <w:sz w:val="21"/>
                <w:szCs w:val="21"/>
                <w:highlight w:val="none"/>
                <w:lang w:val="en-US" w:eastAsia="zh-CN"/>
              </w:rPr>
            </w:pPr>
          </w:p>
        </w:tc>
        <w:tc>
          <w:tcPr>
            <w:tcW w:w="742" w:type="dxa"/>
            <w:vMerge w:val="continue"/>
            <w:vAlign w:val="center"/>
          </w:tcPr>
          <w:p w14:paraId="68CC7FF5">
            <w:pPr>
              <w:spacing w:line="360" w:lineRule="exact"/>
              <w:ind w:firstLine="0" w:firstLineChars="0"/>
              <w:jc w:val="center"/>
              <w:rPr>
                <w:rFonts w:hint="eastAsia" w:cs="Times New Roman"/>
                <w:color w:val="auto"/>
                <w:sz w:val="21"/>
                <w:szCs w:val="21"/>
                <w:highlight w:val="none"/>
                <w:lang w:val="en-US" w:eastAsia="zh-CN"/>
              </w:rPr>
            </w:pPr>
          </w:p>
        </w:tc>
        <w:tc>
          <w:tcPr>
            <w:tcW w:w="1046" w:type="dxa"/>
            <w:vMerge w:val="continue"/>
            <w:vAlign w:val="center"/>
          </w:tcPr>
          <w:p w14:paraId="3DA128BD">
            <w:pPr>
              <w:widowControl/>
              <w:spacing w:line="360" w:lineRule="exact"/>
              <w:ind w:firstLine="0" w:firstLineChars="0"/>
              <w:jc w:val="center"/>
              <w:rPr>
                <w:rFonts w:ascii="Times New Roman" w:hAnsi="Times New Roman" w:eastAsia="宋体" w:cs="Times New Roman"/>
                <w:color w:val="auto"/>
                <w:sz w:val="21"/>
                <w:szCs w:val="21"/>
                <w:highlight w:val="none"/>
              </w:rPr>
            </w:pPr>
          </w:p>
        </w:tc>
        <w:tc>
          <w:tcPr>
            <w:tcW w:w="1375" w:type="dxa"/>
            <w:vAlign w:val="center"/>
          </w:tcPr>
          <w:p w14:paraId="6F2B5680">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NNW（下游）</w:t>
            </w:r>
          </w:p>
        </w:tc>
        <w:tc>
          <w:tcPr>
            <w:tcW w:w="726" w:type="dxa"/>
            <w:vAlign w:val="center"/>
          </w:tcPr>
          <w:p w14:paraId="4D4E23CB">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350</w:t>
            </w:r>
          </w:p>
        </w:tc>
      </w:tr>
      <w:tr w14:paraId="26BD9B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63B7A902">
            <w:pPr>
              <w:spacing w:line="360" w:lineRule="exact"/>
              <w:ind w:firstLine="0" w:firstLineChars="0"/>
              <w:jc w:val="center"/>
              <w:rPr>
                <w:rFonts w:cs="Times New Roman"/>
                <w:color w:val="auto"/>
                <w:sz w:val="21"/>
                <w:szCs w:val="21"/>
                <w:highlight w:val="none"/>
              </w:rPr>
            </w:pPr>
          </w:p>
        </w:tc>
        <w:tc>
          <w:tcPr>
            <w:tcW w:w="1088" w:type="dxa"/>
            <w:vAlign w:val="center"/>
          </w:tcPr>
          <w:p w14:paraId="1169C1CF">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东矿路居民区院内</w:t>
            </w:r>
          </w:p>
        </w:tc>
        <w:tc>
          <w:tcPr>
            <w:tcW w:w="1343" w:type="dxa"/>
            <w:vAlign w:val="center"/>
          </w:tcPr>
          <w:p w14:paraId="1232BEA9">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131.145240</w:t>
            </w:r>
          </w:p>
        </w:tc>
        <w:tc>
          <w:tcPr>
            <w:tcW w:w="1225" w:type="dxa"/>
            <w:vAlign w:val="center"/>
          </w:tcPr>
          <w:p w14:paraId="58745B99">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46.569253</w:t>
            </w:r>
          </w:p>
        </w:tc>
        <w:tc>
          <w:tcPr>
            <w:tcW w:w="986" w:type="dxa"/>
            <w:vMerge w:val="continue"/>
            <w:vAlign w:val="center"/>
          </w:tcPr>
          <w:p w14:paraId="3D17F4F8">
            <w:pPr>
              <w:spacing w:line="360" w:lineRule="exact"/>
              <w:ind w:firstLine="0" w:firstLineChars="0"/>
              <w:jc w:val="center"/>
              <w:rPr>
                <w:rFonts w:hint="eastAsia" w:cs="Times New Roman"/>
                <w:color w:val="auto"/>
                <w:sz w:val="21"/>
                <w:szCs w:val="21"/>
                <w:highlight w:val="none"/>
                <w:lang w:val="en-US" w:eastAsia="zh-CN"/>
              </w:rPr>
            </w:pPr>
          </w:p>
        </w:tc>
        <w:tc>
          <w:tcPr>
            <w:tcW w:w="742" w:type="dxa"/>
            <w:vMerge w:val="continue"/>
            <w:vAlign w:val="center"/>
          </w:tcPr>
          <w:p w14:paraId="0B887253">
            <w:pPr>
              <w:spacing w:line="360" w:lineRule="exact"/>
              <w:ind w:firstLine="0" w:firstLineChars="0"/>
              <w:jc w:val="center"/>
              <w:rPr>
                <w:rFonts w:hint="eastAsia" w:cs="Times New Roman"/>
                <w:color w:val="auto"/>
                <w:sz w:val="21"/>
                <w:szCs w:val="21"/>
                <w:highlight w:val="none"/>
                <w:lang w:val="en-US" w:eastAsia="zh-CN"/>
              </w:rPr>
            </w:pPr>
          </w:p>
        </w:tc>
        <w:tc>
          <w:tcPr>
            <w:tcW w:w="1046" w:type="dxa"/>
            <w:vMerge w:val="continue"/>
            <w:vAlign w:val="center"/>
          </w:tcPr>
          <w:p w14:paraId="2EADD828">
            <w:pPr>
              <w:widowControl/>
              <w:spacing w:line="360" w:lineRule="exact"/>
              <w:ind w:firstLine="0" w:firstLineChars="0"/>
              <w:jc w:val="center"/>
              <w:rPr>
                <w:rFonts w:ascii="Times New Roman" w:hAnsi="Times New Roman" w:eastAsia="宋体" w:cs="Times New Roman"/>
                <w:color w:val="auto"/>
                <w:sz w:val="21"/>
                <w:szCs w:val="21"/>
                <w:highlight w:val="none"/>
              </w:rPr>
            </w:pPr>
          </w:p>
        </w:tc>
        <w:tc>
          <w:tcPr>
            <w:tcW w:w="1375" w:type="dxa"/>
            <w:vAlign w:val="center"/>
          </w:tcPr>
          <w:p w14:paraId="66543350">
            <w:pPr>
              <w:widowControl/>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NNW（下游）</w:t>
            </w:r>
          </w:p>
        </w:tc>
        <w:tc>
          <w:tcPr>
            <w:tcW w:w="726" w:type="dxa"/>
            <w:vAlign w:val="center"/>
          </w:tcPr>
          <w:p w14:paraId="2020303B">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700</w:t>
            </w:r>
          </w:p>
        </w:tc>
      </w:tr>
      <w:tr w14:paraId="6D51B9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0181FA35">
            <w:pPr>
              <w:spacing w:line="360" w:lineRule="exact"/>
              <w:ind w:firstLine="0" w:firstLineChars="0"/>
              <w:jc w:val="center"/>
              <w:rPr>
                <w:rFonts w:cs="Times New Roman"/>
                <w:color w:val="auto"/>
                <w:sz w:val="21"/>
                <w:szCs w:val="21"/>
                <w:highlight w:val="none"/>
              </w:rPr>
            </w:pPr>
          </w:p>
        </w:tc>
        <w:tc>
          <w:tcPr>
            <w:tcW w:w="1088" w:type="dxa"/>
            <w:vAlign w:val="center"/>
          </w:tcPr>
          <w:p w14:paraId="44846F16">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林业局东侧水源井</w:t>
            </w:r>
          </w:p>
        </w:tc>
        <w:tc>
          <w:tcPr>
            <w:tcW w:w="1343" w:type="dxa"/>
            <w:vAlign w:val="center"/>
          </w:tcPr>
          <w:p w14:paraId="12F80A58">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131.142134</w:t>
            </w:r>
          </w:p>
        </w:tc>
        <w:tc>
          <w:tcPr>
            <w:tcW w:w="1225" w:type="dxa"/>
            <w:vAlign w:val="center"/>
          </w:tcPr>
          <w:p w14:paraId="5652D745">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46.572001</w:t>
            </w:r>
          </w:p>
        </w:tc>
        <w:tc>
          <w:tcPr>
            <w:tcW w:w="986" w:type="dxa"/>
            <w:vMerge w:val="continue"/>
            <w:vAlign w:val="center"/>
          </w:tcPr>
          <w:p w14:paraId="1F6AA29F">
            <w:pPr>
              <w:spacing w:line="360" w:lineRule="exact"/>
              <w:ind w:firstLine="0" w:firstLineChars="0"/>
              <w:jc w:val="center"/>
              <w:rPr>
                <w:rFonts w:hint="eastAsia" w:cs="Times New Roman"/>
                <w:color w:val="auto"/>
                <w:sz w:val="21"/>
                <w:szCs w:val="21"/>
                <w:highlight w:val="none"/>
                <w:lang w:val="en-US" w:eastAsia="zh-CN"/>
              </w:rPr>
            </w:pPr>
          </w:p>
        </w:tc>
        <w:tc>
          <w:tcPr>
            <w:tcW w:w="742" w:type="dxa"/>
            <w:vMerge w:val="continue"/>
            <w:vAlign w:val="center"/>
          </w:tcPr>
          <w:p w14:paraId="3D7E033E">
            <w:pPr>
              <w:spacing w:line="360" w:lineRule="exact"/>
              <w:ind w:firstLine="0" w:firstLineChars="0"/>
              <w:jc w:val="center"/>
              <w:rPr>
                <w:rFonts w:hint="eastAsia" w:cs="Times New Roman"/>
                <w:color w:val="auto"/>
                <w:sz w:val="21"/>
                <w:szCs w:val="21"/>
                <w:highlight w:val="none"/>
                <w:lang w:val="en-US" w:eastAsia="zh-CN"/>
              </w:rPr>
            </w:pPr>
          </w:p>
        </w:tc>
        <w:tc>
          <w:tcPr>
            <w:tcW w:w="1046" w:type="dxa"/>
            <w:vMerge w:val="continue"/>
            <w:vAlign w:val="center"/>
          </w:tcPr>
          <w:p w14:paraId="65EB1C36">
            <w:pPr>
              <w:widowControl/>
              <w:spacing w:line="360" w:lineRule="exact"/>
              <w:ind w:firstLine="0" w:firstLineChars="0"/>
              <w:jc w:val="center"/>
              <w:rPr>
                <w:rFonts w:ascii="Times New Roman" w:hAnsi="Times New Roman" w:eastAsia="宋体" w:cs="Times New Roman"/>
                <w:color w:val="auto"/>
                <w:sz w:val="21"/>
                <w:szCs w:val="21"/>
                <w:highlight w:val="none"/>
              </w:rPr>
            </w:pPr>
          </w:p>
        </w:tc>
        <w:tc>
          <w:tcPr>
            <w:tcW w:w="1375" w:type="dxa"/>
            <w:vAlign w:val="center"/>
          </w:tcPr>
          <w:p w14:paraId="7CEA5966">
            <w:pPr>
              <w:widowControl/>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NNW（下游）</w:t>
            </w:r>
          </w:p>
        </w:tc>
        <w:tc>
          <w:tcPr>
            <w:tcW w:w="726" w:type="dxa"/>
            <w:vAlign w:val="center"/>
          </w:tcPr>
          <w:p w14:paraId="0E8D6301">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1500</w:t>
            </w:r>
          </w:p>
        </w:tc>
      </w:tr>
      <w:tr w14:paraId="5BDFC7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00" w:type="dxa"/>
            <w:vMerge w:val="continue"/>
            <w:vAlign w:val="center"/>
          </w:tcPr>
          <w:p w14:paraId="6554FE2F">
            <w:pPr>
              <w:spacing w:line="360" w:lineRule="exact"/>
              <w:ind w:firstLine="0" w:firstLineChars="0"/>
              <w:jc w:val="center"/>
              <w:rPr>
                <w:rFonts w:cs="Times New Roman"/>
                <w:color w:val="auto"/>
                <w:sz w:val="21"/>
                <w:szCs w:val="21"/>
                <w:highlight w:val="none"/>
              </w:rPr>
            </w:pPr>
          </w:p>
        </w:tc>
        <w:tc>
          <w:tcPr>
            <w:tcW w:w="1088" w:type="dxa"/>
            <w:vAlign w:val="center"/>
          </w:tcPr>
          <w:p w14:paraId="2FF331C2">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博爱园小区休闲广场西侧</w:t>
            </w:r>
          </w:p>
        </w:tc>
        <w:tc>
          <w:tcPr>
            <w:tcW w:w="1343" w:type="dxa"/>
            <w:vAlign w:val="center"/>
          </w:tcPr>
          <w:p w14:paraId="1A515B44">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131.142734</w:t>
            </w:r>
          </w:p>
        </w:tc>
        <w:tc>
          <w:tcPr>
            <w:tcW w:w="1225" w:type="dxa"/>
            <w:vAlign w:val="center"/>
          </w:tcPr>
          <w:p w14:paraId="63C7C040">
            <w:pPr>
              <w:spacing w:line="360" w:lineRule="exact"/>
              <w:ind w:firstLine="0" w:firstLineChars="0"/>
              <w:jc w:val="center"/>
              <w:rPr>
                <w:rFonts w:hint="eastAsia" w:cs="Times New Roman"/>
                <w:color w:val="auto"/>
                <w:sz w:val="21"/>
                <w:szCs w:val="21"/>
                <w:highlight w:val="none"/>
              </w:rPr>
            </w:pPr>
            <w:r>
              <w:rPr>
                <w:rFonts w:hint="eastAsia" w:cs="Times New Roman"/>
                <w:color w:val="auto"/>
                <w:sz w:val="21"/>
                <w:szCs w:val="21"/>
                <w:highlight w:val="none"/>
              </w:rPr>
              <w:t>46.573882</w:t>
            </w:r>
          </w:p>
        </w:tc>
        <w:tc>
          <w:tcPr>
            <w:tcW w:w="986" w:type="dxa"/>
            <w:vMerge w:val="continue"/>
            <w:vAlign w:val="center"/>
          </w:tcPr>
          <w:p w14:paraId="11463F00">
            <w:pPr>
              <w:spacing w:line="360" w:lineRule="exact"/>
              <w:ind w:firstLine="0" w:firstLineChars="0"/>
              <w:jc w:val="center"/>
              <w:rPr>
                <w:rFonts w:hint="eastAsia" w:cs="Times New Roman"/>
                <w:color w:val="auto"/>
                <w:sz w:val="21"/>
                <w:szCs w:val="21"/>
                <w:highlight w:val="none"/>
                <w:lang w:val="en-US" w:eastAsia="zh-CN"/>
              </w:rPr>
            </w:pPr>
          </w:p>
        </w:tc>
        <w:tc>
          <w:tcPr>
            <w:tcW w:w="742" w:type="dxa"/>
            <w:vMerge w:val="continue"/>
            <w:vAlign w:val="center"/>
          </w:tcPr>
          <w:p w14:paraId="18A2AFAC">
            <w:pPr>
              <w:spacing w:line="360" w:lineRule="exact"/>
              <w:ind w:firstLine="0" w:firstLineChars="0"/>
              <w:jc w:val="center"/>
              <w:rPr>
                <w:rFonts w:hint="eastAsia" w:cs="Times New Roman"/>
                <w:color w:val="auto"/>
                <w:sz w:val="21"/>
                <w:szCs w:val="21"/>
                <w:highlight w:val="none"/>
                <w:lang w:val="en-US" w:eastAsia="zh-CN"/>
              </w:rPr>
            </w:pPr>
          </w:p>
        </w:tc>
        <w:tc>
          <w:tcPr>
            <w:tcW w:w="1046" w:type="dxa"/>
            <w:vMerge w:val="continue"/>
            <w:vAlign w:val="center"/>
          </w:tcPr>
          <w:p w14:paraId="70249FC1">
            <w:pPr>
              <w:widowControl/>
              <w:spacing w:line="360" w:lineRule="exact"/>
              <w:ind w:firstLine="0" w:firstLineChars="0"/>
              <w:jc w:val="center"/>
              <w:rPr>
                <w:rFonts w:ascii="Times New Roman" w:hAnsi="Times New Roman" w:eastAsia="宋体" w:cs="Times New Roman"/>
                <w:color w:val="auto"/>
                <w:sz w:val="21"/>
                <w:szCs w:val="21"/>
                <w:highlight w:val="none"/>
              </w:rPr>
            </w:pPr>
          </w:p>
        </w:tc>
        <w:tc>
          <w:tcPr>
            <w:tcW w:w="1375" w:type="dxa"/>
            <w:vAlign w:val="center"/>
          </w:tcPr>
          <w:p w14:paraId="611B334D">
            <w:pPr>
              <w:widowControl/>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N（下游）</w:t>
            </w:r>
          </w:p>
        </w:tc>
        <w:tc>
          <w:tcPr>
            <w:tcW w:w="726" w:type="dxa"/>
            <w:vAlign w:val="center"/>
          </w:tcPr>
          <w:p w14:paraId="724548D7">
            <w:pPr>
              <w:widowControl/>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1700</w:t>
            </w:r>
          </w:p>
        </w:tc>
      </w:tr>
      <w:tr w14:paraId="11935F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500" w:type="dxa"/>
            <w:vAlign w:val="center"/>
          </w:tcPr>
          <w:p w14:paraId="5CEA4A39">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声环境</w:t>
            </w:r>
          </w:p>
        </w:tc>
        <w:tc>
          <w:tcPr>
            <w:tcW w:w="1088" w:type="dxa"/>
            <w:shd w:val="clear" w:color="auto" w:fill="auto"/>
            <w:vAlign w:val="center"/>
          </w:tcPr>
          <w:p w14:paraId="0948424C">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厂区西侧平房</w:t>
            </w:r>
          </w:p>
        </w:tc>
        <w:tc>
          <w:tcPr>
            <w:tcW w:w="1343" w:type="dxa"/>
            <w:shd w:val="clear" w:color="auto" w:fill="auto"/>
            <w:vAlign w:val="center"/>
          </w:tcPr>
          <w:p w14:paraId="5B7764A5">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rPr>
              <w:t>131.147294</w:t>
            </w:r>
          </w:p>
        </w:tc>
        <w:tc>
          <w:tcPr>
            <w:tcW w:w="1225" w:type="dxa"/>
            <w:shd w:val="clear" w:color="auto" w:fill="auto"/>
            <w:vAlign w:val="center"/>
          </w:tcPr>
          <w:p w14:paraId="12E42EF6">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rPr>
              <w:t>46.557614</w:t>
            </w:r>
          </w:p>
        </w:tc>
        <w:tc>
          <w:tcPr>
            <w:tcW w:w="1728" w:type="dxa"/>
            <w:gridSpan w:val="2"/>
            <w:vAlign w:val="center"/>
          </w:tcPr>
          <w:p w14:paraId="76694184">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居民</w:t>
            </w:r>
          </w:p>
        </w:tc>
        <w:tc>
          <w:tcPr>
            <w:tcW w:w="1046" w:type="dxa"/>
            <w:vAlign w:val="center"/>
          </w:tcPr>
          <w:p w14:paraId="43FDF79E">
            <w:pPr>
              <w:widowControl/>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GB/T3096-2008</w:t>
            </w:r>
          </w:p>
          <w:p w14:paraId="21AA18B8">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fldChar w:fldCharType="begin"/>
            </w:r>
            <w:r>
              <w:rPr>
                <w:rFonts w:hint="eastAsia" w:cs="Times New Roman"/>
                <w:color w:val="auto"/>
                <w:sz w:val="21"/>
                <w:szCs w:val="21"/>
                <w:highlight w:val="none"/>
                <w:lang w:val="en-US" w:eastAsia="zh-CN"/>
              </w:rPr>
              <w:instrText xml:space="preserve"> = 2 \* ROMAN \* MERGEFORMAT </w:instrText>
            </w:r>
            <w:r>
              <w:rPr>
                <w:rFonts w:hint="eastAsia" w:cs="Times New Roman"/>
                <w:color w:val="auto"/>
                <w:sz w:val="21"/>
                <w:szCs w:val="21"/>
                <w:highlight w:val="none"/>
                <w:lang w:val="en-US" w:eastAsia="zh-CN"/>
              </w:rPr>
              <w:fldChar w:fldCharType="separate"/>
            </w:r>
            <w:r>
              <w:rPr>
                <w:color w:val="auto"/>
                <w:highlight w:val="none"/>
              </w:rPr>
              <w:t>II</w:t>
            </w:r>
            <w:r>
              <w:rPr>
                <w:rFonts w:hint="eastAsia" w:cs="Times New Roman"/>
                <w:color w:val="auto"/>
                <w:sz w:val="21"/>
                <w:szCs w:val="21"/>
                <w:highlight w:val="none"/>
                <w:lang w:val="en-US" w:eastAsia="zh-CN"/>
              </w:rPr>
              <w:fldChar w:fldCharType="end"/>
            </w:r>
            <w:r>
              <w:rPr>
                <w:rFonts w:hint="eastAsia" w:cs="Times New Roman"/>
                <w:color w:val="auto"/>
                <w:sz w:val="21"/>
                <w:szCs w:val="21"/>
                <w:highlight w:val="none"/>
                <w:lang w:val="en-US" w:eastAsia="zh-CN"/>
              </w:rPr>
              <w:t>类</w:t>
            </w:r>
          </w:p>
        </w:tc>
        <w:tc>
          <w:tcPr>
            <w:tcW w:w="1375" w:type="dxa"/>
            <w:shd w:val="clear" w:color="auto" w:fill="auto"/>
            <w:vAlign w:val="center"/>
          </w:tcPr>
          <w:p w14:paraId="625B7BD1">
            <w:pPr>
              <w:widowControl/>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w:t>
            </w:r>
          </w:p>
        </w:tc>
        <w:tc>
          <w:tcPr>
            <w:tcW w:w="726" w:type="dxa"/>
            <w:shd w:val="clear" w:color="auto" w:fill="auto"/>
            <w:vAlign w:val="center"/>
          </w:tcPr>
          <w:p w14:paraId="42221966">
            <w:pPr>
              <w:widowControl/>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100</w:t>
            </w:r>
          </w:p>
        </w:tc>
      </w:tr>
      <w:tr w14:paraId="36CEEA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500" w:type="dxa"/>
            <w:vAlign w:val="center"/>
          </w:tcPr>
          <w:p w14:paraId="3355065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生态环境</w:t>
            </w:r>
          </w:p>
        </w:tc>
        <w:tc>
          <w:tcPr>
            <w:tcW w:w="1088" w:type="dxa"/>
            <w:vAlign w:val="center"/>
          </w:tcPr>
          <w:p w14:paraId="71262827">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厂区</w:t>
            </w:r>
          </w:p>
        </w:tc>
        <w:tc>
          <w:tcPr>
            <w:tcW w:w="1343" w:type="dxa"/>
            <w:vAlign w:val="center"/>
          </w:tcPr>
          <w:p w14:paraId="3858D80C">
            <w:pPr>
              <w:spacing w:line="360" w:lineRule="exact"/>
              <w:ind w:firstLine="0" w:firstLineChars="0"/>
              <w:jc w:val="center"/>
              <w:textAlignment w:val="baseline"/>
              <w:rPr>
                <w:rFonts w:cs="Times New Roman"/>
                <w:color w:val="auto"/>
                <w:sz w:val="21"/>
                <w:szCs w:val="21"/>
                <w:highlight w:val="none"/>
              </w:rPr>
            </w:pPr>
            <w:r>
              <w:rPr>
                <w:rFonts w:hint="eastAsia" w:cs="Times New Roman"/>
                <w:color w:val="auto"/>
                <w:kern w:val="0"/>
                <w:sz w:val="21"/>
                <w:szCs w:val="21"/>
                <w:highlight w:val="none"/>
              </w:rPr>
              <w:t>131.149719</w:t>
            </w:r>
          </w:p>
        </w:tc>
        <w:tc>
          <w:tcPr>
            <w:tcW w:w="1225" w:type="dxa"/>
            <w:vAlign w:val="center"/>
          </w:tcPr>
          <w:p w14:paraId="6B7AA45D">
            <w:pPr>
              <w:spacing w:line="360" w:lineRule="exact"/>
              <w:ind w:firstLine="0" w:firstLineChars="0"/>
              <w:jc w:val="center"/>
              <w:textAlignment w:val="baseline"/>
              <w:rPr>
                <w:rFonts w:cs="Times New Roman"/>
                <w:color w:val="auto"/>
                <w:sz w:val="21"/>
                <w:szCs w:val="21"/>
                <w:highlight w:val="none"/>
              </w:rPr>
            </w:pPr>
            <w:r>
              <w:rPr>
                <w:rFonts w:hint="eastAsia" w:cs="Times New Roman"/>
                <w:color w:val="auto"/>
                <w:kern w:val="0"/>
                <w:sz w:val="21"/>
                <w:szCs w:val="21"/>
                <w:highlight w:val="none"/>
              </w:rPr>
              <w:t>46.556854</w:t>
            </w:r>
          </w:p>
        </w:tc>
        <w:tc>
          <w:tcPr>
            <w:tcW w:w="2774" w:type="dxa"/>
            <w:gridSpan w:val="3"/>
            <w:vAlign w:val="center"/>
          </w:tcPr>
          <w:p w14:paraId="65713307">
            <w:pPr>
              <w:widowControl/>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占地范围内表土及表土堆存</w:t>
            </w:r>
          </w:p>
        </w:tc>
        <w:tc>
          <w:tcPr>
            <w:tcW w:w="1375" w:type="dxa"/>
            <w:vAlign w:val="center"/>
          </w:tcPr>
          <w:p w14:paraId="4F80DDF8">
            <w:pPr>
              <w:widowControl/>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726" w:type="dxa"/>
            <w:vAlign w:val="center"/>
          </w:tcPr>
          <w:p w14:paraId="394CED86">
            <w:pPr>
              <w:widowControl/>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bl>
    <w:p w14:paraId="07540F32">
      <w:pPr>
        <w:pStyle w:val="82"/>
        <w:ind w:firstLine="0" w:firstLineChars="0"/>
        <w:rPr>
          <w:rFonts w:ascii="Times New Roman" w:hAnsi="Times New Roman" w:cs="Times New Roman"/>
          <w:bCs/>
          <w:color w:val="auto"/>
          <w:sz w:val="24"/>
          <w:szCs w:val="24"/>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4A2D68D3">
      <w:pPr>
        <w:spacing w:line="240" w:lineRule="auto"/>
        <w:ind w:firstLine="0" w:firstLineChars="0"/>
        <w:jc w:val="center"/>
        <w:rPr>
          <w:rFonts w:hint="eastAsia" w:eastAsia="宋体" w:cs="Times New Roman"/>
          <w:color w:val="auto"/>
          <w:highlight w:val="none"/>
          <w:lang w:eastAsia="zh-CN"/>
        </w:rPr>
      </w:pPr>
      <w:r>
        <w:rPr>
          <w:rFonts w:cs="Times New Roman"/>
          <w:color w:val="auto"/>
          <w:highlight w:val="none"/>
        </w:rPr>
        <mc:AlternateContent>
          <mc:Choice Requires="wps">
            <w:drawing>
              <wp:anchor distT="0" distB="0" distL="114300" distR="114300" simplePos="0" relativeHeight="251751424" behindDoc="0" locked="0" layoutInCell="1" allowOverlap="1">
                <wp:simplePos x="0" y="0"/>
                <wp:positionH relativeFrom="column">
                  <wp:posOffset>1719580</wp:posOffset>
                </wp:positionH>
                <wp:positionV relativeFrom="paragraph">
                  <wp:posOffset>4731385</wp:posOffset>
                </wp:positionV>
                <wp:extent cx="779780" cy="40640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779780" cy="406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1E982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b/>
                                <w:bCs/>
                                <w:color w:val="auto"/>
                                <w:sz w:val="18"/>
                                <w:szCs w:val="16"/>
                                <w:lang w:val="en-US" w:eastAsia="zh-CN"/>
                              </w:rPr>
                            </w:pPr>
                            <w:r>
                              <w:rPr>
                                <w:rFonts w:hint="eastAsia"/>
                                <w:b/>
                                <w:bCs/>
                                <w:color w:val="auto"/>
                                <w:sz w:val="18"/>
                                <w:szCs w:val="16"/>
                                <w:lang w:val="en-US" w:eastAsia="zh-CN"/>
                              </w:rPr>
                              <w:t>青山国家</w:t>
                            </w:r>
                          </w:p>
                          <w:p w14:paraId="572EFE0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bCs/>
                                <w:color w:val="auto"/>
                                <w:sz w:val="18"/>
                                <w:szCs w:val="16"/>
                                <w:lang w:val="en-US" w:eastAsia="zh-CN"/>
                              </w:rPr>
                            </w:pPr>
                            <w:r>
                              <w:rPr>
                                <w:rFonts w:hint="eastAsia"/>
                                <w:b/>
                                <w:bCs/>
                                <w:color w:val="auto"/>
                                <w:sz w:val="18"/>
                                <w:szCs w:val="16"/>
                                <w:lang w:val="en-US" w:eastAsia="zh-CN"/>
                              </w:rPr>
                              <w:t>森林公园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4pt;margin-top:372.55pt;height:32pt;width:61.4pt;z-index:251751424;mso-width-relative:page;mso-height-relative:page;" filled="f" stroked="f" coordsize="21600,21600" o:gfxdata="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NXAv43QAAAAsBAAAPAAAAAAAAAAEAIAAAACIA&#10;AABkcnMvZG93bnJldi54bWxQSwECFAAUAAAACACHTuJABEw6tj0CAABnBAAADgAAAAAAAAABACAA&#10;AAAsAQAAZHJzL2Uyb0RvYy54bWxQSwUGAAAAAAYABgBZAQAA2wUAAAAA&#10;">
                <v:fill on="f" focussize="0,0"/>
                <v:stroke on="f" weight="0.5pt"/>
                <v:imagedata o:title=""/>
                <o:lock v:ext="edit" aspectratio="f"/>
                <v:textbox>
                  <w:txbxContent>
                    <w:p w14:paraId="481E982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b/>
                          <w:bCs/>
                          <w:color w:val="auto"/>
                          <w:sz w:val="18"/>
                          <w:szCs w:val="16"/>
                          <w:lang w:val="en-US" w:eastAsia="zh-CN"/>
                        </w:rPr>
                      </w:pPr>
                      <w:r>
                        <w:rPr>
                          <w:rFonts w:hint="eastAsia"/>
                          <w:b/>
                          <w:bCs/>
                          <w:color w:val="auto"/>
                          <w:sz w:val="18"/>
                          <w:szCs w:val="16"/>
                          <w:lang w:val="en-US" w:eastAsia="zh-CN"/>
                        </w:rPr>
                        <w:t>青山国家</w:t>
                      </w:r>
                    </w:p>
                    <w:p w14:paraId="572EFE0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bCs/>
                          <w:color w:val="auto"/>
                          <w:sz w:val="18"/>
                          <w:szCs w:val="16"/>
                          <w:lang w:val="en-US" w:eastAsia="zh-CN"/>
                        </w:rPr>
                      </w:pPr>
                      <w:r>
                        <w:rPr>
                          <w:rFonts w:hint="eastAsia"/>
                          <w:b/>
                          <w:bCs/>
                          <w:color w:val="auto"/>
                          <w:sz w:val="18"/>
                          <w:szCs w:val="16"/>
                          <w:lang w:val="en-US" w:eastAsia="zh-CN"/>
                        </w:rPr>
                        <w:t>森林公园</w:t>
                      </w:r>
                    </w:p>
                  </w:txbxContent>
                </v:textbox>
              </v:shape>
            </w:pict>
          </mc:Fallback>
        </mc:AlternateContent>
      </w:r>
      <w:r>
        <w:rPr>
          <w:color w:val="auto"/>
          <w:sz w:val="24"/>
          <w:highlight w:val="none"/>
        </w:rPr>
        <mc:AlternateContent>
          <mc:Choice Requires="wps">
            <w:drawing>
              <wp:anchor distT="0" distB="0" distL="114300" distR="114300" simplePos="0" relativeHeight="251750400" behindDoc="0" locked="0" layoutInCell="1" allowOverlap="1">
                <wp:simplePos x="0" y="0"/>
                <wp:positionH relativeFrom="column">
                  <wp:posOffset>1659255</wp:posOffset>
                </wp:positionH>
                <wp:positionV relativeFrom="paragraph">
                  <wp:posOffset>3119120</wp:posOffset>
                </wp:positionV>
                <wp:extent cx="1259840" cy="2153285"/>
                <wp:effectExtent l="4445" t="4445" r="12065" b="13970"/>
                <wp:wrapNone/>
                <wp:docPr id="97" name="任意多边形 97"/>
                <wp:cNvGraphicFramePr/>
                <a:graphic xmlns:a="http://schemas.openxmlformats.org/drawingml/2006/main">
                  <a:graphicData uri="http://schemas.microsoft.com/office/word/2010/wordprocessingShape">
                    <wps:wsp>
                      <wps:cNvSpPr/>
                      <wps:spPr>
                        <a:xfrm>
                          <a:off x="2802255" y="4033520"/>
                          <a:ext cx="1259840" cy="2153285"/>
                        </a:xfrm>
                        <a:custGeom>
                          <a:avLst/>
                          <a:gdLst>
                            <a:gd name="connisteX0" fmla="*/ 0 w 1259840"/>
                            <a:gd name="connsiteY0" fmla="*/ 0 h 2153285"/>
                            <a:gd name="connisteX1" fmla="*/ 439420 w 1259840"/>
                            <a:gd name="connsiteY1" fmla="*/ 0 h 2153285"/>
                            <a:gd name="connisteX2" fmla="*/ 549275 w 1259840"/>
                            <a:gd name="connsiteY2" fmla="*/ 381000 h 2153285"/>
                            <a:gd name="connisteX3" fmla="*/ 476250 w 1259840"/>
                            <a:gd name="connsiteY3" fmla="*/ 798195 h 2153285"/>
                            <a:gd name="connisteX4" fmla="*/ 307340 w 1259840"/>
                            <a:gd name="connsiteY4" fmla="*/ 988695 h 2153285"/>
                            <a:gd name="connisteX5" fmla="*/ 241300 w 1259840"/>
                            <a:gd name="connsiteY5" fmla="*/ 1069340 h 2153285"/>
                            <a:gd name="connisteX6" fmla="*/ 263525 w 1259840"/>
                            <a:gd name="connsiteY6" fmla="*/ 1267460 h 2153285"/>
                            <a:gd name="connisteX7" fmla="*/ 542290 w 1259840"/>
                            <a:gd name="connsiteY7" fmla="*/ 1369695 h 2153285"/>
                            <a:gd name="connisteX8" fmla="*/ 1113790 w 1259840"/>
                            <a:gd name="connsiteY8" fmla="*/ 1524000 h 2153285"/>
                            <a:gd name="connisteX9" fmla="*/ 1259840 w 1259840"/>
                            <a:gd name="connsiteY9" fmla="*/ 1728470 h 2153285"/>
                            <a:gd name="connisteX10" fmla="*/ 1018540 w 1259840"/>
                            <a:gd name="connsiteY10" fmla="*/ 2153285 h 2153285"/>
                            <a:gd name="connisteX11" fmla="*/ 21590 w 1259840"/>
                            <a:gd name="connsiteY11" fmla="*/ 2139315 h 2153285"/>
                            <a:gd name="connisteX12" fmla="*/ 0 w 1259840"/>
                            <a:gd name="connsiteY12" fmla="*/ 0 h 215328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Lst>
                          <a:rect l="l" t="t" r="r" b="b"/>
                          <a:pathLst>
                            <a:path w="1259840" h="2153285">
                              <a:moveTo>
                                <a:pt x="0" y="0"/>
                              </a:moveTo>
                              <a:lnTo>
                                <a:pt x="439420" y="0"/>
                              </a:lnTo>
                              <a:lnTo>
                                <a:pt x="549275" y="381000"/>
                              </a:lnTo>
                              <a:lnTo>
                                <a:pt x="476250" y="798195"/>
                              </a:lnTo>
                              <a:lnTo>
                                <a:pt x="307340" y="988695"/>
                              </a:lnTo>
                              <a:lnTo>
                                <a:pt x="241300" y="1069340"/>
                              </a:lnTo>
                              <a:lnTo>
                                <a:pt x="263525" y="1267460"/>
                              </a:lnTo>
                              <a:lnTo>
                                <a:pt x="542290" y="1369695"/>
                              </a:lnTo>
                              <a:lnTo>
                                <a:pt x="1113790" y="1524000"/>
                              </a:lnTo>
                              <a:lnTo>
                                <a:pt x="1259840" y="1728470"/>
                              </a:lnTo>
                              <a:lnTo>
                                <a:pt x="1018540" y="2153285"/>
                              </a:lnTo>
                              <a:lnTo>
                                <a:pt x="21590" y="2139315"/>
                              </a:lnTo>
                              <a:lnTo>
                                <a:pt x="0" y="0"/>
                              </a:lnTo>
                              <a:close/>
                            </a:path>
                          </a:pathLst>
                        </a:custGeom>
                        <a:solidFill>
                          <a:srgbClr val="CB8A5A">
                            <a:alpha val="71000"/>
                          </a:srgbClr>
                        </a:solidFill>
                        <a:ln w="3175">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130.65pt;margin-top:245.6pt;height:169.55pt;width:99.2pt;z-index:251750400;v-text-anchor:middle;mso-width-relative:page;mso-height-relative:page;" fillcolor="#CB8A5A" filled="t" stroked="t" coordsize="1259840,2153285" o:gfxdata="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" path="m0,0l439420,0,549275,381000,476250,798195,307340,988695,241300,1069340,263525,1267460,542290,1369695,1113790,1524000,1259840,1728470,1018540,2153285,21590,2139315,0,0xe">
                <v:path o:connectlocs="0,0;439420,0;549275,381000;476250,798195;307340,988695;241300,1069340;263525,1267460;542290,1369695;1113790,1524000;1259840,1728470;1018540,2153285;21590,2139315;0,0" o:connectangles="0,0,0,0,0,0,0,0,0,0,0,0,0"/>
                <v:fill on="t" opacity="46530f" focussize="0,0"/>
                <v:stroke weight="0.25pt" color="#E46C0A [2409]" joinstyle="round"/>
                <v:imagedata o:title=""/>
                <o:lock v:ext="edit" aspectratio="f"/>
              </v:shape>
            </w:pict>
          </mc:Fallback>
        </mc:AlternateContent>
      </w:r>
      <w:r>
        <w:rPr>
          <w:color w:val="auto"/>
          <w:sz w:val="24"/>
          <w:highlight w:val="none"/>
        </w:rPr>
        <mc:AlternateContent>
          <mc:Choice Requires="wps">
            <w:drawing>
              <wp:anchor distT="0" distB="0" distL="114300" distR="114300" simplePos="0" relativeHeight="251703296" behindDoc="0" locked="0" layoutInCell="1" allowOverlap="1">
                <wp:simplePos x="0" y="0"/>
                <wp:positionH relativeFrom="column">
                  <wp:posOffset>3769995</wp:posOffset>
                </wp:positionH>
                <wp:positionV relativeFrom="paragraph">
                  <wp:posOffset>1704975</wp:posOffset>
                </wp:positionV>
                <wp:extent cx="400050" cy="685800"/>
                <wp:effectExtent l="4445" t="4445" r="14605" b="14605"/>
                <wp:wrapNone/>
                <wp:docPr id="144" name="任意多边形 144"/>
                <wp:cNvGraphicFramePr/>
                <a:graphic xmlns:a="http://schemas.openxmlformats.org/drawingml/2006/main">
                  <a:graphicData uri="http://schemas.microsoft.com/office/word/2010/wordprocessingShape">
                    <wps:wsp>
                      <wps:cNvSpPr/>
                      <wps:spPr>
                        <a:xfrm>
                          <a:off x="4637405" y="2607310"/>
                          <a:ext cx="400050" cy="685800"/>
                        </a:xfrm>
                        <a:custGeom>
                          <a:avLst/>
                          <a:gdLst>
                            <a:gd name="connisteX0" fmla="*/ 76200 w 400050"/>
                            <a:gd name="connsiteY0" fmla="*/ 0 h 685800"/>
                            <a:gd name="connisteX1" fmla="*/ 0 w 400050"/>
                            <a:gd name="connsiteY1" fmla="*/ 685800 h 685800"/>
                            <a:gd name="connisteX2" fmla="*/ 228600 w 400050"/>
                            <a:gd name="connsiteY2" fmla="*/ 647700 h 685800"/>
                            <a:gd name="connisteX3" fmla="*/ 400050 w 400050"/>
                            <a:gd name="connsiteY3" fmla="*/ 542925 h 685800"/>
                            <a:gd name="connisteX4" fmla="*/ 314325 w 400050"/>
                            <a:gd name="connsiteY4" fmla="*/ 9525 h 685800"/>
                            <a:gd name="connisteX5" fmla="*/ 76200 w 400050"/>
                            <a:gd name="connsiteY5" fmla="*/ 0 h 6858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400050" h="685800">
                              <a:moveTo>
                                <a:pt x="76200" y="0"/>
                              </a:moveTo>
                              <a:lnTo>
                                <a:pt x="0" y="685800"/>
                              </a:lnTo>
                              <a:lnTo>
                                <a:pt x="228600" y="647700"/>
                              </a:lnTo>
                              <a:lnTo>
                                <a:pt x="400050" y="542925"/>
                              </a:lnTo>
                              <a:lnTo>
                                <a:pt x="314325" y="9525"/>
                              </a:lnTo>
                              <a:lnTo>
                                <a:pt x="76200" y="0"/>
                              </a:lnTo>
                              <a:close/>
                            </a:path>
                          </a:pathLst>
                        </a:custGeom>
                        <a:solidFill>
                          <a:schemeClr val="accent6">
                            <a:alpha val="50000"/>
                          </a:schemeClr>
                        </a:solidFill>
                        <a:ln w="3175">
                          <a:gradFill>
                            <a:gsLst>
                              <a:gs pos="50000">
                                <a:schemeClr val="accent6"/>
                              </a:gs>
                              <a:gs pos="0">
                                <a:schemeClr val="accent6">
                                  <a:lumMod val="25000"/>
                                  <a:lumOff val="75000"/>
                                </a:schemeClr>
                              </a:gs>
                              <a:gs pos="100000">
                                <a:schemeClr val="accent6">
                                  <a:lumMod val="85000"/>
                                </a:schemeClr>
                              </a:gs>
                            </a:gsLst>
                            <a:lin ang="5400000" scaled="0"/>
                          </a:gra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296.85pt;margin-top:134.25pt;height:54pt;width:31.5pt;z-index:251703296;v-text-anchor:middle;mso-width-relative:page;mso-height-relative:page;" fillcolor="#F79646 [3209]" filled="t" stroked="t" coordsize="400050,685800" o:gfxdata="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" path="m76200,0l0,685800,228600,647700,400050,542925,314325,9525,76200,0xe">
                <v:path o:connectlocs="76200,0;0,685800;228600,647700;400050,542925;314325,9525;76200,0" o:connectangles="0,0,0,0,0,0"/>
                <v:fill on="t" opacity="32768f" focussize="0,0"/>
                <v:stroke weight="0.25pt" color="#000000" joinstyle="round"/>
                <v:imagedata o:title=""/>
                <o:lock v:ext="edit" aspectratio="f"/>
              </v:shape>
            </w:pict>
          </mc:Fallback>
        </mc:AlternateContent>
      </w:r>
      <w:r>
        <w:rPr>
          <w:color w:val="auto"/>
          <w:sz w:val="24"/>
          <w:highlight w:val="none"/>
        </w:rPr>
        <mc:AlternateContent>
          <mc:Choice Requires="wps">
            <w:drawing>
              <wp:anchor distT="0" distB="0" distL="114300" distR="114300" simplePos="0" relativeHeight="251702272" behindDoc="0" locked="0" layoutInCell="1" allowOverlap="1">
                <wp:simplePos x="0" y="0"/>
                <wp:positionH relativeFrom="column">
                  <wp:posOffset>4311015</wp:posOffset>
                </wp:positionH>
                <wp:positionV relativeFrom="paragraph">
                  <wp:posOffset>4782820</wp:posOffset>
                </wp:positionV>
                <wp:extent cx="1000125" cy="504825"/>
                <wp:effectExtent l="4445" t="4445" r="5080" b="5080"/>
                <wp:wrapNone/>
                <wp:docPr id="142" name="任意多边形 142"/>
                <wp:cNvGraphicFramePr/>
                <a:graphic xmlns:a="http://schemas.openxmlformats.org/drawingml/2006/main">
                  <a:graphicData uri="http://schemas.microsoft.com/office/word/2010/wordprocessingShape">
                    <wps:wsp>
                      <wps:cNvSpPr/>
                      <wps:spPr>
                        <a:xfrm>
                          <a:off x="5104130" y="5512435"/>
                          <a:ext cx="1000125" cy="504825"/>
                        </a:xfrm>
                        <a:custGeom>
                          <a:avLst/>
                          <a:gdLst>
                            <a:gd name="connisteX0" fmla="*/ 152400 w 1000125"/>
                            <a:gd name="connsiteY0" fmla="*/ 0 h 504825"/>
                            <a:gd name="connisteX1" fmla="*/ 0 w 1000125"/>
                            <a:gd name="connsiteY1" fmla="*/ 123825 h 504825"/>
                            <a:gd name="connisteX2" fmla="*/ 333375 w 1000125"/>
                            <a:gd name="connsiteY2" fmla="*/ 457200 h 504825"/>
                            <a:gd name="connisteX3" fmla="*/ 476250 w 1000125"/>
                            <a:gd name="connsiteY3" fmla="*/ 333375 h 504825"/>
                            <a:gd name="connisteX4" fmla="*/ 657225 w 1000125"/>
                            <a:gd name="connsiteY4" fmla="*/ 504825 h 504825"/>
                            <a:gd name="connisteX5" fmla="*/ 1000125 w 1000125"/>
                            <a:gd name="connsiteY5" fmla="*/ 371475 h 504825"/>
                            <a:gd name="connisteX6" fmla="*/ 923925 w 1000125"/>
                            <a:gd name="connsiteY6" fmla="*/ 247650 h 504825"/>
                            <a:gd name="connisteX7" fmla="*/ 733425 w 1000125"/>
                            <a:gd name="connsiteY7" fmla="*/ 371475 h 504825"/>
                            <a:gd name="connisteX8" fmla="*/ 466725 w 1000125"/>
                            <a:gd name="connsiteY8" fmla="*/ 104775 h 504825"/>
                            <a:gd name="connisteX9" fmla="*/ 314325 w 1000125"/>
                            <a:gd name="connsiteY9" fmla="*/ 142875 h 504825"/>
                            <a:gd name="connisteX10" fmla="*/ 152400 w 1000125"/>
                            <a:gd name="connsiteY10" fmla="*/ 0 h 50482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Lst>
                          <a:rect l="l" t="t" r="r" b="b"/>
                          <a:pathLst>
                            <a:path w="1000125" h="504825">
                              <a:moveTo>
                                <a:pt x="152400" y="0"/>
                              </a:moveTo>
                              <a:lnTo>
                                <a:pt x="0" y="123825"/>
                              </a:lnTo>
                              <a:lnTo>
                                <a:pt x="333375" y="457200"/>
                              </a:lnTo>
                              <a:lnTo>
                                <a:pt x="476250" y="333375"/>
                              </a:lnTo>
                              <a:lnTo>
                                <a:pt x="657225" y="504825"/>
                              </a:lnTo>
                              <a:lnTo>
                                <a:pt x="1000125" y="371475"/>
                              </a:lnTo>
                              <a:lnTo>
                                <a:pt x="923925" y="247650"/>
                              </a:lnTo>
                              <a:lnTo>
                                <a:pt x="733425" y="371475"/>
                              </a:lnTo>
                              <a:lnTo>
                                <a:pt x="466725" y="104775"/>
                              </a:lnTo>
                              <a:lnTo>
                                <a:pt x="314325" y="142875"/>
                              </a:lnTo>
                              <a:lnTo>
                                <a:pt x="152400" y="0"/>
                              </a:lnTo>
                              <a:close/>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339.45pt;margin-top:376.6pt;height:39.75pt;width:78.75pt;z-index:251702272;v-text-anchor:middle;mso-width-relative:page;mso-height-relative:page;" fillcolor="#F79646 [3209]" filled="t" stroked="t" coordsize="1000125,504825" o:gfxdata="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C5Zun43AAAAAsBAAAPAAAAAAAAAAEAIAAAACIA&#10;AABkcnMvZG93bnJldi54bWxQSwECFAAUAAAACACHTuJAwYgD2ngEAACDDgAADgAAAAAAAAABACAA&#10;AAArAQAAZHJzL2Uyb0RvYy54bWxQSwUGAAAAAAYABgBZAQAAFQgAAAAA&#10;" path="m152400,0l0,123825,333375,457200,476250,333375,657225,504825,1000125,371475,923925,247650,733425,371475,466725,104775,314325,142875,152400,0xe">
                <v:path o:connectlocs="152400,0;0,123825;333375,457200;476250,333375;657225,504825;1000125,371475;923925,247650;733425,371475;466725,104775;314325,142875;152400,0" o:connectangles="0,0,0,0,0,0,0,0,0,0,0"/>
                <v:fill on="t" opacity="32768f" focussize="0,0"/>
                <v:stroke weight="0.25pt" color="#F79646 [3209]" joinstyle="round"/>
                <v:imagedata o:title=""/>
                <o:lock v:ext="edit" aspectratio="f"/>
              </v:shape>
            </w:pict>
          </mc:Fallback>
        </mc:AlternateContent>
      </w:r>
      <w:r>
        <w:rPr>
          <w:color w:val="auto"/>
          <w:sz w:val="24"/>
          <w:highlight w:val="none"/>
        </w:rPr>
        <mc:AlternateContent>
          <mc:Choice Requires="wps">
            <w:drawing>
              <wp:anchor distT="0" distB="0" distL="114300" distR="114300" simplePos="0" relativeHeight="251701248" behindDoc="0" locked="0" layoutInCell="1" allowOverlap="1">
                <wp:simplePos x="0" y="0"/>
                <wp:positionH relativeFrom="column">
                  <wp:posOffset>2589530</wp:posOffset>
                </wp:positionH>
                <wp:positionV relativeFrom="paragraph">
                  <wp:posOffset>3183255</wp:posOffset>
                </wp:positionV>
                <wp:extent cx="361950" cy="552450"/>
                <wp:effectExtent l="4445" t="4445" r="14605" b="14605"/>
                <wp:wrapNone/>
                <wp:docPr id="122" name="任意多边形 122"/>
                <wp:cNvGraphicFramePr/>
                <a:graphic xmlns:a="http://schemas.openxmlformats.org/drawingml/2006/main">
                  <a:graphicData uri="http://schemas.microsoft.com/office/word/2010/wordprocessingShape">
                    <wps:wsp>
                      <wps:cNvSpPr/>
                      <wps:spPr>
                        <a:xfrm>
                          <a:off x="3494405" y="4007485"/>
                          <a:ext cx="361950" cy="552450"/>
                        </a:xfrm>
                        <a:custGeom>
                          <a:avLst/>
                          <a:gdLst>
                            <a:gd name="connisteX0" fmla="*/ 0 w 361950"/>
                            <a:gd name="connsiteY0" fmla="*/ 0 h 552450"/>
                            <a:gd name="connisteX1" fmla="*/ 85725 w 361950"/>
                            <a:gd name="connsiteY1" fmla="*/ 419100 h 552450"/>
                            <a:gd name="connisteX2" fmla="*/ 190500 w 361950"/>
                            <a:gd name="connsiteY2" fmla="*/ 552450 h 552450"/>
                            <a:gd name="connisteX3" fmla="*/ 361950 w 361950"/>
                            <a:gd name="connsiteY3" fmla="*/ 409575 h 552450"/>
                            <a:gd name="connisteX4" fmla="*/ 142875 w 361950"/>
                            <a:gd name="connsiteY4" fmla="*/ 9525 h 552450"/>
                            <a:gd name="connisteX5" fmla="*/ 0 w 361950"/>
                            <a:gd name="connsiteY5" fmla="*/ 0 h 5524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361950" h="552450">
                              <a:moveTo>
                                <a:pt x="0" y="0"/>
                              </a:moveTo>
                              <a:lnTo>
                                <a:pt x="85725" y="419100"/>
                              </a:lnTo>
                              <a:lnTo>
                                <a:pt x="190500" y="552450"/>
                              </a:lnTo>
                              <a:lnTo>
                                <a:pt x="361950" y="409575"/>
                              </a:lnTo>
                              <a:lnTo>
                                <a:pt x="142875" y="9525"/>
                              </a:lnTo>
                              <a:lnTo>
                                <a:pt x="0" y="0"/>
                              </a:lnTo>
                              <a:close/>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203.9pt;margin-top:250.65pt;height:43.5pt;width:28.5pt;z-index:251701248;v-text-anchor:middle;mso-width-relative:page;mso-height-relative:page;" fillcolor="#F79646 [3209]" filled="t" stroked="t" coordsize="361950,552450" o:gfxdata="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" path="m0,0l85725,419100,190500,552450,361950,409575,142875,9525,0,0xe">
                <v:path o:connectlocs="0,0;85725,419100;190500,552450;361950,409575;142875,9525;0,0" o:connectangles="0,0,0,0,0,0"/>
                <v:fill on="t" opacity="32768f" focussize="0,0"/>
                <v:stroke weight="0.25pt" color="#F79646 [3209]" joinstyle="round"/>
                <v:imagedata o:title=""/>
                <o:lock v:ext="edit" aspectratio="f"/>
              </v:shape>
            </w:pict>
          </mc:Fallback>
        </mc:AlternateContent>
      </w:r>
      <w:r>
        <w:rPr>
          <w:color w:val="auto"/>
          <w:sz w:val="24"/>
          <w:highlight w:val="none"/>
        </w:rPr>
        <mc:AlternateContent>
          <mc:Choice Requires="wps">
            <w:drawing>
              <wp:anchor distT="0" distB="0" distL="114300" distR="114300" simplePos="0" relativeHeight="251700224" behindDoc="0" locked="0" layoutInCell="1" allowOverlap="1">
                <wp:simplePos x="0" y="0"/>
                <wp:positionH relativeFrom="column">
                  <wp:posOffset>2428875</wp:posOffset>
                </wp:positionH>
                <wp:positionV relativeFrom="paragraph">
                  <wp:posOffset>2626360</wp:posOffset>
                </wp:positionV>
                <wp:extent cx="495300" cy="323850"/>
                <wp:effectExtent l="4445" t="4445" r="14605" b="14605"/>
                <wp:wrapNone/>
                <wp:docPr id="104" name="任意多边形 104"/>
                <wp:cNvGraphicFramePr/>
                <a:graphic xmlns:a="http://schemas.openxmlformats.org/drawingml/2006/main">
                  <a:graphicData uri="http://schemas.microsoft.com/office/word/2010/wordprocessingShape">
                    <wps:wsp>
                      <wps:cNvSpPr/>
                      <wps:spPr>
                        <a:xfrm>
                          <a:off x="3399155" y="3540760"/>
                          <a:ext cx="495300" cy="323850"/>
                        </a:xfrm>
                        <a:custGeom>
                          <a:avLst/>
                          <a:gdLst>
                            <a:gd name="connisteX0" fmla="*/ 0 w 495300"/>
                            <a:gd name="connsiteY0" fmla="*/ 200025 h 323850"/>
                            <a:gd name="connisteX1" fmla="*/ 200025 w 495300"/>
                            <a:gd name="connsiteY1" fmla="*/ 314325 h 323850"/>
                            <a:gd name="connisteX2" fmla="*/ 361950 w 495300"/>
                            <a:gd name="connsiteY2" fmla="*/ 323850 h 323850"/>
                            <a:gd name="connisteX3" fmla="*/ 485775 w 495300"/>
                            <a:gd name="connsiteY3" fmla="*/ 171450 h 323850"/>
                            <a:gd name="connisteX4" fmla="*/ 495300 w 495300"/>
                            <a:gd name="connsiteY4" fmla="*/ 28575 h 323850"/>
                            <a:gd name="connisteX5" fmla="*/ 171450 w 495300"/>
                            <a:gd name="connsiteY5" fmla="*/ 0 h 323850"/>
                            <a:gd name="connisteX6" fmla="*/ 0 w 495300"/>
                            <a:gd name="connsiteY6" fmla="*/ 200025 h 3238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495300" h="323850">
                              <a:moveTo>
                                <a:pt x="0" y="200025"/>
                              </a:moveTo>
                              <a:lnTo>
                                <a:pt x="200025" y="314325"/>
                              </a:lnTo>
                              <a:lnTo>
                                <a:pt x="361950" y="323850"/>
                              </a:lnTo>
                              <a:lnTo>
                                <a:pt x="485775" y="171450"/>
                              </a:lnTo>
                              <a:lnTo>
                                <a:pt x="495300" y="28575"/>
                              </a:lnTo>
                              <a:lnTo>
                                <a:pt x="171450" y="0"/>
                              </a:lnTo>
                              <a:lnTo>
                                <a:pt x="0" y="200025"/>
                              </a:lnTo>
                              <a:close/>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191.25pt;margin-top:206.8pt;height:25.5pt;width:39pt;z-index:251700224;v-text-anchor:middle;mso-width-relative:page;mso-height-relative:page;" fillcolor="#F79646 [3209]" filled="t" stroked="t" coordsize="495300,323850" o:gfxdata="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" path="m0,200025l200025,314325,361950,323850,485775,171450,495300,28575,171450,0,0,200025xe">
                <v:path o:connectlocs="0,200025;200025,314325;361950,323850;485775,171450;495300,28575;171450,0;0,200025" o:connectangles="0,0,0,0,0,0,0"/>
                <v:fill on="t" opacity="32768f" focussize="0,0"/>
                <v:stroke weight="0.25pt" color="#F79646 [3209]" joinstyle="round"/>
                <v:imagedata o:title=""/>
                <o:lock v:ext="edit" aspectratio="f"/>
              </v:shape>
            </w:pict>
          </mc:Fallback>
        </mc:AlternateContent>
      </w:r>
      <w:r>
        <w:rPr>
          <w:rFonts w:cs="Times New Roman"/>
          <w:color w:val="auto"/>
          <w:highlight w:val="none"/>
        </w:rPr>
        <mc:AlternateContent>
          <mc:Choice Requires="wps">
            <w:drawing>
              <wp:anchor distT="0" distB="0" distL="114300" distR="114300" simplePos="0" relativeHeight="251708416" behindDoc="0" locked="0" layoutInCell="1" allowOverlap="1">
                <wp:simplePos x="0" y="0"/>
                <wp:positionH relativeFrom="column">
                  <wp:posOffset>2325370</wp:posOffset>
                </wp:positionH>
                <wp:positionV relativeFrom="paragraph">
                  <wp:posOffset>2666365</wp:posOffset>
                </wp:positionV>
                <wp:extent cx="1027430" cy="274320"/>
                <wp:effectExtent l="0" t="0" r="0" b="0"/>
                <wp:wrapNone/>
                <wp:docPr id="149" name="文本框 149"/>
                <wp:cNvGraphicFramePr/>
                <a:graphic xmlns:a="http://schemas.openxmlformats.org/drawingml/2006/main">
                  <a:graphicData uri="http://schemas.microsoft.com/office/word/2010/wordprocessingShape">
                    <wps:wsp>
                      <wps:cNvSpPr txBox="1"/>
                      <wps:spPr>
                        <a:xfrm>
                          <a:off x="0" y="0"/>
                          <a:ext cx="102743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668D2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东湖福园小区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3.1pt;margin-top:209.95pt;height:21.6pt;width:80.9pt;z-index:251708416;mso-width-relative:page;mso-height-relative:page;" filled="f" stroked="f" coordsize="21600,21600" o:gfxdata="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&#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GFivTbAAAACwEAAA8AAAAAAAAAAQAgAAAAIgAAAGRy&#10;cy9kb3ducmV2LnhtbFBLAQIUABQAAAAIAIdO4kCDEZXaOwIAAGoEAAAOAAAAAAAAAAEAIAAAACoB&#10;AABkcnMvZTJvRG9jLnhtbFBLBQYAAAAABgAGAFkBAADXBQAAAAA=&#10;">
                <v:fill on="f" focussize="0,0"/>
                <v:stroke on="f" weight="0.5pt"/>
                <v:imagedata o:title=""/>
                <o:lock v:ext="edit" aspectratio="f"/>
                <v:textbox>
                  <w:txbxContent>
                    <w:p w14:paraId="40668D2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东湖福园小区</w:t>
                      </w:r>
                    </w:p>
                  </w:txbxContent>
                </v:textbox>
              </v:shape>
            </w:pict>
          </mc:Fallback>
        </mc:AlternateContent>
      </w:r>
      <w:r>
        <w:rPr>
          <w:rFonts w:cs="Times New Roman"/>
          <w:color w:val="auto"/>
          <w:highlight w:val="none"/>
        </w:rPr>
        <mc:AlternateContent>
          <mc:Choice Requires="wps">
            <w:drawing>
              <wp:anchor distT="0" distB="0" distL="114300" distR="114300" simplePos="0" relativeHeight="251706368" behindDoc="0" locked="0" layoutInCell="1" allowOverlap="1">
                <wp:simplePos x="0" y="0"/>
                <wp:positionH relativeFrom="column">
                  <wp:posOffset>2117090</wp:posOffset>
                </wp:positionH>
                <wp:positionV relativeFrom="paragraph">
                  <wp:posOffset>846455</wp:posOffset>
                </wp:positionV>
                <wp:extent cx="779780" cy="274320"/>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77978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8240E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岭东八村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6.7pt;margin-top:66.65pt;height:21.6pt;width:61.4pt;z-index:251706368;mso-width-relative:page;mso-height-relative:page;" filled="f" stroked="f" coordsize="21600,21600" o:gfxdata="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&#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Xml/HbAAAACwEAAA8AAAAAAAAAAQAgAAAAIgAA&#10;AGRycy9kb3ducmV2LnhtbFBLAQIUABQAAAAIAIdO4kBtYU+JPgIAAGkEAAAOAAAAAAAAAAEAIAAA&#10;ACoBAABkcnMvZTJvRG9jLnhtbFBLBQYAAAAABgAGAFkBAADaBQAAAAA=&#10;">
                <v:fill on="f" focussize="0,0"/>
                <v:stroke on="f" weight="0.5pt"/>
                <v:imagedata o:title=""/>
                <o:lock v:ext="edit" aspectratio="f"/>
                <v:textbox>
                  <w:txbxContent>
                    <w:p w14:paraId="168240E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岭东八村</w:t>
                      </w:r>
                    </w:p>
                  </w:txbxContent>
                </v:textbox>
              </v:shape>
            </w:pict>
          </mc:Fallback>
        </mc:AlternateContent>
      </w:r>
      <w:r>
        <w:rPr>
          <w:color w:val="auto"/>
          <w:sz w:val="24"/>
          <w:highlight w:val="none"/>
        </w:rPr>
        <mc:AlternateContent>
          <mc:Choice Requires="wps">
            <w:drawing>
              <wp:anchor distT="0" distB="0" distL="114300" distR="114300" simplePos="0" relativeHeight="251698176" behindDoc="0" locked="0" layoutInCell="1" allowOverlap="1">
                <wp:simplePos x="0" y="0"/>
                <wp:positionH relativeFrom="column">
                  <wp:posOffset>2212975</wp:posOffset>
                </wp:positionH>
                <wp:positionV relativeFrom="paragraph">
                  <wp:posOffset>711835</wp:posOffset>
                </wp:positionV>
                <wp:extent cx="485775" cy="476250"/>
                <wp:effectExtent l="4445" t="4445" r="5080" b="14605"/>
                <wp:wrapNone/>
                <wp:docPr id="102" name="任意多边形 102"/>
                <wp:cNvGraphicFramePr/>
                <a:graphic xmlns:a="http://schemas.openxmlformats.org/drawingml/2006/main">
                  <a:graphicData uri="http://schemas.microsoft.com/office/word/2010/wordprocessingShape">
                    <wps:wsp>
                      <wps:cNvSpPr/>
                      <wps:spPr>
                        <a:xfrm>
                          <a:off x="3303905" y="1740535"/>
                          <a:ext cx="485775" cy="476250"/>
                        </a:xfrm>
                        <a:custGeom>
                          <a:avLst/>
                          <a:gdLst>
                            <a:gd name="connisteX0" fmla="*/ 209550 w 485775"/>
                            <a:gd name="connsiteY0" fmla="*/ 0 h 476250"/>
                            <a:gd name="connisteX1" fmla="*/ 0 w 485775"/>
                            <a:gd name="connsiteY1" fmla="*/ 371475 h 476250"/>
                            <a:gd name="connisteX2" fmla="*/ 142875 w 485775"/>
                            <a:gd name="connsiteY2" fmla="*/ 476250 h 476250"/>
                            <a:gd name="connisteX3" fmla="*/ 485775 w 485775"/>
                            <a:gd name="connsiteY3" fmla="*/ 171450 h 476250"/>
                            <a:gd name="connisteX4" fmla="*/ 209550 w 485775"/>
                            <a:gd name="connsiteY4" fmla="*/ 0 h 47625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485775" h="476250">
                              <a:moveTo>
                                <a:pt x="209550" y="0"/>
                              </a:moveTo>
                              <a:lnTo>
                                <a:pt x="0" y="371475"/>
                              </a:lnTo>
                              <a:lnTo>
                                <a:pt x="142875" y="476250"/>
                              </a:lnTo>
                              <a:lnTo>
                                <a:pt x="485775" y="171450"/>
                              </a:lnTo>
                              <a:lnTo>
                                <a:pt x="209550" y="0"/>
                              </a:lnTo>
                              <a:close/>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174.25pt;margin-top:56.05pt;height:37.5pt;width:38.25pt;z-index:251698176;v-text-anchor:middle;mso-width-relative:page;mso-height-relative:page;" fillcolor="#F79646 [3209]" filled="t" stroked="t" coordsize="485775,476250" o:gfxdata="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" path="m209550,0l0,371475,142875,476250,485775,171450,209550,0xe">
                <v:path o:connectlocs="209550,0;0,371475;142875,476250;485775,171450;209550,0" o:connectangles="0,0,0,0,0"/>
                <v:fill on="t" opacity="32768f" focussize="0,0"/>
                <v:stroke weight="0.25pt" color="#F79646 [3209]" joinstyle="round"/>
                <v:imagedata o:title=""/>
                <o:lock v:ext="edit" aspectratio="f"/>
              </v:shape>
            </w:pict>
          </mc:Fallback>
        </mc:AlternateContent>
      </w:r>
      <w:r>
        <w:rPr>
          <w:rFonts w:cs="Times New Roman"/>
          <w:color w:val="auto"/>
          <w:highlight w:val="none"/>
        </w:rPr>
        <mc:AlternateContent>
          <mc:Choice Requires="wps">
            <w:drawing>
              <wp:anchor distT="0" distB="0" distL="114300" distR="114300" simplePos="0" relativeHeight="251707392" behindDoc="0" locked="0" layoutInCell="1" allowOverlap="1">
                <wp:simplePos x="0" y="0"/>
                <wp:positionH relativeFrom="column">
                  <wp:posOffset>2175510</wp:posOffset>
                </wp:positionH>
                <wp:positionV relativeFrom="paragraph">
                  <wp:posOffset>1374140</wp:posOffset>
                </wp:positionV>
                <wp:extent cx="779780" cy="274320"/>
                <wp:effectExtent l="0" t="0" r="0" b="0"/>
                <wp:wrapNone/>
                <wp:docPr id="148" name="文本框 148"/>
                <wp:cNvGraphicFramePr/>
                <a:graphic xmlns:a="http://schemas.openxmlformats.org/drawingml/2006/main">
                  <a:graphicData uri="http://schemas.microsoft.com/office/word/2010/wordprocessingShape">
                    <wps:wsp>
                      <wps:cNvSpPr txBox="1"/>
                      <wps:spPr>
                        <a:xfrm>
                          <a:off x="0" y="0"/>
                          <a:ext cx="77978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5ADF7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21"/>
                                <w:szCs w:val="20"/>
                                <w:lang w:val="en-US" w:eastAsia="zh-CN"/>
                              </w:rPr>
                              <w:t>度假区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1.3pt;margin-top:108.2pt;height:21.6pt;width:61.4pt;z-index:251707392;mso-width-relative:page;mso-height-relative:page;" filled="f" stroked="f" coordsize="21600,21600" o:gfxdata="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0YisZNsAAAALAQAADwAAAAAAAAABACAAAAAiAAAA&#10;ZHJzL2Rvd25yZXYueG1sUEsBAhQAFAAAAAgAh07iQOc1tmA9AgAAaQQAAA4AAAAAAAAAAQAgAAAA&#10;KgEAAGRycy9lMm9Eb2MueG1sUEsFBgAAAAAGAAYAWQEAANkFAAAAAA==&#10;">
                <v:fill on="f" focussize="0,0"/>
                <v:stroke on="f" weight="0.5pt"/>
                <v:imagedata o:title=""/>
                <o:lock v:ext="edit" aspectratio="f"/>
                <v:textbox>
                  <w:txbxContent>
                    <w:p w14:paraId="725ADF7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21"/>
                          <w:szCs w:val="20"/>
                          <w:lang w:val="en-US" w:eastAsia="zh-CN"/>
                        </w:rPr>
                        <w:t>度假区</w:t>
                      </w:r>
                    </w:p>
                  </w:txbxContent>
                </v:textbox>
              </v:shape>
            </w:pict>
          </mc:Fallback>
        </mc:AlternateContent>
      </w:r>
      <w:r>
        <w:rPr>
          <w:color w:val="auto"/>
          <w:sz w:val="24"/>
          <w:highlight w:val="none"/>
        </w:rPr>
        <mc:AlternateContent>
          <mc:Choice Requires="wps">
            <w:drawing>
              <wp:anchor distT="0" distB="0" distL="114300" distR="114300" simplePos="0" relativeHeight="251699200" behindDoc="0" locked="0" layoutInCell="1" allowOverlap="1">
                <wp:simplePos x="0" y="0"/>
                <wp:positionH relativeFrom="column">
                  <wp:posOffset>2278380</wp:posOffset>
                </wp:positionH>
                <wp:positionV relativeFrom="paragraph">
                  <wp:posOffset>1270000</wp:posOffset>
                </wp:positionV>
                <wp:extent cx="485775" cy="409575"/>
                <wp:effectExtent l="4445" t="4445" r="5080" b="5080"/>
                <wp:wrapNone/>
                <wp:docPr id="103" name="任意多边形 103"/>
                <wp:cNvGraphicFramePr/>
                <a:graphic xmlns:a="http://schemas.openxmlformats.org/drawingml/2006/main">
                  <a:graphicData uri="http://schemas.microsoft.com/office/word/2010/wordprocessingShape">
                    <wps:wsp>
                      <wps:cNvSpPr/>
                      <wps:spPr>
                        <a:xfrm>
                          <a:off x="3265805" y="2254885"/>
                          <a:ext cx="485775" cy="409575"/>
                        </a:xfrm>
                        <a:custGeom>
                          <a:avLst/>
                          <a:gdLst>
                            <a:gd name="connisteX0" fmla="*/ 0 w 485775"/>
                            <a:gd name="connsiteY0" fmla="*/ 247650 h 409575"/>
                            <a:gd name="connisteX1" fmla="*/ 257175 w 485775"/>
                            <a:gd name="connsiteY1" fmla="*/ 409575 h 409575"/>
                            <a:gd name="connisteX2" fmla="*/ 485775 w 485775"/>
                            <a:gd name="connsiteY2" fmla="*/ 66675 h 409575"/>
                            <a:gd name="connisteX3" fmla="*/ 190500 w 485775"/>
                            <a:gd name="connsiteY3" fmla="*/ 0 h 409575"/>
                            <a:gd name="connisteX4" fmla="*/ 0 w 485775"/>
                            <a:gd name="connsiteY4" fmla="*/ 247650 h 40957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485775" h="409575">
                              <a:moveTo>
                                <a:pt x="0" y="247650"/>
                              </a:moveTo>
                              <a:lnTo>
                                <a:pt x="257175" y="409575"/>
                              </a:lnTo>
                              <a:lnTo>
                                <a:pt x="485775" y="66675"/>
                              </a:lnTo>
                              <a:lnTo>
                                <a:pt x="190500" y="0"/>
                              </a:lnTo>
                              <a:lnTo>
                                <a:pt x="0" y="247650"/>
                              </a:lnTo>
                              <a:close/>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179.4pt;margin-top:100pt;height:32.25pt;width:38.25pt;z-index:251699200;v-text-anchor:middle;mso-width-relative:page;mso-height-relative:page;" fillcolor="#F79646 [3209]" filled="t" stroked="t" coordsize="485775,409575" o:gfxdata="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" path="m0,247650l257175,409575,485775,66675,190500,0,0,247650xe">
                <v:path o:connectlocs="0,247650;257175,409575;485775,66675;190500,0;0,247650" o:connectangles="0,0,0,0,0"/>
                <v:fill on="t" opacity="32768f" focussize="0,0"/>
                <v:stroke weight="0.25pt" color="#F79646 [3209]" joinstyle="round"/>
                <v:imagedata o:title=""/>
                <o:lock v:ext="edit" aspectratio="f"/>
              </v:shape>
            </w:pict>
          </mc:Fallback>
        </mc:AlternateContent>
      </w:r>
      <w:r>
        <w:rPr>
          <w:rFonts w:cs="Times New Roman"/>
          <w:color w:val="auto"/>
          <w:highlight w:val="none"/>
        </w:rPr>
        <mc:AlternateContent>
          <mc:Choice Requires="wps">
            <w:drawing>
              <wp:anchor distT="0" distB="0" distL="114300" distR="114300" simplePos="0" relativeHeight="251705344" behindDoc="0" locked="0" layoutInCell="1" allowOverlap="1">
                <wp:simplePos x="0" y="0"/>
                <wp:positionH relativeFrom="column">
                  <wp:posOffset>3693160</wp:posOffset>
                </wp:positionH>
                <wp:positionV relativeFrom="paragraph">
                  <wp:posOffset>284480</wp:posOffset>
                </wp:positionV>
                <wp:extent cx="956310" cy="27432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95631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5B9BF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小区居民楼</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0.8pt;margin-top:22.4pt;height:21.6pt;width:75.3pt;z-index:251705344;mso-width-relative:page;mso-height-relative:page;" filled="f" stroked="f" coordsize="21600,21600" o:gfxdata="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&#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sB5y9oAAAAJAQAADwAAAAAAAAABACAAAAAiAAAA&#10;ZHJzL2Rvd25yZXYueG1sUEsBAhQAFAAAAAgAh07iQFYRf8s+AgAAaQQAAA4AAAAAAAAAAQAgAAAA&#10;KQEAAGRycy9lMm9Eb2MueG1sUEsFBgAAAAAGAAYAWQEAANkFAAAAAA==&#10;">
                <v:fill on="f" focussize="0,0"/>
                <v:stroke on="f" weight="0.5pt"/>
                <v:imagedata o:title=""/>
                <o:lock v:ext="edit" aspectratio="f"/>
                <v:textbox>
                  <w:txbxContent>
                    <w:p w14:paraId="025B9BF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小区居民楼</w:t>
                      </w:r>
                    </w:p>
                  </w:txbxContent>
                </v:textbox>
              </v:shape>
            </w:pict>
          </mc:Fallback>
        </mc:AlternateContent>
      </w:r>
      <w:r>
        <w:rPr>
          <w:color w:val="auto"/>
          <w:sz w:val="24"/>
          <w:highlight w:val="none"/>
        </w:rPr>
        <mc:AlternateContent>
          <mc:Choice Requires="wps">
            <w:drawing>
              <wp:anchor distT="0" distB="0" distL="114300" distR="114300" simplePos="0" relativeHeight="251697152" behindDoc="0" locked="0" layoutInCell="1" allowOverlap="1">
                <wp:simplePos x="0" y="0"/>
                <wp:positionH relativeFrom="column">
                  <wp:posOffset>3606800</wp:posOffset>
                </wp:positionH>
                <wp:positionV relativeFrom="paragraph">
                  <wp:posOffset>283210</wp:posOffset>
                </wp:positionV>
                <wp:extent cx="1228725" cy="638175"/>
                <wp:effectExtent l="0" t="4445" r="9525" b="5080"/>
                <wp:wrapNone/>
                <wp:docPr id="101" name="任意多边形 101"/>
                <wp:cNvGraphicFramePr/>
                <a:graphic xmlns:a="http://schemas.openxmlformats.org/drawingml/2006/main">
                  <a:graphicData uri="http://schemas.microsoft.com/office/word/2010/wordprocessingShape">
                    <wps:wsp>
                      <wps:cNvSpPr/>
                      <wps:spPr>
                        <a:xfrm>
                          <a:off x="4427855" y="1416685"/>
                          <a:ext cx="1228725" cy="638175"/>
                        </a:xfrm>
                        <a:custGeom>
                          <a:avLst/>
                          <a:gdLst>
                            <a:gd name="connisteX0" fmla="*/ 9525 w 1228725"/>
                            <a:gd name="connsiteY0" fmla="*/ 38100 h 638175"/>
                            <a:gd name="connisteX1" fmla="*/ 85725 w 1228725"/>
                            <a:gd name="connsiteY1" fmla="*/ 285750 h 638175"/>
                            <a:gd name="connisteX2" fmla="*/ 314325 w 1228725"/>
                            <a:gd name="connsiteY2" fmla="*/ 638175 h 638175"/>
                            <a:gd name="connisteX3" fmla="*/ 609600 w 1228725"/>
                            <a:gd name="connsiteY3" fmla="*/ 142875 h 638175"/>
                            <a:gd name="connisteX4" fmla="*/ 1076325 w 1228725"/>
                            <a:gd name="connsiteY4" fmla="*/ 333375 h 638175"/>
                            <a:gd name="connisteX5" fmla="*/ 1228725 w 1228725"/>
                            <a:gd name="connsiteY5" fmla="*/ 9525 h 638175"/>
                            <a:gd name="connisteX6" fmla="*/ 0 w 1228725"/>
                            <a:gd name="connsiteY6" fmla="*/ 0 h 63817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1228725" h="638175">
                              <a:moveTo>
                                <a:pt x="9525" y="38100"/>
                              </a:moveTo>
                              <a:lnTo>
                                <a:pt x="85725" y="285750"/>
                              </a:lnTo>
                              <a:lnTo>
                                <a:pt x="314325" y="638175"/>
                              </a:lnTo>
                              <a:lnTo>
                                <a:pt x="609600" y="142875"/>
                              </a:lnTo>
                              <a:lnTo>
                                <a:pt x="1076325" y="333375"/>
                              </a:lnTo>
                              <a:lnTo>
                                <a:pt x="1228725" y="9525"/>
                              </a:lnTo>
                              <a:lnTo>
                                <a:pt x="0" y="0"/>
                              </a:lnTo>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284pt;margin-top:22.3pt;height:50.25pt;width:96.75pt;z-index:251697152;v-text-anchor:middle;mso-width-relative:page;mso-height-relative:page;" fillcolor="#F79646 [3209]" filled="t" stroked="t" coordsize="1228725,638175" o:gfxdata="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" path="m9525,38100l85725,285750,314325,638175,609600,142875,1076325,333375,1228725,9525,0,0e">
                <v:path o:connectlocs="9525,38100;85725,285750;314325,638175;609600,142875;1076325,333375;1228725,9525;0,0" o:connectangles="0,0,0,0,0,0,0"/>
                <v:fill on="t" opacity="32768f" focussize="0,0"/>
                <v:stroke weight="0.25pt" color="#F79646 [3209]" joinstyle="round"/>
                <v:imagedata o:title=""/>
                <o:lock v:ext="edit" aspectratio="f"/>
              </v:shape>
            </w:pict>
          </mc:Fallback>
        </mc:AlternateContent>
      </w:r>
      <w:r>
        <w:rPr>
          <w:rFonts w:cs="Times New Roman"/>
          <w:color w:val="auto"/>
          <w:highlight w:val="none"/>
        </w:rPr>
        <mc:AlternateContent>
          <mc:Choice Requires="wps">
            <w:drawing>
              <wp:anchor distT="0" distB="0" distL="114300" distR="114300" simplePos="0" relativeHeight="251711488" behindDoc="0" locked="0" layoutInCell="1" allowOverlap="1">
                <wp:simplePos x="0" y="0"/>
                <wp:positionH relativeFrom="column">
                  <wp:posOffset>3399790</wp:posOffset>
                </wp:positionH>
                <wp:positionV relativeFrom="paragraph">
                  <wp:posOffset>1892935</wp:posOffset>
                </wp:positionV>
                <wp:extent cx="1236980" cy="274320"/>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123698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3A1EE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长胜乡人民政府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7.7pt;margin-top:149.05pt;height:21.6pt;width:97.4pt;z-index:251711488;mso-width-relative:page;mso-height-relative:page;" filled="f" stroked="f" coordsize="21600,21600" o:gfxdata="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RScmTcAAAACwEAAA8AAAAAAAAAAQAgAAAAIgAA&#10;AGRycy9kb3ducmV2LnhtbFBLAQIUABQAAAAIAIdO4kBYnfnMPQIAAGoEAAAOAAAAAAAAAAEAIAAA&#10;ACsBAABkcnMvZTJvRG9jLnhtbFBLBQYAAAAABgAGAFkBAADaBQAAAAA=&#10;">
                <v:fill on="f" focussize="0,0"/>
                <v:stroke on="f" weight="0.5pt"/>
                <v:imagedata o:title=""/>
                <o:lock v:ext="edit" aspectratio="f"/>
                <v:textbox>
                  <w:txbxContent>
                    <w:p w14:paraId="2F3A1EE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长胜乡人民政府</w:t>
                      </w:r>
                    </w:p>
                  </w:txbxContent>
                </v:textbox>
              </v:shape>
            </w:pict>
          </mc:Fallback>
        </mc:AlternateContent>
      </w:r>
      <w:r>
        <w:rPr>
          <w:rFonts w:cs="Times New Roman"/>
          <w:color w:val="auto"/>
          <w:highlight w:val="none"/>
        </w:rPr>
        <mc:AlternateContent>
          <mc:Choice Requires="wps">
            <w:drawing>
              <wp:anchor distT="0" distB="0" distL="114300" distR="114300" simplePos="0" relativeHeight="251709440" behindDoc="0" locked="0" layoutInCell="1" allowOverlap="1">
                <wp:simplePos x="0" y="0"/>
                <wp:positionH relativeFrom="column">
                  <wp:posOffset>2351405</wp:posOffset>
                </wp:positionH>
                <wp:positionV relativeFrom="paragraph">
                  <wp:posOffset>3274695</wp:posOffset>
                </wp:positionV>
                <wp:extent cx="779780" cy="274320"/>
                <wp:effectExtent l="0" t="0" r="0" b="0"/>
                <wp:wrapNone/>
                <wp:docPr id="150" name="文本框 150"/>
                <wp:cNvGraphicFramePr/>
                <a:graphic xmlns:a="http://schemas.openxmlformats.org/drawingml/2006/main">
                  <a:graphicData uri="http://schemas.microsoft.com/office/word/2010/wordprocessingShape">
                    <wps:wsp>
                      <wps:cNvSpPr txBox="1"/>
                      <wps:spPr>
                        <a:xfrm>
                          <a:off x="0" y="0"/>
                          <a:ext cx="77978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04C3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青山社区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5.15pt;margin-top:257.85pt;height:21.6pt;width:61.4pt;z-index:251709440;mso-width-relative:page;mso-height-relative:page;" filled="f" stroked="f" coordsize="21600,21600" o:gfxdata="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wadAe3AAAAAsBAAAPAAAAAAAAAAEAIAAAACIAAABk&#10;cnMvZG93bnJldi54bWxQSwECFAAUAAAACACHTuJAXKg4mDsCAABpBAAADgAAAAAAAAABACAAAAAr&#10;AQAAZHJzL2Uyb0RvYy54bWxQSwUGAAAAAAYABgBZAQAA2AUAAAAA&#10;">
                <v:fill on="f" focussize="0,0"/>
                <v:stroke on="f" weight="0.5pt"/>
                <v:imagedata o:title=""/>
                <o:lock v:ext="edit" aspectratio="f"/>
                <v:textbox>
                  <w:txbxContent>
                    <w:p w14:paraId="3304C3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8"/>
                          <w:szCs w:val="16"/>
                          <w:lang w:val="en-US" w:eastAsia="zh-CN"/>
                        </w:rPr>
                      </w:pPr>
                      <w:r>
                        <w:rPr>
                          <w:rFonts w:hint="eastAsia"/>
                          <w:b/>
                          <w:bCs/>
                          <w:color w:val="auto"/>
                          <w:sz w:val="18"/>
                          <w:szCs w:val="16"/>
                          <w:lang w:val="en-US" w:eastAsia="zh-CN"/>
                        </w:rPr>
                        <w:t>青山社区</w:t>
                      </w:r>
                    </w:p>
                  </w:txbxContent>
                </v:textbox>
              </v:shape>
            </w:pict>
          </mc:Fallback>
        </mc:AlternateContent>
      </w:r>
      <w:r>
        <w:rPr>
          <w:rFonts w:cs="Times New Roman"/>
          <w:color w:val="auto"/>
          <w:highlight w:val="none"/>
        </w:rPr>
        <mc:AlternateContent>
          <mc:Choice Requires="wps">
            <w:drawing>
              <wp:anchor distT="0" distB="0" distL="114300" distR="114300" simplePos="0" relativeHeight="251710464" behindDoc="0" locked="0" layoutInCell="1" allowOverlap="1">
                <wp:simplePos x="0" y="0"/>
                <wp:positionH relativeFrom="column">
                  <wp:posOffset>4260850</wp:posOffset>
                </wp:positionH>
                <wp:positionV relativeFrom="paragraph">
                  <wp:posOffset>4832350</wp:posOffset>
                </wp:positionV>
                <wp:extent cx="779780" cy="274320"/>
                <wp:effectExtent l="0" t="0" r="0" b="0"/>
                <wp:wrapNone/>
                <wp:docPr id="151" name="文本框 151"/>
                <wp:cNvGraphicFramePr/>
                <a:graphic xmlns:a="http://schemas.openxmlformats.org/drawingml/2006/main">
                  <a:graphicData uri="http://schemas.microsoft.com/office/word/2010/wordprocessingShape">
                    <wps:wsp>
                      <wps:cNvSpPr txBox="1"/>
                      <wps:spPr>
                        <a:xfrm>
                          <a:off x="0" y="0"/>
                          <a:ext cx="779780"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68AF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21"/>
                                <w:szCs w:val="20"/>
                                <w:lang w:val="en-US" w:eastAsia="zh-CN"/>
                              </w:rPr>
                            </w:pPr>
                            <w:r>
                              <w:rPr>
                                <w:rFonts w:hint="eastAsia"/>
                                <w:b/>
                                <w:bCs/>
                                <w:color w:val="auto"/>
                                <w:sz w:val="21"/>
                                <w:szCs w:val="20"/>
                                <w:lang w:val="en-US" w:eastAsia="zh-CN"/>
                              </w:rPr>
                              <w:t>小北屯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5pt;margin-top:380.5pt;height:21.6pt;width:61.4pt;z-index:251710464;mso-width-relative:page;mso-height-relative:page;" filled="f" stroked="f" coordsize="21600,21600" o:gfxdata="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Qn26dsAAAALAQAADwAAAAAAAAABACAAAAAiAAAA&#10;ZHJzL2Rvd25yZXYueG1sUEsBAhQAFAAAAAgAh07iQNGnIK49AgAAaQQAAA4AAAAAAAAAAQAgAAAA&#10;KgEAAGRycy9lMm9Eb2MueG1sUEsFBgAAAAAGAAYAWQEAANkFAAAAAA==&#10;">
                <v:fill on="f" focussize="0,0"/>
                <v:stroke on="f" weight="0.5pt"/>
                <v:imagedata o:title=""/>
                <o:lock v:ext="edit" aspectratio="f"/>
                <v:textbox>
                  <w:txbxContent>
                    <w:p w14:paraId="6368AF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21"/>
                          <w:szCs w:val="20"/>
                          <w:lang w:val="en-US" w:eastAsia="zh-CN"/>
                        </w:rPr>
                      </w:pPr>
                      <w:r>
                        <w:rPr>
                          <w:rFonts w:hint="eastAsia"/>
                          <w:b/>
                          <w:bCs/>
                          <w:color w:val="auto"/>
                          <w:sz w:val="21"/>
                          <w:szCs w:val="20"/>
                          <w:lang w:val="en-US" w:eastAsia="zh-CN"/>
                        </w:rPr>
                        <w:t>小北屯</w:t>
                      </w:r>
                    </w:p>
                  </w:txbxContent>
                </v:textbox>
              </v:shape>
            </w:pict>
          </mc:Fallback>
        </mc:AlternateContent>
      </w:r>
      <w:r>
        <w:rPr>
          <w:rFonts w:cs="Times New Roman"/>
          <w:color w:val="auto"/>
          <w:highlight w:val="none"/>
        </w:rPr>
        <mc:AlternateContent>
          <mc:Choice Requires="wps">
            <w:drawing>
              <wp:anchor distT="0" distB="0" distL="114300" distR="114300" simplePos="0" relativeHeight="251711488" behindDoc="0" locked="0" layoutInCell="1" allowOverlap="1">
                <wp:simplePos x="0" y="0"/>
                <wp:positionH relativeFrom="column">
                  <wp:posOffset>3409315</wp:posOffset>
                </wp:positionH>
                <wp:positionV relativeFrom="paragraph">
                  <wp:posOffset>2679700</wp:posOffset>
                </wp:positionV>
                <wp:extent cx="517525" cy="274320"/>
                <wp:effectExtent l="0" t="0" r="0" b="0"/>
                <wp:wrapNone/>
                <wp:docPr id="153" name="文本框 153"/>
                <wp:cNvGraphicFramePr/>
                <a:graphic xmlns:a="http://schemas.openxmlformats.org/drawingml/2006/main">
                  <a:graphicData uri="http://schemas.microsoft.com/office/word/2010/wordprocessingShape">
                    <wps:wsp>
                      <wps:cNvSpPr txBox="1"/>
                      <wps:spPr>
                        <a:xfrm>
                          <a:off x="0" y="0"/>
                          <a:ext cx="517525" cy="2743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82E7F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6"/>
                                <w:szCs w:val="15"/>
                                <w:lang w:val="en-US" w:eastAsia="zh-CN"/>
                              </w:rPr>
                            </w:pPr>
                            <w:r>
                              <w:rPr>
                                <w:rFonts w:hint="eastAsia"/>
                                <w:b/>
                                <w:bCs/>
                                <w:color w:val="auto"/>
                                <w:sz w:val="16"/>
                                <w:szCs w:val="15"/>
                                <w:lang w:val="en-US" w:eastAsia="zh-CN"/>
                              </w:rPr>
                              <w:t>平房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45pt;margin-top:211pt;height:21.6pt;width:40.75pt;z-index:251711488;mso-width-relative:page;mso-height-relative:page;" filled="f" stroked="f" coordsize="21600,21600" o:gfxdata="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LnVWHbAAAACwEAAA8AAAAAAAAAAQAgAAAAIgAA&#10;AGRycy9kb3ducmV2LnhtbFBLAQIUABQAAAAIAIdO4kB/yLNUPgIAAGkEAAAOAAAAAAAAAAEAIAAA&#10;ACoBAABkcnMvZTJvRG9jLnhtbFBLBQYAAAAABgAGAFkBAADaBQAAAAA=&#10;">
                <v:fill on="f" focussize="0,0"/>
                <v:stroke on="f" weight="0.5pt"/>
                <v:imagedata o:title=""/>
                <o:lock v:ext="edit" aspectratio="f"/>
                <v:textbox>
                  <w:txbxContent>
                    <w:p w14:paraId="7C82E7F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eastAsia="宋体"/>
                          <w:b/>
                          <w:bCs/>
                          <w:color w:val="auto"/>
                          <w:sz w:val="16"/>
                          <w:szCs w:val="15"/>
                          <w:lang w:val="en-US" w:eastAsia="zh-CN"/>
                        </w:rPr>
                      </w:pPr>
                      <w:r>
                        <w:rPr>
                          <w:rFonts w:hint="eastAsia"/>
                          <w:b/>
                          <w:bCs/>
                          <w:color w:val="auto"/>
                          <w:sz w:val="16"/>
                          <w:szCs w:val="15"/>
                          <w:lang w:val="en-US" w:eastAsia="zh-CN"/>
                        </w:rPr>
                        <w:t>平房</w:t>
                      </w:r>
                    </w:p>
                  </w:txbxContent>
                </v:textbox>
              </v:shape>
            </w:pict>
          </mc:Fallback>
        </mc:AlternateContent>
      </w:r>
      <w:r>
        <w:rPr>
          <w:color w:val="auto"/>
          <w:sz w:val="24"/>
          <w:highlight w:val="none"/>
        </w:rPr>
        <mc:AlternateContent>
          <mc:Choice Requires="wps">
            <w:drawing>
              <wp:anchor distT="0" distB="0" distL="114300" distR="114300" simplePos="0" relativeHeight="251704320" behindDoc="0" locked="0" layoutInCell="1" allowOverlap="1">
                <wp:simplePos x="0" y="0"/>
                <wp:positionH relativeFrom="column">
                  <wp:posOffset>3551555</wp:posOffset>
                </wp:positionH>
                <wp:positionV relativeFrom="paragraph">
                  <wp:posOffset>2693035</wp:posOffset>
                </wp:positionV>
                <wp:extent cx="104775" cy="171450"/>
                <wp:effectExtent l="4445" t="4445" r="5080" b="14605"/>
                <wp:wrapNone/>
                <wp:docPr id="145" name="任意多边形 145"/>
                <wp:cNvGraphicFramePr/>
                <a:graphic xmlns:a="http://schemas.openxmlformats.org/drawingml/2006/main">
                  <a:graphicData uri="http://schemas.microsoft.com/office/word/2010/wordprocessingShape">
                    <wps:wsp>
                      <wps:cNvSpPr/>
                      <wps:spPr>
                        <a:xfrm>
                          <a:off x="4694555" y="3607435"/>
                          <a:ext cx="104775" cy="171450"/>
                        </a:xfrm>
                        <a:custGeom>
                          <a:avLst/>
                          <a:gdLst>
                            <a:gd name="connisteX0" fmla="*/ 47625 w 104775"/>
                            <a:gd name="connsiteY0" fmla="*/ 0 h 171450"/>
                            <a:gd name="connisteX1" fmla="*/ 0 w 104775"/>
                            <a:gd name="connsiteY1" fmla="*/ 47625 h 171450"/>
                            <a:gd name="connisteX2" fmla="*/ 38100 w 104775"/>
                            <a:gd name="connsiteY2" fmla="*/ 171450 h 171450"/>
                            <a:gd name="connisteX3" fmla="*/ 104775 w 104775"/>
                            <a:gd name="connsiteY3" fmla="*/ 152400 h 171450"/>
                            <a:gd name="connisteX4" fmla="*/ 47625 w 104775"/>
                            <a:gd name="connsiteY4" fmla="*/ 0 h 17145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104775" h="171450">
                              <a:moveTo>
                                <a:pt x="47625" y="0"/>
                              </a:moveTo>
                              <a:lnTo>
                                <a:pt x="0" y="47625"/>
                              </a:lnTo>
                              <a:lnTo>
                                <a:pt x="38100" y="171450"/>
                              </a:lnTo>
                              <a:lnTo>
                                <a:pt x="104775" y="152400"/>
                              </a:lnTo>
                              <a:lnTo>
                                <a:pt x="47625" y="0"/>
                              </a:lnTo>
                              <a:close/>
                            </a:path>
                          </a:pathLst>
                        </a:custGeom>
                        <a:solidFill>
                          <a:schemeClr val="accent6">
                            <a:alpha val="50000"/>
                          </a:schemeClr>
                        </a:solidFill>
                        <a:ln w="3175">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279.65pt;margin-top:212.05pt;height:13.5pt;width:8.25pt;z-index:251704320;v-text-anchor:middle;mso-width-relative:page;mso-height-relative:page;" fillcolor="#F79646 [3209]" filled="t" stroked="t" coordsize="104775,171450" o:gfxdata="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" path="m47625,0l0,47625,38100,171450,104775,152400,47625,0xe">
                <v:path o:connectlocs="47625,0;0,47625;38100,171450;104775,152400;47625,0" o:connectangles="0,0,0,0,0"/>
                <v:fill on="t" opacity="32768f" focussize="0,0"/>
                <v:stroke weight="0.25pt" color="#F79646 [3209]" joinstyle="round"/>
                <v:imagedata o:title=""/>
                <o:lock v:ext="edit" aspectratio="f"/>
              </v:shape>
            </w:pict>
          </mc:Fallback>
        </mc:AlternateContent>
      </w:r>
      <w:r>
        <w:rPr>
          <w:rFonts w:cs="Times New Roman"/>
          <w:color w:val="auto"/>
          <w:highlight w:val="none"/>
        </w:rPr>
        <mc:AlternateContent>
          <mc:Choice Requires="wps">
            <w:drawing>
              <wp:anchor distT="0" distB="0" distL="114300" distR="114300" simplePos="0" relativeHeight="251665408" behindDoc="0" locked="0" layoutInCell="1" allowOverlap="1">
                <wp:simplePos x="0" y="0"/>
                <wp:positionH relativeFrom="column">
                  <wp:posOffset>4513580</wp:posOffset>
                </wp:positionH>
                <wp:positionV relativeFrom="paragraph">
                  <wp:posOffset>2195195</wp:posOffset>
                </wp:positionV>
                <wp:extent cx="960120" cy="321310"/>
                <wp:effectExtent l="0" t="0" r="0" b="0"/>
                <wp:wrapNone/>
                <wp:docPr id="317" name="文本框 317"/>
                <wp:cNvGraphicFramePr/>
                <a:graphic xmlns:a="http://schemas.openxmlformats.org/drawingml/2006/main">
                  <a:graphicData uri="http://schemas.microsoft.com/office/word/2010/wordprocessingShape">
                    <wps:wsp>
                      <wps:cNvSpPr txBox="1"/>
                      <wps:spPr>
                        <a:xfrm>
                          <a:off x="3289935" y="4282440"/>
                          <a:ext cx="960120" cy="3213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24AB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b/>
                                <w:bCs/>
                                <w:color w:val="92D050"/>
                              </w:rPr>
                            </w:pPr>
                            <w:r>
                              <w:rPr>
                                <w:rFonts w:hint="eastAsia"/>
                                <w:b/>
                                <w:bCs/>
                                <w:color w:val="92D050"/>
                              </w:rPr>
                              <w:t>地下水流向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5.4pt;margin-top:172.85pt;height:25.3pt;width:75.6pt;z-index:251665408;mso-width-relative:page;mso-height-relative:page;" filled="f" stroked="f" coordsize="21600,21600" o:gfxdata="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W+odz3AAAAAsBAAAPAAAA&#10;AAAAAAEAIAAAACIAAABkcnMvZG93bnJldi54bWxQSwECFAAUAAAACACHTuJASmPz/UoCAAB1BAAA&#10;DgAAAAAAAAABACAAAAArAQAAZHJzL2Uyb0RvYy54bWxQSwUGAAAAAAYABgBZAQAA5wUAAAAA&#10;">
                <v:fill on="f" focussize="0,0"/>
                <v:stroke on="f" weight="0.5pt"/>
                <v:imagedata o:title=""/>
                <o:lock v:ext="edit" aspectratio="f"/>
                <v:textbox>
                  <w:txbxContent>
                    <w:p w14:paraId="1E424AB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b/>
                          <w:bCs/>
                          <w:color w:val="92D050"/>
                        </w:rPr>
                      </w:pPr>
                      <w:r>
                        <w:rPr>
                          <w:rFonts w:hint="eastAsia"/>
                          <w:b/>
                          <w:bCs/>
                          <w:color w:val="92D050"/>
                        </w:rPr>
                        <w:t>地下水流向</w:t>
                      </w:r>
                    </w:p>
                  </w:txbxContent>
                </v:textbox>
              </v:shape>
            </w:pict>
          </mc:Fallback>
        </mc:AlternateContent>
      </w:r>
      <w:r>
        <w:rPr>
          <w:rFonts w:cs="Times New Roman"/>
          <w:color w:val="auto"/>
          <w:highlight w:val="none"/>
        </w:rPr>
        <mc:AlternateContent>
          <mc:Choice Requires="wps">
            <w:drawing>
              <wp:anchor distT="0" distB="0" distL="114300" distR="114300" simplePos="0" relativeHeight="251664384" behindDoc="0" locked="0" layoutInCell="1" allowOverlap="1">
                <wp:simplePos x="0" y="0"/>
                <wp:positionH relativeFrom="column">
                  <wp:posOffset>4456430</wp:posOffset>
                </wp:positionH>
                <wp:positionV relativeFrom="paragraph">
                  <wp:posOffset>1931035</wp:posOffset>
                </wp:positionV>
                <wp:extent cx="118110" cy="814705"/>
                <wp:effectExtent l="40005" t="0" r="32385" b="4445"/>
                <wp:wrapNone/>
                <wp:docPr id="316" name="直接箭头连接符 316"/>
                <wp:cNvGraphicFramePr/>
                <a:graphic xmlns:a="http://schemas.openxmlformats.org/drawingml/2006/main">
                  <a:graphicData uri="http://schemas.microsoft.com/office/word/2010/wordprocessingShape">
                    <wps:wsp>
                      <wps:cNvCnPr/>
                      <wps:spPr>
                        <a:xfrm flipH="1" flipV="1">
                          <a:off x="3437255" y="3667760"/>
                          <a:ext cx="118110" cy="814705"/>
                        </a:xfrm>
                        <a:prstGeom prst="straightConnector1">
                          <a:avLst/>
                        </a:prstGeom>
                        <a:ln w="38100">
                          <a:solidFill>
                            <a:srgbClr val="92D050"/>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350.9pt;margin-top:152.05pt;height:64.15pt;width:9.3pt;z-index:251664384;mso-width-relative:page;mso-height-relative:page;" filled="f" stroked="t" coordsize="21600,21600" o:gfxdata="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NLBoe2AAAAAsBAAAPAAAAAAAAAAEAIAAAACIAAABkcnMvZG93bnJldi54bWxQ&#10;SwECFAAUAAAACACHTuJA6kp4gTACAAAdBAAADgAAAAAAAAABACAAAAAnAQAAZHJzL2Uyb0RvYy54&#10;bWxQSwUGAAAAAAYABgBZAQAAyQUAAAAA&#10;">
                <v:fill on="f" focussize="0,0"/>
                <v:stroke weight="3pt" color="#92D050 [3204]" joinstyle="round" endarrow="block"/>
                <v:imagedata o:title=""/>
                <o:lock v:ext="edit" aspectratio="f"/>
              </v:shape>
            </w:pict>
          </mc:Fallback>
        </mc:AlternateContent>
      </w:r>
      <w:r>
        <w:rPr>
          <w:color w:val="auto"/>
          <w:sz w:val="24"/>
          <w:highlight w:val="none"/>
        </w:rPr>
        <mc:AlternateContent>
          <mc:Choice Requires="wpg">
            <w:drawing>
              <wp:anchor distT="0" distB="0" distL="114300" distR="114300" simplePos="0" relativeHeight="251677696" behindDoc="0" locked="0" layoutInCell="1" allowOverlap="1">
                <wp:simplePos x="0" y="0"/>
                <wp:positionH relativeFrom="column">
                  <wp:posOffset>6911340</wp:posOffset>
                </wp:positionH>
                <wp:positionV relativeFrom="paragraph">
                  <wp:posOffset>3756660</wp:posOffset>
                </wp:positionV>
                <wp:extent cx="147955" cy="1090295"/>
                <wp:effectExtent l="9525" t="9525" r="13970" b="24130"/>
                <wp:wrapNone/>
                <wp:docPr id="159" name="组合 159"/>
                <wp:cNvGraphicFramePr/>
                <a:graphic xmlns:a="http://schemas.openxmlformats.org/drawingml/2006/main">
                  <a:graphicData uri="http://schemas.microsoft.com/office/word/2010/wordprocessingGroup">
                    <wpg:wgp>
                      <wpg:cNvGrpSpPr/>
                      <wpg:grpSpPr>
                        <a:xfrm>
                          <a:off x="0" y="0"/>
                          <a:ext cx="147955" cy="1090295"/>
                          <a:chOff x="12544" y="957068"/>
                          <a:chExt cx="233" cy="1717"/>
                        </a:xfrm>
                      </wpg:grpSpPr>
                      <wps:wsp>
                        <wps:cNvPr id="70" name="矩形 70"/>
                        <wps:cNvSpPr/>
                        <wps:spPr>
                          <a:xfrm>
                            <a:off x="12564" y="957441"/>
                            <a:ext cx="213" cy="145"/>
                          </a:xfrm>
                          <a:prstGeom prst="rect">
                            <a:avLst/>
                          </a:prstGeom>
                          <a:noFill/>
                          <a:ln w="1905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E2927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1" name="矩形 71"/>
                        <wps:cNvSpPr/>
                        <wps:spPr>
                          <a:xfrm>
                            <a:off x="12560" y="957866"/>
                            <a:ext cx="213" cy="145"/>
                          </a:xfrm>
                          <a:prstGeom prst="rect">
                            <a:avLst/>
                          </a:pr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4E46C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4" name="矩形 164"/>
                        <wps:cNvSpPr/>
                        <wps:spPr>
                          <a:xfrm>
                            <a:off x="12555" y="958228"/>
                            <a:ext cx="213" cy="1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5D079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4" name="矩形 314"/>
                        <wps:cNvSpPr/>
                        <wps:spPr>
                          <a:xfrm>
                            <a:off x="12544" y="958641"/>
                            <a:ext cx="213" cy="145"/>
                          </a:xfrm>
                          <a:prstGeom prst="rect">
                            <a:avLst/>
                          </a:prstGeom>
                          <a:solidFill>
                            <a:srgbClr val="F79646">
                              <a:alpha val="62000"/>
                            </a:srgbClr>
                          </a:solidFill>
                          <a:ln w="19050">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F7DF2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矩形 9"/>
                        <wps:cNvSpPr/>
                        <wps:spPr>
                          <a:xfrm>
                            <a:off x="12565" y="957068"/>
                            <a:ext cx="213" cy="145"/>
                          </a:xfrm>
                          <a:prstGeom prst="rect">
                            <a:avLst/>
                          </a:prstGeom>
                          <a:solidFill>
                            <a:schemeClr val="accent1"/>
                          </a:solidFill>
                          <a:ln w="19050">
                            <a:solidFill>
                              <a:srgbClr val="4233B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C6C039">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544.2pt;margin-top:295.8pt;height:85.85pt;width:11.65pt;z-index:251677696;mso-width-relative:page;mso-height-relative:page;" coordorigin="12544,957068" coordsize="233,1717" o:gfxdata="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">
                <o:lock v:ext="edit" aspectratio="f"/>
                <v:rect id="_x0000_s1026" o:spid="_x0000_s1026" o:spt="1" style="position:absolute;left:12564;top:957441;height:145;width:213;v-text-anchor:middle;" filled="f" stroked="t" coordsize="21600,21600" o:gfxdata="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O64O8AAAA&#10;2wAAAA8AAAAAAAAAAQAgAAAAIgAAAGRycy9kb3ducmV2LnhtbFBLAQIUABQAAAAIAIdO4kAzLwWe&#10;OwAAADkAAAAQAAAAAAAAAAEAIAAAAAsBAABkcnMvc2hhcGV4bWwueG1sUEsFBgAAAAAGAAYAWwEA&#10;ALUDAAAAAA==&#10;">
                  <v:fill on="f" focussize="0,0"/>
                  <v:stroke weight="1.5pt" color="#FFC000 [3204]" joinstyle="round"/>
                  <v:imagedata o:title=""/>
                  <o:lock v:ext="edit" aspectratio="f"/>
                  <v:textbox>
                    <w:txbxContent>
                      <w:p w14:paraId="43E29275">
                        <w:pPr>
                          <w:jc w:val="center"/>
                        </w:pPr>
                      </w:p>
                    </w:txbxContent>
                  </v:textbox>
                </v:rect>
                <v:rect id="_x0000_s1026" o:spid="_x0000_s1026" o:spt="1" style="position:absolute;left:12560;top:957866;height:145;width:213;v-text-anchor:middle;" filled="f" stroked="t" coordsize="21600,21600" o:gfxdata="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0kaUugAAANsA&#10;AAAPAAAAAAAAAAEAIAAAACIAAABkcnMvZG93bnJldi54bWxQSwECFAAUAAAACACHTuJAMy8FnjsA&#10;AAA5AAAAEAAAAAAAAAABACAAAAAJAQAAZHJzL3NoYXBleG1sLnhtbFBLBQYAAAAABgAGAFsBAACz&#10;AwAAAAA=&#10;">
                  <v:fill on="f" focussize="0,0"/>
                  <v:stroke weight="1.5pt" color="#00B050 [3204]" joinstyle="round"/>
                  <v:imagedata o:title=""/>
                  <o:lock v:ext="edit" aspectratio="f"/>
                  <v:textbox>
                    <w:txbxContent>
                      <w:p w14:paraId="374E46CC">
                        <w:pPr>
                          <w:jc w:val="center"/>
                        </w:pPr>
                      </w:p>
                    </w:txbxContent>
                  </v:textbox>
                </v:rect>
                <v:rect id="_x0000_s1026" o:spid="_x0000_s1026" o:spt="1" style="position:absolute;left:12555;top:958228;height:145;width:213;v-text-anchor:middle;" filled="f" stroked="t" coordsize="21600,21600" o:gfxdata="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KlrsAAADc&#10;AAAADwAAAAAAAAABACAAAAAiAAAAZHJzL2Rvd25yZXYueG1sUEsBAhQAFAAAAAgAh07iQDMvBZ47&#10;AAAAOQAAABAAAAAAAAAAAQAgAAAACgEAAGRycy9zaGFwZXhtbC54bWxQSwUGAAAAAAYABgBbAQAA&#10;tAMAAAAA&#10;">
                  <v:fill on="f" focussize="0,0"/>
                  <v:stroke weight="1.5pt" color="#FF0000 [3204]" joinstyle="round"/>
                  <v:imagedata o:title=""/>
                  <o:lock v:ext="edit" aspectratio="f"/>
                  <v:textbox>
                    <w:txbxContent>
                      <w:p w14:paraId="3B5D0790">
                        <w:pPr>
                          <w:jc w:val="center"/>
                        </w:pPr>
                      </w:p>
                    </w:txbxContent>
                  </v:textbox>
                </v:rect>
                <v:rect id="_x0000_s1026" o:spid="_x0000_s1026" o:spt="1" style="position:absolute;left:12544;top:958641;height:145;width:213;v-text-anchor:middle;" fillcolor="#F79646" filled="t" stroked="t" coordsize="21600,21600" o:gfxdata="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20YBvQAA&#10;ANwAAAAPAAAAAAAAAAEAIAAAACIAAABkcnMvZG93bnJldi54bWxQSwECFAAUAAAACACHTuJAMy8F&#10;njsAAAA5AAAAEAAAAAAAAAABACAAAAAMAQAAZHJzL3NoYXBleG1sLnhtbFBLBQYAAAAABgAGAFsB&#10;AAC2AwAAAAA=&#10;">
                  <v:fill on="t" opacity="40632f" focussize="0,0"/>
                  <v:stroke weight="1.5pt" color="#F79646 [3209]" joinstyle="round"/>
                  <v:imagedata o:title=""/>
                  <o:lock v:ext="edit" aspectratio="f"/>
                  <v:textbox>
                    <w:txbxContent>
                      <w:p w14:paraId="5AF7DF27">
                        <w:pPr>
                          <w:jc w:val="center"/>
                        </w:pPr>
                      </w:p>
                    </w:txbxContent>
                  </v:textbox>
                </v:rect>
                <v:rect id="_x0000_s1026" o:spid="_x0000_s1026" o:spt="1" style="position:absolute;left:12565;top:957068;height:145;width:213;v-text-anchor:middle;" fillcolor="#4F81BD [3204]" filled="t" stroked="t" coordsize="21600,21600" o:gfxdata="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FqcI68AAAA&#10;2gAAAA8AAAAAAAAAAQAgAAAAIgAAAGRycy9kb3ducmV2LnhtbFBLAQIUABQAAAAIAIdO4kAzLwWe&#10;OwAAADkAAAAQAAAAAAAAAAEAIAAAAAsBAABkcnMvc2hhcGV4bWwueG1sUEsFBgAAAAAGAAYAWwEA&#10;ALUDAAAAAA==&#10;">
                  <v:fill on="t" focussize="0,0"/>
                  <v:stroke weight="1.5pt" color="#4233B5 [3204]" joinstyle="round"/>
                  <v:imagedata o:title=""/>
                  <o:lock v:ext="edit" aspectratio="f"/>
                  <v:textbox>
                    <w:txbxContent>
                      <w:p w14:paraId="07C6C039">
                        <w:pPr>
                          <w:jc w:val="center"/>
                        </w:pPr>
                      </w:p>
                    </w:txbxContent>
                  </v:textbox>
                </v:rect>
              </v:group>
            </w:pict>
          </mc:Fallback>
        </mc:AlternateContent>
      </w:r>
      <w:r>
        <w:rPr>
          <w:rFonts w:cs="Times New Roman"/>
          <w:color w:val="auto"/>
          <w:highlight w:val="none"/>
        </w:rPr>
        <mc:AlternateContent>
          <mc:Choice Requires="wps">
            <w:drawing>
              <wp:anchor distT="0" distB="0" distL="114300" distR="114300" simplePos="0" relativeHeight="251662336" behindDoc="0" locked="0" layoutInCell="1" allowOverlap="1">
                <wp:simplePos x="0" y="0"/>
                <wp:positionH relativeFrom="column">
                  <wp:posOffset>6847840</wp:posOffset>
                </wp:positionH>
                <wp:positionV relativeFrom="paragraph">
                  <wp:posOffset>3360420</wp:posOffset>
                </wp:positionV>
                <wp:extent cx="1520190" cy="1854835"/>
                <wp:effectExtent l="4445" t="4445" r="18415" b="7620"/>
                <wp:wrapNone/>
                <wp:docPr id="68" name="文本框 68"/>
                <wp:cNvGraphicFramePr/>
                <a:graphic xmlns:a="http://schemas.openxmlformats.org/drawingml/2006/main">
                  <a:graphicData uri="http://schemas.microsoft.com/office/word/2010/wordprocessingShape">
                    <wps:wsp>
                      <wps:cNvSpPr txBox="1"/>
                      <wps:spPr>
                        <a:xfrm>
                          <a:off x="7505700" y="4840605"/>
                          <a:ext cx="1520190" cy="18548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AA8D90B">
                            <w:pPr>
                              <w:spacing w:line="400" w:lineRule="exact"/>
                              <w:ind w:firstLine="0" w:firstLineChars="0"/>
                              <w:jc w:val="center"/>
                              <w:rPr>
                                <w:b/>
                                <w:bCs/>
                                <w:szCs w:val="24"/>
                              </w:rPr>
                            </w:pPr>
                            <w:r>
                              <w:rPr>
                                <w:rFonts w:hint="eastAsia"/>
                                <w:b/>
                                <w:bCs/>
                                <w:szCs w:val="24"/>
                              </w:rPr>
                              <w:t>图  例</w:t>
                            </w:r>
                          </w:p>
                          <w:p w14:paraId="2FD29215">
                            <w:pPr>
                              <w:pStyle w:val="82"/>
                              <w:spacing w:line="400" w:lineRule="exact"/>
                              <w:ind w:left="0" w:leftChars="0" w:firstLine="240" w:firstLineChars="100"/>
                              <w:rPr>
                                <w:sz w:val="24"/>
                                <w:szCs w:val="24"/>
                              </w:rPr>
                            </w:pPr>
                            <w:r>
                              <w:rPr>
                                <w:rFonts w:hint="eastAsia"/>
                                <w:sz w:val="24"/>
                                <w:szCs w:val="24"/>
                              </w:rPr>
                              <w:t>项目所在地</w:t>
                            </w:r>
                          </w:p>
                          <w:p w14:paraId="3BF61EA1">
                            <w:pPr>
                              <w:pStyle w:val="82"/>
                              <w:spacing w:line="400" w:lineRule="exact"/>
                              <w:ind w:left="0" w:leftChars="0" w:firstLine="240" w:firstLineChars="100"/>
                              <w:rPr>
                                <w:sz w:val="24"/>
                                <w:szCs w:val="24"/>
                              </w:rPr>
                            </w:pPr>
                            <w:r>
                              <w:rPr>
                                <w:rFonts w:hint="eastAsia"/>
                                <w:sz w:val="24"/>
                                <w:szCs w:val="24"/>
                              </w:rPr>
                              <w:t>大气评价范围</w:t>
                            </w:r>
                          </w:p>
                          <w:p w14:paraId="3CFAE188">
                            <w:pPr>
                              <w:pStyle w:val="82"/>
                              <w:spacing w:line="400" w:lineRule="exact"/>
                              <w:ind w:left="0" w:leftChars="0" w:firstLine="240" w:firstLineChars="100"/>
                              <w:rPr>
                                <w:sz w:val="24"/>
                                <w:szCs w:val="24"/>
                              </w:rPr>
                            </w:pPr>
                            <w:r>
                              <w:rPr>
                                <w:rFonts w:hint="eastAsia"/>
                                <w:sz w:val="24"/>
                                <w:szCs w:val="24"/>
                              </w:rPr>
                              <w:t>地下水评价范围</w:t>
                            </w:r>
                          </w:p>
                          <w:p w14:paraId="290714DF">
                            <w:pPr>
                              <w:pStyle w:val="82"/>
                              <w:spacing w:line="400" w:lineRule="exact"/>
                              <w:ind w:firstLine="240" w:firstLineChars="100"/>
                              <w:rPr>
                                <w:sz w:val="24"/>
                                <w:szCs w:val="24"/>
                              </w:rPr>
                            </w:pPr>
                            <w:r>
                              <w:rPr>
                                <w:rFonts w:hint="eastAsia"/>
                                <w:sz w:val="24"/>
                                <w:szCs w:val="24"/>
                              </w:rPr>
                              <w:t>声评价范围</w:t>
                            </w:r>
                          </w:p>
                          <w:p w14:paraId="6B4AA20E">
                            <w:pPr>
                              <w:pStyle w:val="82"/>
                              <w:spacing w:line="400" w:lineRule="exact"/>
                              <w:ind w:firstLine="240" w:firstLineChars="100"/>
                              <w:rPr>
                                <w:rFonts w:hint="eastAsia" w:ascii="宋体" w:hAnsi="宋体" w:eastAsia="宋体"/>
                                <w:sz w:val="24"/>
                                <w:szCs w:val="24"/>
                              </w:rPr>
                            </w:pPr>
                            <w:r>
                              <w:rPr>
                                <w:rFonts w:hint="eastAsia"/>
                                <w:sz w:val="24"/>
                                <w:szCs w:val="24"/>
                              </w:rPr>
                              <w:t>环境保护</w:t>
                            </w:r>
                            <w:r>
                              <w:rPr>
                                <w:rFonts w:hint="eastAsia" w:ascii="宋体" w:hAnsi="宋体" w:eastAsia="宋体"/>
                                <w:sz w:val="24"/>
                                <w:szCs w:val="24"/>
                              </w:rPr>
                              <w:t>目标</w:t>
                            </w:r>
                          </w:p>
                          <w:p w14:paraId="62D07D99">
                            <w:pPr>
                              <w:pStyle w:val="82"/>
                              <w:spacing w:line="400" w:lineRule="exact"/>
                              <w:ind w:firstLine="240" w:firstLineChars="100"/>
                              <w:rPr>
                                <w:rFonts w:hint="default" w:ascii="宋体" w:hAnsi="宋体" w:eastAsia="宋体"/>
                                <w:sz w:val="24"/>
                                <w:szCs w:val="2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9.2pt;margin-top:264.6pt;height:146.05pt;width:119.7pt;z-index:251662336;mso-width-relative:page;mso-height-relative:page;" fillcolor="#FFFFFF [3201]" filled="t" stroked="t" coordsize="21600,21600" o:gfxdata="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1P49J2AAAAA0BAAAPAAAAAAAAAAEAIAAAACIAAABkcnMvZG93bnJldi54bWxQSwEC&#10;FAAUAAAACACHTuJA0qkIWGYCAADGBAAADgAAAAAAAAABACAAAAAnAQAAZHJzL2Uyb0RvYy54bWxQ&#10;SwUGAAAAAAYABgBZAQAA/wUAAAAA&#10;">
                <v:fill on="t" focussize="0,0"/>
                <v:stroke weight="0.5pt" color="#000000 [3204]" joinstyle="round"/>
                <v:imagedata o:title=""/>
                <o:lock v:ext="edit" aspectratio="f"/>
                <v:textbox>
                  <w:txbxContent>
                    <w:p w14:paraId="5AA8D90B">
                      <w:pPr>
                        <w:spacing w:line="400" w:lineRule="exact"/>
                        <w:ind w:firstLine="0" w:firstLineChars="0"/>
                        <w:jc w:val="center"/>
                        <w:rPr>
                          <w:b/>
                          <w:bCs/>
                          <w:szCs w:val="24"/>
                        </w:rPr>
                      </w:pPr>
                      <w:r>
                        <w:rPr>
                          <w:rFonts w:hint="eastAsia"/>
                          <w:b/>
                          <w:bCs/>
                          <w:szCs w:val="24"/>
                        </w:rPr>
                        <w:t>图  例</w:t>
                      </w:r>
                    </w:p>
                    <w:p w14:paraId="2FD29215">
                      <w:pPr>
                        <w:pStyle w:val="82"/>
                        <w:spacing w:line="400" w:lineRule="exact"/>
                        <w:ind w:left="0" w:leftChars="0" w:firstLine="240" w:firstLineChars="100"/>
                        <w:rPr>
                          <w:sz w:val="24"/>
                          <w:szCs w:val="24"/>
                        </w:rPr>
                      </w:pPr>
                      <w:r>
                        <w:rPr>
                          <w:rFonts w:hint="eastAsia"/>
                          <w:sz w:val="24"/>
                          <w:szCs w:val="24"/>
                        </w:rPr>
                        <w:t>项目所在地</w:t>
                      </w:r>
                    </w:p>
                    <w:p w14:paraId="3BF61EA1">
                      <w:pPr>
                        <w:pStyle w:val="82"/>
                        <w:spacing w:line="400" w:lineRule="exact"/>
                        <w:ind w:left="0" w:leftChars="0" w:firstLine="240" w:firstLineChars="100"/>
                        <w:rPr>
                          <w:sz w:val="24"/>
                          <w:szCs w:val="24"/>
                        </w:rPr>
                      </w:pPr>
                      <w:r>
                        <w:rPr>
                          <w:rFonts w:hint="eastAsia"/>
                          <w:sz w:val="24"/>
                          <w:szCs w:val="24"/>
                        </w:rPr>
                        <w:t>大气评价范围</w:t>
                      </w:r>
                    </w:p>
                    <w:p w14:paraId="3CFAE188">
                      <w:pPr>
                        <w:pStyle w:val="82"/>
                        <w:spacing w:line="400" w:lineRule="exact"/>
                        <w:ind w:left="0" w:leftChars="0" w:firstLine="240" w:firstLineChars="100"/>
                        <w:rPr>
                          <w:sz w:val="24"/>
                          <w:szCs w:val="24"/>
                        </w:rPr>
                      </w:pPr>
                      <w:r>
                        <w:rPr>
                          <w:rFonts w:hint="eastAsia"/>
                          <w:sz w:val="24"/>
                          <w:szCs w:val="24"/>
                        </w:rPr>
                        <w:t>地下水评价范围</w:t>
                      </w:r>
                    </w:p>
                    <w:p w14:paraId="290714DF">
                      <w:pPr>
                        <w:pStyle w:val="82"/>
                        <w:spacing w:line="400" w:lineRule="exact"/>
                        <w:ind w:firstLine="240" w:firstLineChars="100"/>
                        <w:rPr>
                          <w:sz w:val="24"/>
                          <w:szCs w:val="24"/>
                        </w:rPr>
                      </w:pPr>
                      <w:r>
                        <w:rPr>
                          <w:rFonts w:hint="eastAsia"/>
                          <w:sz w:val="24"/>
                          <w:szCs w:val="24"/>
                        </w:rPr>
                        <w:t>声评价范围</w:t>
                      </w:r>
                    </w:p>
                    <w:p w14:paraId="6B4AA20E">
                      <w:pPr>
                        <w:pStyle w:val="82"/>
                        <w:spacing w:line="400" w:lineRule="exact"/>
                        <w:ind w:firstLine="240" w:firstLineChars="100"/>
                        <w:rPr>
                          <w:rFonts w:hint="eastAsia" w:ascii="宋体" w:hAnsi="宋体" w:eastAsia="宋体"/>
                          <w:sz w:val="24"/>
                          <w:szCs w:val="24"/>
                        </w:rPr>
                      </w:pPr>
                      <w:r>
                        <w:rPr>
                          <w:rFonts w:hint="eastAsia"/>
                          <w:sz w:val="24"/>
                          <w:szCs w:val="24"/>
                        </w:rPr>
                        <w:t>环境保护</w:t>
                      </w:r>
                      <w:r>
                        <w:rPr>
                          <w:rFonts w:hint="eastAsia" w:ascii="宋体" w:hAnsi="宋体" w:eastAsia="宋体"/>
                          <w:sz w:val="24"/>
                          <w:szCs w:val="24"/>
                        </w:rPr>
                        <w:t>目标</w:t>
                      </w:r>
                    </w:p>
                    <w:p w14:paraId="62D07D99">
                      <w:pPr>
                        <w:pStyle w:val="82"/>
                        <w:spacing w:line="400" w:lineRule="exact"/>
                        <w:ind w:firstLine="240" w:firstLineChars="100"/>
                        <w:rPr>
                          <w:rFonts w:hint="default" w:ascii="宋体" w:hAnsi="宋体" w:eastAsia="宋体"/>
                          <w:sz w:val="24"/>
                          <w:szCs w:val="24"/>
                          <w:lang w:val="en-US" w:eastAsia="zh-CN"/>
                        </w:rPr>
                      </w:pPr>
                    </w:p>
                  </w:txbxContent>
                </v:textbox>
              </v:shape>
            </w:pict>
          </mc:Fallback>
        </mc:AlternateContent>
      </w:r>
      <w:r>
        <w:rPr>
          <w:rFonts w:cs="Times New Roman"/>
          <w:color w:val="auto"/>
          <w:highlight w:val="none"/>
        </w:rPr>
        <w:drawing>
          <wp:anchor distT="0" distB="0" distL="114300" distR="114300" simplePos="0" relativeHeight="251676672" behindDoc="0" locked="0" layoutInCell="1" allowOverlap="1">
            <wp:simplePos x="0" y="0"/>
            <wp:positionH relativeFrom="column">
              <wp:posOffset>7510780</wp:posOffset>
            </wp:positionH>
            <wp:positionV relativeFrom="paragraph">
              <wp:posOffset>-6985</wp:posOffset>
            </wp:positionV>
            <wp:extent cx="862965" cy="873125"/>
            <wp:effectExtent l="0" t="0" r="13335" b="3175"/>
            <wp:wrapNone/>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28"/>
                    <a:stretch>
                      <a:fillRect/>
                    </a:stretch>
                  </pic:blipFill>
                  <pic:spPr>
                    <a:xfrm>
                      <a:off x="0" y="0"/>
                      <a:ext cx="862965" cy="873125"/>
                    </a:xfrm>
                    <a:prstGeom prst="rect">
                      <a:avLst/>
                    </a:prstGeom>
                    <a:noFill/>
                    <a:ln>
                      <a:noFill/>
                    </a:ln>
                  </pic:spPr>
                </pic:pic>
              </a:graphicData>
            </a:graphic>
          </wp:anchor>
        </w:drawing>
      </w:r>
      <w:r>
        <w:rPr>
          <w:color w:val="auto"/>
          <w:highlight w:val="none"/>
        </w:rPr>
        <w:drawing>
          <wp:inline distT="0" distB="0" distL="114300" distR="114300">
            <wp:extent cx="8399145" cy="5462905"/>
            <wp:effectExtent l="0" t="0" r="1905" b="444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29"/>
                    <a:stretch>
                      <a:fillRect/>
                    </a:stretch>
                  </pic:blipFill>
                  <pic:spPr>
                    <a:xfrm>
                      <a:off x="0" y="0"/>
                      <a:ext cx="8399145" cy="5462905"/>
                    </a:xfrm>
                    <a:prstGeom prst="rect">
                      <a:avLst/>
                    </a:prstGeom>
                    <a:noFill/>
                    <a:ln>
                      <a:noFill/>
                    </a:ln>
                  </pic:spPr>
                </pic:pic>
              </a:graphicData>
            </a:graphic>
          </wp:inline>
        </w:drawing>
      </w:r>
    </w:p>
    <w:p w14:paraId="44BF3A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cs="Times New Roman"/>
          <w:color w:val="auto"/>
          <w:szCs w:val="24"/>
          <w:highlight w:val="none"/>
        </w:rPr>
      </w:pPr>
      <w:r>
        <w:rPr>
          <w:rFonts w:cs="Times New Roman"/>
          <w:b/>
          <w:bCs/>
          <w:snapToGrid w:val="0"/>
          <w:color w:val="auto"/>
          <w:kern w:val="0"/>
          <w:szCs w:val="24"/>
          <w:highlight w:val="none"/>
        </w:rPr>
        <w:t>图2.5-1  评价范围及环境保护目标图</w:t>
      </w:r>
    </w:p>
    <w:p w14:paraId="1542DEB9">
      <w:pPr>
        <w:adjustRightInd/>
        <w:snapToGrid/>
        <w:spacing w:line="500" w:lineRule="exact"/>
        <w:ind w:firstLine="0" w:firstLineChars="0"/>
        <w:rPr>
          <w:rFonts w:cs="Times New Roman"/>
          <w:snapToGrid w:val="0"/>
          <w:color w:val="auto"/>
          <w:kern w:val="0"/>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59DAF661">
      <w:pPr>
        <w:pStyle w:val="2"/>
        <w:rPr>
          <w:rFonts w:cs="Times New Roman"/>
          <w:color w:val="auto"/>
          <w:highlight w:val="none"/>
        </w:rPr>
      </w:pPr>
      <w:bookmarkStart w:id="91" w:name="_Toc2595"/>
      <w:bookmarkStart w:id="92" w:name="_Toc480447660"/>
      <w:r>
        <w:rPr>
          <w:rFonts w:cs="Times New Roman"/>
          <w:color w:val="auto"/>
          <w:highlight w:val="none"/>
        </w:rPr>
        <w:t>3工程分析</w:t>
      </w:r>
      <w:bookmarkEnd w:id="91"/>
      <w:bookmarkEnd w:id="92"/>
    </w:p>
    <w:p w14:paraId="52FD418D">
      <w:pPr>
        <w:pStyle w:val="3"/>
        <w:spacing w:before="156" w:after="156"/>
        <w:rPr>
          <w:rFonts w:cs="Times New Roman"/>
          <w:color w:val="auto"/>
          <w:highlight w:val="none"/>
        </w:rPr>
      </w:pPr>
      <w:bookmarkStart w:id="93" w:name="_Toc113078918"/>
      <w:bookmarkStart w:id="94" w:name="_Toc182022278"/>
      <w:bookmarkStart w:id="95" w:name="_Toc456590361"/>
      <w:bookmarkStart w:id="96" w:name="_Toc118086777"/>
      <w:bookmarkStart w:id="97" w:name="_Toc112420348"/>
      <w:bookmarkStart w:id="98" w:name="_Toc480447661"/>
      <w:bookmarkStart w:id="99" w:name="_Toc17857"/>
      <w:r>
        <w:rPr>
          <w:rFonts w:cs="Times New Roman"/>
          <w:color w:val="auto"/>
          <w:highlight w:val="none"/>
        </w:rPr>
        <w:t>3.1项目概况</w:t>
      </w:r>
      <w:bookmarkEnd w:id="93"/>
      <w:bookmarkEnd w:id="94"/>
      <w:bookmarkEnd w:id="95"/>
      <w:bookmarkEnd w:id="96"/>
      <w:bookmarkEnd w:id="97"/>
      <w:bookmarkEnd w:id="98"/>
      <w:bookmarkEnd w:id="99"/>
    </w:p>
    <w:p w14:paraId="2C6DC8C1">
      <w:pPr>
        <w:pStyle w:val="4"/>
        <w:spacing w:after="156"/>
        <w:rPr>
          <w:rFonts w:cs="Times New Roman"/>
          <w:color w:val="auto"/>
          <w:highlight w:val="none"/>
        </w:rPr>
      </w:pPr>
      <w:bookmarkStart w:id="100" w:name="_Toc113078920"/>
      <w:bookmarkStart w:id="101" w:name="_Toc182022280"/>
      <w:bookmarkStart w:id="102" w:name="_Toc112420350"/>
      <w:bookmarkStart w:id="103" w:name="_Toc118086779"/>
      <w:bookmarkStart w:id="104" w:name="_Toc19334"/>
      <w:r>
        <w:rPr>
          <w:rFonts w:cs="Times New Roman"/>
          <w:color w:val="auto"/>
          <w:highlight w:val="none"/>
        </w:rPr>
        <w:t>3.1.1</w:t>
      </w:r>
      <w:bookmarkEnd w:id="100"/>
      <w:bookmarkEnd w:id="101"/>
      <w:bookmarkEnd w:id="102"/>
      <w:bookmarkEnd w:id="103"/>
      <w:r>
        <w:rPr>
          <w:rFonts w:cs="Times New Roman"/>
          <w:color w:val="auto"/>
          <w:highlight w:val="none"/>
        </w:rPr>
        <w:t>项目名称及基本组成</w:t>
      </w:r>
      <w:bookmarkEnd w:id="104"/>
    </w:p>
    <w:p w14:paraId="28F93E11">
      <w:pPr>
        <w:rPr>
          <w:rFonts w:hint="eastAsia" w:eastAsia="宋体" w:cs="Times New Roman"/>
          <w:snapToGrid w:val="0"/>
          <w:color w:val="auto"/>
          <w:kern w:val="0"/>
          <w:highlight w:val="none"/>
          <w:lang w:eastAsia="zh-CN"/>
        </w:rPr>
      </w:pPr>
      <w:r>
        <w:rPr>
          <w:rFonts w:cs="Times New Roman"/>
          <w:snapToGrid w:val="0"/>
          <w:color w:val="auto"/>
          <w:kern w:val="0"/>
          <w:highlight w:val="none"/>
        </w:rPr>
        <w:t>项目名称：</w:t>
      </w:r>
      <w:r>
        <w:rPr>
          <w:rFonts w:hint="eastAsia" w:cs="Times New Roman"/>
          <w:color w:val="auto"/>
          <w:szCs w:val="24"/>
          <w:highlight w:val="none"/>
          <w:lang w:eastAsia="zh-CN"/>
        </w:rPr>
        <w:t>双鸭山市兴昌屠宰有限公司建设项目</w:t>
      </w:r>
    </w:p>
    <w:p w14:paraId="5ABFA9C9">
      <w:pPr>
        <w:rPr>
          <w:rFonts w:hint="eastAsia" w:eastAsia="宋体" w:cs="Times New Roman"/>
          <w:snapToGrid w:val="0"/>
          <w:color w:val="auto"/>
          <w:kern w:val="0"/>
          <w:highlight w:val="none"/>
          <w:lang w:eastAsia="zh-CN"/>
        </w:rPr>
      </w:pPr>
      <w:r>
        <w:rPr>
          <w:rFonts w:cs="Times New Roman"/>
          <w:snapToGrid w:val="0"/>
          <w:color w:val="auto"/>
          <w:kern w:val="0"/>
          <w:highlight w:val="none"/>
        </w:rPr>
        <w:t>建设单位：</w:t>
      </w:r>
      <w:r>
        <w:rPr>
          <w:rFonts w:hint="eastAsia" w:cs="Times New Roman"/>
          <w:color w:val="auto"/>
          <w:szCs w:val="24"/>
          <w:highlight w:val="none"/>
          <w:lang w:eastAsia="zh-CN"/>
        </w:rPr>
        <w:t>双鸭山市兴昌屠宰有限公司</w:t>
      </w:r>
    </w:p>
    <w:p w14:paraId="00812423">
      <w:pPr>
        <w:rPr>
          <w:rFonts w:cs="Times New Roman"/>
          <w:snapToGrid w:val="0"/>
          <w:color w:val="auto"/>
          <w:kern w:val="0"/>
          <w:highlight w:val="none"/>
        </w:rPr>
      </w:pPr>
      <w:r>
        <w:rPr>
          <w:rFonts w:cs="Times New Roman"/>
          <w:snapToGrid w:val="0"/>
          <w:color w:val="auto"/>
          <w:kern w:val="0"/>
          <w:highlight w:val="none"/>
        </w:rPr>
        <w:t>建设地点：</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szCs w:val="24"/>
          <w:highlight w:val="none"/>
        </w:rPr>
        <w:t>，中心地理坐标经度为</w:t>
      </w:r>
      <w:r>
        <w:rPr>
          <w:rFonts w:hint="eastAsia" w:cs="Times New Roman"/>
          <w:color w:val="auto"/>
          <w:highlight w:val="none"/>
          <w:lang w:val="en-US" w:eastAsia="zh-CN"/>
        </w:rPr>
        <w:t>131.149639°</w:t>
      </w:r>
      <w:r>
        <w:rPr>
          <w:rFonts w:cs="Times New Roman"/>
          <w:color w:val="auto"/>
          <w:szCs w:val="24"/>
          <w:highlight w:val="none"/>
        </w:rPr>
        <w:t>，纬度为</w:t>
      </w:r>
      <w:r>
        <w:rPr>
          <w:rFonts w:hint="eastAsia" w:cs="Times New Roman"/>
          <w:color w:val="auto"/>
          <w:highlight w:val="none"/>
        </w:rPr>
        <w:t>46.557116</w:t>
      </w:r>
      <w:r>
        <w:rPr>
          <w:rFonts w:hint="eastAsia" w:cs="Times New Roman"/>
          <w:color w:val="auto"/>
          <w:highlight w:val="none"/>
          <w:lang w:val="en-US" w:eastAsia="zh-CN"/>
        </w:rPr>
        <w:t>°</w:t>
      </w:r>
      <w:r>
        <w:rPr>
          <w:rFonts w:cs="Times New Roman"/>
          <w:color w:val="auto"/>
          <w:szCs w:val="24"/>
          <w:highlight w:val="none"/>
        </w:rPr>
        <w:t>。地理位置图详见附图1。</w:t>
      </w:r>
    </w:p>
    <w:p w14:paraId="3960EDB2">
      <w:pPr>
        <w:rPr>
          <w:rFonts w:cs="Times New Roman"/>
          <w:snapToGrid w:val="0"/>
          <w:color w:val="auto"/>
          <w:kern w:val="0"/>
          <w:highlight w:val="none"/>
        </w:rPr>
      </w:pPr>
      <w:r>
        <w:rPr>
          <w:rFonts w:cs="Times New Roman"/>
          <w:snapToGrid w:val="0"/>
          <w:color w:val="auto"/>
          <w:kern w:val="0"/>
          <w:highlight w:val="none"/>
        </w:rPr>
        <w:t>建设性质：新建</w:t>
      </w:r>
    </w:p>
    <w:p w14:paraId="289EFABF">
      <w:pPr>
        <w:rPr>
          <w:rFonts w:cs="Times New Roman"/>
          <w:snapToGrid w:val="0"/>
          <w:color w:val="auto"/>
          <w:kern w:val="0"/>
          <w:highlight w:val="none"/>
        </w:rPr>
      </w:pPr>
      <w:r>
        <w:rPr>
          <w:rFonts w:cs="Times New Roman"/>
          <w:snapToGrid w:val="0"/>
          <w:color w:val="auto"/>
          <w:kern w:val="0"/>
          <w:highlight w:val="none"/>
        </w:rPr>
        <w:t>建设规模：肉牛</w:t>
      </w:r>
      <w:r>
        <w:rPr>
          <w:rFonts w:hint="eastAsia" w:cs="Times New Roman"/>
          <w:snapToGrid w:val="0"/>
          <w:color w:val="auto"/>
          <w:kern w:val="0"/>
          <w:highlight w:val="none"/>
          <w:lang w:val="en-US" w:eastAsia="zh-CN"/>
        </w:rPr>
        <w:t>1</w:t>
      </w:r>
      <w:r>
        <w:rPr>
          <w:rFonts w:cs="Times New Roman"/>
          <w:snapToGrid w:val="0"/>
          <w:color w:val="auto"/>
          <w:kern w:val="0"/>
          <w:highlight w:val="none"/>
        </w:rPr>
        <w:t>0</w:t>
      </w:r>
      <w:r>
        <w:rPr>
          <w:rFonts w:hint="eastAsia" w:cs="Times New Roman"/>
          <w:snapToGrid w:val="0"/>
          <w:color w:val="auto"/>
          <w:kern w:val="0"/>
          <w:highlight w:val="none"/>
          <w:lang w:val="en-US" w:eastAsia="zh-CN"/>
        </w:rPr>
        <w:t>0</w:t>
      </w:r>
      <w:r>
        <w:rPr>
          <w:rFonts w:cs="Times New Roman"/>
          <w:snapToGrid w:val="0"/>
          <w:color w:val="auto"/>
          <w:kern w:val="0"/>
          <w:highlight w:val="none"/>
        </w:rPr>
        <w:t>头/d，肉羊</w:t>
      </w:r>
      <w:r>
        <w:rPr>
          <w:rFonts w:hint="eastAsia" w:cs="Times New Roman"/>
          <w:snapToGrid w:val="0"/>
          <w:color w:val="auto"/>
          <w:kern w:val="0"/>
          <w:highlight w:val="none"/>
          <w:lang w:val="en-US" w:eastAsia="zh-CN"/>
        </w:rPr>
        <w:t>500</w:t>
      </w:r>
      <w:r>
        <w:rPr>
          <w:rFonts w:cs="Times New Roman"/>
          <w:snapToGrid w:val="0"/>
          <w:color w:val="auto"/>
          <w:kern w:val="0"/>
          <w:highlight w:val="none"/>
        </w:rPr>
        <w:t>只/d</w:t>
      </w:r>
    </w:p>
    <w:p w14:paraId="6437236A">
      <w:pPr>
        <w:rPr>
          <w:rFonts w:cs="Times New Roman"/>
          <w:snapToGrid w:val="0"/>
          <w:color w:val="auto"/>
          <w:kern w:val="0"/>
          <w:highlight w:val="none"/>
        </w:rPr>
      </w:pPr>
      <w:r>
        <w:rPr>
          <w:rFonts w:cs="Times New Roman"/>
          <w:snapToGrid w:val="0"/>
          <w:color w:val="auto"/>
          <w:kern w:val="0"/>
          <w:highlight w:val="none"/>
        </w:rPr>
        <w:t>总占地面积：</w:t>
      </w:r>
      <w:r>
        <w:rPr>
          <w:rFonts w:hint="eastAsia" w:ascii="Times New Roman" w:hAnsi="Times New Roman" w:cs="Times New Roman"/>
          <w:snapToGrid w:val="0"/>
          <w:color w:val="auto"/>
          <w:kern w:val="0"/>
          <w:szCs w:val="24"/>
          <w:highlight w:val="none"/>
          <w:lang w:val="en-US" w:eastAsia="zh-CN"/>
        </w:rPr>
        <w:t>36031</w:t>
      </w:r>
      <w:r>
        <w:rPr>
          <w:rFonts w:cs="Times New Roman"/>
          <w:snapToGrid w:val="0"/>
          <w:color w:val="auto"/>
          <w:kern w:val="0"/>
          <w:highlight w:val="none"/>
        </w:rPr>
        <w:t>m</w:t>
      </w:r>
      <w:r>
        <w:rPr>
          <w:rFonts w:cs="Times New Roman"/>
          <w:snapToGrid w:val="0"/>
          <w:color w:val="auto"/>
          <w:kern w:val="0"/>
          <w:highlight w:val="none"/>
          <w:vertAlign w:val="superscript"/>
        </w:rPr>
        <w:t>2</w:t>
      </w:r>
    </w:p>
    <w:p w14:paraId="38597A3D">
      <w:pPr>
        <w:rPr>
          <w:rFonts w:cs="Times New Roman"/>
          <w:snapToGrid w:val="0"/>
          <w:color w:val="auto"/>
          <w:kern w:val="0"/>
          <w:highlight w:val="none"/>
        </w:rPr>
      </w:pPr>
      <w:r>
        <w:rPr>
          <w:rFonts w:cs="Times New Roman"/>
          <w:snapToGrid w:val="0"/>
          <w:color w:val="auto"/>
          <w:kern w:val="0"/>
          <w:highlight w:val="none"/>
        </w:rPr>
        <w:t>工程投资：</w:t>
      </w:r>
      <w:r>
        <w:rPr>
          <w:rFonts w:hint="eastAsia" w:cs="Times New Roman"/>
          <w:snapToGrid w:val="0"/>
          <w:color w:val="auto"/>
          <w:kern w:val="0"/>
          <w:highlight w:val="none"/>
          <w:lang w:val="en-US" w:eastAsia="zh-CN"/>
        </w:rPr>
        <w:t>2600</w:t>
      </w:r>
      <w:r>
        <w:rPr>
          <w:rFonts w:cs="Times New Roman"/>
          <w:snapToGrid w:val="0"/>
          <w:color w:val="auto"/>
          <w:kern w:val="0"/>
          <w:highlight w:val="none"/>
        </w:rPr>
        <w:t>万元</w:t>
      </w:r>
    </w:p>
    <w:p w14:paraId="5CDD6B9F">
      <w:pPr>
        <w:rPr>
          <w:rFonts w:cs="Times New Roman"/>
          <w:snapToGrid w:val="0"/>
          <w:color w:val="auto"/>
          <w:kern w:val="0"/>
          <w:highlight w:val="none"/>
        </w:rPr>
      </w:pPr>
      <w:r>
        <w:rPr>
          <w:rFonts w:cs="Times New Roman"/>
          <w:snapToGrid w:val="0"/>
          <w:color w:val="auto"/>
          <w:kern w:val="0"/>
          <w:highlight w:val="none"/>
        </w:rPr>
        <w:t>劳动定员及工作制度：</w:t>
      </w:r>
      <w:r>
        <w:rPr>
          <w:rFonts w:hint="eastAsia" w:cs="Times New Roman"/>
          <w:snapToGrid w:val="0"/>
          <w:color w:val="auto"/>
          <w:kern w:val="0"/>
          <w:highlight w:val="none"/>
          <w:lang w:val="en-US" w:eastAsia="zh-CN"/>
        </w:rPr>
        <w:t>30</w:t>
      </w:r>
      <w:r>
        <w:rPr>
          <w:rFonts w:cs="Times New Roman"/>
          <w:snapToGrid w:val="0"/>
          <w:color w:val="auto"/>
          <w:kern w:val="0"/>
          <w:highlight w:val="none"/>
        </w:rPr>
        <w:t>人，全年工作天数为3</w:t>
      </w:r>
      <w:r>
        <w:rPr>
          <w:rFonts w:hint="eastAsia" w:cs="Times New Roman"/>
          <w:snapToGrid w:val="0"/>
          <w:color w:val="auto"/>
          <w:kern w:val="0"/>
          <w:highlight w:val="none"/>
          <w:lang w:val="en-US" w:eastAsia="zh-CN"/>
        </w:rPr>
        <w:t>1</w:t>
      </w:r>
      <w:r>
        <w:rPr>
          <w:rFonts w:cs="Times New Roman"/>
          <w:snapToGrid w:val="0"/>
          <w:color w:val="auto"/>
          <w:kern w:val="0"/>
          <w:highlight w:val="none"/>
        </w:rPr>
        <w:t>0天，实行</w:t>
      </w:r>
      <w:r>
        <w:rPr>
          <w:rFonts w:hint="eastAsia" w:cs="Times New Roman"/>
          <w:snapToGrid w:val="0"/>
          <w:color w:val="auto"/>
          <w:kern w:val="0"/>
          <w:highlight w:val="none"/>
          <w:lang w:val="en-US" w:eastAsia="zh-CN"/>
        </w:rPr>
        <w:t>1</w:t>
      </w:r>
      <w:r>
        <w:rPr>
          <w:rFonts w:cs="Times New Roman"/>
          <w:snapToGrid w:val="0"/>
          <w:color w:val="auto"/>
          <w:kern w:val="0"/>
          <w:highlight w:val="none"/>
        </w:rPr>
        <w:t>班制，</w:t>
      </w:r>
      <w:r>
        <w:rPr>
          <w:rFonts w:hint="eastAsia" w:cs="Times New Roman"/>
          <w:snapToGrid w:val="0"/>
          <w:color w:val="auto"/>
          <w:kern w:val="0"/>
          <w:highlight w:val="none"/>
          <w:lang w:val="en-US" w:eastAsia="zh-CN"/>
        </w:rPr>
        <w:t>日工作</w:t>
      </w:r>
      <w:r>
        <w:rPr>
          <w:rFonts w:cs="Times New Roman"/>
          <w:snapToGrid w:val="0"/>
          <w:color w:val="auto"/>
          <w:kern w:val="0"/>
          <w:highlight w:val="none"/>
        </w:rPr>
        <w:t>8小时。</w:t>
      </w:r>
    </w:p>
    <w:p w14:paraId="0D893872">
      <w:pPr>
        <w:rPr>
          <w:rFonts w:cs="Times New Roman"/>
          <w:snapToGrid w:val="0"/>
          <w:color w:val="auto"/>
          <w:kern w:val="0"/>
          <w:highlight w:val="none"/>
        </w:rPr>
      </w:pPr>
      <w:r>
        <w:rPr>
          <w:rFonts w:cs="Times New Roman"/>
          <w:snapToGrid w:val="0"/>
          <w:color w:val="auto"/>
          <w:kern w:val="0"/>
          <w:highlight w:val="none"/>
        </w:rPr>
        <w:t>预计投产日期：202</w:t>
      </w:r>
      <w:r>
        <w:rPr>
          <w:rFonts w:hint="eastAsia" w:cs="Times New Roman"/>
          <w:snapToGrid w:val="0"/>
          <w:color w:val="auto"/>
          <w:kern w:val="0"/>
          <w:highlight w:val="none"/>
          <w:lang w:val="en-US" w:eastAsia="zh-CN"/>
        </w:rPr>
        <w:t>6</w:t>
      </w:r>
      <w:r>
        <w:rPr>
          <w:rFonts w:cs="Times New Roman"/>
          <w:snapToGrid w:val="0"/>
          <w:color w:val="auto"/>
          <w:kern w:val="0"/>
          <w:highlight w:val="none"/>
        </w:rPr>
        <w:t>年</w:t>
      </w:r>
      <w:r>
        <w:rPr>
          <w:rFonts w:hint="eastAsia" w:cs="Times New Roman"/>
          <w:snapToGrid w:val="0"/>
          <w:color w:val="auto"/>
          <w:kern w:val="0"/>
          <w:highlight w:val="none"/>
          <w:lang w:val="en-US" w:eastAsia="zh-CN"/>
        </w:rPr>
        <w:t>1</w:t>
      </w:r>
      <w:r>
        <w:rPr>
          <w:rFonts w:cs="Times New Roman"/>
          <w:snapToGrid w:val="0"/>
          <w:color w:val="auto"/>
          <w:kern w:val="0"/>
          <w:highlight w:val="none"/>
        </w:rPr>
        <w:t>月</w:t>
      </w:r>
    </w:p>
    <w:p w14:paraId="400901F6">
      <w:pPr>
        <w:pStyle w:val="4"/>
        <w:spacing w:after="156"/>
        <w:rPr>
          <w:rFonts w:cs="Times New Roman"/>
          <w:color w:val="auto"/>
          <w:highlight w:val="none"/>
        </w:rPr>
      </w:pPr>
      <w:bookmarkStart w:id="105" w:name="_Toc20874"/>
      <w:r>
        <w:rPr>
          <w:rFonts w:cs="Times New Roman"/>
          <w:color w:val="auto"/>
          <w:highlight w:val="none"/>
        </w:rPr>
        <w:t>3.1.2建设内容及规模</w:t>
      </w:r>
      <w:bookmarkEnd w:id="105"/>
    </w:p>
    <w:p w14:paraId="3991E7B5">
      <w:pPr>
        <w:rPr>
          <w:rFonts w:cs="Times New Roman"/>
          <w:snapToGrid w:val="0"/>
          <w:color w:val="auto"/>
          <w:kern w:val="0"/>
          <w:highlight w:val="none"/>
        </w:rPr>
      </w:pPr>
      <w:r>
        <w:rPr>
          <w:rFonts w:cs="Times New Roman"/>
          <w:snapToGrid w:val="0"/>
          <w:color w:val="auto"/>
          <w:kern w:val="0"/>
          <w:highlight w:val="none"/>
        </w:rPr>
        <w:t>本项目总占地面积为</w:t>
      </w:r>
      <w:r>
        <w:rPr>
          <w:rFonts w:hint="eastAsia" w:cs="Times New Roman"/>
          <w:snapToGrid w:val="0"/>
          <w:color w:val="auto"/>
          <w:kern w:val="0"/>
          <w:highlight w:val="none"/>
          <w:lang w:val="en-US" w:eastAsia="zh-CN"/>
        </w:rPr>
        <w:t>36031</w:t>
      </w:r>
      <w:r>
        <w:rPr>
          <w:rFonts w:cs="Times New Roman"/>
          <w:snapToGrid w:val="0"/>
          <w:color w:val="auto"/>
          <w:kern w:val="0"/>
          <w:highlight w:val="none"/>
        </w:rPr>
        <w:t>m</w:t>
      </w:r>
      <w:r>
        <w:rPr>
          <w:rFonts w:cs="Times New Roman"/>
          <w:snapToGrid w:val="0"/>
          <w:color w:val="auto"/>
          <w:kern w:val="0"/>
          <w:highlight w:val="none"/>
          <w:vertAlign w:val="superscript"/>
        </w:rPr>
        <w:t>2</w:t>
      </w:r>
      <w:r>
        <w:rPr>
          <w:rFonts w:cs="Times New Roman"/>
          <w:snapToGrid w:val="0"/>
          <w:color w:val="auto"/>
          <w:kern w:val="0"/>
          <w:highlight w:val="none"/>
        </w:rPr>
        <w:t>，总建筑面积为</w:t>
      </w:r>
      <w:r>
        <w:rPr>
          <w:rFonts w:hint="eastAsia" w:cs="Times New Roman"/>
          <w:snapToGrid w:val="0"/>
          <w:color w:val="auto"/>
          <w:kern w:val="0"/>
          <w:highlight w:val="none"/>
          <w:lang w:val="en-US" w:eastAsia="zh-CN"/>
        </w:rPr>
        <w:t>5789</w:t>
      </w:r>
      <w:r>
        <w:rPr>
          <w:rFonts w:cs="Times New Roman"/>
          <w:snapToGrid w:val="0"/>
          <w:color w:val="auto"/>
          <w:kern w:val="0"/>
          <w:highlight w:val="none"/>
        </w:rPr>
        <w:t>m</w:t>
      </w:r>
      <w:r>
        <w:rPr>
          <w:rFonts w:cs="Times New Roman"/>
          <w:snapToGrid w:val="0"/>
          <w:color w:val="auto"/>
          <w:kern w:val="0"/>
          <w:highlight w:val="none"/>
          <w:vertAlign w:val="superscript"/>
        </w:rPr>
        <w:t>2</w:t>
      </w:r>
      <w:r>
        <w:rPr>
          <w:rFonts w:cs="Times New Roman"/>
          <w:snapToGrid w:val="0"/>
          <w:color w:val="auto"/>
          <w:kern w:val="0"/>
          <w:highlight w:val="none"/>
        </w:rPr>
        <w:t>。主要建设内容为</w:t>
      </w:r>
      <w:r>
        <w:rPr>
          <w:rFonts w:hint="eastAsia" w:cs="Times New Roman"/>
          <w:snapToGrid w:val="0"/>
          <w:color w:val="auto"/>
          <w:kern w:val="0"/>
          <w:szCs w:val="24"/>
          <w:highlight w:val="none"/>
          <w:lang w:val="en-US" w:eastAsia="zh-CN"/>
        </w:rPr>
        <w:t>待宰圈</w:t>
      </w:r>
      <w:r>
        <w:rPr>
          <w:rFonts w:hint="eastAsia" w:ascii="Times New Roman" w:hAnsi="Times New Roman" w:cs="Times New Roman"/>
          <w:snapToGrid w:val="0"/>
          <w:color w:val="auto"/>
          <w:kern w:val="0"/>
          <w:szCs w:val="24"/>
          <w:highlight w:val="none"/>
          <w:lang w:val="en-US" w:eastAsia="zh-CN"/>
        </w:rPr>
        <w:t>、屠宰车间、急宰间、污水处理设施、检疫检验室、冷库</w:t>
      </w:r>
      <w:r>
        <w:rPr>
          <w:rFonts w:cs="Times New Roman"/>
          <w:snapToGrid w:val="0"/>
          <w:color w:val="auto"/>
          <w:kern w:val="0"/>
          <w:highlight w:val="none"/>
        </w:rPr>
        <w:t>等，生产车间设置1条牛</w:t>
      </w:r>
      <w:r>
        <w:rPr>
          <w:rFonts w:hint="eastAsia" w:cs="Times New Roman"/>
          <w:snapToGrid w:val="0"/>
          <w:color w:val="auto"/>
          <w:kern w:val="0"/>
          <w:highlight w:val="none"/>
          <w:lang w:val="en-US" w:eastAsia="zh-CN"/>
        </w:rPr>
        <w:t>屠宰生产线、1条羊</w:t>
      </w:r>
      <w:r>
        <w:rPr>
          <w:rFonts w:cs="Times New Roman"/>
          <w:snapToGrid w:val="0"/>
          <w:color w:val="auto"/>
          <w:kern w:val="0"/>
          <w:highlight w:val="none"/>
        </w:rPr>
        <w:t>屠宰生产线，项目建成后</w:t>
      </w:r>
      <w:r>
        <w:rPr>
          <w:rFonts w:hint="eastAsia" w:cs="Times New Roman"/>
          <w:snapToGrid w:val="0"/>
          <w:color w:val="auto"/>
          <w:kern w:val="0"/>
          <w:highlight w:val="none"/>
          <w:lang w:eastAsia="zh-CN"/>
        </w:rPr>
        <w:t>，</w:t>
      </w:r>
      <w:r>
        <w:rPr>
          <w:rFonts w:hint="eastAsia" w:cs="Times New Roman"/>
          <w:color w:val="auto"/>
          <w:highlight w:val="none"/>
        </w:rPr>
        <w:t>屠宰量为</w:t>
      </w:r>
      <w:r>
        <w:rPr>
          <w:rFonts w:cs="Times New Roman"/>
          <w:color w:val="auto"/>
          <w:highlight w:val="none"/>
        </w:rPr>
        <w:t>肉牛</w:t>
      </w:r>
      <w:r>
        <w:rPr>
          <w:rFonts w:hint="eastAsia" w:cs="Times New Roman"/>
          <w:color w:val="auto"/>
          <w:highlight w:val="none"/>
          <w:lang w:val="en-US" w:eastAsia="zh-CN"/>
        </w:rPr>
        <w:t>100</w:t>
      </w:r>
      <w:r>
        <w:rPr>
          <w:rFonts w:cs="Times New Roman"/>
          <w:color w:val="auto"/>
          <w:highlight w:val="none"/>
        </w:rPr>
        <w:t>头/d，肉羊</w:t>
      </w:r>
      <w:r>
        <w:rPr>
          <w:rFonts w:hint="eastAsia" w:cs="Times New Roman"/>
          <w:color w:val="auto"/>
          <w:highlight w:val="none"/>
          <w:lang w:val="en-US" w:eastAsia="zh-CN"/>
        </w:rPr>
        <w:t>500</w:t>
      </w:r>
      <w:r>
        <w:rPr>
          <w:rFonts w:cs="Times New Roman"/>
          <w:color w:val="auto"/>
          <w:highlight w:val="none"/>
        </w:rPr>
        <w:t>只/d</w:t>
      </w:r>
      <w:r>
        <w:rPr>
          <w:rFonts w:cs="Times New Roman"/>
          <w:snapToGrid w:val="0"/>
          <w:color w:val="auto"/>
          <w:kern w:val="0"/>
          <w:highlight w:val="none"/>
        </w:rPr>
        <w:t>。</w:t>
      </w:r>
    </w:p>
    <w:p w14:paraId="24C0C3FE">
      <w:pPr>
        <w:rPr>
          <w:rFonts w:hint="eastAsia" w:eastAsia="宋体" w:cs="Times New Roman"/>
          <w:snapToGrid w:val="0"/>
          <w:color w:val="auto"/>
          <w:kern w:val="0"/>
          <w:highlight w:val="none"/>
          <w:lang w:val="en-US" w:eastAsia="zh-CN"/>
        </w:rPr>
      </w:pPr>
      <w:r>
        <w:rPr>
          <w:rFonts w:cs="Times New Roman"/>
          <w:snapToGrid w:val="0"/>
          <w:color w:val="auto"/>
          <w:kern w:val="0"/>
          <w:highlight w:val="none"/>
        </w:rPr>
        <w:t>项目组成一览表见表</w:t>
      </w:r>
      <w:r>
        <w:rPr>
          <w:rFonts w:hint="eastAsia" w:cs="Times New Roman"/>
          <w:snapToGrid w:val="0"/>
          <w:color w:val="auto"/>
          <w:kern w:val="0"/>
          <w:highlight w:val="none"/>
        </w:rPr>
        <w:t>3</w:t>
      </w:r>
      <w:r>
        <w:rPr>
          <w:rFonts w:hint="eastAsia" w:cs="Times New Roman"/>
          <w:snapToGrid w:val="0"/>
          <w:color w:val="auto"/>
          <w:kern w:val="0"/>
          <w:highlight w:val="none"/>
          <w:lang w:val="en-US" w:eastAsia="zh-CN"/>
        </w:rPr>
        <w:t>.</w:t>
      </w:r>
      <w:r>
        <w:rPr>
          <w:rFonts w:hint="eastAsia" w:cs="Times New Roman"/>
          <w:snapToGrid w:val="0"/>
          <w:color w:val="auto"/>
          <w:kern w:val="0"/>
          <w:highlight w:val="none"/>
        </w:rPr>
        <w:t>1-</w:t>
      </w:r>
      <w:r>
        <w:rPr>
          <w:rFonts w:cs="Times New Roman"/>
          <w:snapToGrid w:val="0"/>
          <w:color w:val="auto"/>
          <w:kern w:val="0"/>
          <w:highlight w:val="none"/>
        </w:rPr>
        <w:t>1。</w:t>
      </w:r>
      <w:r>
        <w:rPr>
          <w:rFonts w:hint="eastAsia" w:cs="Times New Roman"/>
          <w:snapToGrid w:val="0"/>
          <w:color w:val="auto"/>
          <w:kern w:val="0"/>
          <w:highlight w:val="none"/>
          <w:lang w:val="en-US" w:eastAsia="zh-CN"/>
        </w:rPr>
        <w:t xml:space="preserve"> </w:t>
      </w:r>
    </w:p>
    <w:p w14:paraId="24931E79">
      <w:pPr>
        <w:spacing w:line="240" w:lineRule="auto"/>
        <w:ind w:firstLine="0" w:firstLineChars="0"/>
        <w:jc w:val="center"/>
        <w:rPr>
          <w:rFonts w:eastAsia="黑体" w:cs="Times New Roman"/>
          <w:snapToGrid w:val="0"/>
          <w:color w:val="auto"/>
          <w:kern w:val="0"/>
          <w:szCs w:val="24"/>
          <w:highlight w:val="none"/>
          <w:lang w:val="zh-CN"/>
        </w:rPr>
      </w:pPr>
      <w:r>
        <w:rPr>
          <w:rFonts w:eastAsia="黑体" w:cs="Times New Roman"/>
          <w:snapToGrid w:val="0"/>
          <w:color w:val="auto"/>
          <w:kern w:val="0"/>
          <w:szCs w:val="24"/>
          <w:highlight w:val="none"/>
          <w:lang w:val="zh-CN"/>
        </w:rPr>
        <w:t>表</w:t>
      </w:r>
      <w:r>
        <w:rPr>
          <w:rFonts w:hint="eastAsia" w:eastAsia="黑体" w:cs="Times New Roman"/>
          <w:snapToGrid w:val="0"/>
          <w:color w:val="auto"/>
          <w:kern w:val="0"/>
          <w:szCs w:val="24"/>
          <w:highlight w:val="none"/>
          <w:lang w:val="zh-CN"/>
        </w:rPr>
        <w:t>3</w:t>
      </w:r>
      <w:r>
        <w:rPr>
          <w:rFonts w:hint="eastAsia" w:eastAsia="黑体" w:cs="Times New Roman"/>
          <w:snapToGrid w:val="0"/>
          <w:color w:val="auto"/>
          <w:kern w:val="0"/>
          <w:szCs w:val="24"/>
          <w:highlight w:val="none"/>
          <w:lang w:val="en-US" w:eastAsia="zh-CN"/>
        </w:rPr>
        <w:t>.</w:t>
      </w:r>
      <w:r>
        <w:rPr>
          <w:rFonts w:hint="eastAsia" w:eastAsia="黑体" w:cs="Times New Roman"/>
          <w:snapToGrid w:val="0"/>
          <w:color w:val="auto"/>
          <w:kern w:val="0"/>
          <w:szCs w:val="24"/>
          <w:highlight w:val="none"/>
          <w:lang w:val="zh-CN"/>
        </w:rPr>
        <w:t>1-</w:t>
      </w:r>
      <w:r>
        <w:rPr>
          <w:rFonts w:eastAsia="黑体" w:cs="Times New Roman"/>
          <w:snapToGrid w:val="0"/>
          <w:color w:val="auto"/>
          <w:kern w:val="0"/>
          <w:szCs w:val="24"/>
          <w:highlight w:val="none"/>
          <w:lang w:val="zh-CN"/>
        </w:rPr>
        <w:t>1</w:t>
      </w:r>
      <w:r>
        <w:rPr>
          <w:rFonts w:eastAsia="黑体" w:cs="Times New Roman"/>
          <w:snapToGrid w:val="0"/>
          <w:color w:val="auto"/>
          <w:kern w:val="0"/>
          <w:szCs w:val="24"/>
          <w:highlight w:val="none"/>
        </w:rPr>
        <w:t xml:space="preserve">  </w:t>
      </w:r>
      <w:r>
        <w:rPr>
          <w:rFonts w:eastAsia="黑体" w:cs="Times New Roman"/>
          <w:snapToGrid w:val="0"/>
          <w:color w:val="auto"/>
          <w:kern w:val="0"/>
          <w:szCs w:val="24"/>
          <w:highlight w:val="none"/>
          <w:lang w:val="zh-CN"/>
        </w:rPr>
        <w:t>工程组成一览表</w:t>
      </w:r>
    </w:p>
    <w:tbl>
      <w:tblPr>
        <w:tblStyle w:val="398"/>
        <w:tblW w:w="504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28"/>
        <w:gridCol w:w="556"/>
        <w:gridCol w:w="703"/>
        <w:gridCol w:w="5874"/>
        <w:gridCol w:w="736"/>
      </w:tblGrid>
      <w:tr w14:paraId="5F1EA8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Align w:val="center"/>
          </w:tcPr>
          <w:p w14:paraId="042EA1A6">
            <w:pPr>
              <w:pStyle w:val="73"/>
              <w:rPr>
                <w:rFonts w:cs="Times New Roman"/>
                <w:snapToGrid w:val="0"/>
                <w:color w:val="auto"/>
                <w:highlight w:val="none"/>
              </w:rPr>
            </w:pPr>
            <w:r>
              <w:rPr>
                <w:rFonts w:cs="Times New Roman"/>
                <w:snapToGrid w:val="0"/>
                <w:color w:val="auto"/>
                <w:highlight w:val="none"/>
              </w:rPr>
              <w:t>工程</w:t>
            </w:r>
          </w:p>
          <w:p w14:paraId="4023573A">
            <w:pPr>
              <w:pStyle w:val="73"/>
              <w:rPr>
                <w:rFonts w:cs="Times New Roman"/>
                <w:snapToGrid w:val="0"/>
                <w:color w:val="auto"/>
                <w:highlight w:val="none"/>
              </w:rPr>
            </w:pPr>
            <w:r>
              <w:rPr>
                <w:rFonts w:cs="Times New Roman"/>
                <w:snapToGrid w:val="0"/>
                <w:color w:val="auto"/>
                <w:highlight w:val="none"/>
              </w:rPr>
              <w:t>组成</w:t>
            </w:r>
          </w:p>
        </w:tc>
        <w:tc>
          <w:tcPr>
            <w:tcW w:w="732" w:type="pct"/>
            <w:gridSpan w:val="2"/>
            <w:vAlign w:val="center"/>
          </w:tcPr>
          <w:p w14:paraId="726C99F6">
            <w:pPr>
              <w:pStyle w:val="73"/>
              <w:rPr>
                <w:rFonts w:cs="Times New Roman"/>
                <w:snapToGrid w:val="0"/>
                <w:color w:val="auto"/>
                <w:highlight w:val="none"/>
              </w:rPr>
            </w:pPr>
            <w:r>
              <w:rPr>
                <w:rFonts w:cs="Times New Roman"/>
                <w:snapToGrid w:val="0"/>
                <w:color w:val="auto"/>
                <w:highlight w:val="none"/>
              </w:rPr>
              <w:t>车间名称</w:t>
            </w:r>
          </w:p>
        </w:tc>
        <w:tc>
          <w:tcPr>
            <w:tcW w:w="3416" w:type="pct"/>
            <w:vAlign w:val="center"/>
          </w:tcPr>
          <w:p w14:paraId="1199AD3B">
            <w:pPr>
              <w:pStyle w:val="73"/>
              <w:rPr>
                <w:rFonts w:cs="Times New Roman"/>
                <w:snapToGrid w:val="0"/>
                <w:color w:val="auto"/>
                <w:highlight w:val="none"/>
              </w:rPr>
            </w:pPr>
            <w:r>
              <w:rPr>
                <w:rFonts w:cs="Times New Roman"/>
                <w:snapToGrid w:val="0"/>
                <w:color w:val="auto"/>
                <w:highlight w:val="none"/>
              </w:rPr>
              <w:t>规格</w:t>
            </w:r>
          </w:p>
        </w:tc>
        <w:tc>
          <w:tcPr>
            <w:tcW w:w="428" w:type="pct"/>
            <w:vAlign w:val="center"/>
          </w:tcPr>
          <w:p w14:paraId="157AFE33">
            <w:pPr>
              <w:pStyle w:val="73"/>
              <w:rPr>
                <w:rFonts w:cs="Times New Roman"/>
                <w:snapToGrid w:val="0"/>
                <w:color w:val="auto"/>
                <w:highlight w:val="none"/>
              </w:rPr>
            </w:pPr>
            <w:r>
              <w:rPr>
                <w:rFonts w:cs="Times New Roman"/>
                <w:snapToGrid w:val="0"/>
                <w:color w:val="auto"/>
                <w:highlight w:val="none"/>
              </w:rPr>
              <w:t>建设情况</w:t>
            </w:r>
          </w:p>
        </w:tc>
      </w:tr>
      <w:tr w14:paraId="41224E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423" w:type="pct"/>
            <w:vAlign w:val="center"/>
          </w:tcPr>
          <w:p w14:paraId="1ACCB9F1">
            <w:pPr>
              <w:pStyle w:val="73"/>
              <w:rPr>
                <w:rFonts w:cs="Times New Roman"/>
                <w:snapToGrid w:val="0"/>
                <w:color w:val="auto"/>
                <w:highlight w:val="none"/>
              </w:rPr>
            </w:pPr>
            <w:r>
              <w:rPr>
                <w:rFonts w:cs="Times New Roman"/>
                <w:snapToGrid w:val="0"/>
                <w:color w:val="auto"/>
                <w:highlight w:val="none"/>
              </w:rPr>
              <w:t>主体</w:t>
            </w:r>
          </w:p>
          <w:p w14:paraId="751844DA">
            <w:pPr>
              <w:pStyle w:val="73"/>
              <w:rPr>
                <w:rFonts w:cs="Times New Roman"/>
                <w:snapToGrid w:val="0"/>
                <w:color w:val="auto"/>
                <w:highlight w:val="none"/>
              </w:rPr>
            </w:pPr>
            <w:r>
              <w:rPr>
                <w:rFonts w:cs="Times New Roman"/>
                <w:snapToGrid w:val="0"/>
                <w:color w:val="auto"/>
                <w:highlight w:val="none"/>
              </w:rPr>
              <w:t>工程</w:t>
            </w:r>
          </w:p>
        </w:tc>
        <w:tc>
          <w:tcPr>
            <w:tcW w:w="732" w:type="pct"/>
            <w:gridSpan w:val="2"/>
            <w:vAlign w:val="center"/>
          </w:tcPr>
          <w:p w14:paraId="3D337FD5">
            <w:pPr>
              <w:pStyle w:val="73"/>
              <w:rPr>
                <w:rFonts w:cs="Times New Roman"/>
                <w:snapToGrid w:val="0"/>
                <w:color w:val="auto"/>
                <w:highlight w:val="none"/>
              </w:rPr>
            </w:pPr>
            <w:r>
              <w:rPr>
                <w:rFonts w:cs="Times New Roman"/>
                <w:snapToGrid w:val="0"/>
                <w:color w:val="auto"/>
                <w:highlight w:val="none"/>
              </w:rPr>
              <w:t>生产车间</w:t>
            </w:r>
          </w:p>
        </w:tc>
        <w:tc>
          <w:tcPr>
            <w:tcW w:w="3416" w:type="pct"/>
            <w:vAlign w:val="center"/>
          </w:tcPr>
          <w:p w14:paraId="1377DC39">
            <w:pPr>
              <w:pStyle w:val="73"/>
              <w:rPr>
                <w:rFonts w:hint="default" w:cs="Times New Roman"/>
                <w:snapToGrid w:val="0"/>
                <w:color w:val="auto"/>
                <w:highlight w:val="none"/>
                <w:lang w:val="en-US"/>
              </w:rPr>
            </w:pPr>
            <w:r>
              <w:rPr>
                <w:rFonts w:cs="Times New Roman"/>
                <w:snapToGrid w:val="0"/>
                <w:color w:val="auto"/>
                <w:highlight w:val="none"/>
                <w:lang w:val="en-US"/>
              </w:rPr>
              <w:t>位于</w:t>
            </w:r>
            <w:r>
              <w:rPr>
                <w:rFonts w:hint="eastAsia" w:cs="Times New Roman"/>
                <w:snapToGrid w:val="0"/>
                <w:color w:val="auto"/>
                <w:highlight w:val="none"/>
                <w:lang w:val="en-US" w:eastAsia="zh-CN"/>
              </w:rPr>
              <w:t>厂区南侧</w:t>
            </w:r>
            <w:r>
              <w:rPr>
                <w:rFonts w:cs="Times New Roman"/>
                <w:snapToGrid w:val="0"/>
                <w:color w:val="auto"/>
                <w:highlight w:val="none"/>
                <w:lang w:val="en-US"/>
              </w:rPr>
              <w:t>，</w:t>
            </w:r>
            <w:r>
              <w:rPr>
                <w:rFonts w:cs="Times New Roman"/>
                <w:snapToGrid w:val="0"/>
                <w:color w:val="auto"/>
                <w:highlight w:val="none"/>
              </w:rPr>
              <w:t>建筑面积为</w:t>
            </w:r>
            <w:r>
              <w:rPr>
                <w:rFonts w:hint="eastAsia" w:cs="Times New Roman"/>
                <w:snapToGrid w:val="0"/>
                <w:color w:val="auto"/>
                <w:highlight w:val="none"/>
                <w:lang w:val="en-US" w:eastAsia="zh-CN"/>
              </w:rPr>
              <w:t>2125</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高12m，</w:t>
            </w:r>
            <w:r>
              <w:rPr>
                <w:rFonts w:cs="Times New Roman"/>
                <w:snapToGrid w:val="0"/>
                <w:color w:val="auto"/>
                <w:highlight w:val="none"/>
                <w:lang w:val="en-US"/>
              </w:rPr>
              <w:t>内设</w:t>
            </w:r>
            <w:r>
              <w:rPr>
                <w:rFonts w:cs="Times New Roman"/>
                <w:snapToGrid w:val="0"/>
                <w:color w:val="auto"/>
                <w:highlight w:val="none"/>
              </w:rPr>
              <w:t>牛、羊屠宰生产线</w:t>
            </w:r>
            <w:r>
              <w:rPr>
                <w:rFonts w:cs="Times New Roman"/>
                <w:snapToGrid w:val="0"/>
                <w:color w:val="auto"/>
                <w:highlight w:val="none"/>
                <w:lang w:val="en-US"/>
              </w:rPr>
              <w:t>各一条、</w:t>
            </w:r>
            <w:r>
              <w:rPr>
                <w:rFonts w:hint="eastAsia" w:cs="Times New Roman"/>
                <w:snapToGrid w:val="0"/>
                <w:color w:val="auto"/>
                <w:kern w:val="0"/>
                <w:highlight w:val="none"/>
                <w:lang w:val="en-US"/>
              </w:rPr>
              <w:t>屠宰量为肉牛</w:t>
            </w:r>
            <w:r>
              <w:rPr>
                <w:rFonts w:hint="eastAsia" w:cs="Times New Roman"/>
                <w:snapToGrid w:val="0"/>
                <w:color w:val="auto"/>
                <w:kern w:val="0"/>
                <w:highlight w:val="none"/>
                <w:lang w:val="en-US" w:eastAsia="zh-CN"/>
              </w:rPr>
              <w:t>100</w:t>
            </w:r>
            <w:r>
              <w:rPr>
                <w:rFonts w:hint="eastAsia" w:cs="Times New Roman"/>
                <w:snapToGrid w:val="0"/>
                <w:color w:val="auto"/>
                <w:kern w:val="0"/>
                <w:highlight w:val="none"/>
                <w:lang w:val="en-US"/>
              </w:rPr>
              <w:t>头/d，肉羊</w:t>
            </w:r>
            <w:r>
              <w:rPr>
                <w:rFonts w:hint="eastAsia" w:cs="Times New Roman"/>
                <w:snapToGrid w:val="0"/>
                <w:color w:val="auto"/>
                <w:kern w:val="0"/>
                <w:highlight w:val="none"/>
                <w:lang w:val="en-US" w:eastAsia="zh-CN"/>
              </w:rPr>
              <w:t>500</w:t>
            </w:r>
            <w:r>
              <w:rPr>
                <w:rFonts w:hint="eastAsia" w:cs="Times New Roman"/>
                <w:snapToGrid w:val="0"/>
                <w:color w:val="auto"/>
                <w:kern w:val="0"/>
                <w:highlight w:val="none"/>
                <w:lang w:val="en-US"/>
              </w:rPr>
              <w:t>只/d</w:t>
            </w:r>
            <w:r>
              <w:rPr>
                <w:rFonts w:cs="Times New Roman"/>
                <w:snapToGrid w:val="0"/>
                <w:color w:val="auto"/>
                <w:kern w:val="0"/>
                <w:highlight w:val="none"/>
              </w:rPr>
              <w:t>。</w:t>
            </w:r>
            <w:r>
              <w:rPr>
                <w:rFonts w:cs="Times New Roman"/>
                <w:snapToGrid w:val="0"/>
                <w:color w:val="auto"/>
                <w:highlight w:val="none"/>
                <w:lang w:val="en-US"/>
              </w:rPr>
              <w:t>车间由</w:t>
            </w:r>
            <w:r>
              <w:rPr>
                <w:rFonts w:hint="eastAsia" w:cs="Times New Roman"/>
                <w:snapToGrid w:val="0"/>
                <w:color w:val="auto"/>
                <w:highlight w:val="none"/>
                <w:lang w:val="en-US" w:eastAsia="zh-CN"/>
              </w:rPr>
              <w:t>西</w:t>
            </w:r>
            <w:r>
              <w:rPr>
                <w:rFonts w:cs="Times New Roman"/>
                <w:snapToGrid w:val="0"/>
                <w:color w:val="auto"/>
                <w:highlight w:val="none"/>
                <w:lang w:val="en-US"/>
              </w:rPr>
              <w:t>向</w:t>
            </w:r>
            <w:r>
              <w:rPr>
                <w:rFonts w:hint="eastAsia" w:cs="Times New Roman"/>
                <w:snapToGrid w:val="0"/>
                <w:color w:val="auto"/>
                <w:highlight w:val="none"/>
                <w:lang w:val="en-US" w:eastAsia="zh-CN"/>
              </w:rPr>
              <w:t>东</w:t>
            </w:r>
            <w:r>
              <w:rPr>
                <w:rFonts w:cs="Times New Roman"/>
                <w:snapToGrid w:val="0"/>
                <w:color w:val="auto"/>
                <w:highlight w:val="none"/>
                <w:lang w:val="en-US"/>
              </w:rPr>
              <w:t>分别设置了</w:t>
            </w:r>
            <w:r>
              <w:rPr>
                <w:rFonts w:hint="eastAsia" w:cs="Times New Roman"/>
                <w:snapToGrid w:val="0"/>
                <w:color w:val="auto"/>
                <w:highlight w:val="none"/>
                <w:lang w:val="en-US" w:eastAsia="zh-CN"/>
              </w:rPr>
              <w:t>更衣室、待宰圈</w:t>
            </w:r>
            <w:r>
              <w:rPr>
                <w:rFonts w:cs="Times New Roman"/>
                <w:snapToGrid w:val="0"/>
                <w:color w:val="auto"/>
                <w:highlight w:val="none"/>
                <w:lang w:val="en-US"/>
              </w:rPr>
              <w:t>、生产线（屠宰车间）</w:t>
            </w:r>
            <w:r>
              <w:rPr>
                <w:rFonts w:cs="Times New Roman"/>
                <w:snapToGrid w:val="0"/>
                <w:color w:val="auto"/>
                <w:highlight w:val="none"/>
              </w:rPr>
              <w:t>、</w:t>
            </w:r>
            <w:r>
              <w:rPr>
                <w:rFonts w:hint="eastAsia" w:cs="Times New Roman"/>
                <w:snapToGrid w:val="0"/>
                <w:color w:val="auto"/>
                <w:highlight w:val="none"/>
                <w:lang w:val="en-US" w:eastAsia="zh-CN"/>
              </w:rPr>
              <w:t>排酸间、</w:t>
            </w:r>
            <w:r>
              <w:rPr>
                <w:rFonts w:cs="Times New Roman"/>
                <w:snapToGrid w:val="0"/>
                <w:color w:val="auto"/>
                <w:highlight w:val="none"/>
                <w:lang w:val="en-US"/>
              </w:rPr>
              <w:t>头蹄间、皮</w:t>
            </w:r>
            <w:r>
              <w:rPr>
                <w:rFonts w:hint="eastAsia" w:cs="Times New Roman"/>
                <w:snapToGrid w:val="0"/>
                <w:color w:val="auto"/>
                <w:highlight w:val="none"/>
                <w:lang w:val="en-US" w:eastAsia="zh-CN"/>
              </w:rPr>
              <w:t>张</w:t>
            </w:r>
            <w:r>
              <w:rPr>
                <w:rFonts w:cs="Times New Roman"/>
                <w:snapToGrid w:val="0"/>
                <w:color w:val="auto"/>
                <w:highlight w:val="none"/>
                <w:lang w:val="en-US"/>
              </w:rPr>
              <w:t>间</w:t>
            </w:r>
            <w:r>
              <w:rPr>
                <w:rFonts w:cs="Times New Roman"/>
                <w:snapToGrid w:val="0"/>
                <w:color w:val="auto"/>
                <w:highlight w:val="none"/>
              </w:rPr>
              <w:t>、</w:t>
            </w:r>
            <w:r>
              <w:rPr>
                <w:rFonts w:hint="eastAsia" w:cs="Times New Roman"/>
                <w:snapToGrid w:val="0"/>
                <w:color w:val="auto"/>
                <w:highlight w:val="none"/>
                <w:lang w:val="en-US" w:eastAsia="zh-CN"/>
              </w:rPr>
              <w:t>白脏</w:t>
            </w:r>
            <w:r>
              <w:rPr>
                <w:rFonts w:cs="Times New Roman"/>
                <w:snapToGrid w:val="0"/>
                <w:color w:val="auto"/>
                <w:highlight w:val="none"/>
                <w:lang w:val="en-US"/>
              </w:rPr>
              <w:t>间、</w:t>
            </w:r>
            <w:r>
              <w:rPr>
                <w:rFonts w:hint="eastAsia" w:cs="Times New Roman"/>
                <w:snapToGrid w:val="0"/>
                <w:color w:val="auto"/>
                <w:highlight w:val="none"/>
                <w:lang w:val="en-US" w:eastAsia="zh-CN"/>
              </w:rPr>
              <w:t>红脏间、</w:t>
            </w:r>
            <w:r>
              <w:rPr>
                <w:rFonts w:cs="Times New Roman"/>
                <w:snapToGrid w:val="0"/>
                <w:color w:val="auto"/>
                <w:highlight w:val="none"/>
                <w:lang w:val="en-US"/>
              </w:rPr>
              <w:t>检疫室、</w:t>
            </w:r>
            <w:r>
              <w:rPr>
                <w:rFonts w:hint="eastAsia" w:cs="Times New Roman"/>
                <w:snapToGrid w:val="0"/>
                <w:color w:val="auto"/>
                <w:highlight w:val="none"/>
                <w:lang w:val="en-US" w:eastAsia="zh-CN"/>
              </w:rPr>
              <w:t>病体间</w:t>
            </w:r>
            <w:r>
              <w:rPr>
                <w:rFonts w:cs="Times New Roman"/>
                <w:snapToGrid w:val="0"/>
                <w:color w:val="auto"/>
                <w:highlight w:val="none"/>
                <w:lang w:val="en-US"/>
              </w:rPr>
              <w:t>、分割</w:t>
            </w:r>
            <w:r>
              <w:rPr>
                <w:rFonts w:hint="eastAsia" w:cs="Times New Roman"/>
                <w:snapToGrid w:val="0"/>
                <w:color w:val="auto"/>
                <w:highlight w:val="none"/>
                <w:lang w:val="en-US" w:eastAsia="zh-CN"/>
              </w:rPr>
              <w:t>间</w:t>
            </w:r>
            <w:r>
              <w:rPr>
                <w:rFonts w:cs="Times New Roman"/>
                <w:snapToGrid w:val="0"/>
                <w:color w:val="auto"/>
                <w:highlight w:val="none"/>
              </w:rPr>
              <w:t>、</w:t>
            </w:r>
            <w:r>
              <w:rPr>
                <w:rFonts w:cs="Times New Roman"/>
                <w:snapToGrid w:val="0"/>
                <w:color w:val="auto"/>
                <w:highlight w:val="none"/>
                <w:lang w:val="en-US"/>
              </w:rPr>
              <w:t>速冻库</w:t>
            </w:r>
            <w:r>
              <w:rPr>
                <w:rFonts w:hint="eastAsia" w:cs="Times New Roman"/>
                <w:snapToGrid w:val="0"/>
                <w:color w:val="auto"/>
                <w:highlight w:val="none"/>
                <w:lang w:val="en-US" w:eastAsia="zh-CN"/>
              </w:rPr>
              <w:t>及</w:t>
            </w:r>
            <w:r>
              <w:rPr>
                <w:rFonts w:cs="Times New Roman"/>
                <w:snapToGrid w:val="0"/>
                <w:color w:val="auto"/>
                <w:highlight w:val="none"/>
                <w:lang w:val="en-US"/>
              </w:rPr>
              <w:t>冷藏库</w:t>
            </w:r>
            <w:r>
              <w:rPr>
                <w:rFonts w:cs="Times New Roman"/>
                <w:snapToGrid w:val="0"/>
                <w:color w:val="auto"/>
                <w:highlight w:val="none"/>
              </w:rPr>
              <w:t>等。</w:t>
            </w:r>
            <w:r>
              <w:rPr>
                <w:rFonts w:hint="eastAsia" w:cs="Times New Roman"/>
                <w:snapToGrid w:val="0"/>
                <w:color w:val="auto"/>
                <w:highlight w:val="none"/>
                <w:lang w:val="en-US" w:eastAsia="zh-CN"/>
              </w:rPr>
              <w:t>年产出产品量21500t/a。</w:t>
            </w:r>
          </w:p>
        </w:tc>
        <w:tc>
          <w:tcPr>
            <w:tcW w:w="428" w:type="pct"/>
            <w:vAlign w:val="center"/>
          </w:tcPr>
          <w:p w14:paraId="1E899E13">
            <w:pPr>
              <w:pStyle w:val="73"/>
              <w:rPr>
                <w:rFonts w:cs="Times New Roman"/>
                <w:snapToGrid w:val="0"/>
                <w:color w:val="auto"/>
                <w:highlight w:val="none"/>
              </w:rPr>
            </w:pPr>
            <w:r>
              <w:rPr>
                <w:rFonts w:cs="Times New Roman"/>
                <w:snapToGrid w:val="0"/>
                <w:color w:val="auto"/>
                <w:highlight w:val="none"/>
              </w:rPr>
              <w:t>新建</w:t>
            </w:r>
          </w:p>
        </w:tc>
      </w:tr>
      <w:tr w14:paraId="611E03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restart"/>
            <w:vAlign w:val="center"/>
          </w:tcPr>
          <w:p w14:paraId="122191B3">
            <w:pPr>
              <w:pStyle w:val="73"/>
              <w:rPr>
                <w:rFonts w:cs="Times New Roman"/>
                <w:snapToGrid w:val="0"/>
                <w:color w:val="auto"/>
                <w:highlight w:val="none"/>
              </w:rPr>
            </w:pPr>
            <w:r>
              <w:rPr>
                <w:rFonts w:cs="Times New Roman"/>
                <w:snapToGrid w:val="0"/>
                <w:color w:val="auto"/>
                <w:highlight w:val="none"/>
              </w:rPr>
              <w:t>储运</w:t>
            </w:r>
          </w:p>
          <w:p w14:paraId="0884B911">
            <w:pPr>
              <w:pStyle w:val="73"/>
              <w:rPr>
                <w:rFonts w:cs="Times New Roman"/>
                <w:snapToGrid w:val="0"/>
                <w:color w:val="auto"/>
                <w:highlight w:val="none"/>
              </w:rPr>
            </w:pPr>
            <w:r>
              <w:rPr>
                <w:rFonts w:cs="Times New Roman"/>
                <w:snapToGrid w:val="0"/>
                <w:color w:val="auto"/>
                <w:highlight w:val="none"/>
              </w:rPr>
              <w:t>工程</w:t>
            </w:r>
          </w:p>
        </w:tc>
        <w:tc>
          <w:tcPr>
            <w:tcW w:w="732" w:type="pct"/>
            <w:gridSpan w:val="2"/>
            <w:vAlign w:val="center"/>
          </w:tcPr>
          <w:p w14:paraId="1F61ED65">
            <w:pPr>
              <w:pStyle w:val="73"/>
              <w:rPr>
                <w:rFonts w:cs="Times New Roman"/>
                <w:snapToGrid w:val="0"/>
                <w:color w:val="auto"/>
                <w:highlight w:val="none"/>
              </w:rPr>
            </w:pPr>
            <w:r>
              <w:rPr>
                <w:rFonts w:cs="Times New Roman"/>
                <w:snapToGrid w:val="0"/>
                <w:color w:val="auto"/>
                <w:highlight w:val="none"/>
                <w:lang w:val="en-US"/>
              </w:rPr>
              <w:t>冷藏库</w:t>
            </w:r>
          </w:p>
        </w:tc>
        <w:tc>
          <w:tcPr>
            <w:tcW w:w="3416" w:type="pct"/>
            <w:vAlign w:val="center"/>
          </w:tcPr>
          <w:p w14:paraId="01D29E71">
            <w:pPr>
              <w:pStyle w:val="73"/>
              <w:rPr>
                <w:rFonts w:hint="eastAsia" w:eastAsia="宋体" w:cs="Times New Roman"/>
                <w:snapToGrid w:val="0"/>
                <w:color w:val="auto"/>
                <w:highlight w:val="none"/>
                <w:lang w:val="en-US" w:eastAsia="zh-CN"/>
              </w:rPr>
            </w:pPr>
            <w:r>
              <w:rPr>
                <w:rFonts w:cs="Times New Roman"/>
                <w:snapToGrid w:val="0"/>
                <w:color w:val="auto"/>
                <w:highlight w:val="none"/>
                <w:lang w:val="en-US"/>
              </w:rPr>
              <w:t>位于生产车间</w:t>
            </w:r>
            <w:r>
              <w:rPr>
                <w:rFonts w:hint="eastAsia" w:cs="Times New Roman"/>
                <w:snapToGrid w:val="0"/>
                <w:color w:val="auto"/>
                <w:highlight w:val="none"/>
                <w:lang w:val="en-US" w:eastAsia="zh-CN"/>
              </w:rPr>
              <w:t>东侧</w:t>
            </w:r>
            <w:r>
              <w:rPr>
                <w:rFonts w:cs="Times New Roman"/>
                <w:snapToGrid w:val="0"/>
                <w:color w:val="auto"/>
                <w:highlight w:val="none"/>
                <w:lang w:val="en-US"/>
              </w:rPr>
              <w:t>，</w:t>
            </w:r>
            <w:r>
              <w:rPr>
                <w:rFonts w:hint="eastAsia" w:cs="Times New Roman"/>
                <w:snapToGrid w:val="0"/>
                <w:color w:val="auto"/>
                <w:highlight w:val="none"/>
                <w:lang w:val="en-US" w:eastAsia="zh-CN"/>
              </w:rPr>
              <w:t>3</w:t>
            </w:r>
            <w:r>
              <w:rPr>
                <w:rFonts w:cs="Times New Roman"/>
                <w:snapToGrid w:val="0"/>
                <w:color w:val="auto"/>
                <w:highlight w:val="none"/>
                <w:lang w:val="en-US"/>
              </w:rPr>
              <w:t>个，建筑面积分别为</w:t>
            </w:r>
            <w:r>
              <w:rPr>
                <w:rFonts w:hint="eastAsia" w:cs="Times New Roman"/>
                <w:snapToGrid w:val="0"/>
                <w:color w:val="auto"/>
                <w:highlight w:val="none"/>
                <w:lang w:val="en-US" w:eastAsia="zh-CN"/>
              </w:rPr>
              <w:t>84</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40</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30</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高4.5m，</w:t>
            </w:r>
            <w:r>
              <w:rPr>
                <w:rFonts w:cs="Times New Roman"/>
                <w:snapToGrid w:val="0"/>
                <w:color w:val="auto"/>
                <w:highlight w:val="none"/>
                <w:lang w:val="en-US"/>
              </w:rPr>
              <w:t>冷藏库最大储存量分别为</w:t>
            </w:r>
            <w:r>
              <w:rPr>
                <w:rFonts w:hint="eastAsia" w:cs="Times New Roman"/>
                <w:snapToGrid w:val="0"/>
                <w:color w:val="auto"/>
                <w:highlight w:val="none"/>
                <w:lang w:val="en-US" w:eastAsia="zh-CN"/>
              </w:rPr>
              <w:t>378</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w:t>
            </w:r>
            <w:r>
              <w:rPr>
                <w:rFonts w:hint="eastAsia" w:cs="Times New Roman"/>
                <w:snapToGrid w:val="0"/>
                <w:color w:val="auto"/>
                <w:highlight w:val="none"/>
                <w:lang w:val="en-US" w:eastAsia="zh-CN"/>
              </w:rPr>
              <w:t>180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w:t>
            </w:r>
            <w:r>
              <w:rPr>
                <w:rFonts w:hint="eastAsia" w:cs="Times New Roman"/>
                <w:snapToGrid w:val="0"/>
                <w:color w:val="auto"/>
                <w:highlight w:val="none"/>
                <w:lang w:val="en-US" w:eastAsia="zh-CN"/>
              </w:rPr>
              <w:t>135</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，用于冷藏产品</w:t>
            </w:r>
            <w:r>
              <w:rPr>
                <w:rFonts w:hint="eastAsia"/>
                <w:snapToGrid w:val="0"/>
                <w:color w:val="auto"/>
                <w:highlight w:val="none"/>
                <w:lang w:eastAsia="zh-CN"/>
              </w:rPr>
              <w:t>，</w:t>
            </w:r>
            <w:r>
              <w:rPr>
                <w:rFonts w:cs="Times New Roman"/>
                <w:snapToGrid w:val="0"/>
                <w:color w:val="auto"/>
                <w:highlight w:val="none"/>
              </w:rPr>
              <w:t>制冷剂为R410A</w:t>
            </w:r>
          </w:p>
        </w:tc>
        <w:tc>
          <w:tcPr>
            <w:tcW w:w="428" w:type="pct"/>
            <w:vMerge w:val="restart"/>
            <w:vAlign w:val="center"/>
          </w:tcPr>
          <w:p w14:paraId="52EE5DBC">
            <w:pPr>
              <w:pStyle w:val="73"/>
              <w:rPr>
                <w:rFonts w:cs="Times New Roman"/>
                <w:snapToGrid w:val="0"/>
                <w:color w:val="auto"/>
                <w:highlight w:val="none"/>
              </w:rPr>
            </w:pPr>
            <w:r>
              <w:rPr>
                <w:rFonts w:cs="Times New Roman"/>
                <w:snapToGrid w:val="0"/>
                <w:color w:val="auto"/>
                <w:highlight w:val="none"/>
              </w:rPr>
              <w:t>新建</w:t>
            </w:r>
          </w:p>
        </w:tc>
      </w:tr>
      <w:tr w14:paraId="7F54AA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1D2BE264">
            <w:pPr>
              <w:pStyle w:val="73"/>
              <w:rPr>
                <w:rFonts w:cs="Times New Roman"/>
                <w:snapToGrid w:val="0"/>
                <w:color w:val="auto"/>
                <w:highlight w:val="none"/>
              </w:rPr>
            </w:pPr>
          </w:p>
        </w:tc>
        <w:tc>
          <w:tcPr>
            <w:tcW w:w="732" w:type="pct"/>
            <w:gridSpan w:val="2"/>
            <w:vAlign w:val="center"/>
          </w:tcPr>
          <w:p w14:paraId="655194F0">
            <w:pPr>
              <w:pStyle w:val="73"/>
              <w:rPr>
                <w:rFonts w:cs="Times New Roman"/>
                <w:snapToGrid w:val="0"/>
                <w:color w:val="auto"/>
                <w:highlight w:val="none"/>
                <w:lang w:val="en-US"/>
              </w:rPr>
            </w:pPr>
            <w:r>
              <w:rPr>
                <w:rFonts w:cs="Times New Roman"/>
                <w:snapToGrid w:val="0"/>
                <w:color w:val="auto"/>
                <w:highlight w:val="none"/>
                <w:lang w:val="en-US"/>
              </w:rPr>
              <w:t>速冻库</w:t>
            </w:r>
          </w:p>
        </w:tc>
        <w:tc>
          <w:tcPr>
            <w:tcW w:w="3416" w:type="pct"/>
            <w:vAlign w:val="center"/>
          </w:tcPr>
          <w:p w14:paraId="4C57C3C5">
            <w:pPr>
              <w:pStyle w:val="73"/>
              <w:rPr>
                <w:rFonts w:hint="eastAsia" w:ascii="Times New Roman" w:hAnsi="Times New Roman" w:eastAsia="宋体" w:cs="Times New Roman"/>
                <w:snapToGrid w:val="0"/>
                <w:color w:val="auto"/>
                <w:highlight w:val="none"/>
                <w:lang w:val="en-US" w:eastAsia="zh-CN"/>
              </w:rPr>
            </w:pPr>
            <w:r>
              <w:rPr>
                <w:rFonts w:hint="eastAsia" w:ascii="Times New Roman" w:hAnsi="Times New Roman" w:eastAsia="宋体" w:cs="Times New Roman"/>
                <w:snapToGrid w:val="0"/>
                <w:color w:val="auto"/>
                <w:highlight w:val="none"/>
                <w:lang w:val="en-US" w:eastAsia="zh-CN"/>
              </w:rPr>
              <w:t>位于生产车间东南角，2个，建筑面积均为30m</w:t>
            </w:r>
            <w:r>
              <w:rPr>
                <w:rFonts w:hint="eastAsia" w:ascii="Times New Roman" w:hAnsi="Times New Roman" w:eastAsia="宋体" w:cs="Times New Roman"/>
                <w:snapToGrid w:val="0"/>
                <w:color w:val="auto"/>
                <w:highlight w:val="none"/>
                <w:vertAlign w:val="superscript"/>
                <w:lang w:val="en-US" w:eastAsia="zh-CN"/>
              </w:rPr>
              <w:t>2</w:t>
            </w:r>
            <w:r>
              <w:rPr>
                <w:rFonts w:hint="eastAsia" w:ascii="Times New Roman" w:hAnsi="Times New Roman" w:eastAsia="宋体" w:cs="Times New Roman"/>
                <w:snapToGrid w:val="0"/>
                <w:color w:val="auto"/>
                <w:highlight w:val="none"/>
                <w:lang w:val="en-US" w:eastAsia="zh-CN"/>
              </w:rPr>
              <w:t>，高4.5m，每个速冻库最大储存量为135m</w:t>
            </w:r>
            <w:r>
              <w:rPr>
                <w:rFonts w:hint="eastAsia" w:ascii="Times New Roman" w:hAnsi="Times New Roman" w:eastAsia="宋体" w:cs="Times New Roman"/>
                <w:snapToGrid w:val="0"/>
                <w:color w:val="auto"/>
                <w:highlight w:val="none"/>
                <w:vertAlign w:val="superscript"/>
                <w:lang w:val="en-US" w:eastAsia="zh-CN"/>
              </w:rPr>
              <w:t>3</w:t>
            </w:r>
            <w:r>
              <w:rPr>
                <w:rFonts w:hint="eastAsia" w:ascii="Times New Roman" w:hAnsi="Times New Roman" w:eastAsia="宋体" w:cs="Times New Roman"/>
                <w:snapToGrid w:val="0"/>
                <w:color w:val="auto"/>
                <w:highlight w:val="none"/>
                <w:lang w:val="en-US" w:eastAsia="zh-CN"/>
              </w:rPr>
              <w:t>，用于产品速冻，制冷剂为R410A</w:t>
            </w:r>
            <w:r>
              <w:rPr>
                <w:rFonts w:hint="eastAsia" w:cs="Times New Roman"/>
                <w:snapToGrid w:val="0"/>
                <w:color w:val="auto"/>
                <w:highlight w:val="none"/>
                <w:lang w:val="en-US" w:eastAsia="zh-CN"/>
              </w:rPr>
              <w:t>，</w:t>
            </w:r>
            <w:r>
              <w:rPr>
                <w:rFonts w:hint="eastAsia" w:ascii="Times New Roman" w:hAnsi="Times New Roman" w:eastAsia="宋体" w:cs="Times New Roman"/>
                <w:snapToGrid w:val="0"/>
                <w:color w:val="auto"/>
                <w:highlight w:val="none"/>
                <w:lang w:val="en-US" w:eastAsia="zh-CN"/>
              </w:rPr>
              <w:t>生产冷冻产品时，</w:t>
            </w:r>
            <w:r>
              <w:rPr>
                <w:rFonts w:hint="default" w:ascii="Times New Roman" w:hAnsi="Times New Roman" w:eastAsia="宋体" w:cs="Times New Roman"/>
                <w:snapToGrid w:val="0"/>
                <w:color w:val="auto"/>
                <w:highlight w:val="none"/>
                <w:lang w:val="en-US" w:eastAsia="zh-CN"/>
              </w:rPr>
              <w:t>应在48h内使肉的中心温度达到-15℃以下后方可进入冷藏储存库。</w:t>
            </w:r>
          </w:p>
        </w:tc>
        <w:tc>
          <w:tcPr>
            <w:tcW w:w="428" w:type="pct"/>
            <w:vMerge w:val="continue"/>
            <w:vAlign w:val="center"/>
          </w:tcPr>
          <w:p w14:paraId="0849E7D0">
            <w:pPr>
              <w:pStyle w:val="73"/>
              <w:rPr>
                <w:rFonts w:cs="Times New Roman"/>
                <w:snapToGrid w:val="0"/>
                <w:color w:val="auto"/>
                <w:highlight w:val="none"/>
              </w:rPr>
            </w:pPr>
          </w:p>
        </w:tc>
      </w:tr>
      <w:tr w14:paraId="0D00F2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6E72C6FD">
            <w:pPr>
              <w:pStyle w:val="73"/>
              <w:rPr>
                <w:rFonts w:cs="Times New Roman"/>
                <w:snapToGrid w:val="0"/>
                <w:color w:val="auto"/>
                <w:highlight w:val="none"/>
              </w:rPr>
            </w:pPr>
          </w:p>
        </w:tc>
        <w:tc>
          <w:tcPr>
            <w:tcW w:w="732" w:type="pct"/>
            <w:gridSpan w:val="2"/>
            <w:vAlign w:val="center"/>
          </w:tcPr>
          <w:p w14:paraId="7FEAD888">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分割间</w:t>
            </w:r>
          </w:p>
        </w:tc>
        <w:tc>
          <w:tcPr>
            <w:tcW w:w="3416" w:type="pct"/>
            <w:vAlign w:val="center"/>
          </w:tcPr>
          <w:p w14:paraId="6431FFE8">
            <w:pPr>
              <w:pStyle w:val="73"/>
              <w:rPr>
                <w:rFonts w:hint="default" w:eastAsia="宋体" w:cs="Times New Roman"/>
                <w:snapToGrid w:val="0"/>
                <w:color w:val="auto"/>
                <w:highlight w:val="none"/>
                <w:lang w:val="en-US" w:eastAsia="zh-CN"/>
              </w:rPr>
            </w:pPr>
            <w:r>
              <w:rPr>
                <w:rFonts w:cs="Times New Roman"/>
                <w:snapToGrid w:val="0"/>
                <w:color w:val="auto"/>
                <w:highlight w:val="none"/>
                <w:lang w:val="en-US"/>
              </w:rPr>
              <w:t>位于生产车间</w:t>
            </w:r>
            <w:r>
              <w:rPr>
                <w:rFonts w:hint="eastAsia" w:cs="Times New Roman"/>
                <w:snapToGrid w:val="0"/>
                <w:color w:val="auto"/>
                <w:highlight w:val="none"/>
                <w:lang w:val="en-US" w:eastAsia="zh-CN"/>
              </w:rPr>
              <w:t>中东部</w:t>
            </w:r>
            <w:r>
              <w:rPr>
                <w:rFonts w:cs="Times New Roman"/>
                <w:snapToGrid w:val="0"/>
                <w:color w:val="auto"/>
                <w:highlight w:val="none"/>
                <w:lang w:val="en-US"/>
              </w:rPr>
              <w:t>，1个，建筑面积为</w:t>
            </w:r>
            <w:r>
              <w:rPr>
                <w:rFonts w:hint="eastAsia" w:cs="Times New Roman"/>
                <w:snapToGrid w:val="0"/>
                <w:color w:val="auto"/>
                <w:highlight w:val="none"/>
                <w:lang w:val="en-US" w:eastAsia="zh-CN"/>
              </w:rPr>
              <w:t>572</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高4.5m，分割量为每天的屠宰量</w:t>
            </w:r>
            <w:r>
              <w:rPr>
                <w:rFonts w:cs="Times New Roman"/>
                <w:snapToGrid w:val="0"/>
                <w:color w:val="auto"/>
                <w:highlight w:val="none"/>
                <w:lang w:val="en-US"/>
              </w:rPr>
              <w:t>，</w:t>
            </w:r>
            <w:r>
              <w:rPr>
                <w:rFonts w:hint="eastAsia" w:cs="Times New Roman"/>
                <w:snapToGrid w:val="0"/>
                <w:color w:val="auto"/>
                <w:highlight w:val="none"/>
                <w:lang w:val="en-US" w:eastAsia="zh-CN"/>
              </w:rPr>
              <w:t>分割后根据需要存于冷藏间或速冻库。</w:t>
            </w:r>
          </w:p>
        </w:tc>
        <w:tc>
          <w:tcPr>
            <w:tcW w:w="428" w:type="pct"/>
            <w:vMerge w:val="continue"/>
            <w:vAlign w:val="center"/>
          </w:tcPr>
          <w:p w14:paraId="624D5B99">
            <w:pPr>
              <w:pStyle w:val="73"/>
              <w:rPr>
                <w:rFonts w:cs="Times New Roman"/>
                <w:snapToGrid w:val="0"/>
                <w:color w:val="auto"/>
                <w:highlight w:val="none"/>
              </w:rPr>
            </w:pPr>
          </w:p>
        </w:tc>
      </w:tr>
      <w:tr w14:paraId="5EB655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5B083997">
            <w:pPr>
              <w:pStyle w:val="73"/>
              <w:rPr>
                <w:rFonts w:cs="Times New Roman"/>
                <w:snapToGrid w:val="0"/>
                <w:color w:val="auto"/>
                <w:highlight w:val="none"/>
              </w:rPr>
            </w:pPr>
          </w:p>
        </w:tc>
        <w:tc>
          <w:tcPr>
            <w:tcW w:w="732" w:type="pct"/>
            <w:gridSpan w:val="2"/>
            <w:vAlign w:val="center"/>
          </w:tcPr>
          <w:p w14:paraId="3FD32BEE">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分割间更衣室</w:t>
            </w:r>
          </w:p>
        </w:tc>
        <w:tc>
          <w:tcPr>
            <w:tcW w:w="3416" w:type="pct"/>
            <w:vAlign w:val="center"/>
          </w:tcPr>
          <w:p w14:paraId="10228A41">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紧邻分割间北侧，建筑面积90</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用于分割工人更换衣物。</w:t>
            </w:r>
          </w:p>
        </w:tc>
        <w:tc>
          <w:tcPr>
            <w:tcW w:w="428" w:type="pct"/>
            <w:vMerge w:val="continue"/>
            <w:vAlign w:val="center"/>
          </w:tcPr>
          <w:p w14:paraId="720A6D51">
            <w:pPr>
              <w:pStyle w:val="73"/>
              <w:rPr>
                <w:rFonts w:cs="Times New Roman"/>
                <w:snapToGrid w:val="0"/>
                <w:color w:val="auto"/>
                <w:highlight w:val="none"/>
              </w:rPr>
            </w:pPr>
          </w:p>
        </w:tc>
      </w:tr>
      <w:tr w14:paraId="5B9C54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72E6454E">
            <w:pPr>
              <w:pStyle w:val="73"/>
              <w:rPr>
                <w:rFonts w:cs="Times New Roman"/>
                <w:snapToGrid w:val="0"/>
                <w:color w:val="auto"/>
                <w:highlight w:val="none"/>
              </w:rPr>
            </w:pPr>
          </w:p>
        </w:tc>
        <w:tc>
          <w:tcPr>
            <w:tcW w:w="732" w:type="pct"/>
            <w:gridSpan w:val="2"/>
            <w:vAlign w:val="center"/>
          </w:tcPr>
          <w:p w14:paraId="6AB8DFEE">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白脏间</w:t>
            </w:r>
          </w:p>
        </w:tc>
        <w:tc>
          <w:tcPr>
            <w:tcW w:w="3416" w:type="pct"/>
            <w:vAlign w:val="center"/>
          </w:tcPr>
          <w:p w14:paraId="2853CF23">
            <w:pPr>
              <w:pStyle w:val="73"/>
              <w:rPr>
                <w:rFonts w:hint="default" w:eastAsia="宋体" w:cs="Times New Roman"/>
                <w:snapToGrid w:val="0"/>
                <w:color w:val="auto"/>
                <w:highlight w:val="none"/>
                <w:lang w:val="en-US" w:eastAsia="zh-CN"/>
              </w:rPr>
            </w:pPr>
            <w:r>
              <w:rPr>
                <w:rFonts w:ascii="Times New Roman" w:hAnsi="Times New Roman" w:eastAsia="宋体" w:cs="Times New Roman"/>
                <w:snapToGrid w:val="0"/>
                <w:color w:val="auto"/>
                <w:highlight w:val="none"/>
                <w:lang w:val="en-US"/>
              </w:rPr>
              <w:t>位于生产车间南侧，1个，建筑面积为</w:t>
            </w:r>
            <w:r>
              <w:rPr>
                <w:rFonts w:hint="eastAsia" w:ascii="Times New Roman" w:hAnsi="Times New Roman" w:eastAsia="宋体" w:cs="Times New Roman"/>
                <w:snapToGrid w:val="0"/>
                <w:color w:val="auto"/>
                <w:highlight w:val="none"/>
                <w:lang w:val="en-US" w:eastAsia="zh-CN"/>
              </w:rPr>
              <w:t>36</w:t>
            </w:r>
            <w:r>
              <w:rPr>
                <w:rFonts w:ascii="Times New Roman" w:hAnsi="Times New Roman" w:eastAsia="宋体" w:cs="Times New Roman"/>
                <w:snapToGrid w:val="0"/>
                <w:color w:val="auto"/>
                <w:highlight w:val="none"/>
                <w:lang w:val="en-US"/>
              </w:rPr>
              <w:t>m</w:t>
            </w:r>
            <w:r>
              <w:rPr>
                <w:rFonts w:ascii="Times New Roman" w:hAnsi="Times New Roman" w:eastAsia="宋体" w:cs="Times New Roman"/>
                <w:snapToGrid w:val="0"/>
                <w:color w:val="auto"/>
                <w:highlight w:val="none"/>
                <w:vertAlign w:val="superscript"/>
                <w:lang w:val="en-US"/>
              </w:rPr>
              <w:t>2</w:t>
            </w:r>
            <w:r>
              <w:rPr>
                <w:rFonts w:ascii="Times New Roman" w:hAnsi="Times New Roman" w:eastAsia="宋体" w:cs="Times New Roman"/>
                <w:snapToGrid w:val="0"/>
                <w:color w:val="auto"/>
                <w:highlight w:val="none"/>
                <w:lang w:val="en-US"/>
              </w:rPr>
              <w:t>，</w:t>
            </w:r>
            <w:r>
              <w:rPr>
                <w:rFonts w:hint="eastAsia" w:ascii="Times New Roman" w:hAnsi="Times New Roman" w:eastAsia="宋体" w:cs="Times New Roman"/>
                <w:snapToGrid w:val="0"/>
                <w:color w:val="auto"/>
                <w:highlight w:val="none"/>
                <w:lang w:val="en-US" w:eastAsia="zh-CN"/>
              </w:rPr>
              <w:t>高3m，</w:t>
            </w:r>
            <w:r>
              <w:rPr>
                <w:rFonts w:ascii="Times New Roman" w:hAnsi="Times New Roman" w:eastAsia="宋体" w:cs="Times New Roman"/>
                <w:snapToGrid w:val="0"/>
                <w:color w:val="auto"/>
                <w:highlight w:val="none"/>
                <w:lang w:val="en-US" w:eastAsia="zh-CN"/>
              </w:rPr>
              <w:t>温度应保持在3 ℃</w:t>
            </w:r>
            <w:r>
              <w:rPr>
                <w:rFonts w:hint="default" w:ascii="Times New Roman" w:hAnsi="Times New Roman" w:eastAsia="宋体" w:cs="Times New Roman"/>
                <w:snapToGrid w:val="0"/>
                <w:color w:val="auto"/>
                <w:highlight w:val="none"/>
                <w:lang w:val="en-US" w:eastAsia="zh-CN"/>
              </w:rPr>
              <w:t>以下</w:t>
            </w:r>
            <w:r>
              <w:rPr>
                <w:rFonts w:hint="eastAsia" w:ascii="Times New Roman" w:hAnsi="Times New Roman" w:eastAsia="宋体" w:cs="Times New Roman"/>
                <w:snapToGrid w:val="0"/>
                <w:color w:val="auto"/>
                <w:highlight w:val="none"/>
                <w:lang w:val="en-US" w:eastAsia="zh-CN"/>
              </w:rPr>
              <w:t>，</w:t>
            </w:r>
            <w:r>
              <w:rPr>
                <w:rFonts w:ascii="Times New Roman" w:hAnsi="Times New Roman" w:eastAsia="宋体" w:cs="Times New Roman"/>
                <w:snapToGrid w:val="0"/>
                <w:color w:val="auto"/>
                <w:highlight w:val="none"/>
                <w:lang w:val="en-US"/>
              </w:rPr>
              <w:t>最大储存量为</w:t>
            </w:r>
            <w:r>
              <w:rPr>
                <w:rFonts w:hint="eastAsia" w:ascii="Times New Roman" w:hAnsi="Times New Roman" w:eastAsia="宋体" w:cs="Times New Roman"/>
                <w:snapToGrid w:val="0"/>
                <w:color w:val="auto"/>
                <w:highlight w:val="none"/>
                <w:lang w:val="en-US" w:eastAsia="zh-CN"/>
              </w:rPr>
              <w:t>108</w:t>
            </w:r>
            <w:r>
              <w:rPr>
                <w:rFonts w:ascii="Times New Roman" w:hAnsi="Times New Roman" w:eastAsia="宋体" w:cs="Times New Roman"/>
                <w:snapToGrid w:val="0"/>
                <w:color w:val="auto"/>
                <w:highlight w:val="none"/>
                <w:lang w:val="en-US"/>
              </w:rPr>
              <w:t>m</w:t>
            </w:r>
            <w:r>
              <w:rPr>
                <w:rFonts w:ascii="Times New Roman" w:hAnsi="Times New Roman" w:eastAsia="宋体" w:cs="Times New Roman"/>
                <w:snapToGrid w:val="0"/>
                <w:color w:val="auto"/>
                <w:highlight w:val="none"/>
                <w:vertAlign w:val="superscript"/>
                <w:lang w:val="en-US"/>
              </w:rPr>
              <w:t>3</w:t>
            </w:r>
            <w:r>
              <w:rPr>
                <w:rFonts w:ascii="Times New Roman" w:hAnsi="Times New Roman" w:eastAsia="宋体" w:cs="Times New Roman"/>
                <w:snapToGrid w:val="0"/>
                <w:color w:val="auto"/>
                <w:highlight w:val="none"/>
                <w:lang w:val="en-US"/>
              </w:rPr>
              <w:t>，用于暂存</w:t>
            </w:r>
            <w:r>
              <w:rPr>
                <w:rFonts w:hint="eastAsia" w:ascii="Times New Roman" w:hAnsi="Times New Roman" w:eastAsia="宋体" w:cs="Times New Roman"/>
                <w:snapToGrid w:val="0"/>
                <w:color w:val="auto"/>
                <w:highlight w:val="none"/>
                <w:lang w:val="en-US" w:eastAsia="zh-CN"/>
              </w:rPr>
              <w:t>牛羊肚肠等白色</w:t>
            </w:r>
            <w:r>
              <w:rPr>
                <w:rFonts w:hint="eastAsia" w:cs="Times New Roman"/>
                <w:snapToGrid w:val="0"/>
                <w:color w:val="auto"/>
                <w:highlight w:val="none"/>
                <w:lang w:val="en-US" w:eastAsia="zh-CN"/>
              </w:rPr>
              <w:t>内脏</w:t>
            </w:r>
          </w:p>
        </w:tc>
        <w:tc>
          <w:tcPr>
            <w:tcW w:w="428" w:type="pct"/>
            <w:vMerge w:val="continue"/>
            <w:vAlign w:val="center"/>
          </w:tcPr>
          <w:p w14:paraId="6C0B0503">
            <w:pPr>
              <w:pStyle w:val="73"/>
              <w:rPr>
                <w:rFonts w:cs="Times New Roman"/>
                <w:snapToGrid w:val="0"/>
                <w:color w:val="auto"/>
                <w:highlight w:val="none"/>
              </w:rPr>
            </w:pPr>
          </w:p>
        </w:tc>
      </w:tr>
      <w:tr w14:paraId="2DF838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3775CEF6">
            <w:pPr>
              <w:pStyle w:val="73"/>
              <w:rPr>
                <w:rFonts w:cs="Times New Roman"/>
                <w:snapToGrid w:val="0"/>
                <w:color w:val="auto"/>
                <w:highlight w:val="none"/>
              </w:rPr>
            </w:pPr>
          </w:p>
        </w:tc>
        <w:tc>
          <w:tcPr>
            <w:tcW w:w="732" w:type="pct"/>
            <w:gridSpan w:val="2"/>
            <w:vAlign w:val="center"/>
          </w:tcPr>
          <w:p w14:paraId="62865CDD">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红脏间</w:t>
            </w:r>
          </w:p>
        </w:tc>
        <w:tc>
          <w:tcPr>
            <w:tcW w:w="3416" w:type="pct"/>
            <w:vAlign w:val="center"/>
          </w:tcPr>
          <w:p w14:paraId="0438DB40">
            <w:pPr>
              <w:pStyle w:val="73"/>
              <w:rPr>
                <w:rFonts w:hint="default" w:eastAsia="宋体" w:cs="Times New Roman"/>
                <w:snapToGrid w:val="0"/>
                <w:color w:val="auto"/>
                <w:highlight w:val="none"/>
                <w:lang w:val="en-US" w:eastAsia="zh-CN"/>
              </w:rPr>
            </w:pPr>
            <w:r>
              <w:rPr>
                <w:rFonts w:cs="Times New Roman"/>
                <w:snapToGrid w:val="0"/>
                <w:color w:val="auto"/>
                <w:highlight w:val="none"/>
                <w:lang w:val="en-US"/>
              </w:rPr>
              <w:t>位于生产车间南侧，1个，建筑面积为</w:t>
            </w:r>
            <w:r>
              <w:rPr>
                <w:rFonts w:hint="eastAsia" w:cs="Times New Roman"/>
                <w:snapToGrid w:val="0"/>
                <w:color w:val="auto"/>
                <w:highlight w:val="none"/>
                <w:lang w:val="en-US" w:eastAsia="zh-CN"/>
              </w:rPr>
              <w:t>24</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ascii="Times New Roman" w:hAnsi="Times New Roman" w:eastAsia="宋体" w:cs="Times New Roman"/>
                <w:snapToGrid w:val="0"/>
                <w:color w:val="auto"/>
                <w:highlight w:val="none"/>
                <w:lang w:val="en-US" w:eastAsia="zh-CN"/>
              </w:rPr>
              <w:t>温度应保持在3 ℃</w:t>
            </w:r>
            <w:r>
              <w:rPr>
                <w:rFonts w:hint="default" w:ascii="Times New Roman" w:hAnsi="Times New Roman" w:eastAsia="宋体" w:cs="Times New Roman"/>
                <w:snapToGrid w:val="0"/>
                <w:color w:val="auto"/>
                <w:highlight w:val="none"/>
                <w:lang w:val="en-US" w:eastAsia="zh-CN"/>
              </w:rPr>
              <w:t>以下</w:t>
            </w:r>
            <w:r>
              <w:rPr>
                <w:rFonts w:hint="eastAsia" w:ascii="Times New Roman" w:hAnsi="Times New Roman" w:eastAsia="宋体" w:cs="Times New Roman"/>
                <w:snapToGrid w:val="0"/>
                <w:color w:val="auto"/>
                <w:highlight w:val="none"/>
                <w:lang w:val="en-US" w:eastAsia="zh-CN"/>
              </w:rPr>
              <w:t>，</w:t>
            </w:r>
            <w:r>
              <w:rPr>
                <w:rFonts w:cs="Times New Roman"/>
                <w:snapToGrid w:val="0"/>
                <w:color w:val="auto"/>
                <w:highlight w:val="none"/>
                <w:lang w:val="en-US"/>
              </w:rPr>
              <w:t>最大储存量为</w:t>
            </w:r>
            <w:r>
              <w:rPr>
                <w:rFonts w:hint="eastAsia" w:cs="Times New Roman"/>
                <w:snapToGrid w:val="0"/>
                <w:color w:val="auto"/>
                <w:highlight w:val="none"/>
                <w:lang w:val="en-US" w:eastAsia="zh-CN"/>
              </w:rPr>
              <w:t>72</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，用于暂存</w:t>
            </w:r>
            <w:r>
              <w:rPr>
                <w:rFonts w:hint="eastAsia" w:cs="Times New Roman"/>
                <w:snapToGrid w:val="0"/>
                <w:color w:val="auto"/>
                <w:highlight w:val="none"/>
                <w:lang w:val="en-US" w:eastAsia="zh-CN"/>
              </w:rPr>
              <w:t>牛羊心肝脾肾等红色内脏</w:t>
            </w:r>
          </w:p>
        </w:tc>
        <w:tc>
          <w:tcPr>
            <w:tcW w:w="428" w:type="pct"/>
            <w:vMerge w:val="continue"/>
            <w:vAlign w:val="center"/>
          </w:tcPr>
          <w:p w14:paraId="2A9D2BB1">
            <w:pPr>
              <w:pStyle w:val="73"/>
              <w:rPr>
                <w:rFonts w:cs="Times New Roman"/>
                <w:snapToGrid w:val="0"/>
                <w:color w:val="auto"/>
                <w:highlight w:val="none"/>
              </w:rPr>
            </w:pPr>
          </w:p>
        </w:tc>
      </w:tr>
      <w:tr w14:paraId="6EFECB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4363CF02">
            <w:pPr>
              <w:pStyle w:val="73"/>
              <w:rPr>
                <w:rFonts w:cs="Times New Roman"/>
                <w:snapToGrid w:val="0"/>
                <w:color w:val="auto"/>
                <w:highlight w:val="none"/>
              </w:rPr>
            </w:pPr>
          </w:p>
        </w:tc>
        <w:tc>
          <w:tcPr>
            <w:tcW w:w="732" w:type="pct"/>
            <w:gridSpan w:val="2"/>
            <w:vAlign w:val="center"/>
          </w:tcPr>
          <w:p w14:paraId="4791D0F7">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头蹄间</w:t>
            </w:r>
          </w:p>
        </w:tc>
        <w:tc>
          <w:tcPr>
            <w:tcW w:w="3416" w:type="pct"/>
            <w:vAlign w:val="center"/>
          </w:tcPr>
          <w:p w14:paraId="1C3189E9">
            <w:pPr>
              <w:pStyle w:val="73"/>
              <w:rPr>
                <w:rFonts w:hint="default" w:cs="Times New Roman"/>
                <w:snapToGrid w:val="0"/>
                <w:color w:val="auto"/>
                <w:highlight w:val="none"/>
                <w:lang w:val="en-US"/>
              </w:rPr>
            </w:pPr>
            <w:r>
              <w:rPr>
                <w:rFonts w:cs="Times New Roman"/>
                <w:snapToGrid w:val="0"/>
                <w:color w:val="auto"/>
                <w:highlight w:val="none"/>
                <w:lang w:val="en-US"/>
              </w:rPr>
              <w:t>位于生产车间南侧，1个，建筑面积为</w:t>
            </w:r>
            <w:r>
              <w:rPr>
                <w:rFonts w:hint="eastAsia" w:cs="Times New Roman"/>
                <w:snapToGrid w:val="0"/>
                <w:color w:val="auto"/>
                <w:highlight w:val="none"/>
                <w:lang w:val="en-US" w:eastAsia="zh-CN"/>
              </w:rPr>
              <w:t>36</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ascii="Times New Roman" w:hAnsi="Times New Roman" w:eastAsia="宋体" w:cs="Times New Roman"/>
                <w:snapToGrid w:val="0"/>
                <w:color w:val="auto"/>
                <w:highlight w:val="none"/>
                <w:lang w:val="en-US" w:eastAsia="zh-CN"/>
              </w:rPr>
              <w:t>温度应保持在3 ℃</w:t>
            </w:r>
            <w:r>
              <w:rPr>
                <w:rFonts w:hint="default" w:ascii="Times New Roman" w:hAnsi="Times New Roman" w:eastAsia="宋体" w:cs="Times New Roman"/>
                <w:snapToGrid w:val="0"/>
                <w:color w:val="auto"/>
                <w:highlight w:val="none"/>
                <w:lang w:val="en-US" w:eastAsia="zh-CN"/>
              </w:rPr>
              <w:t>以下</w:t>
            </w:r>
            <w:r>
              <w:rPr>
                <w:rFonts w:hint="eastAsia" w:ascii="Times New Roman" w:hAnsi="Times New Roman" w:eastAsia="宋体" w:cs="Times New Roman"/>
                <w:snapToGrid w:val="0"/>
                <w:color w:val="auto"/>
                <w:highlight w:val="none"/>
                <w:lang w:val="en-US" w:eastAsia="zh-CN"/>
              </w:rPr>
              <w:t>，</w:t>
            </w:r>
            <w:r>
              <w:rPr>
                <w:rFonts w:cs="Times New Roman"/>
                <w:snapToGrid w:val="0"/>
                <w:color w:val="auto"/>
                <w:highlight w:val="none"/>
                <w:lang w:val="en-US"/>
              </w:rPr>
              <w:t>最大储存量为</w:t>
            </w:r>
            <w:r>
              <w:rPr>
                <w:rFonts w:hint="eastAsia" w:cs="Times New Roman"/>
                <w:snapToGrid w:val="0"/>
                <w:color w:val="auto"/>
                <w:highlight w:val="none"/>
                <w:lang w:val="en-US" w:eastAsia="zh-CN"/>
              </w:rPr>
              <w:t>108</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，用于暂存</w:t>
            </w:r>
            <w:r>
              <w:rPr>
                <w:rFonts w:hint="eastAsia" w:cs="Times New Roman"/>
                <w:snapToGrid w:val="0"/>
                <w:color w:val="auto"/>
                <w:highlight w:val="none"/>
                <w:lang w:val="en-US" w:eastAsia="zh-CN"/>
              </w:rPr>
              <w:t>牛羊头部和蹄部</w:t>
            </w:r>
          </w:p>
        </w:tc>
        <w:tc>
          <w:tcPr>
            <w:tcW w:w="428" w:type="pct"/>
            <w:vMerge w:val="continue"/>
            <w:vAlign w:val="center"/>
          </w:tcPr>
          <w:p w14:paraId="786EDA99">
            <w:pPr>
              <w:pStyle w:val="73"/>
              <w:rPr>
                <w:rFonts w:cs="Times New Roman"/>
                <w:snapToGrid w:val="0"/>
                <w:color w:val="auto"/>
                <w:highlight w:val="none"/>
              </w:rPr>
            </w:pPr>
          </w:p>
        </w:tc>
      </w:tr>
      <w:tr w14:paraId="11195D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7E878C6E">
            <w:pPr>
              <w:pStyle w:val="73"/>
              <w:rPr>
                <w:rFonts w:cs="Times New Roman"/>
                <w:snapToGrid w:val="0"/>
                <w:color w:val="auto"/>
                <w:highlight w:val="none"/>
              </w:rPr>
            </w:pPr>
          </w:p>
        </w:tc>
        <w:tc>
          <w:tcPr>
            <w:tcW w:w="732" w:type="pct"/>
            <w:gridSpan w:val="2"/>
            <w:vAlign w:val="center"/>
          </w:tcPr>
          <w:p w14:paraId="64A13ABB">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积血间</w:t>
            </w:r>
          </w:p>
        </w:tc>
        <w:tc>
          <w:tcPr>
            <w:tcW w:w="3416" w:type="pct"/>
            <w:vAlign w:val="center"/>
          </w:tcPr>
          <w:p w14:paraId="0ECA01F3">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位于生产车间西北侧，1个建筑面积37</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ascii="Times New Roman" w:hAnsi="Times New Roman" w:eastAsia="宋体" w:cs="Times New Roman"/>
                <w:snapToGrid w:val="0"/>
                <w:color w:val="auto"/>
                <w:highlight w:val="none"/>
                <w:lang w:val="en-US" w:eastAsia="zh-CN"/>
              </w:rPr>
              <w:t>温度应保持在3 ℃</w:t>
            </w:r>
            <w:r>
              <w:rPr>
                <w:rFonts w:hint="default" w:ascii="Times New Roman" w:hAnsi="Times New Roman" w:eastAsia="宋体" w:cs="Times New Roman"/>
                <w:snapToGrid w:val="0"/>
                <w:color w:val="auto"/>
                <w:highlight w:val="none"/>
                <w:lang w:val="en-US" w:eastAsia="zh-CN"/>
              </w:rPr>
              <w:t>以下</w:t>
            </w:r>
            <w:r>
              <w:rPr>
                <w:rFonts w:hint="eastAsia" w:ascii="Times New Roman" w:hAnsi="Times New Roman" w:eastAsia="宋体" w:cs="Times New Roman"/>
                <w:snapToGrid w:val="0"/>
                <w:color w:val="auto"/>
                <w:highlight w:val="none"/>
                <w:lang w:val="en-US" w:eastAsia="zh-CN"/>
              </w:rPr>
              <w:t>，</w:t>
            </w:r>
            <w:r>
              <w:rPr>
                <w:rFonts w:hint="eastAsia" w:cs="Times New Roman"/>
                <w:snapToGrid w:val="0"/>
                <w:color w:val="auto"/>
                <w:highlight w:val="none"/>
                <w:lang w:val="en-US" w:eastAsia="zh-CN"/>
              </w:rPr>
              <w:t>用于收集和处理屠宰时放出的血。</w:t>
            </w:r>
          </w:p>
        </w:tc>
        <w:tc>
          <w:tcPr>
            <w:tcW w:w="428" w:type="pct"/>
            <w:vMerge w:val="continue"/>
            <w:vAlign w:val="center"/>
          </w:tcPr>
          <w:p w14:paraId="6BBEEDCD">
            <w:pPr>
              <w:pStyle w:val="73"/>
              <w:rPr>
                <w:rFonts w:cs="Times New Roman"/>
                <w:snapToGrid w:val="0"/>
                <w:color w:val="auto"/>
                <w:highlight w:val="none"/>
              </w:rPr>
            </w:pPr>
          </w:p>
        </w:tc>
      </w:tr>
      <w:tr w14:paraId="09DBA5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0435B145">
            <w:pPr>
              <w:pStyle w:val="73"/>
              <w:rPr>
                <w:rFonts w:cs="Times New Roman"/>
                <w:snapToGrid w:val="0"/>
                <w:color w:val="auto"/>
                <w:highlight w:val="none"/>
              </w:rPr>
            </w:pPr>
          </w:p>
        </w:tc>
        <w:tc>
          <w:tcPr>
            <w:tcW w:w="732" w:type="pct"/>
            <w:gridSpan w:val="2"/>
            <w:vAlign w:val="center"/>
          </w:tcPr>
          <w:p w14:paraId="261B7AD2">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高温间</w:t>
            </w:r>
          </w:p>
        </w:tc>
        <w:tc>
          <w:tcPr>
            <w:tcW w:w="3416" w:type="pct"/>
            <w:vAlign w:val="center"/>
          </w:tcPr>
          <w:p w14:paraId="4CC6BBCC">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位于生产车间北侧，1个建筑面积50m</w:t>
            </w:r>
            <w:r>
              <w:rPr>
                <w:rFonts w:hint="eastAsia" w:cs="Times New Roman"/>
                <w:snapToGrid w:val="0"/>
                <w:color w:val="auto"/>
                <w:highlight w:val="none"/>
                <w:vertAlign w:val="superscript"/>
                <w:lang w:val="en-US" w:eastAsia="zh-CN"/>
              </w:rPr>
              <w:t>2</w:t>
            </w:r>
            <w:r>
              <w:rPr>
                <w:rFonts w:hint="eastAsia" w:cs="Times New Roman"/>
                <w:snapToGrid w:val="0"/>
                <w:color w:val="auto"/>
                <w:highlight w:val="none"/>
                <w:lang w:val="en-US" w:eastAsia="zh-CN"/>
              </w:rPr>
              <w:t>，对屠宰产生的废弃物（如不可食用油脂等）采用电加热进行高温高压处理，彻底杀灭细菌等</w:t>
            </w:r>
          </w:p>
        </w:tc>
        <w:tc>
          <w:tcPr>
            <w:tcW w:w="428" w:type="pct"/>
            <w:vMerge w:val="continue"/>
            <w:vAlign w:val="center"/>
          </w:tcPr>
          <w:p w14:paraId="1A33D450">
            <w:pPr>
              <w:pStyle w:val="73"/>
              <w:rPr>
                <w:rFonts w:cs="Times New Roman"/>
                <w:snapToGrid w:val="0"/>
                <w:color w:val="auto"/>
                <w:highlight w:val="none"/>
              </w:rPr>
            </w:pPr>
          </w:p>
        </w:tc>
      </w:tr>
      <w:tr w14:paraId="1BAECD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4B63EBEE">
            <w:pPr>
              <w:pStyle w:val="73"/>
              <w:rPr>
                <w:rFonts w:cs="Times New Roman"/>
                <w:snapToGrid w:val="0"/>
                <w:color w:val="auto"/>
                <w:highlight w:val="none"/>
              </w:rPr>
            </w:pPr>
          </w:p>
        </w:tc>
        <w:tc>
          <w:tcPr>
            <w:tcW w:w="732" w:type="pct"/>
            <w:gridSpan w:val="2"/>
            <w:vAlign w:val="center"/>
          </w:tcPr>
          <w:p w14:paraId="7F380E14">
            <w:pPr>
              <w:pStyle w:val="73"/>
              <w:rPr>
                <w:rFonts w:hint="eastAsia" w:eastAsia="宋体" w:cs="Times New Roman"/>
                <w:snapToGrid w:val="0"/>
                <w:color w:val="auto"/>
                <w:highlight w:val="none"/>
                <w:lang w:val="en-US" w:eastAsia="zh-CN"/>
              </w:rPr>
            </w:pPr>
            <w:r>
              <w:rPr>
                <w:rFonts w:cs="Times New Roman"/>
                <w:snapToGrid w:val="0"/>
                <w:color w:val="auto"/>
                <w:highlight w:val="none"/>
                <w:lang w:val="en-US"/>
              </w:rPr>
              <w:t>排酸</w:t>
            </w:r>
            <w:r>
              <w:rPr>
                <w:rFonts w:hint="eastAsia" w:cs="Times New Roman"/>
                <w:snapToGrid w:val="0"/>
                <w:color w:val="auto"/>
                <w:highlight w:val="none"/>
                <w:lang w:val="en-US" w:eastAsia="zh-CN"/>
              </w:rPr>
              <w:t>间</w:t>
            </w:r>
          </w:p>
        </w:tc>
        <w:tc>
          <w:tcPr>
            <w:tcW w:w="3416" w:type="pct"/>
            <w:vAlign w:val="center"/>
          </w:tcPr>
          <w:p w14:paraId="228932B9">
            <w:pPr>
              <w:pStyle w:val="73"/>
              <w:rPr>
                <w:rFonts w:cs="Times New Roman"/>
                <w:snapToGrid w:val="0"/>
                <w:color w:val="auto"/>
                <w:highlight w:val="none"/>
                <w:lang w:val="en-US"/>
              </w:rPr>
            </w:pPr>
            <w:r>
              <w:rPr>
                <w:rFonts w:cs="Times New Roman"/>
                <w:snapToGrid w:val="0"/>
                <w:color w:val="auto"/>
                <w:highlight w:val="none"/>
                <w:lang w:val="en-US"/>
              </w:rPr>
              <w:t>位于生产车间</w:t>
            </w:r>
            <w:r>
              <w:rPr>
                <w:rFonts w:hint="eastAsia" w:cs="Times New Roman"/>
                <w:snapToGrid w:val="0"/>
                <w:color w:val="auto"/>
                <w:highlight w:val="none"/>
                <w:lang w:val="en-US" w:eastAsia="zh-CN"/>
              </w:rPr>
              <w:t>西北侧</w:t>
            </w:r>
            <w:r>
              <w:rPr>
                <w:rFonts w:cs="Times New Roman"/>
                <w:snapToGrid w:val="0"/>
                <w:color w:val="auto"/>
                <w:highlight w:val="none"/>
                <w:lang w:val="en-US"/>
              </w:rPr>
              <w:t>，2个，建筑面积均为</w:t>
            </w:r>
            <w:r>
              <w:rPr>
                <w:rFonts w:hint="eastAsia" w:cs="Times New Roman"/>
                <w:snapToGrid w:val="0"/>
                <w:color w:val="auto"/>
                <w:highlight w:val="none"/>
                <w:lang w:val="en-US" w:eastAsia="zh-CN"/>
              </w:rPr>
              <w:t>84</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高4.3m，</w:t>
            </w:r>
            <w:r>
              <w:rPr>
                <w:rFonts w:cs="Times New Roman"/>
                <w:snapToGrid w:val="0"/>
                <w:color w:val="auto"/>
                <w:highlight w:val="none"/>
                <w:lang w:val="en-US"/>
              </w:rPr>
              <w:t>最大储存量均为</w:t>
            </w:r>
            <w:r>
              <w:rPr>
                <w:rFonts w:hint="eastAsia" w:cs="Times New Roman"/>
                <w:snapToGrid w:val="0"/>
                <w:color w:val="auto"/>
                <w:highlight w:val="none"/>
                <w:lang w:val="en-US" w:eastAsia="zh-CN"/>
              </w:rPr>
              <w:t>361</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，分别用于羊排酸和牛排酸</w:t>
            </w:r>
          </w:p>
        </w:tc>
        <w:tc>
          <w:tcPr>
            <w:tcW w:w="428" w:type="pct"/>
            <w:vMerge w:val="continue"/>
            <w:vAlign w:val="center"/>
          </w:tcPr>
          <w:p w14:paraId="6BD4E54D">
            <w:pPr>
              <w:pStyle w:val="73"/>
              <w:rPr>
                <w:rFonts w:cs="Times New Roman"/>
                <w:snapToGrid w:val="0"/>
                <w:color w:val="auto"/>
                <w:highlight w:val="none"/>
              </w:rPr>
            </w:pPr>
          </w:p>
        </w:tc>
      </w:tr>
      <w:tr w14:paraId="7BA8E0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5CB0A205">
            <w:pPr>
              <w:pStyle w:val="73"/>
              <w:rPr>
                <w:rFonts w:cs="Times New Roman"/>
                <w:snapToGrid w:val="0"/>
                <w:color w:val="auto"/>
                <w:highlight w:val="none"/>
              </w:rPr>
            </w:pPr>
          </w:p>
        </w:tc>
        <w:tc>
          <w:tcPr>
            <w:tcW w:w="732" w:type="pct"/>
            <w:gridSpan w:val="2"/>
            <w:vAlign w:val="center"/>
          </w:tcPr>
          <w:p w14:paraId="43201F55">
            <w:pPr>
              <w:pStyle w:val="73"/>
              <w:rPr>
                <w:rFonts w:cs="Times New Roman"/>
                <w:snapToGrid w:val="0"/>
                <w:color w:val="auto"/>
                <w:highlight w:val="none"/>
                <w:lang w:val="en-US"/>
              </w:rPr>
            </w:pPr>
            <w:r>
              <w:rPr>
                <w:rFonts w:cs="Times New Roman"/>
                <w:snapToGrid w:val="0"/>
                <w:color w:val="auto"/>
                <w:highlight w:val="none"/>
                <w:lang w:val="en-US"/>
              </w:rPr>
              <w:t>皮</w:t>
            </w:r>
            <w:r>
              <w:rPr>
                <w:rFonts w:hint="eastAsia" w:cs="Times New Roman"/>
                <w:snapToGrid w:val="0"/>
                <w:color w:val="auto"/>
                <w:highlight w:val="none"/>
                <w:lang w:val="en-US" w:eastAsia="zh-CN"/>
              </w:rPr>
              <w:t>张</w:t>
            </w:r>
            <w:r>
              <w:rPr>
                <w:rFonts w:cs="Times New Roman"/>
                <w:snapToGrid w:val="0"/>
                <w:color w:val="auto"/>
                <w:highlight w:val="none"/>
                <w:lang w:val="en-US"/>
              </w:rPr>
              <w:t>间</w:t>
            </w:r>
          </w:p>
        </w:tc>
        <w:tc>
          <w:tcPr>
            <w:tcW w:w="3416" w:type="pct"/>
            <w:vAlign w:val="center"/>
          </w:tcPr>
          <w:p w14:paraId="75E662E5">
            <w:pPr>
              <w:pStyle w:val="73"/>
              <w:rPr>
                <w:rFonts w:cs="Times New Roman"/>
                <w:snapToGrid w:val="0"/>
                <w:color w:val="auto"/>
                <w:highlight w:val="none"/>
                <w:lang w:val="en-US"/>
              </w:rPr>
            </w:pPr>
            <w:r>
              <w:rPr>
                <w:rFonts w:cs="Times New Roman"/>
                <w:snapToGrid w:val="0"/>
                <w:color w:val="auto"/>
                <w:highlight w:val="none"/>
                <w:lang w:val="en-US"/>
              </w:rPr>
              <w:t>位于生产车间南侧，1个，建筑面积为</w:t>
            </w:r>
            <w:r>
              <w:rPr>
                <w:rFonts w:hint="eastAsia" w:cs="Times New Roman"/>
                <w:snapToGrid w:val="0"/>
                <w:color w:val="auto"/>
                <w:highlight w:val="none"/>
                <w:lang w:val="en-US" w:eastAsia="zh-CN"/>
              </w:rPr>
              <w:t>18</w:t>
            </w:r>
            <w:r>
              <w:rPr>
                <w:rFonts w:cs="Times New Roman"/>
                <w:snapToGrid w:val="0"/>
                <w:color w:val="auto"/>
                <w:highlight w:val="none"/>
                <w:lang w:val="en-US"/>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cs="Times New Roman"/>
                <w:snapToGrid w:val="0"/>
                <w:color w:val="auto"/>
                <w:highlight w:val="none"/>
                <w:lang w:val="en-US"/>
              </w:rPr>
              <w:t>最大储存量为</w:t>
            </w:r>
            <w:r>
              <w:rPr>
                <w:rFonts w:hint="eastAsia" w:cs="Times New Roman"/>
                <w:snapToGrid w:val="0"/>
                <w:color w:val="auto"/>
                <w:highlight w:val="none"/>
                <w:lang w:val="en-US" w:eastAsia="zh-CN"/>
              </w:rPr>
              <w:t>54</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，用于暂存羊皮、牛皮</w:t>
            </w:r>
          </w:p>
        </w:tc>
        <w:tc>
          <w:tcPr>
            <w:tcW w:w="428" w:type="pct"/>
            <w:vMerge w:val="continue"/>
            <w:vAlign w:val="center"/>
          </w:tcPr>
          <w:p w14:paraId="429CBCC0">
            <w:pPr>
              <w:pStyle w:val="73"/>
              <w:rPr>
                <w:rFonts w:cs="Times New Roman"/>
                <w:snapToGrid w:val="0"/>
                <w:color w:val="auto"/>
                <w:highlight w:val="none"/>
              </w:rPr>
            </w:pPr>
          </w:p>
        </w:tc>
      </w:tr>
      <w:tr w14:paraId="44F80B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20C707A0">
            <w:pPr>
              <w:pStyle w:val="73"/>
              <w:rPr>
                <w:rFonts w:cs="Times New Roman"/>
                <w:snapToGrid w:val="0"/>
                <w:color w:val="auto"/>
                <w:highlight w:val="none"/>
              </w:rPr>
            </w:pPr>
          </w:p>
        </w:tc>
        <w:tc>
          <w:tcPr>
            <w:tcW w:w="732" w:type="pct"/>
            <w:gridSpan w:val="2"/>
            <w:vAlign w:val="center"/>
          </w:tcPr>
          <w:p w14:paraId="23A4D70F">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检验室</w:t>
            </w:r>
          </w:p>
        </w:tc>
        <w:tc>
          <w:tcPr>
            <w:tcW w:w="3416" w:type="pct"/>
            <w:vAlign w:val="center"/>
          </w:tcPr>
          <w:p w14:paraId="7AD85517">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位于车间东南侧，1个建筑面积18</w:t>
            </w:r>
            <w:r>
              <w:rPr>
                <w:rFonts w:cs="Times New Roman"/>
                <w:snapToGrid w:val="0"/>
                <w:color w:val="auto"/>
                <w:highlight w:val="none"/>
                <w:lang w:val="en-US"/>
              </w:rPr>
              <w:t>m</w:t>
            </w:r>
            <w:r>
              <w:rPr>
                <w:rFonts w:cs="Times New Roman"/>
                <w:snapToGrid w:val="0"/>
                <w:color w:val="auto"/>
                <w:highlight w:val="none"/>
                <w:vertAlign w:val="superscript"/>
              </w:rPr>
              <w:t>2</w:t>
            </w:r>
            <w:r>
              <w:rPr>
                <w:rFonts w:hint="eastAsia" w:cs="Times New Roman"/>
                <w:snapToGrid w:val="0"/>
                <w:color w:val="auto"/>
                <w:highlight w:val="none"/>
                <w:lang w:val="en-US" w:eastAsia="zh-CN"/>
              </w:rPr>
              <w:t>，高3m，用于</w:t>
            </w:r>
            <w:r>
              <w:rPr>
                <w:rFonts w:hint="eastAsia" w:ascii="Times New Roman" w:hAnsi="Times New Roman" w:eastAsia="宋体"/>
                <w:snapToGrid w:val="0"/>
                <w:color w:val="auto"/>
                <w:highlight w:val="none"/>
                <w:lang w:val="en-US" w:eastAsia="zh-CN"/>
              </w:rPr>
              <w:t>寄生虫检疫</w:t>
            </w:r>
            <w:r>
              <w:rPr>
                <w:rFonts w:hint="eastAsia"/>
                <w:snapToGrid w:val="0"/>
                <w:color w:val="auto"/>
                <w:highlight w:val="none"/>
                <w:lang w:val="en-US" w:eastAsia="zh-CN"/>
              </w:rPr>
              <w:t>，</w:t>
            </w:r>
            <w:r>
              <w:rPr>
                <w:rFonts w:hint="eastAsia" w:ascii="Times New Roman" w:hAnsi="Times New Roman" w:eastAsia="宋体"/>
                <w:snapToGrid w:val="0"/>
                <w:color w:val="auto"/>
                <w:highlight w:val="none"/>
                <w:lang w:val="en-US" w:eastAsia="zh-CN"/>
              </w:rPr>
              <w:t>需制成载玻片以显微镜检疫，项目检验不涉及药品使用</w:t>
            </w:r>
          </w:p>
        </w:tc>
        <w:tc>
          <w:tcPr>
            <w:tcW w:w="428" w:type="pct"/>
            <w:vMerge w:val="continue"/>
            <w:vAlign w:val="center"/>
          </w:tcPr>
          <w:p w14:paraId="00D2BC83">
            <w:pPr>
              <w:pStyle w:val="73"/>
              <w:rPr>
                <w:rFonts w:cs="Times New Roman"/>
                <w:snapToGrid w:val="0"/>
                <w:color w:val="auto"/>
                <w:highlight w:val="none"/>
              </w:rPr>
            </w:pPr>
          </w:p>
        </w:tc>
      </w:tr>
      <w:tr w14:paraId="3601AE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2D75D6E7">
            <w:pPr>
              <w:pStyle w:val="73"/>
              <w:rPr>
                <w:rFonts w:cs="Times New Roman"/>
                <w:snapToGrid w:val="0"/>
                <w:color w:val="auto"/>
                <w:highlight w:val="none"/>
              </w:rPr>
            </w:pPr>
          </w:p>
        </w:tc>
        <w:tc>
          <w:tcPr>
            <w:tcW w:w="732" w:type="pct"/>
            <w:gridSpan w:val="2"/>
            <w:vAlign w:val="center"/>
          </w:tcPr>
          <w:p w14:paraId="0B84AA19">
            <w:pPr>
              <w:pStyle w:val="73"/>
              <w:rPr>
                <w:rFonts w:cs="Times New Roman"/>
                <w:snapToGrid w:val="0"/>
                <w:color w:val="auto"/>
                <w:highlight w:val="none"/>
                <w:lang w:val="en-US"/>
              </w:rPr>
            </w:pPr>
            <w:r>
              <w:rPr>
                <w:rFonts w:hint="eastAsia" w:cs="Times New Roman"/>
                <w:snapToGrid w:val="0"/>
                <w:color w:val="auto"/>
                <w:kern w:val="0"/>
                <w:szCs w:val="21"/>
                <w:highlight w:val="none"/>
                <w:lang w:val="en-US" w:eastAsia="zh-CN"/>
              </w:rPr>
              <w:t>危险废物贮存点</w:t>
            </w:r>
          </w:p>
        </w:tc>
        <w:tc>
          <w:tcPr>
            <w:tcW w:w="3416" w:type="pct"/>
            <w:vAlign w:val="center"/>
          </w:tcPr>
          <w:p w14:paraId="5E7E6F48">
            <w:pPr>
              <w:pStyle w:val="73"/>
              <w:rPr>
                <w:rFonts w:hint="eastAsia" w:eastAsia="宋体" w:cs="Times New Roman"/>
                <w:snapToGrid w:val="0"/>
                <w:color w:val="auto"/>
                <w:highlight w:val="none"/>
                <w:lang w:val="en-US" w:eastAsia="zh-CN"/>
              </w:rPr>
            </w:pPr>
            <w:r>
              <w:rPr>
                <w:rFonts w:hint="eastAsia" w:cs="Times New Roman"/>
                <w:snapToGrid w:val="0"/>
                <w:color w:val="auto"/>
                <w:kern w:val="0"/>
                <w:szCs w:val="21"/>
                <w:highlight w:val="none"/>
                <w:lang w:val="en-US" w:eastAsia="zh-CN"/>
              </w:rPr>
              <w:t>危险废物贮存点位于待宰圈</w:t>
            </w:r>
            <w:r>
              <w:rPr>
                <w:rFonts w:hint="eastAsia" w:cs="Times New Roman"/>
                <w:snapToGrid w:val="0"/>
                <w:color w:val="auto"/>
                <w:kern w:val="0"/>
                <w:szCs w:val="21"/>
                <w:highlight w:val="none"/>
                <w:lang w:val="en-US" w:eastAsia="zh-CN"/>
              </w:rPr>
              <w:t>内，1个，设置独立出入口，</w:t>
            </w:r>
            <w:r>
              <w:rPr>
                <w:rFonts w:hint="eastAsia" w:cs="Times New Roman"/>
                <w:snapToGrid w:val="0"/>
                <w:color w:val="auto"/>
                <w:kern w:val="0"/>
                <w:szCs w:val="21"/>
                <w:highlight w:val="none"/>
                <w:lang w:val="en-US" w:eastAsia="zh-CN"/>
              </w:rPr>
              <w:t>建筑面积为20m</w:t>
            </w:r>
            <w:r>
              <w:rPr>
                <w:rFonts w:hint="eastAsia" w:cs="Times New Roman"/>
                <w:snapToGrid w:val="0"/>
                <w:color w:val="auto"/>
                <w:kern w:val="0"/>
                <w:szCs w:val="21"/>
                <w:highlight w:val="none"/>
                <w:vertAlign w:val="superscript"/>
                <w:lang w:val="en-US" w:eastAsia="zh-CN"/>
              </w:rPr>
              <w:t>2</w:t>
            </w:r>
            <w:r>
              <w:rPr>
                <w:rFonts w:hint="eastAsia" w:cs="Times New Roman"/>
                <w:snapToGrid w:val="0"/>
                <w:color w:val="auto"/>
                <w:kern w:val="0"/>
                <w:szCs w:val="21"/>
                <w:highlight w:val="none"/>
                <w:lang w:val="en-US" w:eastAsia="zh-CN"/>
              </w:rPr>
              <w:t>，</w:t>
            </w:r>
            <w:r>
              <w:rPr>
                <w:rFonts w:hint="eastAsia" w:cs="Times New Roman"/>
                <w:snapToGrid w:val="0"/>
                <w:color w:val="auto"/>
                <w:highlight w:val="none"/>
                <w:lang w:val="en-US" w:eastAsia="zh-CN"/>
              </w:rPr>
              <w:t>高3m，</w:t>
            </w:r>
            <w:r>
              <w:rPr>
                <w:rFonts w:hint="eastAsia" w:cs="Times New Roman"/>
                <w:snapToGrid w:val="0"/>
                <w:color w:val="auto"/>
                <w:kern w:val="0"/>
                <w:szCs w:val="21"/>
                <w:highlight w:val="none"/>
                <w:lang w:val="en-US" w:eastAsia="zh-CN"/>
              </w:rPr>
              <w:t>主要暂存检疫废物（HW49其他废物，代码900-041-49），最大暂存量为60t。危险废物贮存点采用重点防渗措施：参照《危险废物贮存污染控制标准》（GB18597-2023）执行，基础必须防渗，防渗层为至少1m厚粘土层（渗透系数≤10</w:t>
            </w:r>
            <w:r>
              <w:rPr>
                <w:rFonts w:hint="eastAsia" w:cs="Times New Roman"/>
                <w:snapToGrid w:val="0"/>
                <w:color w:val="auto"/>
                <w:kern w:val="0"/>
                <w:szCs w:val="21"/>
                <w:highlight w:val="none"/>
                <w:vertAlign w:val="superscript"/>
                <w:lang w:val="en-US" w:eastAsia="zh-CN"/>
              </w:rPr>
              <w:t>-7</w:t>
            </w:r>
            <w:r>
              <w:rPr>
                <w:rFonts w:hint="eastAsia" w:cs="Times New Roman"/>
                <w:snapToGrid w:val="0"/>
                <w:color w:val="auto"/>
                <w:kern w:val="0"/>
                <w:szCs w:val="21"/>
                <w:highlight w:val="none"/>
                <w:lang w:val="en-US" w:eastAsia="zh-CN"/>
              </w:rPr>
              <w:t>cm/s），或2mm厚高密度聚乙烯，或至少2mm厚的其它人工材料，渗透系数≤10</w:t>
            </w:r>
            <w:r>
              <w:rPr>
                <w:rFonts w:hint="eastAsia" w:cs="Times New Roman"/>
                <w:snapToGrid w:val="0"/>
                <w:color w:val="auto"/>
                <w:kern w:val="0"/>
                <w:szCs w:val="21"/>
                <w:highlight w:val="none"/>
                <w:vertAlign w:val="superscript"/>
                <w:lang w:val="en-US" w:eastAsia="zh-CN"/>
              </w:rPr>
              <w:t>-10</w:t>
            </w:r>
            <w:r>
              <w:rPr>
                <w:rFonts w:hint="eastAsia" w:cs="Times New Roman"/>
                <w:snapToGrid w:val="0"/>
                <w:color w:val="auto"/>
                <w:kern w:val="0"/>
                <w:szCs w:val="21"/>
                <w:highlight w:val="none"/>
                <w:lang w:val="en-US" w:eastAsia="zh-CN"/>
              </w:rPr>
              <w:t>cm/s</w:t>
            </w:r>
          </w:p>
        </w:tc>
        <w:tc>
          <w:tcPr>
            <w:tcW w:w="428" w:type="pct"/>
            <w:vMerge w:val="continue"/>
            <w:vAlign w:val="center"/>
          </w:tcPr>
          <w:p w14:paraId="26357732">
            <w:pPr>
              <w:pStyle w:val="73"/>
              <w:rPr>
                <w:rFonts w:cs="Times New Roman"/>
                <w:snapToGrid w:val="0"/>
                <w:color w:val="auto"/>
                <w:highlight w:val="none"/>
              </w:rPr>
            </w:pPr>
          </w:p>
        </w:tc>
      </w:tr>
      <w:tr w14:paraId="257B10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417F22A8">
            <w:pPr>
              <w:pStyle w:val="73"/>
              <w:rPr>
                <w:rFonts w:cs="Times New Roman"/>
                <w:snapToGrid w:val="0"/>
                <w:color w:val="auto"/>
                <w:highlight w:val="none"/>
              </w:rPr>
            </w:pPr>
          </w:p>
        </w:tc>
        <w:tc>
          <w:tcPr>
            <w:tcW w:w="732" w:type="pct"/>
            <w:gridSpan w:val="2"/>
            <w:vAlign w:val="center"/>
          </w:tcPr>
          <w:p w14:paraId="6EBD555A">
            <w:pPr>
              <w:pStyle w:val="73"/>
              <w:ind w:firstLine="0" w:firstLineChars="0"/>
              <w:rPr>
                <w:rFonts w:hint="eastAsia" w:cs="Times New Roman"/>
                <w:snapToGrid w:val="0"/>
                <w:color w:val="auto"/>
                <w:kern w:val="0"/>
                <w:szCs w:val="21"/>
                <w:highlight w:val="none"/>
                <w:lang w:val="en-US" w:eastAsia="zh-CN"/>
              </w:rPr>
            </w:pPr>
            <w:r>
              <w:rPr>
                <w:rFonts w:hint="eastAsia" w:cs="Times New Roman"/>
                <w:snapToGrid w:val="0"/>
                <w:color w:val="auto"/>
                <w:highlight w:val="none"/>
                <w:lang w:val="en-US" w:eastAsia="zh-CN"/>
              </w:rPr>
              <w:t>一般</w:t>
            </w:r>
            <w:r>
              <w:rPr>
                <w:rFonts w:cs="Times New Roman"/>
                <w:snapToGrid w:val="0"/>
                <w:color w:val="auto"/>
                <w:highlight w:val="none"/>
                <w:lang w:val="en-US"/>
              </w:rPr>
              <w:t>固体废物暂存间</w:t>
            </w:r>
          </w:p>
        </w:tc>
        <w:tc>
          <w:tcPr>
            <w:tcW w:w="3416" w:type="pct"/>
            <w:vAlign w:val="center"/>
          </w:tcPr>
          <w:p w14:paraId="2FAC7360">
            <w:pPr>
              <w:pStyle w:val="73"/>
              <w:ind w:firstLine="0" w:firstLineChars="0"/>
              <w:rPr>
                <w:rFonts w:hint="eastAsia" w:cs="Times New Roman"/>
                <w:snapToGrid w:val="0"/>
                <w:color w:val="auto"/>
                <w:kern w:val="0"/>
                <w:szCs w:val="21"/>
                <w:highlight w:val="none"/>
                <w:lang w:val="en-US" w:eastAsia="zh-CN"/>
              </w:rPr>
            </w:pPr>
            <w:r>
              <w:rPr>
                <w:rFonts w:hint="eastAsia" w:cs="Times New Roman"/>
                <w:snapToGrid w:val="0"/>
                <w:color w:val="auto"/>
                <w:kern w:val="0"/>
                <w:szCs w:val="21"/>
                <w:highlight w:val="none"/>
                <w:lang w:val="en-US" w:eastAsia="zh-CN"/>
              </w:rPr>
              <w:t>位于待宰圈内，1个，与危险废物贮存点分隔开来，建筑面积为20m</w:t>
            </w:r>
            <w:r>
              <w:rPr>
                <w:rFonts w:hint="eastAsia" w:cs="Times New Roman"/>
                <w:snapToGrid w:val="0"/>
                <w:color w:val="auto"/>
                <w:kern w:val="0"/>
                <w:szCs w:val="21"/>
                <w:highlight w:val="none"/>
                <w:vertAlign w:val="superscript"/>
                <w:lang w:val="en-US" w:eastAsia="zh-CN"/>
              </w:rPr>
              <w:t>2</w:t>
            </w:r>
            <w:r>
              <w:rPr>
                <w:rFonts w:hint="eastAsia" w:cs="Times New Roman"/>
                <w:snapToGrid w:val="0"/>
                <w:color w:val="auto"/>
                <w:kern w:val="0"/>
                <w:szCs w:val="21"/>
                <w:highlight w:val="none"/>
                <w:lang w:val="en-US" w:eastAsia="zh-CN"/>
              </w:rPr>
              <w:t>，</w:t>
            </w:r>
            <w:r>
              <w:rPr>
                <w:rFonts w:hint="eastAsia" w:cs="Times New Roman"/>
                <w:snapToGrid w:val="0"/>
                <w:color w:val="auto"/>
                <w:highlight w:val="none"/>
                <w:lang w:val="en-US" w:eastAsia="zh-CN"/>
              </w:rPr>
              <w:t>高3m，</w:t>
            </w:r>
            <w:r>
              <w:rPr>
                <w:rFonts w:cs="Times New Roman"/>
                <w:snapToGrid w:val="0"/>
                <w:color w:val="auto"/>
                <w:highlight w:val="none"/>
                <w:lang w:val="en-US"/>
              </w:rPr>
              <w:t>设置</w:t>
            </w:r>
            <w:r>
              <w:rPr>
                <w:rFonts w:hint="eastAsia" w:cs="Times New Roman"/>
                <w:snapToGrid w:val="0"/>
                <w:color w:val="auto"/>
                <w:highlight w:val="none"/>
                <w:lang w:val="en-US" w:eastAsia="zh-CN"/>
              </w:rPr>
              <w:t>3</w:t>
            </w:r>
            <w:r>
              <w:rPr>
                <w:rFonts w:cs="Times New Roman"/>
                <w:snapToGrid w:val="0"/>
                <w:color w:val="auto"/>
                <w:highlight w:val="none"/>
                <w:lang w:val="en-US"/>
              </w:rPr>
              <w:t>个</w:t>
            </w:r>
            <w:r>
              <w:rPr>
                <w:rFonts w:hint="eastAsia" w:cs="Times New Roman"/>
                <w:snapToGrid w:val="0"/>
                <w:color w:val="auto"/>
                <w:highlight w:val="none"/>
                <w:lang w:val="en-US" w:eastAsia="zh-CN"/>
              </w:rPr>
              <w:t>转运桶，</w:t>
            </w:r>
            <w:r>
              <w:rPr>
                <w:rFonts w:cs="Times New Roman"/>
                <w:snapToGrid w:val="0"/>
                <w:color w:val="auto"/>
                <w:highlight w:val="none"/>
              </w:rPr>
              <w:t>分别暂存不可食用</w:t>
            </w:r>
            <w:r>
              <w:rPr>
                <w:rFonts w:cs="Times New Roman"/>
                <w:snapToGrid w:val="0"/>
                <w:color w:val="auto"/>
                <w:kern w:val="0"/>
                <w:szCs w:val="24"/>
                <w:highlight w:val="none"/>
              </w:rPr>
              <w:t>胃容物及肠内物、</w:t>
            </w:r>
            <w:r>
              <w:rPr>
                <w:rFonts w:cs="Times New Roman"/>
                <w:snapToGrid w:val="0"/>
                <w:color w:val="auto"/>
                <w:kern w:val="0"/>
                <w:szCs w:val="24"/>
                <w:highlight w:val="none"/>
                <w:lang w:val="en-US"/>
              </w:rPr>
              <w:t>粪便</w:t>
            </w:r>
            <w:r>
              <w:rPr>
                <w:rFonts w:cs="Times New Roman"/>
                <w:snapToGrid w:val="0"/>
                <w:color w:val="auto"/>
                <w:kern w:val="0"/>
                <w:szCs w:val="24"/>
                <w:highlight w:val="none"/>
              </w:rPr>
              <w:t>及边角料</w:t>
            </w:r>
            <w:r>
              <w:rPr>
                <w:rFonts w:cs="Times New Roman"/>
                <w:snapToGrid w:val="0"/>
                <w:color w:val="auto"/>
                <w:highlight w:val="none"/>
              </w:rPr>
              <w:t>，</w:t>
            </w:r>
            <w:r>
              <w:rPr>
                <w:rFonts w:hint="eastAsia" w:cs="Times New Roman"/>
                <w:snapToGrid w:val="0"/>
                <w:color w:val="auto"/>
                <w:highlight w:val="none"/>
                <w:lang w:val="en-US" w:eastAsia="zh-CN"/>
              </w:rPr>
              <w:t>2天</w:t>
            </w:r>
            <w:r>
              <w:rPr>
                <w:rFonts w:cs="Times New Roman"/>
                <w:snapToGrid w:val="0"/>
                <w:color w:val="auto"/>
                <w:highlight w:val="none"/>
              </w:rPr>
              <w:t>外运处理一次。</w:t>
            </w:r>
            <w:r>
              <w:rPr>
                <w:rFonts w:cs="Times New Roman"/>
                <w:snapToGrid w:val="0"/>
                <w:color w:val="auto"/>
                <w:highlight w:val="none"/>
                <w:lang w:val="en-US"/>
              </w:rPr>
              <w:t>1个</w:t>
            </w:r>
            <w:r>
              <w:rPr>
                <w:rFonts w:hint="eastAsia" w:cs="Times New Roman"/>
                <w:snapToGrid w:val="0"/>
                <w:color w:val="auto"/>
                <w:highlight w:val="none"/>
                <w:lang w:val="en-US" w:eastAsia="zh-CN"/>
              </w:rPr>
              <w:t>冷藏柜</w:t>
            </w:r>
            <w:r>
              <w:rPr>
                <w:rFonts w:cs="Times New Roman"/>
                <w:snapToGrid w:val="0"/>
                <w:color w:val="auto"/>
                <w:highlight w:val="none"/>
                <w:lang w:val="en-US"/>
              </w:rPr>
              <w:t>用于储存检疫不合格品及病死牛羊，产生后</w:t>
            </w:r>
            <w:r>
              <w:rPr>
                <w:rFonts w:cs="Times New Roman"/>
                <w:snapToGrid w:val="0"/>
                <w:color w:val="auto"/>
                <w:kern w:val="0"/>
                <w:szCs w:val="24"/>
                <w:highlight w:val="none"/>
              </w:rPr>
              <w:t>当天</w:t>
            </w:r>
            <w:r>
              <w:rPr>
                <w:rFonts w:hint="eastAsia" w:cs="Times New Roman"/>
                <w:snapToGrid w:val="0"/>
                <w:color w:val="auto"/>
                <w:kern w:val="0"/>
                <w:szCs w:val="24"/>
                <w:highlight w:val="none"/>
                <w:lang w:eastAsia="zh-CN"/>
              </w:rPr>
              <w:t>由</w:t>
            </w:r>
            <w:r>
              <w:rPr>
                <w:rFonts w:hint="eastAsia" w:cs="Times New Roman"/>
                <w:snapToGrid w:val="0"/>
                <w:color w:val="auto"/>
                <w:szCs w:val="24"/>
                <w:highlight w:val="none"/>
                <w:lang w:eastAsia="zh-CN"/>
              </w:rPr>
              <w:t>双</w:t>
            </w:r>
            <w:r>
              <w:rPr>
                <w:rFonts w:hint="eastAsia" w:cs="Times New Roman"/>
                <w:snapToGrid w:val="0"/>
                <w:color w:val="auto"/>
                <w:szCs w:val="24"/>
                <w:highlight w:val="none"/>
                <w:lang w:val="en-US" w:eastAsia="zh-CN"/>
              </w:rPr>
              <w:t>鸭</w:t>
            </w:r>
            <w:r>
              <w:rPr>
                <w:rFonts w:hint="eastAsia" w:cs="Times New Roman"/>
                <w:snapToGrid w:val="0"/>
                <w:color w:val="auto"/>
                <w:szCs w:val="24"/>
                <w:highlight w:val="none"/>
                <w:lang w:eastAsia="zh-CN"/>
              </w:rPr>
              <w:t>山百奥迈斯生物科技有限公司</w:t>
            </w:r>
            <w:r>
              <w:rPr>
                <w:rFonts w:hint="eastAsia" w:cs="Times New Roman"/>
                <w:snapToGrid w:val="0"/>
                <w:color w:val="auto"/>
                <w:kern w:val="0"/>
                <w:szCs w:val="24"/>
                <w:highlight w:val="none"/>
                <w:lang w:val="en-US" w:eastAsia="zh-CN"/>
              </w:rPr>
              <w:t>拉运处置</w:t>
            </w:r>
            <w:r>
              <w:rPr>
                <w:rFonts w:cs="Times New Roman"/>
                <w:snapToGrid w:val="0"/>
                <w:color w:val="auto"/>
                <w:kern w:val="0"/>
                <w:szCs w:val="24"/>
                <w:highlight w:val="none"/>
              </w:rPr>
              <w:t>。</w:t>
            </w:r>
          </w:p>
        </w:tc>
        <w:tc>
          <w:tcPr>
            <w:tcW w:w="428" w:type="pct"/>
            <w:vMerge w:val="continue"/>
            <w:vAlign w:val="center"/>
          </w:tcPr>
          <w:p w14:paraId="32E525DB">
            <w:pPr>
              <w:pStyle w:val="73"/>
              <w:rPr>
                <w:rFonts w:cs="Times New Roman"/>
                <w:snapToGrid w:val="0"/>
                <w:color w:val="auto"/>
                <w:highlight w:val="none"/>
              </w:rPr>
            </w:pPr>
          </w:p>
        </w:tc>
      </w:tr>
      <w:tr w14:paraId="53F05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2BA64EC0">
            <w:pPr>
              <w:pStyle w:val="73"/>
              <w:rPr>
                <w:rFonts w:cs="Times New Roman"/>
                <w:snapToGrid w:val="0"/>
                <w:color w:val="auto"/>
                <w:highlight w:val="none"/>
              </w:rPr>
            </w:pPr>
          </w:p>
        </w:tc>
        <w:tc>
          <w:tcPr>
            <w:tcW w:w="732" w:type="pct"/>
            <w:gridSpan w:val="2"/>
            <w:vAlign w:val="center"/>
          </w:tcPr>
          <w:p w14:paraId="78A32B20">
            <w:pPr>
              <w:pStyle w:val="73"/>
              <w:rPr>
                <w:rFonts w:hint="eastAsia" w:eastAsia="宋体" w:cs="Times New Roman"/>
                <w:snapToGrid w:val="0"/>
                <w:color w:val="auto"/>
                <w:highlight w:val="none"/>
                <w:lang w:val="en-US" w:eastAsia="zh-CN"/>
              </w:rPr>
            </w:pPr>
            <w:r>
              <w:rPr>
                <w:rFonts w:hint="eastAsia" w:cs="Times New Roman"/>
                <w:snapToGrid w:val="0"/>
                <w:color w:val="auto"/>
                <w:highlight w:val="none"/>
                <w:lang w:eastAsia="zh-CN"/>
              </w:rPr>
              <w:t>待宰圈</w:t>
            </w:r>
          </w:p>
        </w:tc>
        <w:tc>
          <w:tcPr>
            <w:tcW w:w="3416" w:type="pct"/>
            <w:vAlign w:val="center"/>
          </w:tcPr>
          <w:p w14:paraId="58D2C889">
            <w:pPr>
              <w:pStyle w:val="73"/>
              <w:rPr>
                <w:rFonts w:cs="Times New Roman"/>
                <w:snapToGrid w:val="0"/>
                <w:color w:val="auto"/>
                <w:highlight w:val="none"/>
                <w:lang w:val="en-US"/>
              </w:rPr>
            </w:pPr>
            <w:r>
              <w:rPr>
                <w:rFonts w:cs="Times New Roman"/>
                <w:snapToGrid w:val="0"/>
                <w:color w:val="auto"/>
                <w:highlight w:val="none"/>
                <w:lang w:val="en-US"/>
              </w:rPr>
              <w:t>位于生产车间</w:t>
            </w:r>
            <w:r>
              <w:rPr>
                <w:rFonts w:hint="eastAsia" w:cs="Times New Roman"/>
                <w:snapToGrid w:val="0"/>
                <w:color w:val="auto"/>
                <w:highlight w:val="none"/>
                <w:lang w:val="en-US" w:eastAsia="zh-CN"/>
              </w:rPr>
              <w:t>南</w:t>
            </w:r>
            <w:r>
              <w:rPr>
                <w:rFonts w:cs="Times New Roman"/>
                <w:snapToGrid w:val="0"/>
                <w:color w:val="auto"/>
                <w:highlight w:val="none"/>
                <w:lang w:val="en-US"/>
              </w:rPr>
              <w:t>侧，</w:t>
            </w:r>
            <w:r>
              <w:rPr>
                <w:rFonts w:hint="eastAsia" w:cs="Times New Roman"/>
                <w:snapToGrid w:val="0"/>
                <w:color w:val="auto"/>
                <w:highlight w:val="none"/>
                <w:lang w:val="en-US" w:eastAsia="zh-CN"/>
              </w:rPr>
              <w:t>1个，</w:t>
            </w:r>
            <w:r>
              <w:rPr>
                <w:rFonts w:hint="eastAsia" w:cs="Times New Roman"/>
                <w:snapToGrid w:val="0"/>
                <w:color w:val="auto"/>
                <w:highlight w:val="none"/>
                <w:lang w:val="en-US" w:eastAsia="zh-CN"/>
              </w:rPr>
              <w:t>钢结构</w:t>
            </w:r>
            <w:r>
              <w:rPr>
                <w:rFonts w:cs="Times New Roman"/>
                <w:snapToGrid w:val="0"/>
                <w:color w:val="auto"/>
                <w:highlight w:val="none"/>
              </w:rPr>
              <w:t>，</w:t>
            </w:r>
            <w:r>
              <w:rPr>
                <w:rFonts w:hint="eastAsia" w:cs="Times New Roman"/>
                <w:snapToGrid w:val="0"/>
                <w:color w:val="auto"/>
                <w:highlight w:val="none"/>
                <w:lang w:val="en-US" w:eastAsia="zh-CN"/>
              </w:rPr>
              <w:t>高5.5米，</w:t>
            </w:r>
            <w:r>
              <w:rPr>
                <w:rFonts w:cs="Times New Roman"/>
                <w:snapToGrid w:val="0"/>
                <w:color w:val="auto"/>
                <w:highlight w:val="none"/>
                <w:lang w:val="en-US"/>
              </w:rPr>
              <w:t>主要对待宰牛、羊进行短时间圈养</w:t>
            </w:r>
            <w:r>
              <w:rPr>
                <w:rFonts w:cs="Times New Roman"/>
                <w:snapToGrid w:val="0"/>
                <w:color w:val="auto"/>
                <w:highlight w:val="none"/>
              </w:rPr>
              <w:t>，</w:t>
            </w:r>
            <w:r>
              <w:rPr>
                <w:rFonts w:cs="Times New Roman"/>
                <w:snapToGrid w:val="0"/>
                <w:color w:val="auto"/>
                <w:highlight w:val="none"/>
                <w:lang w:val="en-US"/>
              </w:rPr>
              <w:t>牛</w:t>
            </w:r>
            <w:r>
              <w:rPr>
                <w:rFonts w:hint="eastAsia" w:cs="Times New Roman"/>
                <w:snapToGrid w:val="0"/>
                <w:color w:val="auto"/>
                <w:highlight w:val="none"/>
                <w:lang w:val="en-US" w:eastAsia="zh-CN"/>
              </w:rPr>
              <w:t>待宰圈</w:t>
            </w:r>
            <w:r>
              <w:rPr>
                <w:rFonts w:cs="Times New Roman"/>
                <w:snapToGrid w:val="0"/>
                <w:color w:val="auto"/>
                <w:highlight w:val="none"/>
                <w:lang w:val="en-US"/>
              </w:rPr>
              <w:t>建筑面积为</w:t>
            </w:r>
            <w:r>
              <w:rPr>
                <w:rFonts w:hint="eastAsia" w:cs="Times New Roman"/>
                <w:snapToGrid w:val="0"/>
                <w:color w:val="auto"/>
                <w:highlight w:val="none"/>
                <w:lang w:val="en-US" w:eastAsia="zh-CN"/>
              </w:rPr>
              <w:t>400</w:t>
            </w:r>
            <w:r>
              <w:rPr>
                <w:rFonts w:cs="Times New Roman"/>
                <w:snapToGrid w:val="0"/>
                <w:color w:val="auto"/>
                <w:highlight w:val="none"/>
                <w:lang w:val="en-US"/>
              </w:rPr>
              <w:t>m</w:t>
            </w:r>
            <w:r>
              <w:rPr>
                <w:rFonts w:cs="Times New Roman"/>
                <w:snapToGrid w:val="0"/>
                <w:color w:val="auto"/>
                <w:highlight w:val="none"/>
                <w:vertAlign w:val="superscript"/>
                <w:lang w:val="en-US"/>
              </w:rPr>
              <w:t>2</w:t>
            </w:r>
            <w:r>
              <w:rPr>
                <w:rFonts w:cs="Times New Roman"/>
                <w:snapToGrid w:val="0"/>
                <w:color w:val="auto"/>
                <w:highlight w:val="none"/>
                <w:lang w:val="en-US"/>
              </w:rPr>
              <w:t>，可容纳</w:t>
            </w:r>
            <w:r>
              <w:rPr>
                <w:rFonts w:hint="eastAsia" w:cs="Times New Roman"/>
                <w:snapToGrid w:val="0"/>
                <w:color w:val="auto"/>
                <w:highlight w:val="none"/>
                <w:lang w:val="en-US" w:eastAsia="zh-CN"/>
              </w:rPr>
              <w:t>100头</w:t>
            </w:r>
            <w:r>
              <w:rPr>
                <w:rFonts w:cs="Times New Roman"/>
                <w:snapToGrid w:val="0"/>
                <w:color w:val="auto"/>
                <w:highlight w:val="none"/>
                <w:lang w:val="en-US"/>
              </w:rPr>
              <w:t>牛</w:t>
            </w:r>
            <w:r>
              <w:rPr>
                <w:rFonts w:hint="eastAsia" w:cs="Times New Roman"/>
                <w:snapToGrid w:val="0"/>
                <w:color w:val="auto"/>
                <w:highlight w:val="none"/>
                <w:lang w:val="en-US" w:eastAsia="zh-CN"/>
              </w:rPr>
              <w:t>500只</w:t>
            </w:r>
            <w:r>
              <w:rPr>
                <w:rFonts w:cs="Times New Roman"/>
                <w:snapToGrid w:val="0"/>
                <w:color w:val="auto"/>
                <w:highlight w:val="none"/>
                <w:lang w:val="en-US"/>
              </w:rPr>
              <w:t>羊</w:t>
            </w:r>
            <w:r>
              <w:rPr>
                <w:rFonts w:hint="eastAsia" w:cs="Times New Roman"/>
                <w:snapToGrid w:val="0"/>
                <w:color w:val="auto"/>
                <w:highlight w:val="none"/>
                <w:lang w:val="en-US" w:eastAsia="zh-CN"/>
              </w:rPr>
              <w:t>，</w:t>
            </w:r>
            <w:r>
              <w:rPr>
                <w:rFonts w:cs="Times New Roman"/>
                <w:snapToGrid w:val="0"/>
                <w:color w:val="auto"/>
                <w:highlight w:val="none"/>
                <w:lang w:val="en-US"/>
              </w:rPr>
              <w:t>每批存栏</w:t>
            </w:r>
            <w:r>
              <w:rPr>
                <w:rFonts w:cs="Times New Roman"/>
                <w:snapToGrid w:val="0"/>
                <w:color w:val="auto"/>
                <w:highlight w:val="none"/>
              </w:rPr>
              <w:t>不超过</w:t>
            </w:r>
            <w:r>
              <w:rPr>
                <w:rFonts w:cs="Times New Roman"/>
                <w:snapToGrid w:val="0"/>
                <w:color w:val="auto"/>
                <w:highlight w:val="none"/>
                <w:lang w:val="en-US"/>
              </w:rPr>
              <w:t>16</w:t>
            </w:r>
            <w:r>
              <w:rPr>
                <w:rFonts w:cs="Times New Roman"/>
                <w:snapToGrid w:val="0"/>
                <w:color w:val="auto"/>
                <w:highlight w:val="none"/>
              </w:rPr>
              <w:t>h</w:t>
            </w:r>
            <w:r>
              <w:rPr>
                <w:rFonts w:cs="Times New Roman"/>
                <w:snapToGrid w:val="0"/>
                <w:color w:val="auto"/>
                <w:highlight w:val="none"/>
                <w:lang w:val="en-US"/>
              </w:rPr>
              <w:t>。</w:t>
            </w:r>
            <w:r>
              <w:rPr>
                <w:rFonts w:cs="Times New Roman"/>
                <w:snapToGrid w:val="0"/>
                <w:color w:val="auto"/>
                <w:highlight w:val="none"/>
              </w:rPr>
              <w:t>待宰期间断食断水。</w:t>
            </w:r>
          </w:p>
        </w:tc>
        <w:tc>
          <w:tcPr>
            <w:tcW w:w="428" w:type="pct"/>
            <w:vMerge w:val="continue"/>
            <w:vAlign w:val="center"/>
          </w:tcPr>
          <w:p w14:paraId="26A79E8F">
            <w:pPr>
              <w:pStyle w:val="73"/>
              <w:rPr>
                <w:rFonts w:cs="Times New Roman"/>
                <w:snapToGrid w:val="0"/>
                <w:color w:val="auto"/>
                <w:highlight w:val="none"/>
              </w:rPr>
            </w:pPr>
          </w:p>
        </w:tc>
      </w:tr>
      <w:tr w14:paraId="02CC3C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6E42A88E">
            <w:pPr>
              <w:pStyle w:val="73"/>
              <w:rPr>
                <w:rFonts w:cs="Times New Roman"/>
                <w:snapToGrid w:val="0"/>
                <w:color w:val="auto"/>
                <w:highlight w:val="none"/>
              </w:rPr>
            </w:pPr>
          </w:p>
        </w:tc>
        <w:tc>
          <w:tcPr>
            <w:tcW w:w="732" w:type="pct"/>
            <w:gridSpan w:val="2"/>
            <w:vAlign w:val="center"/>
          </w:tcPr>
          <w:p w14:paraId="47427568">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急宰间</w:t>
            </w:r>
          </w:p>
        </w:tc>
        <w:tc>
          <w:tcPr>
            <w:tcW w:w="3416" w:type="pct"/>
            <w:vAlign w:val="center"/>
          </w:tcPr>
          <w:p w14:paraId="2BB75F1D">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位于待宰圈内南侧，1个，紧邻固体废物暂存间，建筑面积40</w:t>
            </w:r>
            <w:r>
              <w:rPr>
                <w:rFonts w:hint="eastAsia" w:cs="Times New Roman"/>
                <w:snapToGrid w:val="0"/>
                <w:color w:val="auto"/>
                <w:kern w:val="0"/>
                <w:szCs w:val="21"/>
                <w:highlight w:val="none"/>
                <w:lang w:val="en-US" w:eastAsia="zh-CN"/>
              </w:rPr>
              <w:t>m</w:t>
            </w:r>
            <w:r>
              <w:rPr>
                <w:rFonts w:hint="eastAsia" w:cs="Times New Roman"/>
                <w:snapToGrid w:val="0"/>
                <w:color w:val="auto"/>
                <w:kern w:val="0"/>
                <w:szCs w:val="21"/>
                <w:highlight w:val="none"/>
                <w:vertAlign w:val="superscript"/>
                <w:lang w:val="en-US" w:eastAsia="zh-CN"/>
              </w:rPr>
              <w:t>2</w:t>
            </w:r>
            <w:r>
              <w:rPr>
                <w:rFonts w:hint="eastAsia" w:cs="Times New Roman"/>
                <w:snapToGrid w:val="0"/>
                <w:color w:val="auto"/>
                <w:highlight w:val="none"/>
                <w:lang w:val="en-US" w:eastAsia="zh-CN"/>
              </w:rPr>
              <w:t>，高3m，内设急宰生产线1条，用于屠宰需立即宰杀的牛羊，如因意外受伤、突发疾病或处于濒危状态，但检验判定为</w:t>
            </w:r>
            <w:r>
              <w:rPr>
                <w:rFonts w:hint="default" w:cs="Times New Roman"/>
                <w:snapToGrid w:val="0"/>
                <w:color w:val="auto"/>
                <w:highlight w:val="none"/>
                <w:lang w:val="en-US" w:eastAsia="zh-CN"/>
              </w:rPr>
              <w:t>仍有食用价值的牛羊</w:t>
            </w:r>
            <w:r>
              <w:rPr>
                <w:rFonts w:hint="eastAsia" w:cs="Times New Roman"/>
                <w:snapToGrid w:val="0"/>
                <w:color w:val="auto"/>
                <w:highlight w:val="none"/>
                <w:lang w:val="en-US" w:eastAsia="zh-CN"/>
              </w:rPr>
              <w:t>。</w:t>
            </w:r>
          </w:p>
        </w:tc>
        <w:tc>
          <w:tcPr>
            <w:tcW w:w="428" w:type="pct"/>
            <w:vMerge w:val="continue"/>
            <w:vAlign w:val="center"/>
          </w:tcPr>
          <w:p w14:paraId="117194BE">
            <w:pPr>
              <w:pStyle w:val="73"/>
              <w:rPr>
                <w:rFonts w:cs="Times New Roman"/>
                <w:snapToGrid w:val="0"/>
                <w:color w:val="auto"/>
                <w:highlight w:val="none"/>
              </w:rPr>
            </w:pPr>
          </w:p>
        </w:tc>
      </w:tr>
      <w:tr w14:paraId="057539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423" w:type="pct"/>
            <w:vMerge w:val="continue"/>
            <w:vAlign w:val="center"/>
          </w:tcPr>
          <w:p w14:paraId="468B723F">
            <w:pPr>
              <w:pStyle w:val="73"/>
              <w:rPr>
                <w:rFonts w:cs="Times New Roman"/>
                <w:snapToGrid w:val="0"/>
                <w:color w:val="auto"/>
                <w:highlight w:val="none"/>
              </w:rPr>
            </w:pPr>
          </w:p>
        </w:tc>
        <w:tc>
          <w:tcPr>
            <w:tcW w:w="732" w:type="pct"/>
            <w:gridSpan w:val="2"/>
            <w:vAlign w:val="center"/>
          </w:tcPr>
          <w:p w14:paraId="46A12D20">
            <w:pPr>
              <w:pStyle w:val="73"/>
              <w:rPr>
                <w:rFonts w:cs="Times New Roman"/>
                <w:snapToGrid w:val="0"/>
                <w:color w:val="auto"/>
                <w:highlight w:val="none"/>
                <w:lang w:val="en-US"/>
              </w:rPr>
            </w:pPr>
            <w:r>
              <w:rPr>
                <w:rFonts w:cs="Times New Roman"/>
                <w:snapToGrid w:val="0"/>
                <w:color w:val="auto"/>
                <w:highlight w:val="none"/>
                <w:lang w:val="en-US"/>
              </w:rPr>
              <w:t>隔离圈</w:t>
            </w:r>
          </w:p>
        </w:tc>
        <w:tc>
          <w:tcPr>
            <w:tcW w:w="3416" w:type="pct"/>
            <w:vAlign w:val="center"/>
          </w:tcPr>
          <w:p w14:paraId="69974CCA">
            <w:pPr>
              <w:pStyle w:val="73"/>
              <w:rPr>
                <w:rFonts w:cs="Times New Roman"/>
                <w:snapToGrid w:val="0"/>
                <w:color w:val="auto"/>
                <w:highlight w:val="none"/>
              </w:rPr>
            </w:pPr>
            <w:r>
              <w:rPr>
                <w:rFonts w:hint="eastAsia" w:cs="Times New Roman"/>
                <w:snapToGrid w:val="0"/>
                <w:color w:val="auto"/>
                <w:highlight w:val="none"/>
                <w:lang w:val="en-US" w:eastAsia="zh-CN"/>
              </w:rPr>
              <w:t>位于待宰圈内南侧，1个，紧邻急宰间</w:t>
            </w:r>
            <w:r>
              <w:rPr>
                <w:rFonts w:cs="Times New Roman"/>
                <w:snapToGrid w:val="0"/>
                <w:color w:val="auto"/>
                <w:highlight w:val="none"/>
                <w:lang w:val="en-US"/>
              </w:rPr>
              <w:t>，</w:t>
            </w:r>
            <w:r>
              <w:rPr>
                <w:rFonts w:cs="Times New Roman"/>
                <w:snapToGrid w:val="0"/>
                <w:color w:val="auto"/>
                <w:highlight w:val="none"/>
              </w:rPr>
              <w:t>建筑面积为</w:t>
            </w:r>
            <w:r>
              <w:rPr>
                <w:rFonts w:hint="eastAsia" w:cs="Times New Roman"/>
                <w:snapToGrid w:val="0"/>
                <w:color w:val="auto"/>
                <w:highlight w:val="none"/>
                <w:lang w:val="en-US" w:eastAsia="zh-CN"/>
              </w:rPr>
              <w:t>40</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cs="Times New Roman"/>
                <w:snapToGrid w:val="0"/>
                <w:color w:val="auto"/>
                <w:highlight w:val="none"/>
                <w:lang w:val="en-US"/>
              </w:rPr>
              <w:t>用于隔离疑似病牛、羊</w:t>
            </w:r>
            <w:r>
              <w:rPr>
                <w:rFonts w:cs="Times New Roman"/>
                <w:snapToGrid w:val="0"/>
                <w:color w:val="auto"/>
                <w:highlight w:val="none"/>
              </w:rPr>
              <w:t>，</w:t>
            </w:r>
            <w:r>
              <w:rPr>
                <w:rFonts w:cs="Times New Roman"/>
                <w:snapToGrid w:val="0"/>
                <w:color w:val="auto"/>
                <w:highlight w:val="none"/>
                <w:lang w:val="en-US"/>
              </w:rPr>
              <w:t>可隔离</w:t>
            </w:r>
            <w:r>
              <w:rPr>
                <w:rFonts w:hint="eastAsia" w:cs="Times New Roman"/>
                <w:snapToGrid w:val="0"/>
                <w:color w:val="auto"/>
                <w:highlight w:val="none"/>
                <w:lang w:val="en-US" w:eastAsia="zh-CN"/>
              </w:rPr>
              <w:t>10</w:t>
            </w:r>
            <w:r>
              <w:rPr>
                <w:rFonts w:cs="Times New Roman"/>
                <w:snapToGrid w:val="0"/>
                <w:color w:val="auto"/>
                <w:highlight w:val="none"/>
                <w:lang w:val="en-US"/>
              </w:rPr>
              <w:t>头羊、5头牛</w:t>
            </w:r>
            <w:r>
              <w:rPr>
                <w:rFonts w:cs="Times New Roman"/>
                <w:snapToGrid w:val="0"/>
                <w:color w:val="auto"/>
                <w:highlight w:val="none"/>
              </w:rPr>
              <w:t>。</w:t>
            </w:r>
          </w:p>
        </w:tc>
        <w:tc>
          <w:tcPr>
            <w:tcW w:w="428" w:type="pct"/>
            <w:vMerge w:val="continue"/>
            <w:vAlign w:val="center"/>
          </w:tcPr>
          <w:p w14:paraId="1C4EC931">
            <w:pPr>
              <w:pStyle w:val="73"/>
              <w:rPr>
                <w:rFonts w:cs="Times New Roman"/>
                <w:snapToGrid w:val="0"/>
                <w:color w:val="auto"/>
                <w:highlight w:val="none"/>
              </w:rPr>
            </w:pPr>
          </w:p>
        </w:tc>
      </w:tr>
      <w:tr w14:paraId="6E5CAB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restart"/>
            <w:vAlign w:val="center"/>
          </w:tcPr>
          <w:p w14:paraId="1E407507">
            <w:pPr>
              <w:pStyle w:val="73"/>
              <w:rPr>
                <w:rFonts w:cs="Times New Roman"/>
                <w:snapToGrid w:val="0"/>
                <w:color w:val="auto"/>
                <w:highlight w:val="none"/>
              </w:rPr>
            </w:pPr>
            <w:r>
              <w:rPr>
                <w:rFonts w:cs="Times New Roman"/>
                <w:snapToGrid w:val="0"/>
                <w:color w:val="auto"/>
                <w:highlight w:val="none"/>
              </w:rPr>
              <w:t>辅助</w:t>
            </w:r>
          </w:p>
          <w:p w14:paraId="19B24542">
            <w:pPr>
              <w:pStyle w:val="73"/>
              <w:rPr>
                <w:rFonts w:cs="Times New Roman"/>
                <w:snapToGrid w:val="0"/>
                <w:color w:val="auto"/>
                <w:highlight w:val="none"/>
              </w:rPr>
            </w:pPr>
            <w:r>
              <w:rPr>
                <w:rFonts w:cs="Times New Roman"/>
                <w:snapToGrid w:val="0"/>
                <w:color w:val="auto"/>
                <w:highlight w:val="none"/>
              </w:rPr>
              <w:t>工程</w:t>
            </w:r>
          </w:p>
        </w:tc>
        <w:tc>
          <w:tcPr>
            <w:tcW w:w="732" w:type="pct"/>
            <w:gridSpan w:val="2"/>
            <w:vAlign w:val="center"/>
          </w:tcPr>
          <w:p w14:paraId="035ECA0B">
            <w:pPr>
              <w:pStyle w:val="73"/>
              <w:rPr>
                <w:rFonts w:cs="Times New Roman"/>
                <w:snapToGrid w:val="0"/>
                <w:color w:val="auto"/>
                <w:highlight w:val="none"/>
              </w:rPr>
            </w:pPr>
            <w:r>
              <w:rPr>
                <w:rFonts w:cs="Times New Roman"/>
                <w:snapToGrid w:val="0"/>
                <w:color w:val="auto"/>
                <w:highlight w:val="none"/>
              </w:rPr>
              <w:t>办公室</w:t>
            </w:r>
          </w:p>
        </w:tc>
        <w:tc>
          <w:tcPr>
            <w:tcW w:w="3416" w:type="pct"/>
            <w:vAlign w:val="center"/>
          </w:tcPr>
          <w:p w14:paraId="53DDDD8F">
            <w:pPr>
              <w:pStyle w:val="73"/>
              <w:rPr>
                <w:rFonts w:cs="Times New Roman"/>
                <w:snapToGrid w:val="0"/>
                <w:color w:val="auto"/>
                <w:highlight w:val="none"/>
                <w:lang w:val="en-US"/>
              </w:rPr>
            </w:pPr>
            <w:r>
              <w:rPr>
                <w:rFonts w:hint="eastAsia" w:cs="Times New Roman"/>
                <w:snapToGrid w:val="0"/>
                <w:color w:val="auto"/>
                <w:highlight w:val="none"/>
                <w:lang w:val="en-US" w:eastAsia="zh-CN"/>
              </w:rPr>
              <w:t>1个，</w:t>
            </w:r>
            <w:r>
              <w:rPr>
                <w:rFonts w:cs="Times New Roman"/>
                <w:snapToGrid w:val="0"/>
                <w:color w:val="auto"/>
                <w:highlight w:val="none"/>
                <w:lang w:val="en-US"/>
              </w:rPr>
              <w:t>位于生产车间内（生产车间2层），</w:t>
            </w:r>
            <w:r>
              <w:rPr>
                <w:rFonts w:cs="Times New Roman"/>
                <w:snapToGrid w:val="0"/>
                <w:color w:val="auto"/>
                <w:highlight w:val="none"/>
              </w:rPr>
              <w:t>建筑面积为</w:t>
            </w:r>
            <w:r>
              <w:rPr>
                <w:rFonts w:hint="eastAsia" w:cs="Times New Roman"/>
                <w:snapToGrid w:val="0"/>
                <w:color w:val="auto"/>
                <w:highlight w:val="none"/>
                <w:lang w:val="en-US" w:eastAsia="zh-CN"/>
              </w:rPr>
              <w:t>902</w:t>
            </w:r>
            <w:r>
              <w:rPr>
                <w:rFonts w:cs="Times New Roman"/>
                <w:snapToGrid w:val="0"/>
                <w:color w:val="auto"/>
                <w:highlight w:val="none"/>
                <w:lang w:val="en-US"/>
              </w:rPr>
              <w:t>m</w:t>
            </w:r>
            <w:r>
              <w:rPr>
                <w:rFonts w:cs="Times New Roman"/>
                <w:snapToGrid w:val="0"/>
                <w:color w:val="auto"/>
                <w:highlight w:val="none"/>
                <w:vertAlign w:val="superscript"/>
                <w:lang w:val="en-US"/>
              </w:rPr>
              <w:t>2</w:t>
            </w:r>
            <w:r>
              <w:rPr>
                <w:rFonts w:cs="Times New Roman"/>
                <w:snapToGrid w:val="0"/>
                <w:color w:val="auto"/>
                <w:highlight w:val="none"/>
                <w:lang w:val="en-US"/>
              </w:rPr>
              <w:t>，</w:t>
            </w:r>
            <w:r>
              <w:rPr>
                <w:rFonts w:hint="eastAsia" w:cs="Times New Roman"/>
                <w:snapToGrid w:val="0"/>
                <w:color w:val="auto"/>
                <w:highlight w:val="none"/>
                <w:lang w:val="en-US" w:eastAsia="zh-CN"/>
              </w:rPr>
              <w:t>高8m，</w:t>
            </w:r>
            <w:r>
              <w:rPr>
                <w:rFonts w:cs="Times New Roman"/>
                <w:snapToGrid w:val="0"/>
                <w:color w:val="auto"/>
                <w:highlight w:val="none"/>
                <w:lang w:val="en-US"/>
              </w:rPr>
              <w:t>设有办公室</w:t>
            </w:r>
            <w:r>
              <w:rPr>
                <w:rFonts w:hint="eastAsia" w:cs="Times New Roman"/>
                <w:snapToGrid w:val="0"/>
                <w:color w:val="auto"/>
                <w:highlight w:val="none"/>
                <w:lang w:val="en-US" w:eastAsia="zh-CN"/>
              </w:rPr>
              <w:t>、</w:t>
            </w:r>
            <w:r>
              <w:rPr>
                <w:rFonts w:cs="Times New Roman"/>
                <w:snapToGrid w:val="0"/>
                <w:color w:val="auto"/>
                <w:highlight w:val="none"/>
                <w:lang w:val="en-US"/>
              </w:rPr>
              <w:t>产品展厅等</w:t>
            </w:r>
          </w:p>
        </w:tc>
        <w:tc>
          <w:tcPr>
            <w:tcW w:w="428" w:type="pct"/>
            <w:vMerge w:val="restart"/>
            <w:vAlign w:val="center"/>
          </w:tcPr>
          <w:p w14:paraId="4F988772">
            <w:pPr>
              <w:pStyle w:val="73"/>
              <w:rPr>
                <w:rFonts w:cs="Times New Roman"/>
                <w:snapToGrid w:val="0"/>
                <w:color w:val="auto"/>
                <w:highlight w:val="none"/>
              </w:rPr>
            </w:pPr>
            <w:r>
              <w:rPr>
                <w:rFonts w:cs="Times New Roman"/>
                <w:snapToGrid w:val="0"/>
                <w:color w:val="auto"/>
                <w:highlight w:val="none"/>
              </w:rPr>
              <w:t>新建</w:t>
            </w:r>
          </w:p>
        </w:tc>
      </w:tr>
      <w:tr w14:paraId="071610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46D7C482">
            <w:pPr>
              <w:pStyle w:val="73"/>
              <w:rPr>
                <w:rFonts w:cs="Times New Roman"/>
                <w:snapToGrid w:val="0"/>
                <w:color w:val="auto"/>
                <w:highlight w:val="none"/>
              </w:rPr>
            </w:pPr>
          </w:p>
        </w:tc>
        <w:tc>
          <w:tcPr>
            <w:tcW w:w="732" w:type="pct"/>
            <w:gridSpan w:val="2"/>
            <w:vAlign w:val="center"/>
          </w:tcPr>
          <w:p w14:paraId="5D383B34">
            <w:pPr>
              <w:pStyle w:val="73"/>
              <w:rPr>
                <w:rFonts w:hint="eastAsia" w:eastAsia="宋体" w:cs="Times New Roman"/>
                <w:snapToGrid w:val="0"/>
                <w:color w:val="auto"/>
                <w:highlight w:val="none"/>
                <w:lang w:eastAsia="zh-CN"/>
              </w:rPr>
            </w:pPr>
            <w:r>
              <w:rPr>
                <w:rFonts w:hint="eastAsia" w:cs="Times New Roman"/>
                <w:snapToGrid w:val="0"/>
                <w:color w:val="auto"/>
                <w:highlight w:val="none"/>
                <w:lang w:val="en-US" w:eastAsia="zh-CN"/>
              </w:rPr>
              <w:t>更衣室</w:t>
            </w:r>
          </w:p>
        </w:tc>
        <w:tc>
          <w:tcPr>
            <w:tcW w:w="3416" w:type="pct"/>
            <w:vAlign w:val="center"/>
          </w:tcPr>
          <w:p w14:paraId="0D30AB55">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男女更衣室</w:t>
            </w:r>
            <w:r>
              <w:rPr>
                <w:rFonts w:cs="Times New Roman"/>
                <w:snapToGrid w:val="0"/>
                <w:color w:val="auto"/>
                <w:highlight w:val="none"/>
              </w:rPr>
              <w:t>位于生产车间</w:t>
            </w:r>
            <w:r>
              <w:rPr>
                <w:rFonts w:hint="eastAsia" w:cs="Times New Roman"/>
                <w:snapToGrid w:val="0"/>
                <w:color w:val="auto"/>
                <w:highlight w:val="none"/>
                <w:lang w:val="en-US" w:eastAsia="zh-CN"/>
              </w:rPr>
              <w:t>西侧</w:t>
            </w:r>
            <w:r>
              <w:rPr>
                <w:rFonts w:cs="Times New Roman"/>
                <w:snapToGrid w:val="0"/>
                <w:color w:val="auto"/>
                <w:highlight w:val="none"/>
              </w:rPr>
              <w:t>，1层，</w:t>
            </w:r>
            <w:r>
              <w:rPr>
                <w:rFonts w:hint="eastAsia" w:cs="Times New Roman"/>
                <w:snapToGrid w:val="0"/>
                <w:color w:val="auto"/>
                <w:highlight w:val="none"/>
                <w:lang w:val="en-US" w:eastAsia="zh-CN"/>
              </w:rPr>
              <w:t>总</w:t>
            </w:r>
            <w:r>
              <w:rPr>
                <w:rFonts w:cs="Times New Roman"/>
                <w:snapToGrid w:val="0"/>
                <w:color w:val="auto"/>
                <w:highlight w:val="none"/>
              </w:rPr>
              <w:t>建筑面积为</w:t>
            </w:r>
            <w:r>
              <w:rPr>
                <w:rFonts w:hint="eastAsia" w:cs="Times New Roman"/>
                <w:snapToGrid w:val="0"/>
                <w:color w:val="auto"/>
                <w:highlight w:val="none"/>
                <w:lang w:val="en-US" w:eastAsia="zh-CN"/>
              </w:rPr>
              <w:t>220</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高3m，包含淋浴间及卫生间。</w:t>
            </w:r>
          </w:p>
        </w:tc>
        <w:tc>
          <w:tcPr>
            <w:tcW w:w="428" w:type="pct"/>
            <w:vMerge w:val="continue"/>
            <w:vAlign w:val="center"/>
          </w:tcPr>
          <w:p w14:paraId="753BE92C">
            <w:pPr>
              <w:pStyle w:val="73"/>
              <w:rPr>
                <w:rFonts w:cs="Times New Roman"/>
                <w:snapToGrid w:val="0"/>
                <w:color w:val="auto"/>
                <w:highlight w:val="none"/>
              </w:rPr>
            </w:pPr>
          </w:p>
        </w:tc>
      </w:tr>
      <w:tr w14:paraId="3EAB4E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5D1AD2C1">
            <w:pPr>
              <w:pStyle w:val="73"/>
              <w:rPr>
                <w:rFonts w:cs="Times New Roman"/>
                <w:snapToGrid w:val="0"/>
                <w:color w:val="auto"/>
                <w:highlight w:val="none"/>
              </w:rPr>
            </w:pPr>
          </w:p>
        </w:tc>
        <w:tc>
          <w:tcPr>
            <w:tcW w:w="732" w:type="pct"/>
            <w:gridSpan w:val="2"/>
            <w:vAlign w:val="center"/>
          </w:tcPr>
          <w:p w14:paraId="26A13F65">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配电室</w:t>
            </w:r>
          </w:p>
        </w:tc>
        <w:tc>
          <w:tcPr>
            <w:tcW w:w="3416" w:type="pct"/>
            <w:vAlign w:val="center"/>
          </w:tcPr>
          <w:p w14:paraId="1A3D2816">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紧邻积血间西侧，1个建筑面积40</w:t>
            </w:r>
            <w:r>
              <w:rPr>
                <w:rFonts w:cs="Times New Roman"/>
                <w:snapToGrid w:val="0"/>
                <w:color w:val="auto"/>
                <w:highlight w:val="none"/>
                <w:lang w:val="en-US"/>
              </w:rPr>
              <w:t>m</w:t>
            </w:r>
            <w:r>
              <w:rPr>
                <w:rFonts w:cs="Times New Roman"/>
                <w:snapToGrid w:val="0"/>
                <w:color w:val="auto"/>
                <w:highlight w:val="none"/>
                <w:vertAlign w:val="superscript"/>
                <w:lang w:val="en-US"/>
              </w:rPr>
              <w:t>2</w:t>
            </w:r>
            <w:r>
              <w:rPr>
                <w:rFonts w:cs="Times New Roman"/>
                <w:snapToGrid w:val="0"/>
                <w:color w:val="auto"/>
                <w:highlight w:val="none"/>
                <w:lang w:val="en-US"/>
              </w:rPr>
              <w:t>，</w:t>
            </w:r>
            <w:r>
              <w:rPr>
                <w:rFonts w:hint="eastAsia" w:cs="Times New Roman"/>
                <w:snapToGrid w:val="0"/>
                <w:color w:val="auto"/>
                <w:highlight w:val="none"/>
                <w:lang w:val="en-US" w:eastAsia="zh-CN"/>
              </w:rPr>
              <w:t>用于分配生产用电。</w:t>
            </w:r>
          </w:p>
        </w:tc>
        <w:tc>
          <w:tcPr>
            <w:tcW w:w="428" w:type="pct"/>
            <w:vMerge w:val="continue"/>
            <w:vAlign w:val="center"/>
          </w:tcPr>
          <w:p w14:paraId="626C8B5B">
            <w:pPr>
              <w:pStyle w:val="73"/>
              <w:rPr>
                <w:rFonts w:cs="Times New Roman"/>
                <w:snapToGrid w:val="0"/>
                <w:color w:val="auto"/>
                <w:highlight w:val="none"/>
              </w:rPr>
            </w:pPr>
          </w:p>
        </w:tc>
      </w:tr>
      <w:tr w14:paraId="32C3CE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3" w:type="pct"/>
            <w:vMerge w:val="continue"/>
            <w:vAlign w:val="center"/>
          </w:tcPr>
          <w:p w14:paraId="57DB8296">
            <w:pPr>
              <w:pStyle w:val="73"/>
              <w:rPr>
                <w:rFonts w:cs="Times New Roman"/>
                <w:snapToGrid w:val="0"/>
                <w:color w:val="auto"/>
                <w:highlight w:val="none"/>
              </w:rPr>
            </w:pPr>
          </w:p>
        </w:tc>
        <w:tc>
          <w:tcPr>
            <w:tcW w:w="732" w:type="pct"/>
            <w:gridSpan w:val="2"/>
            <w:vAlign w:val="center"/>
          </w:tcPr>
          <w:p w14:paraId="4C9678C1">
            <w:pPr>
              <w:pStyle w:val="73"/>
              <w:rPr>
                <w:rFonts w:cs="Times New Roman"/>
                <w:snapToGrid w:val="0"/>
                <w:color w:val="auto"/>
                <w:highlight w:val="none"/>
                <w:lang w:val="en-US"/>
              </w:rPr>
            </w:pPr>
            <w:r>
              <w:rPr>
                <w:rFonts w:cs="Times New Roman"/>
                <w:snapToGrid w:val="0"/>
                <w:color w:val="auto"/>
                <w:highlight w:val="none"/>
                <w:lang w:val="en-US"/>
              </w:rPr>
              <w:t>门卫</w:t>
            </w:r>
          </w:p>
        </w:tc>
        <w:tc>
          <w:tcPr>
            <w:tcW w:w="3416" w:type="pct"/>
            <w:vAlign w:val="center"/>
          </w:tcPr>
          <w:p w14:paraId="23468CDD">
            <w:pPr>
              <w:pStyle w:val="73"/>
              <w:rPr>
                <w:rFonts w:cs="Times New Roman"/>
                <w:snapToGrid w:val="0"/>
                <w:color w:val="auto"/>
                <w:highlight w:val="none"/>
                <w:lang w:val="en-US"/>
              </w:rPr>
            </w:pPr>
            <w:r>
              <w:rPr>
                <w:rFonts w:cs="Times New Roman"/>
                <w:snapToGrid w:val="0"/>
                <w:color w:val="auto"/>
                <w:highlight w:val="none"/>
                <w:lang w:val="en-US"/>
              </w:rPr>
              <w:t>位于厂区</w:t>
            </w:r>
            <w:r>
              <w:rPr>
                <w:rFonts w:hint="eastAsia" w:cs="Times New Roman"/>
                <w:snapToGrid w:val="0"/>
                <w:color w:val="auto"/>
                <w:highlight w:val="none"/>
                <w:lang w:val="en-US" w:eastAsia="zh-CN"/>
              </w:rPr>
              <w:t>北侧</w:t>
            </w:r>
            <w:r>
              <w:rPr>
                <w:rFonts w:cs="Times New Roman"/>
                <w:snapToGrid w:val="0"/>
                <w:color w:val="auto"/>
                <w:highlight w:val="none"/>
                <w:lang w:val="en-US"/>
              </w:rPr>
              <w:t>，</w:t>
            </w:r>
            <w:r>
              <w:rPr>
                <w:rFonts w:cs="Times New Roman"/>
                <w:snapToGrid w:val="0"/>
                <w:color w:val="auto"/>
                <w:highlight w:val="none"/>
              </w:rPr>
              <w:t>1层，</w:t>
            </w:r>
            <w:r>
              <w:rPr>
                <w:rFonts w:cs="Times New Roman"/>
                <w:snapToGrid w:val="0"/>
                <w:color w:val="auto"/>
                <w:highlight w:val="none"/>
                <w:lang w:val="en-US"/>
              </w:rPr>
              <w:t>建筑面积为</w:t>
            </w:r>
            <w:r>
              <w:rPr>
                <w:rFonts w:hint="eastAsia" w:cs="Times New Roman"/>
                <w:snapToGrid w:val="0"/>
                <w:color w:val="auto"/>
                <w:highlight w:val="none"/>
                <w:lang w:val="en-US" w:eastAsia="zh-CN"/>
              </w:rPr>
              <w:t>30</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p>
        </w:tc>
        <w:tc>
          <w:tcPr>
            <w:tcW w:w="428" w:type="pct"/>
            <w:vMerge w:val="continue"/>
            <w:vAlign w:val="center"/>
          </w:tcPr>
          <w:p w14:paraId="7BAD64ED">
            <w:pPr>
              <w:pStyle w:val="73"/>
              <w:rPr>
                <w:rFonts w:cs="Times New Roman"/>
                <w:snapToGrid w:val="0"/>
                <w:color w:val="auto"/>
                <w:highlight w:val="none"/>
              </w:rPr>
            </w:pPr>
          </w:p>
        </w:tc>
      </w:tr>
      <w:tr w14:paraId="57698E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135EB9EF">
            <w:pPr>
              <w:pStyle w:val="73"/>
              <w:rPr>
                <w:rFonts w:cs="Times New Roman"/>
                <w:snapToGrid w:val="0"/>
                <w:color w:val="auto"/>
                <w:highlight w:val="none"/>
              </w:rPr>
            </w:pPr>
          </w:p>
        </w:tc>
        <w:tc>
          <w:tcPr>
            <w:tcW w:w="732" w:type="pct"/>
            <w:gridSpan w:val="2"/>
            <w:vAlign w:val="center"/>
          </w:tcPr>
          <w:p w14:paraId="17016118">
            <w:pPr>
              <w:pStyle w:val="73"/>
              <w:rPr>
                <w:rFonts w:cs="Times New Roman"/>
                <w:snapToGrid w:val="0"/>
                <w:color w:val="auto"/>
                <w:highlight w:val="none"/>
                <w:lang w:val="en-US"/>
              </w:rPr>
            </w:pPr>
            <w:r>
              <w:rPr>
                <w:rFonts w:cs="Times New Roman"/>
                <w:snapToGrid w:val="0"/>
                <w:color w:val="auto"/>
                <w:highlight w:val="none"/>
                <w:lang w:val="en-US"/>
              </w:rPr>
              <w:t>检疫室</w:t>
            </w:r>
          </w:p>
        </w:tc>
        <w:tc>
          <w:tcPr>
            <w:tcW w:w="3416" w:type="pct"/>
            <w:vAlign w:val="center"/>
          </w:tcPr>
          <w:p w14:paraId="6A48248F">
            <w:pPr>
              <w:pStyle w:val="73"/>
              <w:rPr>
                <w:rFonts w:hint="eastAsia" w:eastAsia="宋体" w:cs="Times New Roman"/>
                <w:snapToGrid w:val="0"/>
                <w:color w:val="auto"/>
                <w:highlight w:val="none"/>
                <w:lang w:val="en-US" w:eastAsia="zh-CN"/>
              </w:rPr>
            </w:pPr>
            <w:r>
              <w:rPr>
                <w:rFonts w:hint="eastAsia" w:cs="Times New Roman"/>
                <w:snapToGrid w:val="0"/>
                <w:color w:val="auto"/>
                <w:highlight w:val="none"/>
                <w:lang w:val="en-US" w:eastAsia="zh-CN"/>
              </w:rPr>
              <w:t>位于生产车间南侧，1个，紧邻红脏间</w:t>
            </w:r>
            <w:r>
              <w:rPr>
                <w:rFonts w:cs="Times New Roman"/>
                <w:snapToGrid w:val="0"/>
                <w:color w:val="auto"/>
                <w:highlight w:val="none"/>
                <w:lang w:val="en-US"/>
              </w:rPr>
              <w:t>，建筑面积为</w:t>
            </w:r>
            <w:r>
              <w:rPr>
                <w:rFonts w:hint="eastAsia" w:cs="Times New Roman"/>
                <w:snapToGrid w:val="0"/>
                <w:color w:val="auto"/>
                <w:highlight w:val="none"/>
                <w:lang w:val="en-US" w:eastAsia="zh-CN"/>
              </w:rPr>
              <w:t>18</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cs="Times New Roman"/>
                <w:snapToGrid w:val="0"/>
                <w:color w:val="auto"/>
                <w:highlight w:val="none"/>
                <w:lang w:val="en-US"/>
              </w:rPr>
              <w:t>用于宰后检疫</w:t>
            </w:r>
            <w:r>
              <w:rPr>
                <w:rFonts w:hint="eastAsia" w:cs="Times New Roman"/>
                <w:snapToGrid w:val="0"/>
                <w:color w:val="auto"/>
                <w:highlight w:val="none"/>
                <w:lang w:val="en-US" w:eastAsia="zh-CN"/>
              </w:rPr>
              <w:t>。</w:t>
            </w:r>
          </w:p>
        </w:tc>
        <w:tc>
          <w:tcPr>
            <w:tcW w:w="428" w:type="pct"/>
            <w:vMerge w:val="continue"/>
            <w:vAlign w:val="center"/>
          </w:tcPr>
          <w:p w14:paraId="66D34816">
            <w:pPr>
              <w:pStyle w:val="73"/>
              <w:rPr>
                <w:rFonts w:cs="Times New Roman"/>
                <w:snapToGrid w:val="0"/>
                <w:color w:val="auto"/>
                <w:highlight w:val="none"/>
              </w:rPr>
            </w:pPr>
          </w:p>
        </w:tc>
      </w:tr>
      <w:tr w14:paraId="529CE1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4BA00709">
            <w:pPr>
              <w:pStyle w:val="73"/>
              <w:rPr>
                <w:rFonts w:cs="Times New Roman"/>
                <w:snapToGrid w:val="0"/>
                <w:color w:val="auto"/>
                <w:highlight w:val="none"/>
              </w:rPr>
            </w:pPr>
          </w:p>
        </w:tc>
        <w:tc>
          <w:tcPr>
            <w:tcW w:w="732" w:type="pct"/>
            <w:gridSpan w:val="2"/>
            <w:vAlign w:val="center"/>
          </w:tcPr>
          <w:p w14:paraId="7649839E">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病体间</w:t>
            </w:r>
          </w:p>
        </w:tc>
        <w:tc>
          <w:tcPr>
            <w:tcW w:w="3416" w:type="pct"/>
            <w:vAlign w:val="center"/>
          </w:tcPr>
          <w:p w14:paraId="644C35B1">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1个，建筑面积15</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用于存放需再次检疫产品</w:t>
            </w:r>
            <w:r>
              <w:rPr>
                <w:rFonts w:hint="eastAsia"/>
                <w:snapToGrid w:val="0"/>
                <w:color w:val="auto"/>
                <w:highlight w:val="none"/>
                <w:lang w:eastAsia="zh-CN"/>
              </w:rPr>
              <w:t>，</w:t>
            </w:r>
            <w:r>
              <w:rPr>
                <w:rFonts w:hint="eastAsia"/>
                <w:snapToGrid w:val="0"/>
                <w:color w:val="auto"/>
                <w:highlight w:val="none"/>
                <w:lang w:val="en-US" w:eastAsia="zh-CN"/>
              </w:rPr>
              <w:t>确认不合格产品送至固体废物暂存间。</w:t>
            </w:r>
          </w:p>
        </w:tc>
        <w:tc>
          <w:tcPr>
            <w:tcW w:w="428" w:type="pct"/>
            <w:vMerge w:val="continue"/>
            <w:vAlign w:val="center"/>
          </w:tcPr>
          <w:p w14:paraId="3CE7FB27">
            <w:pPr>
              <w:pStyle w:val="73"/>
              <w:rPr>
                <w:rFonts w:cs="Times New Roman"/>
                <w:snapToGrid w:val="0"/>
                <w:color w:val="auto"/>
                <w:highlight w:val="none"/>
              </w:rPr>
            </w:pPr>
          </w:p>
        </w:tc>
      </w:tr>
      <w:tr w14:paraId="6C96BE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550B9134">
            <w:pPr>
              <w:pStyle w:val="73"/>
              <w:rPr>
                <w:rFonts w:cs="Times New Roman"/>
                <w:snapToGrid w:val="0"/>
                <w:color w:val="auto"/>
                <w:highlight w:val="none"/>
              </w:rPr>
            </w:pPr>
          </w:p>
        </w:tc>
        <w:tc>
          <w:tcPr>
            <w:tcW w:w="732" w:type="pct"/>
            <w:gridSpan w:val="2"/>
            <w:vAlign w:val="center"/>
          </w:tcPr>
          <w:p w14:paraId="5B12DF76">
            <w:pPr>
              <w:pStyle w:val="73"/>
              <w:rPr>
                <w:rFonts w:cs="Times New Roman"/>
                <w:snapToGrid w:val="0"/>
                <w:color w:val="auto"/>
                <w:highlight w:val="none"/>
                <w:lang w:val="en-US"/>
              </w:rPr>
            </w:pPr>
            <w:r>
              <w:rPr>
                <w:rFonts w:hint="eastAsia" w:cs="Times New Roman"/>
                <w:snapToGrid w:val="0"/>
                <w:color w:val="auto"/>
                <w:highlight w:val="none"/>
                <w:lang w:val="en-US"/>
              </w:rPr>
              <w:t>污水处理站</w:t>
            </w:r>
          </w:p>
        </w:tc>
        <w:tc>
          <w:tcPr>
            <w:tcW w:w="3416" w:type="pct"/>
            <w:vAlign w:val="center"/>
          </w:tcPr>
          <w:p w14:paraId="0FEADBAF">
            <w:pPr>
              <w:pStyle w:val="73"/>
              <w:rPr>
                <w:rFonts w:hint="default" w:eastAsia="宋体" w:cs="Times New Roman"/>
                <w:snapToGrid w:val="0"/>
                <w:color w:val="auto"/>
                <w:highlight w:val="none"/>
                <w:lang w:val="en-US" w:eastAsia="zh-CN"/>
              </w:rPr>
            </w:pPr>
            <w:r>
              <w:rPr>
                <w:rFonts w:cs="Times New Roman"/>
                <w:snapToGrid w:val="0"/>
                <w:color w:val="auto"/>
                <w:highlight w:val="none"/>
                <w:lang w:val="en-US"/>
              </w:rPr>
              <w:t>位于厂区</w:t>
            </w:r>
            <w:r>
              <w:rPr>
                <w:rFonts w:hint="eastAsia" w:cs="Times New Roman"/>
                <w:snapToGrid w:val="0"/>
                <w:color w:val="auto"/>
                <w:highlight w:val="none"/>
                <w:lang w:val="en-US" w:eastAsia="zh-CN"/>
              </w:rPr>
              <w:t>东南</w:t>
            </w:r>
            <w:r>
              <w:rPr>
                <w:rFonts w:cs="Times New Roman"/>
                <w:snapToGrid w:val="0"/>
                <w:color w:val="auto"/>
                <w:highlight w:val="none"/>
                <w:lang w:val="en-US"/>
              </w:rPr>
              <w:t>侧，占地面积为</w:t>
            </w:r>
            <w:r>
              <w:rPr>
                <w:rFonts w:hint="eastAsia" w:cs="Times New Roman"/>
                <w:snapToGrid w:val="0"/>
                <w:color w:val="auto"/>
                <w:highlight w:val="none"/>
                <w:lang w:val="en-US" w:eastAsia="zh-CN"/>
              </w:rPr>
              <w:t>280</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cs="Times New Roman"/>
                <w:snapToGrid w:val="0"/>
                <w:color w:val="auto"/>
                <w:highlight w:val="none"/>
                <w:lang w:val="en-US"/>
              </w:rPr>
              <w:t>建筑面积为</w:t>
            </w:r>
            <w:r>
              <w:rPr>
                <w:rFonts w:hint="eastAsia" w:cs="Times New Roman"/>
                <w:snapToGrid w:val="0"/>
                <w:color w:val="auto"/>
                <w:highlight w:val="none"/>
                <w:lang w:val="en-US" w:eastAsia="zh-CN"/>
              </w:rPr>
              <w:t>226</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高5.5m，处理能力为100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cs="Times New Roman"/>
                <w:snapToGrid w:val="0"/>
                <w:color w:val="auto"/>
                <w:highlight w:val="none"/>
                <w:lang w:val="en-US"/>
              </w:rPr>
              <w:t>/d，处理工艺：</w:t>
            </w:r>
            <w:r>
              <w:rPr>
                <w:rFonts w:cs="Times New Roman"/>
                <w:bCs/>
                <w:snapToGrid w:val="0"/>
                <w:color w:val="auto"/>
                <w:szCs w:val="24"/>
                <w:highlight w:val="none"/>
              </w:rPr>
              <w:t>“格栅+</w:t>
            </w:r>
            <w:r>
              <w:rPr>
                <w:rFonts w:hint="eastAsia" w:cs="Times New Roman"/>
                <w:bCs/>
                <w:snapToGrid w:val="0"/>
                <w:color w:val="auto"/>
                <w:szCs w:val="24"/>
                <w:highlight w:val="none"/>
                <w:lang w:val="en-US" w:eastAsia="zh-CN"/>
              </w:rPr>
              <w:t>隔油池</w:t>
            </w:r>
            <w:r>
              <w:rPr>
                <w:rFonts w:cs="Times New Roman"/>
                <w:bCs/>
                <w:snapToGrid w:val="0"/>
                <w:color w:val="auto"/>
                <w:szCs w:val="24"/>
                <w:highlight w:val="none"/>
              </w:rPr>
              <w:t>+</w:t>
            </w:r>
            <w:r>
              <w:rPr>
                <w:rFonts w:hint="eastAsia" w:cs="Times New Roman"/>
                <w:bCs/>
                <w:snapToGrid w:val="0"/>
                <w:color w:val="auto"/>
                <w:szCs w:val="24"/>
                <w:highlight w:val="none"/>
                <w:lang w:val="en-US" w:eastAsia="zh-CN"/>
              </w:rPr>
              <w:t>调节池</w:t>
            </w:r>
            <w:r>
              <w:rPr>
                <w:rFonts w:cs="Times New Roman"/>
                <w:bCs/>
                <w:snapToGrid w:val="0"/>
                <w:color w:val="auto"/>
                <w:szCs w:val="24"/>
                <w:highlight w:val="none"/>
              </w:rPr>
              <w:t>+气浮+水解酸化+</w:t>
            </w:r>
            <w:r>
              <w:rPr>
                <w:rFonts w:hint="eastAsia" w:cs="Times New Roman"/>
                <w:bCs/>
                <w:snapToGrid w:val="0"/>
                <w:color w:val="auto"/>
                <w:szCs w:val="24"/>
                <w:highlight w:val="none"/>
                <w:lang w:val="en-US" w:eastAsia="zh-CN"/>
              </w:rPr>
              <w:t>反硝化缺氧+好氧</w:t>
            </w:r>
            <w:r>
              <w:rPr>
                <w:rFonts w:cs="Times New Roman"/>
                <w:bCs/>
                <w:snapToGrid w:val="0"/>
                <w:color w:val="auto"/>
                <w:szCs w:val="24"/>
                <w:highlight w:val="none"/>
              </w:rPr>
              <w:t>+沉淀+消毒（</w:t>
            </w:r>
            <w:r>
              <w:rPr>
                <w:rFonts w:hint="eastAsia" w:cs="Times New Roman"/>
                <w:bCs/>
                <w:snapToGrid w:val="0"/>
                <w:color w:val="auto"/>
                <w:szCs w:val="24"/>
                <w:highlight w:val="none"/>
                <w:lang w:val="en-US" w:eastAsia="zh-CN"/>
              </w:rPr>
              <w:t>次氯酸钠</w:t>
            </w:r>
            <w:r>
              <w:rPr>
                <w:rFonts w:cs="Times New Roman"/>
                <w:bCs/>
                <w:snapToGrid w:val="0"/>
                <w:color w:val="auto"/>
                <w:szCs w:val="24"/>
                <w:highlight w:val="none"/>
              </w:rPr>
              <w:t>）”</w:t>
            </w:r>
            <w:r>
              <w:rPr>
                <w:rFonts w:hint="eastAsia" w:cs="Times New Roman"/>
                <w:bCs/>
                <w:snapToGrid w:val="0"/>
                <w:color w:val="auto"/>
                <w:szCs w:val="24"/>
                <w:highlight w:val="none"/>
                <w:lang w:eastAsia="zh-CN"/>
              </w:rPr>
              <w:t>，</w:t>
            </w:r>
            <w:r>
              <w:rPr>
                <w:rFonts w:hint="eastAsia" w:cs="Times New Roman"/>
                <w:bCs/>
                <w:snapToGrid w:val="0"/>
                <w:color w:val="auto"/>
                <w:szCs w:val="24"/>
                <w:highlight w:val="none"/>
                <w:lang w:val="en-US" w:eastAsia="zh-CN"/>
              </w:rPr>
              <w:t>应在污水总排口（DW001）处安装污水在线处理设备，对特征污染物进行实时监测</w:t>
            </w:r>
          </w:p>
        </w:tc>
        <w:tc>
          <w:tcPr>
            <w:tcW w:w="428" w:type="pct"/>
            <w:vMerge w:val="continue"/>
            <w:vAlign w:val="center"/>
          </w:tcPr>
          <w:p w14:paraId="1548ED69">
            <w:pPr>
              <w:pStyle w:val="73"/>
              <w:rPr>
                <w:rFonts w:cs="Times New Roman"/>
                <w:snapToGrid w:val="0"/>
                <w:color w:val="auto"/>
                <w:highlight w:val="none"/>
              </w:rPr>
            </w:pPr>
          </w:p>
        </w:tc>
      </w:tr>
      <w:tr w14:paraId="63FD17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5685F10F">
            <w:pPr>
              <w:pStyle w:val="73"/>
              <w:rPr>
                <w:rFonts w:cs="Times New Roman"/>
                <w:snapToGrid w:val="0"/>
                <w:color w:val="auto"/>
                <w:highlight w:val="none"/>
              </w:rPr>
            </w:pPr>
          </w:p>
        </w:tc>
        <w:tc>
          <w:tcPr>
            <w:tcW w:w="732" w:type="pct"/>
            <w:gridSpan w:val="2"/>
            <w:vAlign w:val="center"/>
          </w:tcPr>
          <w:p w14:paraId="54F69F3E">
            <w:pPr>
              <w:pStyle w:val="73"/>
              <w:rPr>
                <w:rFonts w:hint="eastAsia" w:eastAsia="宋体" w:cs="Times New Roman"/>
                <w:snapToGrid w:val="0"/>
                <w:color w:val="auto"/>
                <w:highlight w:val="none"/>
                <w:lang w:val="en-US" w:eastAsia="zh-CN"/>
              </w:rPr>
            </w:pPr>
            <w:r>
              <w:rPr>
                <w:rFonts w:cs="Times New Roman"/>
                <w:snapToGrid w:val="0"/>
                <w:color w:val="auto"/>
                <w:highlight w:val="none"/>
                <w:lang w:val="en-US"/>
              </w:rPr>
              <w:t>车</w:t>
            </w:r>
            <w:r>
              <w:rPr>
                <w:rFonts w:hint="eastAsia" w:cs="Times New Roman"/>
                <w:snapToGrid w:val="0"/>
                <w:color w:val="auto"/>
                <w:highlight w:val="none"/>
                <w:lang w:val="en-US" w:eastAsia="zh-CN"/>
              </w:rPr>
              <w:t>库</w:t>
            </w:r>
          </w:p>
        </w:tc>
        <w:tc>
          <w:tcPr>
            <w:tcW w:w="3416" w:type="pct"/>
            <w:vAlign w:val="center"/>
          </w:tcPr>
          <w:p w14:paraId="1E11FD26">
            <w:pPr>
              <w:pStyle w:val="73"/>
              <w:rPr>
                <w:rFonts w:cs="Times New Roman"/>
                <w:snapToGrid w:val="0"/>
                <w:color w:val="auto"/>
                <w:highlight w:val="none"/>
                <w:lang w:val="en-US"/>
              </w:rPr>
            </w:pPr>
            <w:r>
              <w:rPr>
                <w:rFonts w:cs="Times New Roman"/>
                <w:snapToGrid w:val="0"/>
                <w:color w:val="auto"/>
                <w:highlight w:val="none"/>
                <w:lang w:val="en-US"/>
              </w:rPr>
              <w:t>位于厂区西侧，</w:t>
            </w:r>
            <w:r>
              <w:rPr>
                <w:rFonts w:cs="Times New Roman"/>
                <w:snapToGrid w:val="0"/>
                <w:color w:val="auto"/>
                <w:highlight w:val="none"/>
              </w:rPr>
              <w:t>1层，</w:t>
            </w:r>
            <w:r>
              <w:rPr>
                <w:rFonts w:cs="Times New Roman"/>
                <w:snapToGrid w:val="0"/>
                <w:color w:val="auto"/>
                <w:highlight w:val="none"/>
                <w:lang w:val="en-US"/>
              </w:rPr>
              <w:t>建筑面积为</w:t>
            </w:r>
            <w:r>
              <w:rPr>
                <w:rFonts w:hint="eastAsia" w:cs="Times New Roman"/>
                <w:snapToGrid w:val="0"/>
                <w:color w:val="auto"/>
                <w:highlight w:val="none"/>
                <w:lang w:val="en-US" w:eastAsia="zh-CN"/>
              </w:rPr>
              <w:t>300</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cs="Times New Roman"/>
                <w:snapToGrid w:val="0"/>
                <w:color w:val="auto"/>
                <w:highlight w:val="none"/>
                <w:lang w:val="en-US"/>
              </w:rPr>
              <w:t>用于车辆停放</w:t>
            </w:r>
          </w:p>
        </w:tc>
        <w:tc>
          <w:tcPr>
            <w:tcW w:w="428" w:type="pct"/>
            <w:vMerge w:val="continue"/>
            <w:vAlign w:val="center"/>
          </w:tcPr>
          <w:p w14:paraId="4E4570B4">
            <w:pPr>
              <w:pStyle w:val="73"/>
              <w:rPr>
                <w:rFonts w:cs="Times New Roman"/>
                <w:snapToGrid w:val="0"/>
                <w:color w:val="auto"/>
                <w:highlight w:val="none"/>
              </w:rPr>
            </w:pPr>
          </w:p>
        </w:tc>
      </w:tr>
      <w:tr w14:paraId="5BDB45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423" w:type="pct"/>
            <w:vMerge w:val="continue"/>
            <w:vAlign w:val="center"/>
          </w:tcPr>
          <w:p w14:paraId="23748A63">
            <w:pPr>
              <w:pStyle w:val="73"/>
              <w:rPr>
                <w:rFonts w:cs="Times New Roman"/>
                <w:snapToGrid w:val="0"/>
                <w:color w:val="auto"/>
                <w:highlight w:val="none"/>
              </w:rPr>
            </w:pPr>
          </w:p>
        </w:tc>
        <w:tc>
          <w:tcPr>
            <w:tcW w:w="732" w:type="pct"/>
            <w:gridSpan w:val="2"/>
            <w:vAlign w:val="center"/>
          </w:tcPr>
          <w:p w14:paraId="460C7FF1">
            <w:pPr>
              <w:pStyle w:val="73"/>
              <w:rPr>
                <w:rFonts w:cs="Times New Roman"/>
                <w:snapToGrid w:val="0"/>
                <w:color w:val="auto"/>
                <w:highlight w:val="none"/>
                <w:lang w:val="en-US"/>
              </w:rPr>
            </w:pPr>
            <w:r>
              <w:rPr>
                <w:rFonts w:cs="Times New Roman"/>
                <w:snapToGrid w:val="0"/>
                <w:color w:val="auto"/>
                <w:highlight w:val="none"/>
                <w:lang w:val="en-US"/>
              </w:rPr>
              <w:t>制冷机房</w:t>
            </w:r>
          </w:p>
        </w:tc>
        <w:tc>
          <w:tcPr>
            <w:tcW w:w="3416" w:type="pct"/>
            <w:vAlign w:val="center"/>
          </w:tcPr>
          <w:p w14:paraId="65A1CB4F">
            <w:pPr>
              <w:pStyle w:val="73"/>
              <w:rPr>
                <w:rFonts w:cs="Times New Roman"/>
                <w:snapToGrid w:val="0"/>
                <w:color w:val="auto"/>
                <w:highlight w:val="none"/>
                <w:lang w:val="en-US"/>
              </w:rPr>
            </w:pPr>
            <w:r>
              <w:rPr>
                <w:rFonts w:cs="Times New Roman"/>
                <w:snapToGrid w:val="0"/>
                <w:color w:val="auto"/>
                <w:highlight w:val="none"/>
                <w:lang w:val="en-US"/>
              </w:rPr>
              <w:t>位于</w:t>
            </w:r>
            <w:r>
              <w:rPr>
                <w:rFonts w:hint="eastAsia" w:cs="Times New Roman"/>
                <w:snapToGrid w:val="0"/>
                <w:color w:val="auto"/>
                <w:highlight w:val="none"/>
                <w:lang w:val="en-US" w:eastAsia="zh-CN"/>
              </w:rPr>
              <w:t>东侧，</w:t>
            </w:r>
            <w:r>
              <w:rPr>
                <w:rFonts w:cs="Times New Roman"/>
                <w:snapToGrid w:val="0"/>
                <w:color w:val="auto"/>
                <w:highlight w:val="none"/>
              </w:rPr>
              <w:t>1层，</w:t>
            </w:r>
            <w:r>
              <w:rPr>
                <w:rFonts w:cs="Times New Roman"/>
                <w:snapToGrid w:val="0"/>
                <w:color w:val="auto"/>
                <w:highlight w:val="none"/>
                <w:lang w:val="en-US"/>
              </w:rPr>
              <w:t>建筑面积为</w:t>
            </w:r>
            <w:r>
              <w:rPr>
                <w:rFonts w:hint="eastAsia" w:cs="Times New Roman"/>
                <w:snapToGrid w:val="0"/>
                <w:color w:val="auto"/>
                <w:highlight w:val="none"/>
                <w:lang w:val="en-US" w:eastAsia="zh-CN"/>
              </w:rPr>
              <w:t>50</w:t>
            </w:r>
            <w:r>
              <w:rPr>
                <w:rFonts w:cs="Times New Roman"/>
                <w:snapToGrid w:val="0"/>
                <w:color w:val="auto"/>
                <w:highlight w:val="none"/>
              </w:rPr>
              <w:t>m</w:t>
            </w:r>
            <w:r>
              <w:rPr>
                <w:rFonts w:cs="Times New Roman"/>
                <w:snapToGrid w:val="0"/>
                <w:color w:val="auto"/>
                <w:highlight w:val="none"/>
                <w:vertAlign w:val="superscript"/>
              </w:rPr>
              <w:t>2</w:t>
            </w:r>
            <w:r>
              <w:rPr>
                <w:rFonts w:cs="Times New Roman"/>
                <w:snapToGrid w:val="0"/>
                <w:color w:val="auto"/>
                <w:highlight w:val="none"/>
              </w:rPr>
              <w:t>，</w:t>
            </w:r>
            <w:r>
              <w:rPr>
                <w:rFonts w:hint="eastAsia" w:cs="Times New Roman"/>
                <w:snapToGrid w:val="0"/>
                <w:color w:val="auto"/>
                <w:highlight w:val="none"/>
                <w:lang w:val="en-US" w:eastAsia="zh-CN"/>
              </w:rPr>
              <w:t>高3m，</w:t>
            </w:r>
            <w:r>
              <w:rPr>
                <w:rFonts w:cs="Times New Roman"/>
                <w:snapToGrid w:val="0"/>
                <w:color w:val="auto"/>
                <w:highlight w:val="none"/>
                <w:lang w:val="en-US"/>
              </w:rPr>
              <w:t>用于冷库制冷，</w:t>
            </w:r>
            <w:r>
              <w:rPr>
                <w:rFonts w:cs="Times New Roman"/>
                <w:snapToGrid w:val="0"/>
                <w:color w:val="auto"/>
                <w:highlight w:val="none"/>
              </w:rPr>
              <w:t>制冷剂为R410A</w:t>
            </w:r>
          </w:p>
        </w:tc>
        <w:tc>
          <w:tcPr>
            <w:tcW w:w="428" w:type="pct"/>
            <w:vMerge w:val="continue"/>
            <w:vAlign w:val="center"/>
          </w:tcPr>
          <w:p w14:paraId="76F55516">
            <w:pPr>
              <w:pStyle w:val="73"/>
              <w:rPr>
                <w:rFonts w:cs="Times New Roman"/>
                <w:snapToGrid w:val="0"/>
                <w:color w:val="auto"/>
                <w:highlight w:val="none"/>
              </w:rPr>
            </w:pPr>
          </w:p>
        </w:tc>
      </w:tr>
      <w:tr w14:paraId="4C083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43" w:hRule="atLeast"/>
          <w:jc w:val="center"/>
        </w:trPr>
        <w:tc>
          <w:tcPr>
            <w:tcW w:w="423" w:type="pct"/>
            <w:vMerge w:val="continue"/>
            <w:vAlign w:val="center"/>
          </w:tcPr>
          <w:p w14:paraId="54AAE678">
            <w:pPr>
              <w:pStyle w:val="73"/>
              <w:rPr>
                <w:rFonts w:cs="Times New Roman"/>
                <w:snapToGrid w:val="0"/>
                <w:color w:val="auto"/>
                <w:highlight w:val="none"/>
              </w:rPr>
            </w:pPr>
          </w:p>
        </w:tc>
        <w:tc>
          <w:tcPr>
            <w:tcW w:w="732" w:type="pct"/>
            <w:gridSpan w:val="2"/>
            <w:vAlign w:val="center"/>
          </w:tcPr>
          <w:p w14:paraId="1FD96438">
            <w:pPr>
              <w:pStyle w:val="73"/>
              <w:rPr>
                <w:rFonts w:cs="Times New Roman"/>
                <w:snapToGrid w:val="0"/>
                <w:color w:val="auto"/>
                <w:highlight w:val="none"/>
              </w:rPr>
            </w:pPr>
            <w:r>
              <w:rPr>
                <w:rFonts w:cs="Times New Roman"/>
                <w:snapToGrid w:val="0"/>
                <w:color w:val="auto"/>
                <w:highlight w:val="none"/>
              </w:rPr>
              <w:t>消防泵房及水池</w:t>
            </w:r>
          </w:p>
        </w:tc>
        <w:tc>
          <w:tcPr>
            <w:tcW w:w="3416" w:type="pct"/>
            <w:vAlign w:val="center"/>
          </w:tcPr>
          <w:p w14:paraId="42FB8561">
            <w:pPr>
              <w:pStyle w:val="73"/>
              <w:rPr>
                <w:rFonts w:hint="default" w:eastAsia="宋体" w:cs="Times New Roman"/>
                <w:snapToGrid w:val="0"/>
                <w:color w:val="auto"/>
                <w:highlight w:val="none"/>
                <w:lang w:val="en-US" w:eastAsia="zh-CN"/>
              </w:rPr>
            </w:pPr>
            <w:r>
              <w:rPr>
                <w:rFonts w:cs="Times New Roman"/>
                <w:snapToGrid w:val="0"/>
                <w:color w:val="auto"/>
                <w:highlight w:val="none"/>
              </w:rPr>
              <w:t>位于</w:t>
            </w:r>
            <w:r>
              <w:rPr>
                <w:rFonts w:cs="Times New Roman"/>
                <w:snapToGrid w:val="0"/>
                <w:color w:val="auto"/>
                <w:highlight w:val="none"/>
                <w:lang w:val="en-US"/>
              </w:rPr>
              <w:t>厂区</w:t>
            </w:r>
            <w:r>
              <w:rPr>
                <w:rFonts w:hint="eastAsia" w:cs="Times New Roman"/>
                <w:snapToGrid w:val="0"/>
                <w:color w:val="auto"/>
                <w:highlight w:val="none"/>
                <w:lang w:val="en-US" w:eastAsia="zh-CN"/>
              </w:rPr>
              <w:t>西</w:t>
            </w:r>
            <w:r>
              <w:rPr>
                <w:rFonts w:cs="Times New Roman"/>
                <w:snapToGrid w:val="0"/>
                <w:color w:val="auto"/>
                <w:highlight w:val="none"/>
                <w:lang w:val="en-US"/>
              </w:rPr>
              <w:t>侧</w:t>
            </w:r>
            <w:r>
              <w:rPr>
                <w:rFonts w:cs="Times New Roman"/>
                <w:snapToGrid w:val="0"/>
                <w:color w:val="auto"/>
                <w:highlight w:val="none"/>
              </w:rPr>
              <w:t>，建筑面积为</w:t>
            </w:r>
            <w:r>
              <w:rPr>
                <w:rFonts w:hint="eastAsia" w:cs="Times New Roman"/>
                <w:snapToGrid w:val="0"/>
                <w:color w:val="auto"/>
                <w:highlight w:val="none"/>
                <w:lang w:val="en-US" w:eastAsia="zh-CN"/>
              </w:rPr>
              <w:t>80</w:t>
            </w:r>
            <w:r>
              <w:rPr>
                <w:rFonts w:cs="Times New Roman"/>
                <w:snapToGrid w:val="0"/>
                <w:color w:val="auto"/>
                <w:highlight w:val="none"/>
                <w:lang w:val="en-US"/>
              </w:rPr>
              <w:t>m</w:t>
            </w:r>
            <w:r>
              <w:rPr>
                <w:rFonts w:cs="Times New Roman"/>
                <w:snapToGrid w:val="0"/>
                <w:color w:val="auto"/>
                <w:highlight w:val="none"/>
                <w:vertAlign w:val="superscript"/>
                <w:lang w:val="en-US"/>
              </w:rPr>
              <w:t>2</w:t>
            </w:r>
            <w:r>
              <w:rPr>
                <w:rFonts w:cs="Times New Roman"/>
                <w:snapToGrid w:val="0"/>
                <w:color w:val="auto"/>
                <w:highlight w:val="none"/>
                <w:lang w:val="en-US"/>
              </w:rPr>
              <w:t>，</w:t>
            </w:r>
            <w:r>
              <w:rPr>
                <w:rFonts w:hint="eastAsia" w:cs="Times New Roman"/>
                <w:snapToGrid w:val="0"/>
                <w:color w:val="auto"/>
                <w:highlight w:val="none"/>
                <w:lang w:val="en-US" w:eastAsia="zh-CN"/>
              </w:rPr>
              <w:t>高3m，</w:t>
            </w:r>
            <w:r>
              <w:rPr>
                <w:rFonts w:cs="Times New Roman"/>
                <w:snapToGrid w:val="0"/>
                <w:color w:val="auto"/>
                <w:highlight w:val="none"/>
                <w:lang w:val="en-US"/>
              </w:rPr>
              <w:t>消防水池位于地下</w:t>
            </w:r>
            <w:r>
              <w:rPr>
                <w:rFonts w:hint="eastAsia" w:cs="Times New Roman"/>
                <w:snapToGrid w:val="0"/>
                <w:color w:val="auto"/>
                <w:highlight w:val="none"/>
                <w:lang w:val="en-US" w:eastAsia="zh-CN"/>
              </w:rPr>
              <w:t>，消防水池有效容积为240</w:t>
            </w:r>
            <w:r>
              <w:rPr>
                <w:rFonts w:cs="Times New Roman"/>
                <w:snapToGrid w:val="0"/>
                <w:color w:val="auto"/>
                <w:highlight w:val="none"/>
                <w:lang w:val="en-US"/>
              </w:rPr>
              <w:t>m</w:t>
            </w:r>
            <w:r>
              <w:rPr>
                <w:rFonts w:hint="eastAsia" w:cs="Times New Roman"/>
                <w:snapToGrid w:val="0"/>
                <w:color w:val="auto"/>
                <w:highlight w:val="none"/>
                <w:vertAlign w:val="superscript"/>
                <w:lang w:val="en-US" w:eastAsia="zh-CN"/>
              </w:rPr>
              <w:t>3</w:t>
            </w:r>
            <w:r>
              <w:rPr>
                <w:rFonts w:hint="eastAsia" w:cs="Times New Roman"/>
                <w:snapToGrid w:val="0"/>
                <w:color w:val="auto"/>
                <w:highlight w:val="none"/>
                <w:lang w:val="en-US" w:eastAsia="zh-CN"/>
              </w:rPr>
              <w:t>，分两格，分别为用于储存消防用水和消防废水。</w:t>
            </w:r>
          </w:p>
        </w:tc>
        <w:tc>
          <w:tcPr>
            <w:tcW w:w="428" w:type="pct"/>
            <w:vMerge w:val="continue"/>
            <w:vAlign w:val="center"/>
          </w:tcPr>
          <w:p w14:paraId="35253CE4">
            <w:pPr>
              <w:pStyle w:val="73"/>
              <w:rPr>
                <w:rFonts w:cs="Times New Roman"/>
                <w:snapToGrid w:val="0"/>
                <w:color w:val="auto"/>
                <w:highlight w:val="none"/>
              </w:rPr>
            </w:pPr>
          </w:p>
        </w:tc>
      </w:tr>
      <w:tr w14:paraId="6A03B2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423" w:type="pct"/>
            <w:vMerge w:val="restart"/>
            <w:vAlign w:val="center"/>
          </w:tcPr>
          <w:p w14:paraId="3A148B3D">
            <w:pPr>
              <w:pStyle w:val="73"/>
              <w:rPr>
                <w:rFonts w:cs="Times New Roman"/>
                <w:snapToGrid w:val="0"/>
                <w:color w:val="auto"/>
                <w:highlight w:val="none"/>
              </w:rPr>
            </w:pPr>
            <w:r>
              <w:rPr>
                <w:rFonts w:cs="Times New Roman"/>
                <w:snapToGrid w:val="0"/>
                <w:color w:val="auto"/>
                <w:highlight w:val="none"/>
              </w:rPr>
              <w:t>公用</w:t>
            </w:r>
          </w:p>
          <w:p w14:paraId="2F5EEE6B">
            <w:pPr>
              <w:pStyle w:val="73"/>
              <w:rPr>
                <w:rFonts w:cs="Times New Roman"/>
                <w:snapToGrid w:val="0"/>
                <w:color w:val="auto"/>
                <w:highlight w:val="none"/>
              </w:rPr>
            </w:pPr>
            <w:r>
              <w:rPr>
                <w:rFonts w:cs="Times New Roman"/>
                <w:snapToGrid w:val="0"/>
                <w:color w:val="auto"/>
                <w:highlight w:val="none"/>
              </w:rPr>
              <w:t>工程</w:t>
            </w:r>
          </w:p>
        </w:tc>
        <w:tc>
          <w:tcPr>
            <w:tcW w:w="732" w:type="pct"/>
            <w:gridSpan w:val="2"/>
            <w:vAlign w:val="center"/>
          </w:tcPr>
          <w:p w14:paraId="7028E1AC">
            <w:pPr>
              <w:pStyle w:val="73"/>
              <w:rPr>
                <w:rFonts w:cs="Times New Roman"/>
                <w:snapToGrid w:val="0"/>
                <w:color w:val="auto"/>
                <w:highlight w:val="none"/>
              </w:rPr>
            </w:pPr>
            <w:r>
              <w:rPr>
                <w:rFonts w:cs="Times New Roman"/>
                <w:snapToGrid w:val="0"/>
                <w:color w:val="auto"/>
                <w:highlight w:val="none"/>
              </w:rPr>
              <w:t>供热系统</w:t>
            </w:r>
          </w:p>
        </w:tc>
        <w:tc>
          <w:tcPr>
            <w:tcW w:w="3416" w:type="pct"/>
            <w:vAlign w:val="center"/>
          </w:tcPr>
          <w:p w14:paraId="68323407">
            <w:pPr>
              <w:pStyle w:val="73"/>
              <w:rPr>
                <w:rFonts w:hint="default" w:cs="Times New Roman"/>
                <w:snapToGrid w:val="0"/>
                <w:color w:val="auto"/>
                <w:highlight w:val="none"/>
                <w:lang w:val="en-US"/>
              </w:rPr>
            </w:pPr>
            <w:r>
              <w:rPr>
                <w:rFonts w:hint="eastAsia" w:cs="Times New Roman"/>
                <w:snapToGrid w:val="0"/>
                <w:color w:val="auto"/>
                <w:highlight w:val="none"/>
                <w:lang w:val="en-US" w:eastAsia="zh-CN"/>
              </w:rPr>
              <w:t>本项目生产无需用热，冬季取暖依托市政热网。</w:t>
            </w:r>
            <w:r>
              <w:rPr>
                <w:rFonts w:hint="eastAsia" w:cs="Times New Roman"/>
                <w:snapToGrid w:val="0"/>
                <w:color w:val="auto"/>
                <w:szCs w:val="24"/>
                <w:highlight w:val="none"/>
                <w:lang w:val="en-US" w:eastAsia="zh-CN"/>
              </w:rPr>
              <w:t>职工淋浴洗漱期间使用热水来自30kw电锅炉，无废气污染物产生</w:t>
            </w:r>
          </w:p>
        </w:tc>
        <w:tc>
          <w:tcPr>
            <w:tcW w:w="428" w:type="pct"/>
            <w:vAlign w:val="center"/>
          </w:tcPr>
          <w:p w14:paraId="34E312C1">
            <w:pPr>
              <w:pStyle w:val="73"/>
              <w:rPr>
                <w:rFonts w:cs="Times New Roman"/>
                <w:snapToGrid w:val="0"/>
                <w:color w:val="auto"/>
                <w:highlight w:val="none"/>
              </w:rPr>
            </w:pPr>
            <w:r>
              <w:rPr>
                <w:rFonts w:cs="Times New Roman"/>
                <w:snapToGrid w:val="0"/>
                <w:color w:val="auto"/>
                <w:highlight w:val="none"/>
              </w:rPr>
              <w:t>新建</w:t>
            </w:r>
          </w:p>
        </w:tc>
      </w:tr>
      <w:tr w14:paraId="0716F8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53" w:hRule="atLeast"/>
          <w:jc w:val="center"/>
        </w:trPr>
        <w:tc>
          <w:tcPr>
            <w:tcW w:w="423" w:type="pct"/>
            <w:vMerge w:val="continue"/>
            <w:vAlign w:val="center"/>
          </w:tcPr>
          <w:p w14:paraId="316B5AB4">
            <w:pPr>
              <w:pStyle w:val="73"/>
              <w:rPr>
                <w:rFonts w:cs="Times New Roman"/>
                <w:snapToGrid w:val="0"/>
                <w:color w:val="auto"/>
                <w:highlight w:val="none"/>
              </w:rPr>
            </w:pPr>
          </w:p>
        </w:tc>
        <w:tc>
          <w:tcPr>
            <w:tcW w:w="732" w:type="pct"/>
            <w:gridSpan w:val="2"/>
            <w:vAlign w:val="center"/>
          </w:tcPr>
          <w:p w14:paraId="5B5A7128">
            <w:pPr>
              <w:pStyle w:val="73"/>
              <w:rPr>
                <w:rFonts w:cs="Times New Roman"/>
                <w:snapToGrid w:val="0"/>
                <w:color w:val="auto"/>
                <w:highlight w:val="none"/>
              </w:rPr>
            </w:pPr>
            <w:r>
              <w:rPr>
                <w:rFonts w:cs="Times New Roman"/>
                <w:snapToGrid w:val="0"/>
                <w:color w:val="auto"/>
                <w:highlight w:val="none"/>
              </w:rPr>
              <w:t>制冷系统</w:t>
            </w:r>
          </w:p>
        </w:tc>
        <w:tc>
          <w:tcPr>
            <w:tcW w:w="3416" w:type="pct"/>
            <w:vAlign w:val="center"/>
          </w:tcPr>
          <w:p w14:paraId="79EA84EA">
            <w:pPr>
              <w:pStyle w:val="73"/>
              <w:rPr>
                <w:rFonts w:hint="default" w:eastAsia="宋体" w:cs="Times New Roman"/>
                <w:snapToGrid w:val="0"/>
                <w:color w:val="auto"/>
                <w:highlight w:val="none"/>
                <w:lang w:val="en-US" w:eastAsia="zh-CN"/>
              </w:rPr>
            </w:pPr>
            <w:r>
              <w:rPr>
                <w:rFonts w:cs="Times New Roman"/>
                <w:snapToGrid w:val="0"/>
                <w:color w:val="auto"/>
                <w:highlight w:val="none"/>
              </w:rPr>
              <w:t>采用风冷的方式控制温度，风冷机的制冷剂为R410A</w:t>
            </w:r>
            <w:r>
              <w:rPr>
                <w:rFonts w:hint="eastAsia" w:cs="Times New Roman"/>
                <w:snapToGrid w:val="0"/>
                <w:color w:val="auto"/>
                <w:highlight w:val="none"/>
                <w:lang w:eastAsia="zh-CN"/>
              </w:rPr>
              <w:t>，</w:t>
            </w:r>
            <w:r>
              <w:rPr>
                <w:rFonts w:cs="Times New Roman"/>
                <w:snapToGrid w:val="0"/>
                <w:color w:val="auto"/>
                <w:highlight w:val="none"/>
              </w:rPr>
              <w:t>R410A</w:t>
            </w:r>
            <w:r>
              <w:rPr>
                <w:rFonts w:hint="eastAsia" w:cs="Times New Roman"/>
                <w:snapToGrid w:val="0"/>
                <w:color w:val="auto"/>
                <w:highlight w:val="none"/>
                <w:lang w:val="en-US" w:eastAsia="zh-CN"/>
              </w:rPr>
              <w:t>属于环保型制冷剂</w:t>
            </w:r>
            <w:r>
              <w:rPr>
                <w:rFonts w:cs="Times New Roman"/>
                <w:snapToGrid w:val="0"/>
                <w:color w:val="auto"/>
                <w:highlight w:val="none"/>
              </w:rPr>
              <w:t>。</w:t>
            </w:r>
            <w:r>
              <w:rPr>
                <w:rFonts w:hint="eastAsia" w:cs="Times New Roman"/>
                <w:snapToGrid w:val="0"/>
                <w:color w:val="auto"/>
                <w:highlight w:val="none"/>
                <w:lang w:val="en-US" w:eastAsia="zh-CN"/>
              </w:rPr>
              <w:t>一次添加制冷剂的量为0.32t，循环量为0.32t</w:t>
            </w:r>
          </w:p>
        </w:tc>
        <w:tc>
          <w:tcPr>
            <w:tcW w:w="428" w:type="pct"/>
            <w:vAlign w:val="center"/>
          </w:tcPr>
          <w:p w14:paraId="4D2195D3">
            <w:pPr>
              <w:pStyle w:val="73"/>
              <w:rPr>
                <w:rFonts w:cs="Times New Roman"/>
                <w:snapToGrid w:val="0"/>
                <w:color w:val="auto"/>
                <w:highlight w:val="none"/>
              </w:rPr>
            </w:pPr>
            <w:r>
              <w:rPr>
                <w:rFonts w:cs="Times New Roman"/>
                <w:snapToGrid w:val="0"/>
                <w:color w:val="auto"/>
                <w:highlight w:val="none"/>
              </w:rPr>
              <w:t>新建</w:t>
            </w:r>
          </w:p>
        </w:tc>
      </w:tr>
      <w:tr w14:paraId="0B649C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423" w:type="pct"/>
            <w:vMerge w:val="continue"/>
            <w:vAlign w:val="center"/>
          </w:tcPr>
          <w:p w14:paraId="25DD2F52">
            <w:pPr>
              <w:pStyle w:val="73"/>
              <w:rPr>
                <w:rFonts w:cs="Times New Roman"/>
                <w:snapToGrid w:val="0"/>
                <w:color w:val="auto"/>
                <w:highlight w:val="none"/>
              </w:rPr>
            </w:pPr>
          </w:p>
        </w:tc>
        <w:tc>
          <w:tcPr>
            <w:tcW w:w="732" w:type="pct"/>
            <w:gridSpan w:val="2"/>
            <w:vAlign w:val="center"/>
          </w:tcPr>
          <w:p w14:paraId="6C8F3BC5">
            <w:pPr>
              <w:pStyle w:val="73"/>
              <w:rPr>
                <w:rFonts w:cs="Times New Roman"/>
                <w:snapToGrid w:val="0"/>
                <w:color w:val="auto"/>
                <w:highlight w:val="none"/>
              </w:rPr>
            </w:pPr>
            <w:r>
              <w:rPr>
                <w:rFonts w:cs="Times New Roman"/>
                <w:snapToGrid w:val="0"/>
                <w:color w:val="auto"/>
                <w:highlight w:val="none"/>
              </w:rPr>
              <w:t>给水系统</w:t>
            </w:r>
          </w:p>
        </w:tc>
        <w:tc>
          <w:tcPr>
            <w:tcW w:w="3416" w:type="pct"/>
            <w:vAlign w:val="center"/>
          </w:tcPr>
          <w:p w14:paraId="66D8C414">
            <w:pPr>
              <w:pStyle w:val="73"/>
              <w:rPr>
                <w:rFonts w:hint="default" w:eastAsia="宋体" w:cs="Times New Roman"/>
                <w:snapToGrid w:val="0"/>
                <w:color w:val="auto"/>
                <w:highlight w:val="none"/>
                <w:lang w:val="en-US" w:eastAsia="zh-CN"/>
              </w:rPr>
            </w:pPr>
            <w:r>
              <w:rPr>
                <w:rFonts w:cs="Times New Roman"/>
                <w:snapToGrid w:val="0"/>
                <w:color w:val="auto"/>
                <w:highlight w:val="none"/>
                <w:lang w:val="en-US"/>
              </w:rPr>
              <w:t>本项目运营期用水由市政供水</w:t>
            </w:r>
            <w:r>
              <w:rPr>
                <w:rFonts w:cs="Times New Roman"/>
                <w:snapToGrid w:val="0"/>
                <w:color w:val="auto"/>
                <w:highlight w:val="none"/>
              </w:rPr>
              <w:t>，</w:t>
            </w:r>
            <w:r>
              <w:rPr>
                <w:rFonts w:cs="Times New Roman"/>
                <w:snapToGrid w:val="0"/>
                <w:color w:val="auto"/>
                <w:highlight w:val="none"/>
                <w:lang w:val="en-US"/>
              </w:rPr>
              <w:t>用于生产及员工生活。</w:t>
            </w:r>
          </w:p>
        </w:tc>
        <w:tc>
          <w:tcPr>
            <w:tcW w:w="428" w:type="pct"/>
            <w:vAlign w:val="center"/>
          </w:tcPr>
          <w:p w14:paraId="2A571CC8">
            <w:pPr>
              <w:pStyle w:val="73"/>
              <w:rPr>
                <w:rFonts w:cs="Times New Roman"/>
                <w:snapToGrid w:val="0"/>
                <w:color w:val="auto"/>
                <w:highlight w:val="none"/>
              </w:rPr>
            </w:pPr>
            <w:r>
              <w:rPr>
                <w:rFonts w:cs="Times New Roman"/>
                <w:snapToGrid w:val="0"/>
                <w:color w:val="auto"/>
                <w:highlight w:val="none"/>
              </w:rPr>
              <w:t>新建</w:t>
            </w:r>
          </w:p>
        </w:tc>
      </w:tr>
      <w:tr w14:paraId="24D22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7" w:hRule="atLeast"/>
          <w:jc w:val="center"/>
        </w:trPr>
        <w:tc>
          <w:tcPr>
            <w:tcW w:w="423" w:type="pct"/>
            <w:vMerge w:val="continue"/>
            <w:vAlign w:val="center"/>
          </w:tcPr>
          <w:p w14:paraId="2F41D7BC">
            <w:pPr>
              <w:pStyle w:val="73"/>
              <w:rPr>
                <w:rFonts w:cs="Times New Roman"/>
                <w:snapToGrid w:val="0"/>
                <w:color w:val="auto"/>
                <w:highlight w:val="none"/>
              </w:rPr>
            </w:pPr>
          </w:p>
        </w:tc>
        <w:tc>
          <w:tcPr>
            <w:tcW w:w="732" w:type="pct"/>
            <w:gridSpan w:val="2"/>
            <w:vAlign w:val="center"/>
          </w:tcPr>
          <w:p w14:paraId="523E5311">
            <w:pPr>
              <w:pStyle w:val="73"/>
              <w:rPr>
                <w:rFonts w:cs="Times New Roman"/>
                <w:snapToGrid w:val="0"/>
                <w:color w:val="auto"/>
                <w:highlight w:val="none"/>
              </w:rPr>
            </w:pPr>
            <w:r>
              <w:rPr>
                <w:rFonts w:cs="Times New Roman"/>
                <w:snapToGrid w:val="0"/>
                <w:color w:val="auto"/>
                <w:highlight w:val="none"/>
              </w:rPr>
              <w:t>排水系统</w:t>
            </w:r>
          </w:p>
        </w:tc>
        <w:tc>
          <w:tcPr>
            <w:tcW w:w="3416" w:type="pct"/>
            <w:vAlign w:val="center"/>
          </w:tcPr>
          <w:p w14:paraId="512B1AE9">
            <w:pPr>
              <w:pStyle w:val="73"/>
              <w:rPr>
                <w:rFonts w:hint="default" w:eastAsia="宋体" w:cs="Times New Roman"/>
                <w:snapToGrid w:val="0"/>
                <w:color w:val="auto"/>
                <w:highlight w:val="none"/>
                <w:lang w:val="en-US" w:eastAsia="zh-CN"/>
              </w:rPr>
            </w:pPr>
            <w:r>
              <w:rPr>
                <w:rFonts w:cs="Times New Roman"/>
                <w:snapToGrid w:val="0"/>
                <w:color w:val="auto"/>
                <w:highlight w:val="none"/>
                <w:lang w:val="en-US"/>
              </w:rPr>
              <w:t>本项目排水采用</w:t>
            </w:r>
            <w:r>
              <w:rPr>
                <w:rFonts w:cs="Times New Roman"/>
                <w:snapToGrid w:val="0"/>
                <w:color w:val="auto"/>
                <w:highlight w:val="none"/>
                <w:lang w:val="en-GB"/>
              </w:rPr>
              <w:t>雨污分流；废水经自建污水处理站处理达到《肉类加工工业水污染物排放标准》（GB13457-92）中畜类屠宰加工三级标准</w:t>
            </w:r>
            <w:r>
              <w:rPr>
                <w:rFonts w:hint="eastAsia" w:cs="Times New Roman"/>
                <w:snapToGrid w:val="0"/>
                <w:color w:val="auto"/>
                <w:highlight w:val="none"/>
                <w:lang w:val="en-US" w:eastAsia="zh-CN"/>
              </w:rPr>
              <w:t>后同生活污水</w:t>
            </w:r>
            <w:r>
              <w:rPr>
                <w:rFonts w:cs="Times New Roman"/>
                <w:snapToGrid w:val="0"/>
                <w:color w:val="auto"/>
                <w:highlight w:val="none"/>
                <w:lang w:val="en-US"/>
              </w:rPr>
              <w:t>排入污水管网进入</w:t>
            </w:r>
            <w:r>
              <w:rPr>
                <w:rFonts w:hint="eastAsia" w:cs="Times New Roman"/>
                <w:snapToGrid w:val="0"/>
                <w:color w:val="auto"/>
                <w:highlight w:val="none"/>
                <w:lang w:val="en-US" w:eastAsia="zh-CN"/>
              </w:rPr>
              <w:t>双鸭山市畅源排水有限公司</w:t>
            </w:r>
            <w:r>
              <w:rPr>
                <w:rFonts w:cs="Times New Roman"/>
                <w:snapToGrid w:val="0"/>
                <w:color w:val="auto"/>
                <w:highlight w:val="none"/>
                <w:lang w:val="en-US"/>
              </w:rPr>
              <w:t>处理，处理</w:t>
            </w:r>
            <w:r>
              <w:rPr>
                <w:rFonts w:cs="Times New Roman"/>
                <w:snapToGrid w:val="0"/>
                <w:color w:val="auto"/>
                <w:highlight w:val="none"/>
                <w:lang w:val="en-GB"/>
              </w:rPr>
              <w:t>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r>
              <w:rPr>
                <w:rFonts w:hint="eastAsia" w:cs="Times New Roman"/>
                <w:snapToGrid w:val="0"/>
                <w:color w:val="auto"/>
                <w:highlight w:val="none"/>
                <w:lang w:val="en-US" w:eastAsia="zh-CN"/>
              </w:rPr>
              <w:t>厂区内设置雨水沟，雨水沟进入污水处理站入口设置阀门，初期雨水通过重力流通进污水处理站处理达标后排入市政管网，后期雨水通过雨水井就近排入雨水管网。</w:t>
            </w:r>
          </w:p>
        </w:tc>
        <w:tc>
          <w:tcPr>
            <w:tcW w:w="428" w:type="pct"/>
            <w:vAlign w:val="center"/>
          </w:tcPr>
          <w:p w14:paraId="01B151B7">
            <w:pPr>
              <w:pStyle w:val="73"/>
              <w:rPr>
                <w:rFonts w:cs="Times New Roman"/>
                <w:snapToGrid w:val="0"/>
                <w:color w:val="auto"/>
                <w:highlight w:val="none"/>
              </w:rPr>
            </w:pPr>
            <w:r>
              <w:rPr>
                <w:rFonts w:cs="Times New Roman"/>
                <w:snapToGrid w:val="0"/>
                <w:color w:val="auto"/>
                <w:highlight w:val="none"/>
              </w:rPr>
              <w:t>新建</w:t>
            </w:r>
          </w:p>
        </w:tc>
      </w:tr>
      <w:tr w14:paraId="6184A9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continue"/>
            <w:vAlign w:val="center"/>
          </w:tcPr>
          <w:p w14:paraId="58530488">
            <w:pPr>
              <w:pStyle w:val="73"/>
              <w:rPr>
                <w:rFonts w:cs="Times New Roman"/>
                <w:snapToGrid w:val="0"/>
                <w:color w:val="auto"/>
                <w:highlight w:val="none"/>
              </w:rPr>
            </w:pPr>
          </w:p>
        </w:tc>
        <w:tc>
          <w:tcPr>
            <w:tcW w:w="732" w:type="pct"/>
            <w:gridSpan w:val="2"/>
            <w:vAlign w:val="center"/>
          </w:tcPr>
          <w:p w14:paraId="311DD709">
            <w:pPr>
              <w:pStyle w:val="73"/>
              <w:ind w:firstLine="0" w:firstLineChars="0"/>
              <w:rPr>
                <w:rFonts w:cs="Times New Roman"/>
                <w:snapToGrid w:val="0"/>
                <w:color w:val="auto"/>
                <w:highlight w:val="none"/>
              </w:rPr>
            </w:pPr>
            <w:r>
              <w:rPr>
                <w:rFonts w:cs="Times New Roman"/>
                <w:snapToGrid w:val="0"/>
                <w:color w:val="auto"/>
                <w:highlight w:val="none"/>
              </w:rPr>
              <w:t>供电系统</w:t>
            </w:r>
          </w:p>
        </w:tc>
        <w:tc>
          <w:tcPr>
            <w:tcW w:w="3416" w:type="pct"/>
            <w:vAlign w:val="center"/>
          </w:tcPr>
          <w:p w14:paraId="6932CD17">
            <w:pPr>
              <w:pStyle w:val="73"/>
              <w:ind w:firstLine="0" w:firstLineChars="0"/>
              <w:rPr>
                <w:rFonts w:cs="Times New Roman"/>
                <w:snapToGrid w:val="0"/>
                <w:color w:val="auto"/>
                <w:highlight w:val="none"/>
                <w:lang w:val="en-GB"/>
              </w:rPr>
            </w:pPr>
            <w:r>
              <w:rPr>
                <w:rFonts w:cs="Times New Roman"/>
                <w:snapToGrid w:val="0"/>
                <w:color w:val="auto"/>
                <w:highlight w:val="none"/>
              </w:rPr>
              <w:t>由市政统一供电</w:t>
            </w:r>
          </w:p>
        </w:tc>
        <w:tc>
          <w:tcPr>
            <w:tcW w:w="428" w:type="pct"/>
            <w:vAlign w:val="center"/>
          </w:tcPr>
          <w:p w14:paraId="53FB941E">
            <w:pPr>
              <w:pStyle w:val="73"/>
              <w:ind w:firstLine="0" w:firstLineChars="0"/>
              <w:rPr>
                <w:rFonts w:cs="Times New Roman"/>
                <w:snapToGrid w:val="0"/>
                <w:color w:val="auto"/>
                <w:highlight w:val="none"/>
              </w:rPr>
            </w:pPr>
            <w:r>
              <w:rPr>
                <w:rFonts w:cs="Times New Roman"/>
                <w:snapToGrid w:val="0"/>
                <w:color w:val="auto"/>
                <w:highlight w:val="none"/>
              </w:rPr>
              <w:t>依托</w:t>
            </w:r>
          </w:p>
        </w:tc>
      </w:tr>
      <w:tr w14:paraId="052E76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423" w:type="pct"/>
            <w:vMerge w:val="continue"/>
            <w:vAlign w:val="center"/>
          </w:tcPr>
          <w:p w14:paraId="23BD40C2">
            <w:pPr>
              <w:pStyle w:val="73"/>
              <w:rPr>
                <w:rFonts w:cs="Times New Roman"/>
                <w:snapToGrid w:val="0"/>
                <w:color w:val="auto"/>
                <w:highlight w:val="none"/>
              </w:rPr>
            </w:pPr>
          </w:p>
        </w:tc>
        <w:tc>
          <w:tcPr>
            <w:tcW w:w="732" w:type="pct"/>
            <w:gridSpan w:val="2"/>
            <w:vAlign w:val="center"/>
          </w:tcPr>
          <w:p w14:paraId="41F98018">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消毒防疫</w:t>
            </w:r>
          </w:p>
        </w:tc>
        <w:tc>
          <w:tcPr>
            <w:tcW w:w="3416" w:type="pct"/>
            <w:vAlign w:val="center"/>
          </w:tcPr>
          <w:p w14:paraId="25B67EAC">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进厂车辆需喷淋消毒液，防治带入致病菌</w:t>
            </w:r>
          </w:p>
        </w:tc>
        <w:tc>
          <w:tcPr>
            <w:tcW w:w="428" w:type="pct"/>
            <w:vAlign w:val="center"/>
          </w:tcPr>
          <w:p w14:paraId="4F6AE144">
            <w:pPr>
              <w:pStyle w:val="73"/>
              <w:rPr>
                <w:rFonts w:hint="eastAsia" w:eastAsia="宋体" w:cs="Times New Roman"/>
                <w:snapToGrid w:val="0"/>
                <w:color w:val="auto"/>
                <w:highlight w:val="none"/>
                <w:lang w:val="en-US" w:eastAsia="zh-CN"/>
              </w:rPr>
            </w:pPr>
            <w:r>
              <w:rPr>
                <w:rFonts w:hint="eastAsia" w:cs="Times New Roman"/>
                <w:snapToGrid w:val="0"/>
                <w:color w:val="auto"/>
                <w:highlight w:val="none"/>
                <w:lang w:val="en-US" w:eastAsia="zh-CN"/>
              </w:rPr>
              <w:t>新建</w:t>
            </w:r>
          </w:p>
        </w:tc>
      </w:tr>
      <w:tr w14:paraId="716E49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restart"/>
            <w:vAlign w:val="center"/>
          </w:tcPr>
          <w:p w14:paraId="28395E3D">
            <w:pPr>
              <w:pStyle w:val="73"/>
              <w:rPr>
                <w:rFonts w:cs="Times New Roman"/>
                <w:snapToGrid w:val="0"/>
                <w:color w:val="auto"/>
                <w:highlight w:val="none"/>
              </w:rPr>
            </w:pPr>
            <w:r>
              <w:rPr>
                <w:rFonts w:cs="Times New Roman"/>
                <w:snapToGrid w:val="0"/>
                <w:color w:val="auto"/>
                <w:highlight w:val="none"/>
              </w:rPr>
              <w:t>环保</w:t>
            </w:r>
          </w:p>
          <w:p w14:paraId="22702D86">
            <w:pPr>
              <w:pStyle w:val="73"/>
              <w:rPr>
                <w:rFonts w:cs="Times New Roman"/>
                <w:snapToGrid w:val="0"/>
                <w:color w:val="auto"/>
                <w:highlight w:val="none"/>
              </w:rPr>
            </w:pPr>
            <w:r>
              <w:rPr>
                <w:rFonts w:cs="Times New Roman"/>
                <w:snapToGrid w:val="0"/>
                <w:color w:val="auto"/>
                <w:highlight w:val="none"/>
              </w:rPr>
              <w:t>工程</w:t>
            </w:r>
          </w:p>
        </w:tc>
        <w:tc>
          <w:tcPr>
            <w:tcW w:w="323" w:type="pct"/>
            <w:vMerge w:val="restart"/>
            <w:vAlign w:val="center"/>
          </w:tcPr>
          <w:p w14:paraId="78885D3F">
            <w:pPr>
              <w:pStyle w:val="73"/>
              <w:rPr>
                <w:rFonts w:cs="Times New Roman"/>
                <w:snapToGrid w:val="0"/>
                <w:color w:val="auto"/>
                <w:highlight w:val="none"/>
              </w:rPr>
            </w:pPr>
            <w:r>
              <w:rPr>
                <w:rFonts w:cs="Times New Roman"/>
                <w:snapToGrid w:val="0"/>
                <w:color w:val="auto"/>
                <w:highlight w:val="none"/>
              </w:rPr>
              <w:t>废水处理</w:t>
            </w:r>
          </w:p>
        </w:tc>
        <w:tc>
          <w:tcPr>
            <w:tcW w:w="408" w:type="pct"/>
            <w:vAlign w:val="center"/>
          </w:tcPr>
          <w:p w14:paraId="763DDE66">
            <w:pPr>
              <w:pStyle w:val="73"/>
              <w:rPr>
                <w:rFonts w:cs="Times New Roman"/>
                <w:snapToGrid w:val="0"/>
                <w:color w:val="auto"/>
                <w:highlight w:val="none"/>
              </w:rPr>
            </w:pPr>
            <w:r>
              <w:rPr>
                <w:rFonts w:cs="Times New Roman"/>
                <w:snapToGrid w:val="0"/>
                <w:color w:val="auto"/>
                <w:highlight w:val="none"/>
              </w:rPr>
              <w:t>废水</w:t>
            </w:r>
          </w:p>
        </w:tc>
        <w:tc>
          <w:tcPr>
            <w:tcW w:w="3416" w:type="pct"/>
            <w:vAlign w:val="center"/>
          </w:tcPr>
          <w:p w14:paraId="677015EB">
            <w:pPr>
              <w:pStyle w:val="73"/>
              <w:rPr>
                <w:rFonts w:cs="Times New Roman"/>
                <w:snapToGrid w:val="0"/>
                <w:color w:val="auto"/>
                <w:highlight w:val="none"/>
                <w:lang w:val="en-US"/>
              </w:rPr>
            </w:pPr>
            <w:r>
              <w:rPr>
                <w:rFonts w:cs="Times New Roman"/>
                <w:snapToGrid w:val="0"/>
                <w:color w:val="auto"/>
                <w:highlight w:val="none"/>
                <w:lang w:val="en-US"/>
              </w:rPr>
              <w:t>自建污水处理站，</w:t>
            </w:r>
            <w:r>
              <w:rPr>
                <w:rFonts w:cs="Times New Roman"/>
                <w:snapToGrid w:val="0"/>
                <w:color w:val="auto"/>
                <w:highlight w:val="none"/>
                <w:lang w:val="en-GB"/>
              </w:rPr>
              <w:t>设计处理能力</w:t>
            </w:r>
            <w:r>
              <w:rPr>
                <w:rFonts w:hint="eastAsia" w:cs="Times New Roman"/>
                <w:snapToGrid w:val="0"/>
                <w:color w:val="auto"/>
                <w:highlight w:val="none"/>
                <w:lang w:val="en-US" w:eastAsia="zh-CN"/>
              </w:rPr>
              <w:t>250t/d</w:t>
            </w:r>
            <w:r>
              <w:rPr>
                <w:rFonts w:cs="Times New Roman"/>
                <w:snapToGrid w:val="0"/>
                <w:color w:val="auto"/>
                <w:highlight w:val="none"/>
                <w:lang w:val="en-GB"/>
              </w:rPr>
              <w:t>，</w:t>
            </w:r>
            <w:r>
              <w:rPr>
                <w:rFonts w:cs="Times New Roman"/>
                <w:snapToGrid w:val="0"/>
                <w:color w:val="auto"/>
                <w:highlight w:val="none"/>
                <w:lang w:val="en-US"/>
              </w:rPr>
              <w:t>屠宰</w:t>
            </w:r>
            <w:r>
              <w:rPr>
                <w:rFonts w:cs="Times New Roman"/>
                <w:snapToGrid w:val="0"/>
                <w:color w:val="auto"/>
                <w:highlight w:val="none"/>
                <w:lang w:val="en-GB"/>
              </w:rPr>
              <w:t>废水</w:t>
            </w:r>
            <w:r>
              <w:rPr>
                <w:rFonts w:hint="eastAsia" w:cs="Times New Roman"/>
                <w:snapToGrid w:val="0"/>
                <w:color w:val="auto"/>
                <w:highlight w:val="none"/>
                <w:lang w:val="en-GB" w:eastAsia="zh-CN"/>
              </w:rPr>
              <w:t>、</w:t>
            </w:r>
            <w:r>
              <w:rPr>
                <w:rFonts w:hint="eastAsia" w:cs="Times New Roman"/>
                <w:snapToGrid w:val="0"/>
                <w:color w:val="auto"/>
                <w:highlight w:val="none"/>
                <w:lang w:val="en-US" w:eastAsia="zh-CN"/>
              </w:rPr>
              <w:t>车辆冲洗水</w:t>
            </w:r>
            <w:r>
              <w:rPr>
                <w:rFonts w:hint="eastAsia" w:cs="Times New Roman"/>
                <w:snapToGrid w:val="0"/>
                <w:color w:val="auto"/>
                <w:highlight w:val="none"/>
                <w:lang w:val="en-GB" w:eastAsia="zh-CN"/>
              </w:rPr>
              <w:t>（</w:t>
            </w:r>
            <w:r>
              <w:rPr>
                <w:rFonts w:hint="eastAsia" w:cs="Times New Roman"/>
                <w:snapToGrid w:val="0"/>
                <w:color w:val="auto"/>
                <w:highlight w:val="none"/>
                <w:lang w:val="en-US" w:eastAsia="zh-CN"/>
              </w:rPr>
              <w:t>233.1t/d</w:t>
            </w:r>
            <w:r>
              <w:rPr>
                <w:rFonts w:hint="eastAsia" w:cs="Times New Roman"/>
                <w:snapToGrid w:val="0"/>
                <w:color w:val="auto"/>
                <w:highlight w:val="none"/>
                <w:lang w:val="en-GB" w:eastAsia="zh-CN"/>
              </w:rPr>
              <w:t>）</w:t>
            </w:r>
            <w:r>
              <w:rPr>
                <w:rFonts w:cs="Times New Roman"/>
                <w:snapToGrid w:val="0"/>
                <w:color w:val="auto"/>
                <w:highlight w:val="none"/>
                <w:lang w:val="en-GB"/>
              </w:rPr>
              <w:t>经“</w:t>
            </w:r>
            <w:r>
              <w:rPr>
                <w:rFonts w:cs="Times New Roman"/>
                <w:bCs/>
                <w:snapToGrid w:val="0"/>
                <w:color w:val="auto"/>
                <w:szCs w:val="24"/>
                <w:highlight w:val="none"/>
              </w:rPr>
              <w:t>格栅+</w:t>
            </w:r>
            <w:r>
              <w:rPr>
                <w:rFonts w:hint="eastAsia" w:cs="Times New Roman"/>
                <w:bCs/>
                <w:snapToGrid w:val="0"/>
                <w:color w:val="auto"/>
                <w:szCs w:val="24"/>
                <w:highlight w:val="none"/>
                <w:lang w:val="en-US" w:eastAsia="zh-CN"/>
              </w:rPr>
              <w:t>隔油池</w:t>
            </w:r>
            <w:r>
              <w:rPr>
                <w:rFonts w:cs="Times New Roman"/>
                <w:bCs/>
                <w:snapToGrid w:val="0"/>
                <w:color w:val="auto"/>
                <w:szCs w:val="24"/>
                <w:highlight w:val="none"/>
              </w:rPr>
              <w:t>+</w:t>
            </w:r>
            <w:r>
              <w:rPr>
                <w:rFonts w:hint="eastAsia" w:cs="Times New Roman"/>
                <w:bCs/>
                <w:snapToGrid w:val="0"/>
                <w:color w:val="auto"/>
                <w:szCs w:val="24"/>
                <w:highlight w:val="none"/>
                <w:lang w:val="en-US" w:eastAsia="zh-CN"/>
              </w:rPr>
              <w:t>调节池</w:t>
            </w:r>
            <w:r>
              <w:rPr>
                <w:rFonts w:cs="Times New Roman"/>
                <w:bCs/>
                <w:snapToGrid w:val="0"/>
                <w:color w:val="auto"/>
                <w:szCs w:val="24"/>
                <w:highlight w:val="none"/>
              </w:rPr>
              <w:t>+气浮+水解酸化+</w:t>
            </w:r>
            <w:r>
              <w:rPr>
                <w:rFonts w:hint="eastAsia" w:cs="Times New Roman"/>
                <w:bCs/>
                <w:snapToGrid w:val="0"/>
                <w:color w:val="auto"/>
                <w:szCs w:val="24"/>
                <w:highlight w:val="none"/>
                <w:lang w:val="en-US" w:eastAsia="zh-CN"/>
              </w:rPr>
              <w:t>反硝化缺氧+好氧</w:t>
            </w:r>
            <w:r>
              <w:rPr>
                <w:rFonts w:cs="Times New Roman"/>
                <w:bCs/>
                <w:snapToGrid w:val="0"/>
                <w:color w:val="auto"/>
                <w:szCs w:val="24"/>
                <w:highlight w:val="none"/>
              </w:rPr>
              <w:t>+沉淀+消毒（</w:t>
            </w:r>
            <w:r>
              <w:rPr>
                <w:rFonts w:hint="eastAsia" w:cs="Times New Roman"/>
                <w:bCs/>
                <w:snapToGrid w:val="0"/>
                <w:color w:val="auto"/>
                <w:szCs w:val="24"/>
                <w:highlight w:val="none"/>
                <w:lang w:val="en-US" w:eastAsia="zh-CN"/>
              </w:rPr>
              <w:t>次氯酸钠</w:t>
            </w:r>
            <w:r>
              <w:rPr>
                <w:rFonts w:cs="Times New Roman"/>
                <w:bCs/>
                <w:snapToGrid w:val="0"/>
                <w:color w:val="auto"/>
                <w:szCs w:val="24"/>
                <w:highlight w:val="none"/>
              </w:rPr>
              <w:t>）</w:t>
            </w:r>
            <w:r>
              <w:rPr>
                <w:rFonts w:cs="Times New Roman"/>
                <w:snapToGrid w:val="0"/>
                <w:color w:val="auto"/>
                <w:highlight w:val="none"/>
                <w:lang w:val="en-GB"/>
              </w:rPr>
              <w:t>”工艺处理</w:t>
            </w:r>
            <w:r>
              <w:rPr>
                <w:rFonts w:hint="eastAsia" w:cs="Times New Roman"/>
                <w:snapToGrid w:val="0"/>
                <w:color w:val="auto"/>
                <w:highlight w:val="none"/>
                <w:lang w:val="en-GB" w:eastAsia="zh-CN"/>
              </w:rPr>
              <w:t>（</w:t>
            </w:r>
            <w:r>
              <w:rPr>
                <w:rFonts w:hint="eastAsia" w:cs="Times New Roman"/>
                <w:snapToGrid w:val="0"/>
                <w:color w:val="auto"/>
                <w:highlight w:val="none"/>
                <w:lang w:val="en-US" w:eastAsia="zh-CN"/>
              </w:rPr>
              <w:t>该污水处理工艺不产生沼气</w:t>
            </w:r>
            <w:r>
              <w:rPr>
                <w:rFonts w:hint="eastAsia" w:cs="Times New Roman"/>
                <w:snapToGrid w:val="0"/>
                <w:color w:val="auto"/>
                <w:highlight w:val="none"/>
                <w:lang w:val="en-GB" w:eastAsia="zh-CN"/>
              </w:rPr>
              <w:t>）</w:t>
            </w:r>
            <w:r>
              <w:rPr>
                <w:rFonts w:cs="Times New Roman"/>
                <w:snapToGrid w:val="0"/>
                <w:color w:val="auto"/>
                <w:highlight w:val="none"/>
                <w:lang w:val="en-GB"/>
              </w:rPr>
              <w:t>后，满足《肉类加工工业水污染物排放标准》（GB13457-92）中畜类屠宰加工三级标准后，同生活污水经市政污水管网排入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处理，处理达标后排入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p>
        </w:tc>
        <w:tc>
          <w:tcPr>
            <w:tcW w:w="428" w:type="pct"/>
            <w:vAlign w:val="center"/>
          </w:tcPr>
          <w:p w14:paraId="5B4E53D2">
            <w:pPr>
              <w:pStyle w:val="73"/>
              <w:rPr>
                <w:rFonts w:cs="Times New Roman"/>
                <w:snapToGrid w:val="0"/>
                <w:color w:val="auto"/>
                <w:highlight w:val="none"/>
                <w:lang w:val="en-US"/>
              </w:rPr>
            </w:pPr>
            <w:r>
              <w:rPr>
                <w:rFonts w:cs="Times New Roman"/>
                <w:snapToGrid w:val="0"/>
                <w:color w:val="auto"/>
                <w:highlight w:val="none"/>
                <w:lang w:val="en-US"/>
              </w:rPr>
              <w:t>新建</w:t>
            </w:r>
          </w:p>
        </w:tc>
      </w:tr>
      <w:tr w14:paraId="570291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continue"/>
            <w:vAlign w:val="center"/>
          </w:tcPr>
          <w:p w14:paraId="12B48F0D">
            <w:pPr>
              <w:pStyle w:val="73"/>
              <w:rPr>
                <w:rFonts w:cs="Times New Roman"/>
                <w:snapToGrid w:val="0"/>
                <w:color w:val="auto"/>
                <w:highlight w:val="none"/>
              </w:rPr>
            </w:pPr>
          </w:p>
        </w:tc>
        <w:tc>
          <w:tcPr>
            <w:tcW w:w="323" w:type="pct"/>
            <w:vMerge w:val="continue"/>
            <w:vAlign w:val="center"/>
          </w:tcPr>
          <w:p w14:paraId="56AFB2FA">
            <w:pPr>
              <w:pStyle w:val="73"/>
              <w:rPr>
                <w:rFonts w:cs="Times New Roman"/>
                <w:snapToGrid w:val="0"/>
                <w:color w:val="auto"/>
                <w:highlight w:val="none"/>
              </w:rPr>
            </w:pPr>
          </w:p>
        </w:tc>
        <w:tc>
          <w:tcPr>
            <w:tcW w:w="408" w:type="pct"/>
            <w:vAlign w:val="center"/>
          </w:tcPr>
          <w:p w14:paraId="321EBB34">
            <w:pPr>
              <w:pStyle w:val="73"/>
              <w:rPr>
                <w:rFonts w:cs="Times New Roman"/>
                <w:snapToGrid w:val="0"/>
                <w:color w:val="auto"/>
                <w:highlight w:val="none"/>
              </w:rPr>
            </w:pPr>
            <w:r>
              <w:rPr>
                <w:rFonts w:cs="Times New Roman"/>
                <w:snapToGrid w:val="0"/>
                <w:color w:val="auto"/>
                <w:highlight w:val="none"/>
              </w:rPr>
              <w:t>事故池</w:t>
            </w:r>
          </w:p>
        </w:tc>
        <w:tc>
          <w:tcPr>
            <w:tcW w:w="3416" w:type="pct"/>
            <w:vAlign w:val="center"/>
          </w:tcPr>
          <w:p w14:paraId="5650304D">
            <w:pPr>
              <w:pStyle w:val="73"/>
              <w:rPr>
                <w:rFonts w:cs="Times New Roman"/>
                <w:snapToGrid w:val="0"/>
                <w:color w:val="auto"/>
                <w:highlight w:val="none"/>
              </w:rPr>
            </w:pPr>
            <w:r>
              <w:rPr>
                <w:rFonts w:cs="Times New Roman"/>
                <w:snapToGrid w:val="0"/>
                <w:color w:val="auto"/>
                <w:highlight w:val="none"/>
              </w:rPr>
              <w:t>项目</w:t>
            </w:r>
            <w:r>
              <w:rPr>
                <w:rFonts w:hint="eastAsia" w:cs="Times New Roman"/>
                <w:snapToGrid w:val="0"/>
                <w:color w:val="auto"/>
                <w:highlight w:val="none"/>
                <w:lang w:val="en-US" w:eastAsia="zh-CN"/>
              </w:rPr>
              <w:t>通过</w:t>
            </w:r>
            <w:r>
              <w:rPr>
                <w:rFonts w:cs="Times New Roman"/>
                <w:snapToGrid w:val="0"/>
                <w:color w:val="auto"/>
                <w:highlight w:val="none"/>
              </w:rPr>
              <w:t>容积为</w:t>
            </w:r>
            <w:r>
              <w:rPr>
                <w:rFonts w:hint="eastAsia" w:cs="Times New Roman"/>
                <w:snapToGrid w:val="0"/>
                <w:color w:val="auto"/>
                <w:highlight w:val="none"/>
                <w:lang w:val="en-US" w:eastAsia="zh-CN"/>
              </w:rPr>
              <w:t>300</w:t>
            </w:r>
            <w:r>
              <w:rPr>
                <w:rFonts w:cs="Times New Roman"/>
                <w:snapToGrid w:val="0"/>
                <w:color w:val="auto"/>
                <w:highlight w:val="none"/>
              </w:rPr>
              <w:t>m</w:t>
            </w:r>
            <w:r>
              <w:rPr>
                <w:rFonts w:cs="Times New Roman"/>
                <w:snapToGrid w:val="0"/>
                <w:color w:val="auto"/>
                <w:highlight w:val="none"/>
                <w:vertAlign w:val="superscript"/>
              </w:rPr>
              <w:t>3</w:t>
            </w:r>
            <w:r>
              <w:rPr>
                <w:rFonts w:cs="Times New Roman"/>
                <w:snapToGrid w:val="0"/>
                <w:color w:val="auto"/>
                <w:highlight w:val="none"/>
              </w:rPr>
              <w:t>的</w:t>
            </w:r>
            <w:r>
              <w:rPr>
                <w:rFonts w:hint="eastAsia" w:cs="Times New Roman"/>
                <w:snapToGrid w:val="0"/>
                <w:color w:val="auto"/>
                <w:highlight w:val="none"/>
                <w:lang w:val="en-US" w:eastAsia="zh-CN"/>
              </w:rPr>
              <w:t>调节池隔离出来一个事故池，容积为50</w:t>
            </w:r>
            <w:r>
              <w:rPr>
                <w:rFonts w:cs="Times New Roman"/>
                <w:snapToGrid w:val="0"/>
                <w:color w:val="auto"/>
                <w:highlight w:val="none"/>
              </w:rPr>
              <w:t>m</w:t>
            </w:r>
            <w:r>
              <w:rPr>
                <w:rFonts w:cs="Times New Roman"/>
                <w:snapToGrid w:val="0"/>
                <w:color w:val="auto"/>
                <w:highlight w:val="none"/>
                <w:vertAlign w:val="superscript"/>
              </w:rPr>
              <w:t>3</w:t>
            </w:r>
            <w:r>
              <w:rPr>
                <w:rFonts w:hint="eastAsia" w:cs="Times New Roman"/>
                <w:snapToGrid w:val="0"/>
                <w:color w:val="auto"/>
                <w:highlight w:val="none"/>
                <w:lang w:val="en-US" w:eastAsia="zh-CN"/>
              </w:rPr>
              <w:t>，</w:t>
            </w:r>
            <w:r>
              <w:rPr>
                <w:rFonts w:cs="Times New Roman"/>
                <w:snapToGrid w:val="0"/>
                <w:color w:val="auto"/>
                <w:highlight w:val="none"/>
              </w:rPr>
              <w:t>为了在污水处理设备故障、检修等非正常情况下有效避免事故排水对外环境的影响，</w:t>
            </w:r>
            <w:r>
              <w:rPr>
                <w:rFonts w:hint="eastAsia" w:cs="Times New Roman"/>
                <w:snapToGrid w:val="0"/>
                <w:color w:val="auto"/>
                <w:highlight w:val="none"/>
                <w:lang w:val="en-US" w:eastAsia="zh-CN"/>
              </w:rPr>
              <w:t>用于</w:t>
            </w:r>
            <w:r>
              <w:rPr>
                <w:rFonts w:cs="Times New Roman"/>
                <w:snapToGrid w:val="0"/>
                <w:color w:val="auto"/>
                <w:highlight w:val="none"/>
              </w:rPr>
              <w:t>事故</w:t>
            </w:r>
            <w:r>
              <w:rPr>
                <w:rFonts w:hint="eastAsia" w:cs="Times New Roman"/>
                <w:snapToGrid w:val="0"/>
                <w:color w:val="auto"/>
                <w:highlight w:val="none"/>
                <w:lang w:val="en-US" w:eastAsia="zh-CN"/>
              </w:rPr>
              <w:t>状态下存放生产废水及生活污水，钢混结构</w:t>
            </w:r>
            <w:r>
              <w:rPr>
                <w:rFonts w:cs="Times New Roman"/>
                <w:snapToGrid w:val="0"/>
                <w:color w:val="auto"/>
                <w:highlight w:val="none"/>
              </w:rPr>
              <w:t>，能容纳</w:t>
            </w:r>
            <w:r>
              <w:rPr>
                <w:rFonts w:hint="eastAsia" w:cs="Times New Roman"/>
                <w:snapToGrid w:val="0"/>
                <w:color w:val="auto"/>
                <w:highlight w:val="none"/>
                <w:lang w:val="en-US" w:eastAsia="zh-CN"/>
              </w:rPr>
              <w:t>5h</w:t>
            </w:r>
            <w:r>
              <w:rPr>
                <w:rFonts w:cs="Times New Roman"/>
                <w:snapToGrid w:val="0"/>
                <w:color w:val="auto"/>
                <w:highlight w:val="none"/>
              </w:rPr>
              <w:t>污水量，事故池做防渗处理，在污水处理系统检修或出现故障时存放废水，检修正常后将事故池存水引入厂区内污水处理站处理达标后，排入市政污水管网。</w:t>
            </w:r>
          </w:p>
        </w:tc>
        <w:tc>
          <w:tcPr>
            <w:tcW w:w="428" w:type="pct"/>
            <w:vAlign w:val="center"/>
          </w:tcPr>
          <w:p w14:paraId="62F732BB">
            <w:pPr>
              <w:pStyle w:val="73"/>
              <w:rPr>
                <w:rFonts w:cs="Times New Roman"/>
                <w:snapToGrid w:val="0"/>
                <w:color w:val="auto"/>
                <w:highlight w:val="none"/>
              </w:rPr>
            </w:pPr>
            <w:r>
              <w:rPr>
                <w:rFonts w:cs="Times New Roman"/>
                <w:snapToGrid w:val="0"/>
                <w:color w:val="auto"/>
                <w:highlight w:val="none"/>
              </w:rPr>
              <w:t>新建</w:t>
            </w:r>
          </w:p>
        </w:tc>
      </w:tr>
      <w:tr w14:paraId="6CF0EF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7" w:hRule="atLeast"/>
          <w:jc w:val="center"/>
        </w:trPr>
        <w:tc>
          <w:tcPr>
            <w:tcW w:w="423" w:type="pct"/>
            <w:vMerge w:val="continue"/>
            <w:vAlign w:val="center"/>
          </w:tcPr>
          <w:p w14:paraId="5061BDE2">
            <w:pPr>
              <w:pStyle w:val="73"/>
              <w:rPr>
                <w:rFonts w:cs="Times New Roman"/>
                <w:snapToGrid w:val="0"/>
                <w:color w:val="auto"/>
                <w:highlight w:val="none"/>
              </w:rPr>
            </w:pPr>
          </w:p>
        </w:tc>
        <w:tc>
          <w:tcPr>
            <w:tcW w:w="732" w:type="pct"/>
            <w:gridSpan w:val="2"/>
            <w:vMerge w:val="restart"/>
            <w:vAlign w:val="center"/>
          </w:tcPr>
          <w:p w14:paraId="2DE6F577">
            <w:pPr>
              <w:pStyle w:val="73"/>
              <w:rPr>
                <w:rFonts w:cs="Times New Roman"/>
                <w:snapToGrid w:val="0"/>
                <w:color w:val="auto"/>
                <w:highlight w:val="none"/>
              </w:rPr>
            </w:pPr>
            <w:r>
              <w:rPr>
                <w:rFonts w:cs="Times New Roman"/>
                <w:snapToGrid w:val="0"/>
                <w:color w:val="auto"/>
                <w:highlight w:val="none"/>
              </w:rPr>
              <w:t>废气</w:t>
            </w:r>
          </w:p>
        </w:tc>
        <w:tc>
          <w:tcPr>
            <w:tcW w:w="3416" w:type="pct"/>
            <w:vAlign w:val="center"/>
          </w:tcPr>
          <w:p w14:paraId="31F54F2A">
            <w:pPr>
              <w:pStyle w:val="73"/>
              <w:rPr>
                <w:rFonts w:cs="Times New Roman"/>
                <w:snapToGrid w:val="0"/>
                <w:color w:val="auto"/>
                <w:highlight w:val="none"/>
                <w:lang w:val="en-US"/>
              </w:rPr>
            </w:pPr>
            <w:r>
              <w:rPr>
                <w:rFonts w:cs="Times New Roman"/>
                <w:snapToGrid w:val="0"/>
                <w:color w:val="auto"/>
                <w:highlight w:val="none"/>
              </w:rPr>
              <w:t>屠宰车间产生的废气</w:t>
            </w:r>
            <w:r>
              <w:rPr>
                <w:rFonts w:hint="eastAsia" w:cs="Times New Roman"/>
                <w:snapToGrid w:val="0"/>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snapToGrid w:val="0"/>
                <w:color w:val="auto"/>
                <w:highlight w:val="none"/>
                <w:lang w:eastAsia="zh-CN"/>
              </w:rPr>
              <w:t>集中收集后</w:t>
            </w:r>
            <w:r>
              <w:rPr>
                <w:rFonts w:cs="Times New Roman"/>
                <w:snapToGrid w:val="0"/>
                <w:color w:val="auto"/>
                <w:highlight w:val="none"/>
              </w:rPr>
              <w:t>（收集率约90%左右）</w:t>
            </w:r>
            <w:r>
              <w:rPr>
                <w:rFonts w:cs="Times New Roman"/>
                <w:snapToGrid w:val="0"/>
                <w:color w:val="auto"/>
                <w:highlight w:val="none"/>
              </w:rPr>
              <w:t>，通过</w:t>
            </w:r>
            <w:r>
              <w:rPr>
                <w:rFonts w:hint="eastAsia" w:cs="Times New Roman"/>
                <w:snapToGrid w:val="0"/>
                <w:color w:val="auto"/>
                <w:highlight w:val="none"/>
                <w:lang w:val="en-US" w:eastAsia="zh-CN"/>
              </w:rPr>
              <w:t>冷凝除湿器+</w:t>
            </w:r>
            <w:r>
              <w:rPr>
                <w:rFonts w:cs="Times New Roman"/>
                <w:snapToGrid w:val="0"/>
                <w:color w:val="auto"/>
                <w:highlight w:val="none"/>
              </w:rPr>
              <w:t>活性炭净化装置（</w:t>
            </w:r>
            <w:r>
              <w:rPr>
                <w:rFonts w:hint="eastAsia" w:cs="Times New Roman"/>
                <w:snapToGrid w:val="0"/>
                <w:color w:val="auto"/>
                <w:highlight w:val="none"/>
                <w:lang w:eastAsia="zh-CN"/>
              </w:rPr>
              <w:t>净化效率80%</w:t>
            </w:r>
            <w:r>
              <w:rPr>
                <w:rFonts w:cs="Times New Roman"/>
                <w:snapToGrid w:val="0"/>
                <w:color w:val="auto"/>
                <w:highlight w:val="none"/>
              </w:rPr>
              <w:t>）处理后，经15m高的排气筒DA001排放</w:t>
            </w:r>
            <w:r>
              <w:rPr>
                <w:rFonts w:hint="eastAsia" w:cs="Times New Roman"/>
                <w:snapToGrid w:val="0"/>
                <w:color w:val="auto"/>
                <w:highlight w:val="none"/>
                <w:lang w:eastAsia="zh-CN"/>
              </w:rPr>
              <w:t>。</w:t>
            </w:r>
            <w:r>
              <w:rPr>
                <w:rFonts w:cs="Times New Roman"/>
                <w:snapToGrid w:val="0"/>
                <w:color w:val="auto"/>
                <w:highlight w:val="none"/>
              </w:rPr>
              <w:t>排放速率及浓度均可满足《恶臭污染物排放标准》（GB14554-93）表2中排放标准限值</w:t>
            </w:r>
          </w:p>
        </w:tc>
        <w:tc>
          <w:tcPr>
            <w:tcW w:w="428" w:type="pct"/>
            <w:vMerge w:val="restart"/>
            <w:vAlign w:val="center"/>
          </w:tcPr>
          <w:p w14:paraId="4850D79F">
            <w:pPr>
              <w:pStyle w:val="73"/>
              <w:rPr>
                <w:rFonts w:cs="Times New Roman"/>
                <w:snapToGrid w:val="0"/>
                <w:color w:val="auto"/>
                <w:highlight w:val="none"/>
              </w:rPr>
            </w:pPr>
            <w:r>
              <w:rPr>
                <w:rFonts w:cs="Times New Roman"/>
                <w:snapToGrid w:val="0"/>
                <w:color w:val="auto"/>
                <w:highlight w:val="none"/>
              </w:rPr>
              <w:t>新建</w:t>
            </w:r>
          </w:p>
        </w:tc>
      </w:tr>
      <w:tr w14:paraId="4DA9C8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50" w:hRule="atLeast"/>
          <w:jc w:val="center"/>
        </w:trPr>
        <w:tc>
          <w:tcPr>
            <w:tcW w:w="423" w:type="pct"/>
            <w:vMerge w:val="continue"/>
            <w:vAlign w:val="center"/>
          </w:tcPr>
          <w:p w14:paraId="0F658E51">
            <w:pPr>
              <w:pStyle w:val="73"/>
              <w:rPr>
                <w:rFonts w:cs="Times New Roman"/>
                <w:snapToGrid w:val="0"/>
                <w:color w:val="auto"/>
                <w:highlight w:val="none"/>
              </w:rPr>
            </w:pPr>
          </w:p>
        </w:tc>
        <w:tc>
          <w:tcPr>
            <w:tcW w:w="732" w:type="pct"/>
            <w:gridSpan w:val="2"/>
            <w:vMerge w:val="continue"/>
            <w:vAlign w:val="center"/>
          </w:tcPr>
          <w:p w14:paraId="68D5B2A5">
            <w:pPr>
              <w:pStyle w:val="73"/>
              <w:rPr>
                <w:rFonts w:cs="Times New Roman"/>
                <w:snapToGrid w:val="0"/>
                <w:color w:val="auto"/>
                <w:highlight w:val="none"/>
              </w:rPr>
            </w:pPr>
          </w:p>
        </w:tc>
        <w:tc>
          <w:tcPr>
            <w:tcW w:w="3416" w:type="pct"/>
            <w:vAlign w:val="center"/>
          </w:tcPr>
          <w:p w14:paraId="7C67C735">
            <w:pPr>
              <w:pStyle w:val="73"/>
              <w:rPr>
                <w:rFonts w:cs="Times New Roman"/>
                <w:snapToGrid w:val="0"/>
                <w:color w:val="auto"/>
                <w:highlight w:val="none"/>
                <w:lang w:val="en-US"/>
              </w:rPr>
            </w:pPr>
            <w:r>
              <w:rPr>
                <w:rFonts w:hint="eastAsia" w:cs="Times New Roman"/>
                <w:snapToGrid w:val="0"/>
                <w:color w:val="auto"/>
                <w:highlight w:val="none"/>
                <w:lang w:val="en-US" w:eastAsia="zh-CN"/>
              </w:rPr>
              <w:t>急宰间、隔离间及固体废物暂存间</w:t>
            </w:r>
            <w:r>
              <w:rPr>
                <w:rFonts w:cs="Times New Roman"/>
                <w:snapToGrid w:val="0"/>
                <w:color w:val="auto"/>
                <w:highlight w:val="none"/>
              </w:rPr>
              <w:t>废气</w:t>
            </w:r>
            <w:r>
              <w:rPr>
                <w:rFonts w:hint="eastAsia" w:cs="Times New Roman"/>
                <w:snapToGrid w:val="0"/>
                <w:color w:val="auto"/>
                <w:highlight w:val="none"/>
                <w:lang w:eastAsia="zh-CN"/>
              </w:rPr>
              <w:t>采用微负压集中收集后</w:t>
            </w:r>
            <w:r>
              <w:rPr>
                <w:rFonts w:cs="Times New Roman"/>
                <w:snapToGrid w:val="0"/>
                <w:color w:val="auto"/>
                <w:highlight w:val="none"/>
              </w:rPr>
              <w:t>（收集率约90%左右），通过一套活性炭净化装置（</w:t>
            </w:r>
            <w:r>
              <w:rPr>
                <w:rFonts w:hint="eastAsia" w:cs="Times New Roman"/>
                <w:snapToGrid w:val="0"/>
                <w:color w:val="auto"/>
                <w:highlight w:val="none"/>
                <w:lang w:eastAsia="zh-CN"/>
              </w:rPr>
              <w:t>净化效率80%</w:t>
            </w:r>
            <w:r>
              <w:rPr>
                <w:rFonts w:cs="Times New Roman"/>
                <w:snapToGrid w:val="0"/>
                <w:color w:val="auto"/>
                <w:highlight w:val="none"/>
              </w:rPr>
              <w:t>），净化后的废气</w:t>
            </w:r>
            <w:r>
              <w:rPr>
                <w:rFonts w:hint="eastAsia" w:cs="Times New Roman"/>
                <w:snapToGrid w:val="0"/>
                <w:color w:val="auto"/>
                <w:highlight w:val="none"/>
                <w:lang w:val="en-US" w:eastAsia="zh-CN"/>
              </w:rPr>
              <w:t>与屠宰车间废气一同</w:t>
            </w:r>
            <w:r>
              <w:rPr>
                <w:rFonts w:cs="Times New Roman"/>
                <w:snapToGrid w:val="0"/>
                <w:color w:val="auto"/>
                <w:highlight w:val="none"/>
              </w:rPr>
              <w:t>通过15m排气筒DA00</w:t>
            </w:r>
            <w:r>
              <w:rPr>
                <w:rFonts w:hint="eastAsia" w:cs="Times New Roman"/>
                <w:snapToGrid w:val="0"/>
                <w:color w:val="auto"/>
                <w:highlight w:val="none"/>
                <w:lang w:val="en-US" w:eastAsia="zh-CN"/>
              </w:rPr>
              <w:t>1</w:t>
            </w:r>
            <w:r>
              <w:rPr>
                <w:rFonts w:cs="Times New Roman"/>
                <w:snapToGrid w:val="0"/>
                <w:color w:val="auto"/>
                <w:highlight w:val="none"/>
              </w:rPr>
              <w:t>排放</w:t>
            </w:r>
            <w:r>
              <w:rPr>
                <w:rFonts w:hint="eastAsia" w:cs="Times New Roman"/>
                <w:snapToGrid w:val="0"/>
                <w:color w:val="auto"/>
                <w:highlight w:val="none"/>
                <w:lang w:eastAsia="zh-CN"/>
              </w:rPr>
              <w:t>。</w:t>
            </w:r>
            <w:r>
              <w:rPr>
                <w:rFonts w:cs="Times New Roman"/>
                <w:snapToGrid w:val="0"/>
                <w:color w:val="auto"/>
                <w:highlight w:val="none"/>
              </w:rPr>
              <w:t>排放速率及浓度均可满足《恶臭污染物排放标准》（GB14554-93）表2中排放标准限值</w:t>
            </w:r>
          </w:p>
        </w:tc>
        <w:tc>
          <w:tcPr>
            <w:tcW w:w="428" w:type="pct"/>
            <w:vMerge w:val="continue"/>
            <w:vAlign w:val="center"/>
          </w:tcPr>
          <w:p w14:paraId="12D3B7B7">
            <w:pPr>
              <w:pStyle w:val="73"/>
              <w:rPr>
                <w:rFonts w:cs="Times New Roman"/>
                <w:snapToGrid w:val="0"/>
                <w:color w:val="auto"/>
                <w:highlight w:val="none"/>
                <w:lang w:val="en-US"/>
              </w:rPr>
            </w:pPr>
          </w:p>
        </w:tc>
      </w:tr>
      <w:tr w14:paraId="6F3415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50" w:hRule="atLeast"/>
          <w:jc w:val="center"/>
        </w:trPr>
        <w:tc>
          <w:tcPr>
            <w:tcW w:w="423" w:type="pct"/>
            <w:vMerge w:val="continue"/>
            <w:vAlign w:val="center"/>
          </w:tcPr>
          <w:p w14:paraId="7CE76B03">
            <w:pPr>
              <w:pStyle w:val="73"/>
              <w:rPr>
                <w:rFonts w:cs="Times New Roman"/>
                <w:snapToGrid w:val="0"/>
                <w:color w:val="auto"/>
                <w:highlight w:val="none"/>
              </w:rPr>
            </w:pPr>
          </w:p>
        </w:tc>
        <w:tc>
          <w:tcPr>
            <w:tcW w:w="732" w:type="pct"/>
            <w:gridSpan w:val="2"/>
            <w:vMerge w:val="continue"/>
            <w:vAlign w:val="center"/>
          </w:tcPr>
          <w:p w14:paraId="4D847ABF">
            <w:pPr>
              <w:pStyle w:val="73"/>
              <w:rPr>
                <w:rFonts w:cs="Times New Roman"/>
                <w:snapToGrid w:val="0"/>
                <w:color w:val="auto"/>
                <w:highlight w:val="none"/>
              </w:rPr>
            </w:pPr>
          </w:p>
        </w:tc>
        <w:tc>
          <w:tcPr>
            <w:tcW w:w="3416" w:type="pct"/>
            <w:vAlign w:val="center"/>
          </w:tcPr>
          <w:p w14:paraId="33AB341E">
            <w:pPr>
              <w:pStyle w:val="73"/>
              <w:rPr>
                <w:rFonts w:cs="Times New Roman"/>
                <w:snapToGrid w:val="0"/>
                <w:color w:val="auto"/>
                <w:highlight w:val="none"/>
              </w:rPr>
            </w:pPr>
            <w:r>
              <w:rPr>
                <w:rFonts w:cs="Times New Roman"/>
                <w:snapToGrid w:val="0"/>
                <w:color w:val="auto"/>
                <w:szCs w:val="24"/>
                <w:highlight w:val="none"/>
              </w:rPr>
              <w:t>污水处理站产生的废气，经负压收集</w:t>
            </w:r>
            <w:r>
              <w:rPr>
                <w:rFonts w:cs="Times New Roman"/>
                <w:snapToGrid w:val="0"/>
                <w:color w:val="auto"/>
                <w:highlight w:val="none"/>
              </w:rPr>
              <w:t>（收集率约90%左右）</w:t>
            </w:r>
            <w:r>
              <w:rPr>
                <w:rFonts w:cs="Times New Roman"/>
                <w:snapToGrid w:val="0"/>
                <w:color w:val="auto"/>
                <w:szCs w:val="24"/>
                <w:highlight w:val="none"/>
              </w:rPr>
              <w:t>至活性炭吸附装置</w:t>
            </w:r>
            <w:r>
              <w:rPr>
                <w:rFonts w:cs="Times New Roman"/>
                <w:snapToGrid w:val="0"/>
                <w:color w:val="auto"/>
                <w:highlight w:val="none"/>
              </w:rPr>
              <w:t>（</w:t>
            </w:r>
            <w:r>
              <w:rPr>
                <w:rFonts w:hint="eastAsia" w:cs="Times New Roman"/>
                <w:snapToGrid w:val="0"/>
                <w:color w:val="auto"/>
                <w:highlight w:val="none"/>
                <w:lang w:eastAsia="zh-CN"/>
              </w:rPr>
              <w:t>净化效率80%</w:t>
            </w:r>
            <w:r>
              <w:rPr>
                <w:rFonts w:cs="Times New Roman"/>
                <w:snapToGrid w:val="0"/>
                <w:color w:val="auto"/>
                <w:highlight w:val="none"/>
              </w:rPr>
              <w:t>）</w:t>
            </w:r>
            <w:r>
              <w:rPr>
                <w:rFonts w:cs="Times New Roman"/>
                <w:snapToGrid w:val="0"/>
                <w:color w:val="auto"/>
                <w:szCs w:val="24"/>
                <w:highlight w:val="none"/>
              </w:rPr>
              <w:t>进行处理，处理后经15m高的排气筒DA00</w:t>
            </w:r>
            <w:r>
              <w:rPr>
                <w:rFonts w:hint="eastAsia" w:cs="Times New Roman"/>
                <w:snapToGrid w:val="0"/>
                <w:color w:val="auto"/>
                <w:szCs w:val="24"/>
                <w:highlight w:val="none"/>
                <w:lang w:val="en-US" w:eastAsia="zh-CN"/>
              </w:rPr>
              <w:t>2</w:t>
            </w:r>
            <w:r>
              <w:rPr>
                <w:rFonts w:cs="Times New Roman"/>
                <w:snapToGrid w:val="0"/>
                <w:color w:val="auto"/>
                <w:szCs w:val="24"/>
                <w:highlight w:val="none"/>
              </w:rPr>
              <w:t>排放</w:t>
            </w:r>
            <w:r>
              <w:rPr>
                <w:rFonts w:cs="Times New Roman"/>
                <w:snapToGrid w:val="0"/>
                <w:color w:val="auto"/>
                <w:highlight w:val="none"/>
              </w:rPr>
              <w:t>，排放速率及浓度均可满足《恶臭污染物排放标准》（GB14554-93）表2中排放标准限值</w:t>
            </w:r>
          </w:p>
        </w:tc>
        <w:tc>
          <w:tcPr>
            <w:tcW w:w="428" w:type="pct"/>
            <w:vMerge w:val="continue"/>
            <w:vAlign w:val="center"/>
          </w:tcPr>
          <w:p w14:paraId="1910FA27">
            <w:pPr>
              <w:pStyle w:val="73"/>
              <w:rPr>
                <w:rFonts w:cs="Times New Roman"/>
                <w:snapToGrid w:val="0"/>
                <w:color w:val="auto"/>
                <w:highlight w:val="none"/>
                <w:lang w:val="en-US"/>
              </w:rPr>
            </w:pPr>
          </w:p>
        </w:tc>
      </w:tr>
      <w:tr w14:paraId="282A39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423" w:type="pct"/>
            <w:vMerge w:val="continue"/>
            <w:vAlign w:val="center"/>
          </w:tcPr>
          <w:p w14:paraId="2804EF11">
            <w:pPr>
              <w:pStyle w:val="73"/>
              <w:rPr>
                <w:rFonts w:cs="Times New Roman"/>
                <w:snapToGrid w:val="0"/>
                <w:color w:val="auto"/>
                <w:highlight w:val="none"/>
                <w:lang w:val="en-US"/>
              </w:rPr>
            </w:pPr>
          </w:p>
        </w:tc>
        <w:tc>
          <w:tcPr>
            <w:tcW w:w="732" w:type="pct"/>
            <w:gridSpan w:val="2"/>
            <w:vMerge w:val="continue"/>
            <w:vAlign w:val="center"/>
          </w:tcPr>
          <w:p w14:paraId="602F2B64">
            <w:pPr>
              <w:pStyle w:val="73"/>
              <w:rPr>
                <w:rFonts w:cs="Times New Roman"/>
                <w:snapToGrid w:val="0"/>
                <w:color w:val="auto"/>
                <w:highlight w:val="none"/>
                <w:lang w:val="en-US"/>
              </w:rPr>
            </w:pPr>
          </w:p>
        </w:tc>
        <w:tc>
          <w:tcPr>
            <w:tcW w:w="3416" w:type="pct"/>
            <w:vAlign w:val="center"/>
          </w:tcPr>
          <w:p w14:paraId="126E5BC1">
            <w:pPr>
              <w:pStyle w:val="73"/>
              <w:rPr>
                <w:rFonts w:hint="default" w:cs="Times New Roman"/>
                <w:snapToGrid w:val="0"/>
                <w:color w:val="auto"/>
                <w:highlight w:val="none"/>
                <w:lang w:val="en-US" w:eastAsia="zh-CN"/>
              </w:rPr>
            </w:pPr>
            <w:r>
              <w:rPr>
                <w:rFonts w:cs="Times New Roman"/>
                <w:snapToGrid w:val="0"/>
                <w:color w:val="auto"/>
                <w:highlight w:val="none"/>
              </w:rPr>
              <w:t>屠宰车间及时清洗清运，定期喷洒除臭剂</w:t>
            </w:r>
            <w:r>
              <w:rPr>
                <w:rFonts w:hint="eastAsia" w:cs="Times New Roman"/>
                <w:snapToGrid w:val="0"/>
                <w:color w:val="auto"/>
                <w:highlight w:val="none"/>
                <w:lang w:val="en-US" w:eastAsia="zh-CN"/>
              </w:rPr>
              <w:t>作来为控制恶臭的辅助性手段</w:t>
            </w:r>
            <w:r>
              <w:rPr>
                <w:rFonts w:cs="Times New Roman"/>
                <w:snapToGrid w:val="0"/>
                <w:color w:val="auto"/>
                <w:highlight w:val="none"/>
                <w:lang w:val="zh-CN"/>
              </w:rPr>
              <w:t>；</w:t>
            </w:r>
            <w:r>
              <w:rPr>
                <w:rFonts w:hint="eastAsia" w:cs="Times New Roman"/>
                <w:snapToGrid w:val="0"/>
                <w:color w:val="auto"/>
                <w:highlight w:val="none"/>
                <w:lang w:eastAsia="zh-CN"/>
              </w:rPr>
              <w:t>待宰圈</w:t>
            </w:r>
            <w:r>
              <w:rPr>
                <w:rFonts w:hint="eastAsia" w:cs="Times New Roman"/>
                <w:snapToGrid w:val="0"/>
                <w:color w:val="auto"/>
                <w:highlight w:val="none"/>
              </w:rPr>
              <w:t>设置专人管理</w:t>
            </w:r>
            <w:r>
              <w:rPr>
                <w:rFonts w:cs="Times New Roman"/>
                <w:snapToGrid w:val="0"/>
                <w:color w:val="auto"/>
                <w:highlight w:val="none"/>
              </w:rPr>
              <w:t>，及时清理地面上的粪便及尿液，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rPr>
              <w:t>定期冲洗待地面</w:t>
            </w:r>
            <w:r>
              <w:rPr>
                <w:rFonts w:cs="Times New Roman"/>
                <w:snapToGrid w:val="0"/>
                <w:color w:val="auto"/>
                <w:highlight w:val="none"/>
              </w:rPr>
              <w:t>，同时定期喷洒</w:t>
            </w:r>
            <w:r>
              <w:rPr>
                <w:rFonts w:hint="eastAsia" w:cs="Times New Roman"/>
                <w:snapToGrid w:val="0"/>
                <w:color w:val="auto"/>
                <w:highlight w:val="none"/>
                <w:lang w:val="en-US" w:eastAsia="zh-CN"/>
              </w:rPr>
              <w:t>环保型</w:t>
            </w:r>
            <w:r>
              <w:rPr>
                <w:rFonts w:cs="Times New Roman"/>
                <w:snapToGrid w:val="0"/>
                <w:color w:val="auto"/>
                <w:highlight w:val="none"/>
              </w:rPr>
              <w:t>除臭剂，减少恶臭源的散发；屠宰车间及时清洗清运</w:t>
            </w:r>
            <w:r>
              <w:rPr>
                <w:rFonts w:hint="eastAsia" w:cs="Times New Roman"/>
                <w:snapToGrid w:val="0"/>
                <w:color w:val="auto"/>
                <w:highlight w:val="none"/>
              </w:rPr>
              <w:t>，</w:t>
            </w:r>
            <w:r>
              <w:rPr>
                <w:rFonts w:cs="Times New Roman"/>
                <w:snapToGrid w:val="0"/>
                <w:color w:val="auto"/>
                <w:highlight w:val="none"/>
              </w:rPr>
              <w:t>定期喷洒</w:t>
            </w:r>
            <w:r>
              <w:rPr>
                <w:rFonts w:hint="eastAsia" w:cs="Times New Roman"/>
                <w:snapToGrid w:val="0"/>
                <w:color w:val="auto"/>
                <w:highlight w:val="none"/>
                <w:lang w:val="en-US" w:eastAsia="zh-CN"/>
              </w:rPr>
              <w:t>环保型</w:t>
            </w:r>
            <w:r>
              <w:rPr>
                <w:rFonts w:cs="Times New Roman"/>
                <w:snapToGrid w:val="0"/>
                <w:color w:val="auto"/>
                <w:highlight w:val="none"/>
              </w:rPr>
              <w:t>除臭剂；对于污水处理站产生恶臭区域加盖、喷洒</w:t>
            </w:r>
            <w:r>
              <w:rPr>
                <w:rFonts w:hint="eastAsia" w:cs="Times New Roman"/>
                <w:snapToGrid w:val="0"/>
                <w:color w:val="auto"/>
                <w:highlight w:val="none"/>
                <w:lang w:val="en-US" w:eastAsia="zh-CN"/>
              </w:rPr>
              <w:t>环保型</w:t>
            </w:r>
            <w:r>
              <w:rPr>
                <w:rFonts w:cs="Times New Roman"/>
                <w:snapToGrid w:val="0"/>
                <w:color w:val="auto"/>
                <w:highlight w:val="none"/>
              </w:rPr>
              <w:t>除臭剂，来降低污水处理站恶臭对厂区内外的影响；固废暂存间内废物暂存于加盖的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内，正常情况下为密封，仅输送生产废物时，将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rPr>
              <w:t>，</w:t>
            </w:r>
            <w:r>
              <w:rPr>
                <w:rFonts w:hint="eastAsia" w:cs="Times New Roman"/>
                <w:snapToGrid w:val="0"/>
                <w:color w:val="auto"/>
                <w:highlight w:val="none"/>
                <w:lang w:val="en-US" w:eastAsia="zh-CN"/>
              </w:rPr>
              <w:t>并放置新的转运桶用于存放下一个周期的固体废物，定期喷洒环保型除臭剂，</w:t>
            </w:r>
            <w:r>
              <w:rPr>
                <w:rFonts w:hint="eastAsia" w:cs="Times New Roman"/>
                <w:snapToGrid w:val="0"/>
                <w:color w:val="auto"/>
                <w:highlight w:val="none"/>
                <w:lang w:val="en-US"/>
              </w:rPr>
              <w:t>减少恶臭的释放</w:t>
            </w:r>
          </w:p>
        </w:tc>
        <w:tc>
          <w:tcPr>
            <w:tcW w:w="428" w:type="pct"/>
            <w:vMerge w:val="continue"/>
            <w:vAlign w:val="center"/>
          </w:tcPr>
          <w:p w14:paraId="23CFF2F7">
            <w:pPr>
              <w:pStyle w:val="73"/>
              <w:rPr>
                <w:rFonts w:cs="Times New Roman"/>
                <w:snapToGrid w:val="0"/>
                <w:color w:val="auto"/>
                <w:highlight w:val="none"/>
                <w:lang w:val="en-US"/>
              </w:rPr>
            </w:pPr>
          </w:p>
        </w:tc>
      </w:tr>
      <w:tr w14:paraId="6BE669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continue"/>
            <w:vAlign w:val="center"/>
          </w:tcPr>
          <w:p w14:paraId="75D3F8AA">
            <w:pPr>
              <w:pStyle w:val="73"/>
              <w:rPr>
                <w:rFonts w:cs="Times New Roman"/>
                <w:snapToGrid w:val="0"/>
                <w:color w:val="auto"/>
                <w:highlight w:val="none"/>
              </w:rPr>
            </w:pPr>
          </w:p>
        </w:tc>
        <w:tc>
          <w:tcPr>
            <w:tcW w:w="732" w:type="pct"/>
            <w:gridSpan w:val="2"/>
            <w:vAlign w:val="center"/>
          </w:tcPr>
          <w:p w14:paraId="5BD98BED">
            <w:pPr>
              <w:pStyle w:val="73"/>
              <w:rPr>
                <w:rFonts w:cs="Times New Roman"/>
                <w:snapToGrid w:val="0"/>
                <w:color w:val="auto"/>
                <w:highlight w:val="none"/>
              </w:rPr>
            </w:pPr>
            <w:r>
              <w:rPr>
                <w:rFonts w:cs="Times New Roman"/>
                <w:snapToGrid w:val="0"/>
                <w:color w:val="auto"/>
                <w:highlight w:val="none"/>
              </w:rPr>
              <w:t>噪声防治</w:t>
            </w:r>
          </w:p>
        </w:tc>
        <w:tc>
          <w:tcPr>
            <w:tcW w:w="3416" w:type="pct"/>
            <w:vAlign w:val="center"/>
          </w:tcPr>
          <w:p w14:paraId="310273F2">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选用低噪声设备，安装基础减振垫，隔声等措施，采取以上措施后厂界可满足《工业企业厂界环境噪声排放标准》（GB12348-2008）2类标准；厂区西侧居民敏感点噪声满足《</w:t>
            </w:r>
            <w:r>
              <w:rPr>
                <w:rFonts w:hint="eastAsia" w:cs="Times New Roman"/>
                <w:snapToGrid w:val="0"/>
                <w:color w:val="auto"/>
                <w:highlight w:val="none"/>
                <w:lang w:val="en-US" w:eastAsia="zh-CN"/>
              </w:rPr>
              <w:fldChar w:fldCharType="begin"/>
            </w:r>
            <w:r>
              <w:rPr>
                <w:rFonts w:hint="eastAsia" w:cs="Times New Roman"/>
                <w:snapToGrid w:val="0"/>
                <w:color w:val="auto"/>
                <w:highlight w:val="none"/>
                <w:lang w:val="en-US" w:eastAsia="zh-CN"/>
              </w:rPr>
              <w:instrText xml:space="preserve"> HYPERLINK "https://www.mee.gov.cn/ywgz/fgbz/bz/bzwb/wlhj/shjzlbz/200809/W020111121351590491445.pdf" </w:instrText>
            </w:r>
            <w:r>
              <w:rPr>
                <w:rFonts w:hint="eastAsia" w:cs="Times New Roman"/>
                <w:snapToGrid w:val="0"/>
                <w:color w:val="auto"/>
                <w:highlight w:val="none"/>
                <w:lang w:val="en-US" w:eastAsia="zh-CN"/>
              </w:rPr>
              <w:fldChar w:fldCharType="separate"/>
            </w:r>
            <w:r>
              <w:rPr>
                <w:rFonts w:hint="eastAsia" w:cs="Times New Roman"/>
                <w:snapToGrid w:val="0"/>
                <w:color w:val="auto"/>
                <w:highlight w:val="none"/>
                <w:lang w:val="en-US" w:eastAsia="zh-CN"/>
              </w:rPr>
              <w:t>声环境质量标准》（GB 3096－2008 ）</w:t>
            </w:r>
            <w:r>
              <w:rPr>
                <w:rFonts w:hint="eastAsia" w:cs="Times New Roman"/>
                <w:snapToGrid w:val="0"/>
                <w:color w:val="auto"/>
                <w:highlight w:val="none"/>
                <w:lang w:val="en-US" w:eastAsia="zh-CN"/>
              </w:rPr>
              <w:fldChar w:fldCharType="end"/>
            </w:r>
            <w:r>
              <w:rPr>
                <w:rFonts w:hint="eastAsia" w:cs="Times New Roman"/>
                <w:snapToGrid w:val="0"/>
                <w:color w:val="auto"/>
                <w:highlight w:val="none"/>
                <w:lang w:val="en-US" w:eastAsia="zh-CN"/>
              </w:rPr>
              <w:t>2类标准。</w:t>
            </w:r>
          </w:p>
        </w:tc>
        <w:tc>
          <w:tcPr>
            <w:tcW w:w="428" w:type="pct"/>
            <w:vAlign w:val="center"/>
          </w:tcPr>
          <w:p w14:paraId="37D15D83">
            <w:pPr>
              <w:pStyle w:val="73"/>
              <w:rPr>
                <w:rFonts w:cs="Times New Roman"/>
                <w:snapToGrid w:val="0"/>
                <w:color w:val="auto"/>
                <w:highlight w:val="none"/>
              </w:rPr>
            </w:pPr>
            <w:r>
              <w:rPr>
                <w:rFonts w:cs="Times New Roman"/>
                <w:snapToGrid w:val="0"/>
                <w:color w:val="auto"/>
                <w:highlight w:val="none"/>
              </w:rPr>
              <w:t>新建</w:t>
            </w:r>
          </w:p>
        </w:tc>
      </w:tr>
      <w:tr w14:paraId="155D6B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423" w:type="pct"/>
            <w:vMerge w:val="continue"/>
            <w:vAlign w:val="center"/>
          </w:tcPr>
          <w:p w14:paraId="69FE22BF">
            <w:pPr>
              <w:pStyle w:val="73"/>
              <w:rPr>
                <w:rFonts w:cs="Times New Roman"/>
                <w:snapToGrid w:val="0"/>
                <w:color w:val="auto"/>
                <w:highlight w:val="none"/>
              </w:rPr>
            </w:pPr>
          </w:p>
        </w:tc>
        <w:tc>
          <w:tcPr>
            <w:tcW w:w="732" w:type="pct"/>
            <w:gridSpan w:val="2"/>
            <w:vMerge w:val="restart"/>
            <w:vAlign w:val="center"/>
          </w:tcPr>
          <w:p w14:paraId="034605FD">
            <w:pPr>
              <w:pStyle w:val="73"/>
              <w:rPr>
                <w:rFonts w:cs="Times New Roman"/>
                <w:snapToGrid w:val="0"/>
                <w:color w:val="auto"/>
                <w:highlight w:val="none"/>
              </w:rPr>
            </w:pPr>
            <w:r>
              <w:rPr>
                <w:rFonts w:cs="Times New Roman"/>
                <w:snapToGrid w:val="0"/>
                <w:color w:val="auto"/>
                <w:highlight w:val="none"/>
              </w:rPr>
              <w:t>地下水防渗</w:t>
            </w:r>
          </w:p>
        </w:tc>
        <w:tc>
          <w:tcPr>
            <w:tcW w:w="3416" w:type="pct"/>
            <w:vAlign w:val="center"/>
          </w:tcPr>
          <w:p w14:paraId="247DDEF0">
            <w:pPr>
              <w:pStyle w:val="73"/>
              <w:rPr>
                <w:rFonts w:hint="eastAsia" w:eastAsia="宋体" w:cs="Times New Roman"/>
                <w:snapToGrid w:val="0"/>
                <w:color w:val="auto"/>
                <w:highlight w:val="none"/>
                <w:lang w:val="en-US" w:eastAsia="zh-CN"/>
              </w:rPr>
            </w:pPr>
            <w:r>
              <w:rPr>
                <w:rFonts w:hint="eastAsia" w:cs="Times New Roman"/>
                <w:snapToGrid w:val="0"/>
                <w:color w:val="auto"/>
                <w:kern w:val="0"/>
                <w:szCs w:val="21"/>
                <w:highlight w:val="none"/>
                <w:lang w:val="en-US" w:eastAsia="zh-CN"/>
              </w:rPr>
              <w:t>危险废物贮存点</w:t>
            </w:r>
            <w:r>
              <w:rPr>
                <w:rFonts w:cs="Times New Roman"/>
                <w:snapToGrid w:val="0"/>
                <w:color w:val="auto"/>
                <w:kern w:val="0"/>
                <w:szCs w:val="21"/>
                <w:highlight w:val="none"/>
                <w:lang w:val="en-US"/>
              </w:rPr>
              <w:t>按重点防渗区采取防渗措施。</w:t>
            </w:r>
            <w:r>
              <w:rPr>
                <w:rFonts w:hint="eastAsia" w:cs="Times New Roman"/>
                <w:snapToGrid w:val="0"/>
                <w:color w:val="auto"/>
                <w:kern w:val="0"/>
                <w:szCs w:val="21"/>
                <w:highlight w:val="none"/>
                <w:lang w:val="en-US" w:eastAsia="zh-CN"/>
              </w:rPr>
              <w:t>参照《危险废物贮存污染控制标准》（GB18597-2023）执行，基础必须防渗，防渗层为至少1m厚粘土层（渗透系数≤10</w:t>
            </w:r>
            <w:r>
              <w:rPr>
                <w:rFonts w:hint="eastAsia" w:cs="Times New Roman"/>
                <w:snapToGrid w:val="0"/>
                <w:color w:val="auto"/>
                <w:kern w:val="0"/>
                <w:szCs w:val="21"/>
                <w:highlight w:val="none"/>
                <w:vertAlign w:val="superscript"/>
                <w:lang w:val="en-US" w:eastAsia="zh-CN"/>
              </w:rPr>
              <w:t>-7</w:t>
            </w:r>
            <w:r>
              <w:rPr>
                <w:rFonts w:hint="eastAsia" w:cs="Times New Roman"/>
                <w:snapToGrid w:val="0"/>
                <w:color w:val="auto"/>
                <w:kern w:val="0"/>
                <w:szCs w:val="21"/>
                <w:highlight w:val="none"/>
                <w:lang w:val="en-US" w:eastAsia="zh-CN"/>
              </w:rPr>
              <w:t>cm/s），或2mm厚高密度聚乙烯，或至少2mm厚的其它人工材料，渗透系数≤10</w:t>
            </w:r>
            <w:r>
              <w:rPr>
                <w:rFonts w:hint="eastAsia" w:cs="Times New Roman"/>
                <w:snapToGrid w:val="0"/>
                <w:color w:val="auto"/>
                <w:kern w:val="0"/>
                <w:szCs w:val="21"/>
                <w:highlight w:val="none"/>
                <w:vertAlign w:val="superscript"/>
                <w:lang w:val="en-US" w:eastAsia="zh-CN"/>
              </w:rPr>
              <w:t>-10</w:t>
            </w:r>
            <w:r>
              <w:rPr>
                <w:rFonts w:hint="eastAsia" w:cs="Times New Roman"/>
                <w:snapToGrid w:val="0"/>
                <w:color w:val="auto"/>
                <w:kern w:val="0"/>
                <w:szCs w:val="21"/>
                <w:highlight w:val="none"/>
                <w:lang w:val="en-US" w:eastAsia="zh-CN"/>
              </w:rPr>
              <w:t>cm/s</w:t>
            </w:r>
          </w:p>
        </w:tc>
        <w:tc>
          <w:tcPr>
            <w:tcW w:w="428" w:type="pct"/>
            <w:vMerge w:val="restart"/>
            <w:vAlign w:val="center"/>
          </w:tcPr>
          <w:p w14:paraId="2E93EB63">
            <w:pPr>
              <w:pStyle w:val="73"/>
              <w:rPr>
                <w:rFonts w:cs="Times New Roman"/>
                <w:snapToGrid w:val="0"/>
                <w:color w:val="auto"/>
                <w:highlight w:val="none"/>
              </w:rPr>
            </w:pPr>
            <w:r>
              <w:rPr>
                <w:rFonts w:cs="Times New Roman"/>
                <w:snapToGrid w:val="0"/>
                <w:color w:val="auto"/>
                <w:highlight w:val="none"/>
              </w:rPr>
              <w:t>新建</w:t>
            </w:r>
          </w:p>
        </w:tc>
      </w:tr>
      <w:tr w14:paraId="6D36A1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423" w:type="pct"/>
            <w:vMerge w:val="continue"/>
            <w:vAlign w:val="center"/>
          </w:tcPr>
          <w:p w14:paraId="2AC178AE">
            <w:pPr>
              <w:pStyle w:val="73"/>
              <w:rPr>
                <w:rFonts w:cs="Times New Roman"/>
                <w:snapToGrid w:val="0"/>
                <w:color w:val="auto"/>
                <w:highlight w:val="none"/>
              </w:rPr>
            </w:pPr>
          </w:p>
        </w:tc>
        <w:tc>
          <w:tcPr>
            <w:tcW w:w="732" w:type="pct"/>
            <w:gridSpan w:val="2"/>
            <w:vMerge w:val="continue"/>
            <w:vAlign w:val="center"/>
          </w:tcPr>
          <w:p w14:paraId="27C7FA49">
            <w:pPr>
              <w:pStyle w:val="73"/>
              <w:rPr>
                <w:rFonts w:cs="Times New Roman"/>
                <w:snapToGrid w:val="0"/>
                <w:color w:val="auto"/>
                <w:highlight w:val="none"/>
              </w:rPr>
            </w:pPr>
          </w:p>
        </w:tc>
        <w:tc>
          <w:tcPr>
            <w:tcW w:w="3416" w:type="pct"/>
            <w:vAlign w:val="center"/>
          </w:tcPr>
          <w:p w14:paraId="4CC6D204">
            <w:pPr>
              <w:pStyle w:val="73"/>
              <w:rPr>
                <w:rFonts w:cs="Times New Roman"/>
                <w:snapToGrid w:val="0"/>
                <w:color w:val="auto"/>
                <w:highlight w:val="none"/>
                <w:lang w:val="en-US"/>
              </w:rPr>
            </w:pPr>
            <w:r>
              <w:rPr>
                <w:rFonts w:hint="eastAsia"/>
                <w:snapToGrid w:val="0"/>
                <w:color w:val="auto"/>
                <w:szCs w:val="21"/>
                <w:highlight w:val="none"/>
                <w:lang w:val="en-US"/>
              </w:rPr>
              <w:t>生产车间</w:t>
            </w:r>
            <w:r>
              <w:rPr>
                <w:rFonts w:hint="eastAsia"/>
                <w:snapToGrid w:val="0"/>
                <w:color w:val="auto"/>
                <w:szCs w:val="21"/>
                <w:highlight w:val="none"/>
                <w:lang w:val="en-US" w:eastAsia="zh-CN"/>
              </w:rPr>
              <w:t>（包括待宰圈）</w:t>
            </w:r>
            <w:r>
              <w:rPr>
                <w:rFonts w:hint="eastAsia"/>
                <w:snapToGrid w:val="0"/>
                <w:color w:val="auto"/>
                <w:szCs w:val="21"/>
                <w:highlight w:val="none"/>
                <w:lang w:val="en-US"/>
              </w:rPr>
              <w:t>、隔离圈、污水处理站、事故池及固体废物暂存间</w:t>
            </w:r>
            <w:r>
              <w:rPr>
                <w:rFonts w:cs="Times New Roman"/>
                <w:snapToGrid w:val="0"/>
                <w:color w:val="auto"/>
                <w:kern w:val="0"/>
                <w:szCs w:val="21"/>
                <w:highlight w:val="none"/>
                <w:lang w:val="en-US"/>
              </w:rPr>
              <w:t>按一般防渗区采取防渗措施。地面（池底）基础防渗，</w:t>
            </w:r>
            <w:r>
              <w:rPr>
                <w:rFonts w:cs="Times New Roman"/>
                <w:snapToGrid w:val="0"/>
                <w:color w:val="auto"/>
                <w:kern w:val="0"/>
                <w:szCs w:val="21"/>
                <w:highlight w:val="none"/>
              </w:rPr>
              <w:t>防渗层为至少1m厚粘土层或2mm厚高密度聚乙烯，</w:t>
            </w:r>
            <w:r>
              <w:rPr>
                <w:rFonts w:cs="Times New Roman"/>
                <w:snapToGrid w:val="0"/>
                <w:color w:val="auto"/>
                <w:kern w:val="0"/>
                <w:szCs w:val="21"/>
                <w:highlight w:val="none"/>
                <w:lang w:val="en-US"/>
              </w:rPr>
              <w:t>需满足等效黏土防渗层Mb≥1.5m，K≤1×10</w:t>
            </w:r>
            <w:r>
              <w:rPr>
                <w:rFonts w:cs="Times New Roman"/>
                <w:snapToGrid w:val="0"/>
                <w:color w:val="auto"/>
                <w:kern w:val="0"/>
                <w:szCs w:val="21"/>
                <w:highlight w:val="none"/>
                <w:vertAlign w:val="superscript"/>
                <w:lang w:val="en-US"/>
              </w:rPr>
              <w:t>-7</w:t>
            </w:r>
            <w:r>
              <w:rPr>
                <w:rFonts w:cs="Times New Roman"/>
                <w:snapToGrid w:val="0"/>
                <w:color w:val="auto"/>
                <w:kern w:val="0"/>
                <w:szCs w:val="21"/>
                <w:highlight w:val="none"/>
                <w:lang w:val="en-US"/>
              </w:rPr>
              <w:t>cm/s的要求，在做好基层防渗的基础上进行水泥硬化</w:t>
            </w:r>
          </w:p>
        </w:tc>
        <w:tc>
          <w:tcPr>
            <w:tcW w:w="428" w:type="pct"/>
            <w:vMerge w:val="continue"/>
            <w:vAlign w:val="center"/>
          </w:tcPr>
          <w:p w14:paraId="41BBBFFB">
            <w:pPr>
              <w:pStyle w:val="73"/>
              <w:rPr>
                <w:rFonts w:cs="Times New Roman"/>
                <w:snapToGrid w:val="0"/>
                <w:color w:val="auto"/>
                <w:highlight w:val="none"/>
                <w:lang w:val="en-US"/>
              </w:rPr>
            </w:pPr>
          </w:p>
        </w:tc>
      </w:tr>
      <w:tr w14:paraId="7E01D2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423" w:type="pct"/>
            <w:vMerge w:val="continue"/>
            <w:vAlign w:val="center"/>
          </w:tcPr>
          <w:p w14:paraId="4D0B0ECB">
            <w:pPr>
              <w:pStyle w:val="73"/>
              <w:rPr>
                <w:rFonts w:cs="Times New Roman"/>
                <w:snapToGrid w:val="0"/>
                <w:color w:val="auto"/>
                <w:highlight w:val="none"/>
                <w:lang w:val="en-US"/>
              </w:rPr>
            </w:pPr>
          </w:p>
        </w:tc>
        <w:tc>
          <w:tcPr>
            <w:tcW w:w="732" w:type="pct"/>
            <w:gridSpan w:val="2"/>
            <w:vMerge w:val="continue"/>
            <w:vAlign w:val="center"/>
          </w:tcPr>
          <w:p w14:paraId="67B31615">
            <w:pPr>
              <w:pStyle w:val="73"/>
              <w:rPr>
                <w:rFonts w:cs="Times New Roman"/>
                <w:snapToGrid w:val="0"/>
                <w:color w:val="auto"/>
                <w:highlight w:val="none"/>
                <w:lang w:val="en-US"/>
              </w:rPr>
            </w:pPr>
          </w:p>
        </w:tc>
        <w:tc>
          <w:tcPr>
            <w:tcW w:w="3416" w:type="pct"/>
            <w:vAlign w:val="center"/>
          </w:tcPr>
          <w:p w14:paraId="446E42B9">
            <w:pPr>
              <w:pStyle w:val="73"/>
              <w:rPr>
                <w:rFonts w:cs="Times New Roman"/>
                <w:snapToGrid w:val="0"/>
                <w:color w:val="auto"/>
                <w:highlight w:val="none"/>
                <w:lang w:val="en-US"/>
              </w:rPr>
            </w:pPr>
            <w:r>
              <w:rPr>
                <w:rFonts w:cs="Times New Roman"/>
                <w:snapToGrid w:val="0"/>
                <w:color w:val="auto"/>
                <w:highlight w:val="none"/>
              </w:rPr>
              <w:t>其他建筑物及道路采取简单防渗，对其地面采用混凝土进行一般地面硬化</w:t>
            </w:r>
          </w:p>
        </w:tc>
        <w:tc>
          <w:tcPr>
            <w:tcW w:w="428" w:type="pct"/>
            <w:vMerge w:val="continue"/>
            <w:vAlign w:val="center"/>
          </w:tcPr>
          <w:p w14:paraId="69DD23F3">
            <w:pPr>
              <w:pStyle w:val="73"/>
              <w:rPr>
                <w:rFonts w:cs="Times New Roman"/>
                <w:snapToGrid w:val="0"/>
                <w:color w:val="auto"/>
                <w:highlight w:val="none"/>
                <w:lang w:val="en-US"/>
              </w:rPr>
            </w:pPr>
          </w:p>
        </w:tc>
      </w:tr>
      <w:tr w14:paraId="74E11F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423" w:type="pct"/>
            <w:vMerge w:val="continue"/>
            <w:vAlign w:val="center"/>
          </w:tcPr>
          <w:p w14:paraId="388882AB">
            <w:pPr>
              <w:pStyle w:val="73"/>
              <w:rPr>
                <w:rFonts w:cs="Times New Roman"/>
                <w:snapToGrid w:val="0"/>
                <w:color w:val="auto"/>
                <w:highlight w:val="none"/>
                <w:lang w:val="en-US"/>
              </w:rPr>
            </w:pPr>
            <w:bookmarkStart w:id="106" w:name="_Hlk16857557"/>
          </w:p>
        </w:tc>
        <w:tc>
          <w:tcPr>
            <w:tcW w:w="732" w:type="pct"/>
            <w:gridSpan w:val="2"/>
            <w:vAlign w:val="center"/>
          </w:tcPr>
          <w:p w14:paraId="402A5579">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绿化</w:t>
            </w:r>
          </w:p>
        </w:tc>
        <w:tc>
          <w:tcPr>
            <w:tcW w:w="3416" w:type="pct"/>
            <w:vAlign w:val="center"/>
          </w:tcPr>
          <w:p w14:paraId="4AFCC3E5">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绿化面积为500m</w:t>
            </w:r>
            <w:r>
              <w:rPr>
                <w:rFonts w:hint="eastAsia" w:cs="Times New Roman"/>
                <w:snapToGrid w:val="0"/>
                <w:color w:val="auto"/>
                <w:highlight w:val="none"/>
                <w:vertAlign w:val="superscript"/>
                <w:lang w:val="en-US" w:eastAsia="zh-CN"/>
              </w:rPr>
              <w:t>2</w:t>
            </w:r>
            <w:r>
              <w:rPr>
                <w:rFonts w:hint="eastAsia" w:cs="Times New Roman"/>
                <w:snapToGrid w:val="0"/>
                <w:color w:val="auto"/>
                <w:highlight w:val="none"/>
                <w:lang w:val="en-US" w:eastAsia="zh-CN"/>
              </w:rPr>
              <w:t>，种植低矮灌木、青草</w:t>
            </w:r>
          </w:p>
        </w:tc>
        <w:tc>
          <w:tcPr>
            <w:tcW w:w="428" w:type="pct"/>
            <w:vMerge w:val="continue"/>
            <w:vAlign w:val="center"/>
          </w:tcPr>
          <w:p w14:paraId="2B0489C8">
            <w:pPr>
              <w:pStyle w:val="73"/>
              <w:rPr>
                <w:rFonts w:cs="Times New Roman"/>
                <w:snapToGrid w:val="0"/>
                <w:color w:val="auto"/>
                <w:highlight w:val="none"/>
                <w:lang w:val="en-US"/>
              </w:rPr>
            </w:pPr>
          </w:p>
        </w:tc>
      </w:tr>
      <w:tr w14:paraId="097DAC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7" w:hRule="atLeast"/>
          <w:jc w:val="center"/>
        </w:trPr>
        <w:tc>
          <w:tcPr>
            <w:tcW w:w="423" w:type="pct"/>
            <w:vMerge w:val="continue"/>
            <w:vAlign w:val="center"/>
          </w:tcPr>
          <w:p w14:paraId="4B81EC43">
            <w:pPr>
              <w:pStyle w:val="73"/>
              <w:rPr>
                <w:rFonts w:cs="Times New Roman"/>
                <w:snapToGrid w:val="0"/>
                <w:color w:val="auto"/>
                <w:highlight w:val="none"/>
              </w:rPr>
            </w:pPr>
          </w:p>
        </w:tc>
        <w:tc>
          <w:tcPr>
            <w:tcW w:w="732" w:type="pct"/>
            <w:gridSpan w:val="2"/>
            <w:vMerge w:val="restart"/>
            <w:vAlign w:val="center"/>
          </w:tcPr>
          <w:p w14:paraId="07EF8371">
            <w:pPr>
              <w:pStyle w:val="73"/>
              <w:rPr>
                <w:rFonts w:cs="Times New Roman"/>
                <w:snapToGrid w:val="0"/>
                <w:color w:val="auto"/>
                <w:highlight w:val="none"/>
              </w:rPr>
            </w:pPr>
            <w:r>
              <w:rPr>
                <w:rFonts w:cs="Times New Roman"/>
                <w:snapToGrid w:val="0"/>
                <w:color w:val="auto"/>
                <w:highlight w:val="none"/>
              </w:rPr>
              <w:t>固体废物</w:t>
            </w:r>
          </w:p>
        </w:tc>
        <w:tc>
          <w:tcPr>
            <w:tcW w:w="3416" w:type="pct"/>
            <w:vAlign w:val="center"/>
          </w:tcPr>
          <w:p w14:paraId="252073AD">
            <w:pPr>
              <w:pStyle w:val="73"/>
              <w:rPr>
                <w:rFonts w:hint="eastAsia" w:eastAsia="宋体" w:cs="Times New Roman"/>
                <w:snapToGrid w:val="0"/>
                <w:color w:val="auto"/>
                <w:highlight w:val="none"/>
                <w:lang w:eastAsia="zh-CN"/>
              </w:rPr>
            </w:pPr>
            <w:r>
              <w:rPr>
                <w:rFonts w:cs="Times New Roman"/>
                <w:snapToGrid w:val="0"/>
                <w:color w:val="auto"/>
                <w:highlight w:val="none"/>
                <w:lang w:val="en-US"/>
              </w:rPr>
              <w:t>牛、羊粪</w:t>
            </w:r>
            <w:r>
              <w:rPr>
                <w:rFonts w:cs="Times New Roman"/>
                <w:snapToGrid w:val="0"/>
                <w:color w:val="auto"/>
                <w:highlight w:val="none"/>
              </w:rPr>
              <w:t>储存在</w:t>
            </w:r>
            <w:r>
              <w:rPr>
                <w:rFonts w:cs="Times New Roman"/>
                <w:snapToGrid w:val="0"/>
                <w:color w:val="auto"/>
                <w:highlight w:val="none"/>
                <w:lang w:val="en-US"/>
              </w:rPr>
              <w:t>加盖的</w:t>
            </w:r>
            <w:r>
              <w:rPr>
                <w:rFonts w:hint="eastAsia" w:cs="Times New Roman"/>
                <w:snapToGrid w:val="0"/>
                <w:color w:val="auto"/>
                <w:highlight w:val="none"/>
                <w:lang w:val="en-US" w:eastAsia="zh-CN"/>
              </w:rPr>
              <w:t>转运桶</w:t>
            </w:r>
            <w:r>
              <w:rPr>
                <w:rFonts w:cs="Times New Roman"/>
                <w:snapToGrid w:val="0"/>
                <w:color w:val="auto"/>
                <w:highlight w:val="none"/>
                <w:lang w:val="en-US"/>
              </w:rPr>
              <w:t>，</w:t>
            </w:r>
            <w:r>
              <w:rPr>
                <w:rFonts w:hint="eastAsia" w:cs="Times New Roman"/>
                <w:snapToGrid w:val="0"/>
                <w:color w:val="auto"/>
                <w:highlight w:val="none"/>
                <w:lang w:val="en-US" w:eastAsia="zh-CN"/>
              </w:rPr>
              <w:t>资源化利用，</w:t>
            </w:r>
            <w:r>
              <w:rPr>
                <w:rFonts w:hint="eastAsia" w:cs="Times New Roman"/>
                <w:snapToGrid w:val="0"/>
                <w:color w:val="auto"/>
                <w:szCs w:val="24"/>
                <w:highlight w:val="none"/>
                <w:lang w:val="en-US" w:eastAsia="zh-CN"/>
              </w:rPr>
              <w:t>外售作为</w:t>
            </w:r>
            <w:r>
              <w:rPr>
                <w:rFonts w:cs="Times New Roman"/>
                <w:snapToGrid w:val="0"/>
                <w:color w:val="auto"/>
                <w:szCs w:val="24"/>
                <w:highlight w:val="none"/>
              </w:rPr>
              <w:t>优质的有机肥原料</w:t>
            </w:r>
            <w:r>
              <w:rPr>
                <w:rFonts w:hint="eastAsia" w:cs="Times New Roman"/>
                <w:snapToGrid w:val="0"/>
                <w:color w:val="auto"/>
                <w:highlight w:val="none"/>
                <w:lang w:val="en-US" w:eastAsia="zh-CN"/>
              </w:rPr>
              <w:t>，两天清运一次</w:t>
            </w:r>
          </w:p>
        </w:tc>
        <w:tc>
          <w:tcPr>
            <w:tcW w:w="428" w:type="pct"/>
            <w:vMerge w:val="restart"/>
            <w:vAlign w:val="center"/>
          </w:tcPr>
          <w:p w14:paraId="462C7F40">
            <w:pPr>
              <w:pStyle w:val="73"/>
              <w:rPr>
                <w:rFonts w:cs="Times New Roman"/>
                <w:snapToGrid w:val="0"/>
                <w:color w:val="auto"/>
                <w:highlight w:val="none"/>
              </w:rPr>
            </w:pPr>
            <w:r>
              <w:rPr>
                <w:rFonts w:cs="Times New Roman"/>
                <w:snapToGrid w:val="0"/>
                <w:color w:val="auto"/>
                <w:highlight w:val="none"/>
              </w:rPr>
              <w:t>新建</w:t>
            </w:r>
          </w:p>
        </w:tc>
      </w:tr>
      <w:tr w14:paraId="4CE6A3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423" w:type="pct"/>
            <w:vMerge w:val="continue"/>
            <w:vAlign w:val="center"/>
          </w:tcPr>
          <w:p w14:paraId="56F2E04A">
            <w:pPr>
              <w:pStyle w:val="73"/>
              <w:rPr>
                <w:rFonts w:cs="Times New Roman"/>
                <w:snapToGrid w:val="0"/>
                <w:color w:val="auto"/>
                <w:highlight w:val="none"/>
              </w:rPr>
            </w:pPr>
          </w:p>
        </w:tc>
        <w:tc>
          <w:tcPr>
            <w:tcW w:w="732" w:type="pct"/>
            <w:gridSpan w:val="2"/>
            <w:vMerge w:val="continue"/>
            <w:vAlign w:val="center"/>
          </w:tcPr>
          <w:p w14:paraId="6A557459">
            <w:pPr>
              <w:pStyle w:val="73"/>
              <w:rPr>
                <w:rFonts w:cs="Times New Roman"/>
                <w:snapToGrid w:val="0"/>
                <w:color w:val="auto"/>
                <w:highlight w:val="none"/>
              </w:rPr>
            </w:pPr>
          </w:p>
        </w:tc>
        <w:tc>
          <w:tcPr>
            <w:tcW w:w="3416" w:type="pct"/>
            <w:vAlign w:val="center"/>
          </w:tcPr>
          <w:p w14:paraId="5C79586E">
            <w:pPr>
              <w:pStyle w:val="73"/>
              <w:rPr>
                <w:rFonts w:hint="eastAsia" w:eastAsia="宋体" w:cs="Times New Roman"/>
                <w:snapToGrid w:val="0"/>
                <w:color w:val="auto"/>
                <w:highlight w:val="none"/>
                <w:lang w:eastAsia="zh-CN"/>
              </w:rPr>
            </w:pPr>
            <w:r>
              <w:rPr>
                <w:rFonts w:cs="Times New Roman"/>
                <w:snapToGrid w:val="0"/>
                <w:color w:val="auto"/>
                <w:highlight w:val="none"/>
              </w:rPr>
              <w:t>胃容物及肠内物储存在</w:t>
            </w:r>
            <w:r>
              <w:rPr>
                <w:rFonts w:cs="Times New Roman"/>
                <w:snapToGrid w:val="0"/>
                <w:color w:val="auto"/>
                <w:highlight w:val="none"/>
                <w:lang w:val="en-US"/>
              </w:rPr>
              <w:t>加盖的</w:t>
            </w:r>
            <w:r>
              <w:rPr>
                <w:rFonts w:hint="eastAsia" w:cs="Times New Roman"/>
                <w:snapToGrid w:val="0"/>
                <w:color w:val="auto"/>
                <w:highlight w:val="none"/>
                <w:lang w:val="en-US" w:eastAsia="zh-CN"/>
              </w:rPr>
              <w:t>转运桶内</w:t>
            </w:r>
            <w:r>
              <w:rPr>
                <w:rFonts w:cs="Times New Roman"/>
                <w:snapToGrid w:val="0"/>
                <w:color w:val="auto"/>
                <w:highlight w:val="none"/>
              </w:rPr>
              <w:t>，</w:t>
            </w:r>
            <w:r>
              <w:rPr>
                <w:rFonts w:hint="eastAsia" w:cs="Times New Roman"/>
                <w:snapToGrid w:val="0"/>
                <w:color w:val="auto"/>
                <w:highlight w:val="none"/>
                <w:lang w:val="en-US" w:eastAsia="zh-CN"/>
              </w:rPr>
              <w:t>资源化利用，</w:t>
            </w:r>
            <w:r>
              <w:rPr>
                <w:rFonts w:hint="eastAsia" w:cs="Times New Roman"/>
                <w:snapToGrid w:val="0"/>
                <w:color w:val="auto"/>
                <w:szCs w:val="24"/>
                <w:highlight w:val="none"/>
                <w:lang w:val="en-US" w:eastAsia="zh-CN"/>
              </w:rPr>
              <w:t>外售作为</w:t>
            </w:r>
            <w:r>
              <w:rPr>
                <w:rFonts w:cs="Times New Roman"/>
                <w:snapToGrid w:val="0"/>
                <w:color w:val="auto"/>
                <w:szCs w:val="24"/>
                <w:highlight w:val="none"/>
              </w:rPr>
              <w:t>优质的有机肥原料</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两天清运一次</w:t>
            </w:r>
          </w:p>
        </w:tc>
        <w:tc>
          <w:tcPr>
            <w:tcW w:w="428" w:type="pct"/>
            <w:vMerge w:val="continue"/>
            <w:vAlign w:val="center"/>
          </w:tcPr>
          <w:p w14:paraId="3BF002AC">
            <w:pPr>
              <w:pStyle w:val="73"/>
              <w:rPr>
                <w:rFonts w:cs="Times New Roman"/>
                <w:snapToGrid w:val="0"/>
                <w:color w:val="auto"/>
                <w:highlight w:val="none"/>
              </w:rPr>
            </w:pPr>
          </w:p>
        </w:tc>
      </w:tr>
      <w:tr w14:paraId="42237B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423" w:type="pct"/>
            <w:vMerge w:val="continue"/>
            <w:vAlign w:val="center"/>
          </w:tcPr>
          <w:p w14:paraId="50A101CF">
            <w:pPr>
              <w:pStyle w:val="73"/>
              <w:rPr>
                <w:rFonts w:cs="Times New Roman"/>
                <w:snapToGrid w:val="0"/>
                <w:color w:val="auto"/>
                <w:highlight w:val="none"/>
              </w:rPr>
            </w:pPr>
          </w:p>
        </w:tc>
        <w:tc>
          <w:tcPr>
            <w:tcW w:w="732" w:type="pct"/>
            <w:gridSpan w:val="2"/>
            <w:vMerge w:val="continue"/>
            <w:vAlign w:val="center"/>
          </w:tcPr>
          <w:p w14:paraId="53F0D10A">
            <w:pPr>
              <w:pStyle w:val="73"/>
              <w:rPr>
                <w:rFonts w:cs="Times New Roman"/>
                <w:snapToGrid w:val="0"/>
                <w:color w:val="auto"/>
                <w:highlight w:val="none"/>
              </w:rPr>
            </w:pPr>
          </w:p>
        </w:tc>
        <w:tc>
          <w:tcPr>
            <w:tcW w:w="3416" w:type="pct"/>
            <w:vAlign w:val="center"/>
          </w:tcPr>
          <w:p w14:paraId="52835A75">
            <w:pPr>
              <w:pStyle w:val="73"/>
              <w:rPr>
                <w:rFonts w:hint="eastAsia" w:eastAsia="宋体" w:cs="Times New Roman"/>
                <w:snapToGrid w:val="0"/>
                <w:color w:val="auto"/>
                <w:highlight w:val="none"/>
                <w:lang w:eastAsia="zh-CN"/>
              </w:rPr>
            </w:pPr>
            <w:r>
              <w:rPr>
                <w:rFonts w:cs="Times New Roman"/>
                <w:snapToGrid w:val="0"/>
                <w:color w:val="auto"/>
                <w:highlight w:val="none"/>
              </w:rPr>
              <w:t>边角料储存在加盖的</w:t>
            </w:r>
            <w:r>
              <w:rPr>
                <w:rFonts w:hint="eastAsia" w:cs="Times New Roman"/>
                <w:snapToGrid w:val="0"/>
                <w:color w:val="auto"/>
                <w:highlight w:val="none"/>
                <w:lang w:val="en-US" w:eastAsia="zh-CN"/>
              </w:rPr>
              <w:t>转运桶</w:t>
            </w:r>
            <w:r>
              <w:rPr>
                <w:rFonts w:cs="Times New Roman"/>
                <w:snapToGrid w:val="0"/>
                <w:color w:val="auto"/>
                <w:highlight w:val="none"/>
              </w:rPr>
              <w:t>内，</w:t>
            </w:r>
            <w:r>
              <w:rPr>
                <w:rFonts w:hint="eastAsia" w:cs="Times New Roman"/>
                <w:snapToGrid w:val="0"/>
                <w:color w:val="auto"/>
                <w:highlight w:val="none"/>
                <w:lang w:val="en-US" w:eastAsia="zh-CN"/>
              </w:rPr>
              <w:t>资源化利用，</w:t>
            </w:r>
            <w:r>
              <w:rPr>
                <w:rFonts w:hint="eastAsia" w:cs="Times New Roman"/>
                <w:snapToGrid w:val="0"/>
                <w:color w:val="auto"/>
                <w:szCs w:val="24"/>
                <w:highlight w:val="none"/>
                <w:lang w:val="en-US" w:eastAsia="zh-CN"/>
              </w:rPr>
              <w:t>外售作为</w:t>
            </w:r>
            <w:r>
              <w:rPr>
                <w:rFonts w:cs="Times New Roman"/>
                <w:snapToGrid w:val="0"/>
                <w:color w:val="auto"/>
                <w:szCs w:val="24"/>
                <w:highlight w:val="none"/>
              </w:rPr>
              <w:t>优质的有机肥原料</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两天清运一次</w:t>
            </w:r>
          </w:p>
        </w:tc>
        <w:tc>
          <w:tcPr>
            <w:tcW w:w="428" w:type="pct"/>
            <w:vMerge w:val="continue"/>
            <w:vAlign w:val="center"/>
          </w:tcPr>
          <w:p w14:paraId="78C34809">
            <w:pPr>
              <w:pStyle w:val="73"/>
              <w:rPr>
                <w:rFonts w:cs="Times New Roman"/>
                <w:snapToGrid w:val="0"/>
                <w:color w:val="auto"/>
                <w:highlight w:val="none"/>
              </w:rPr>
            </w:pPr>
          </w:p>
        </w:tc>
      </w:tr>
      <w:tr w14:paraId="0DCF0C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423" w:type="pct"/>
            <w:vMerge w:val="continue"/>
            <w:vAlign w:val="center"/>
          </w:tcPr>
          <w:p w14:paraId="28B40EE7">
            <w:pPr>
              <w:pStyle w:val="73"/>
              <w:rPr>
                <w:rFonts w:cs="Times New Roman"/>
                <w:snapToGrid w:val="0"/>
                <w:color w:val="auto"/>
                <w:highlight w:val="none"/>
              </w:rPr>
            </w:pPr>
          </w:p>
        </w:tc>
        <w:tc>
          <w:tcPr>
            <w:tcW w:w="732" w:type="pct"/>
            <w:gridSpan w:val="2"/>
            <w:vMerge w:val="continue"/>
            <w:vAlign w:val="center"/>
          </w:tcPr>
          <w:p w14:paraId="38641183">
            <w:pPr>
              <w:pStyle w:val="73"/>
              <w:rPr>
                <w:rFonts w:cs="Times New Roman"/>
                <w:snapToGrid w:val="0"/>
                <w:color w:val="auto"/>
                <w:highlight w:val="none"/>
              </w:rPr>
            </w:pPr>
          </w:p>
        </w:tc>
        <w:tc>
          <w:tcPr>
            <w:tcW w:w="3416" w:type="pct"/>
            <w:vAlign w:val="center"/>
          </w:tcPr>
          <w:p w14:paraId="076183A6">
            <w:pPr>
              <w:pStyle w:val="73"/>
              <w:rPr>
                <w:rFonts w:hint="default" w:cs="Times New Roman"/>
                <w:snapToGrid w:val="0"/>
                <w:color w:val="auto"/>
                <w:highlight w:val="none"/>
                <w:lang w:val="en-US"/>
              </w:rPr>
            </w:pPr>
            <w:r>
              <w:rPr>
                <w:rFonts w:cs="Times New Roman"/>
                <w:snapToGrid w:val="0"/>
                <w:color w:val="auto"/>
                <w:highlight w:val="none"/>
                <w:lang w:val="en-US"/>
              </w:rPr>
              <w:t>脱水污泥（含栅渣）（含水率低于</w:t>
            </w:r>
            <w:r>
              <w:rPr>
                <w:rFonts w:hint="eastAsia" w:cs="Times New Roman"/>
                <w:snapToGrid w:val="0"/>
                <w:color w:val="auto"/>
                <w:highlight w:val="none"/>
                <w:lang w:val="en-US" w:eastAsia="zh-CN"/>
              </w:rPr>
              <w:t>80</w:t>
            </w:r>
            <w:r>
              <w:rPr>
                <w:rFonts w:cs="Times New Roman"/>
                <w:snapToGrid w:val="0"/>
                <w:color w:val="auto"/>
                <w:highlight w:val="none"/>
                <w:lang w:val="en-US"/>
              </w:rPr>
              <w:t>%），送</w:t>
            </w:r>
            <w:r>
              <w:rPr>
                <w:rFonts w:hint="eastAsia" w:cs="Times New Roman"/>
                <w:snapToGrid w:val="0"/>
                <w:color w:val="auto"/>
                <w:highlight w:val="none"/>
                <w:lang w:val="en-US" w:eastAsia="zh-CN"/>
              </w:rPr>
              <w:t>至有能力处置单位进行处理</w:t>
            </w:r>
          </w:p>
        </w:tc>
        <w:tc>
          <w:tcPr>
            <w:tcW w:w="428" w:type="pct"/>
            <w:vMerge w:val="continue"/>
            <w:vAlign w:val="center"/>
          </w:tcPr>
          <w:p w14:paraId="2F0A5164">
            <w:pPr>
              <w:pStyle w:val="73"/>
              <w:rPr>
                <w:rFonts w:cs="Times New Roman"/>
                <w:snapToGrid w:val="0"/>
                <w:color w:val="auto"/>
                <w:highlight w:val="none"/>
              </w:rPr>
            </w:pPr>
          </w:p>
        </w:tc>
      </w:tr>
      <w:tr w14:paraId="79510E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423" w:type="pct"/>
            <w:vMerge w:val="continue"/>
            <w:vAlign w:val="center"/>
          </w:tcPr>
          <w:p w14:paraId="031EC17B">
            <w:pPr>
              <w:pStyle w:val="73"/>
              <w:rPr>
                <w:rFonts w:cs="Times New Roman"/>
                <w:snapToGrid w:val="0"/>
                <w:color w:val="auto"/>
                <w:highlight w:val="none"/>
              </w:rPr>
            </w:pPr>
          </w:p>
        </w:tc>
        <w:tc>
          <w:tcPr>
            <w:tcW w:w="732" w:type="pct"/>
            <w:gridSpan w:val="2"/>
            <w:vMerge w:val="continue"/>
            <w:vAlign w:val="center"/>
          </w:tcPr>
          <w:p w14:paraId="655FF9AD">
            <w:pPr>
              <w:pStyle w:val="73"/>
              <w:rPr>
                <w:rFonts w:cs="Times New Roman"/>
                <w:snapToGrid w:val="0"/>
                <w:color w:val="auto"/>
                <w:highlight w:val="none"/>
              </w:rPr>
            </w:pPr>
          </w:p>
        </w:tc>
        <w:tc>
          <w:tcPr>
            <w:tcW w:w="3416" w:type="pct"/>
            <w:vAlign w:val="center"/>
          </w:tcPr>
          <w:p w14:paraId="424EF61D">
            <w:pPr>
              <w:pStyle w:val="73"/>
              <w:rPr>
                <w:rFonts w:hint="default" w:eastAsia="宋体" w:cs="Times New Roman"/>
                <w:snapToGrid w:val="0"/>
                <w:color w:val="auto"/>
                <w:highlight w:val="none"/>
                <w:lang w:val="en-US" w:eastAsia="zh-CN"/>
              </w:rPr>
            </w:pPr>
            <w:r>
              <w:rPr>
                <w:rFonts w:hint="eastAsia" w:cs="Times New Roman"/>
                <w:snapToGrid w:val="0"/>
                <w:color w:val="auto"/>
                <w:szCs w:val="24"/>
                <w:highlight w:val="none"/>
                <w:lang w:val="en-US" w:eastAsia="zh-CN"/>
              </w:rPr>
              <w:t>隔油池产生的废油脂，收集后交由有能力处置单位运输处理</w:t>
            </w:r>
          </w:p>
        </w:tc>
        <w:tc>
          <w:tcPr>
            <w:tcW w:w="428" w:type="pct"/>
            <w:vMerge w:val="continue"/>
            <w:vAlign w:val="center"/>
          </w:tcPr>
          <w:p w14:paraId="43F23562">
            <w:pPr>
              <w:pStyle w:val="73"/>
              <w:rPr>
                <w:rFonts w:cs="Times New Roman"/>
                <w:snapToGrid w:val="0"/>
                <w:color w:val="auto"/>
                <w:highlight w:val="none"/>
              </w:rPr>
            </w:pPr>
          </w:p>
        </w:tc>
      </w:tr>
      <w:tr w14:paraId="19A07B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423" w:type="pct"/>
            <w:vMerge w:val="continue"/>
            <w:vAlign w:val="center"/>
          </w:tcPr>
          <w:p w14:paraId="35EEFD2A">
            <w:pPr>
              <w:pStyle w:val="73"/>
              <w:rPr>
                <w:rFonts w:cs="Times New Roman"/>
                <w:snapToGrid w:val="0"/>
                <w:color w:val="auto"/>
                <w:highlight w:val="none"/>
              </w:rPr>
            </w:pPr>
          </w:p>
        </w:tc>
        <w:tc>
          <w:tcPr>
            <w:tcW w:w="732" w:type="pct"/>
            <w:gridSpan w:val="2"/>
            <w:vMerge w:val="continue"/>
            <w:vAlign w:val="center"/>
          </w:tcPr>
          <w:p w14:paraId="0908CF8D">
            <w:pPr>
              <w:pStyle w:val="73"/>
              <w:rPr>
                <w:rFonts w:cs="Times New Roman"/>
                <w:snapToGrid w:val="0"/>
                <w:color w:val="auto"/>
                <w:highlight w:val="none"/>
              </w:rPr>
            </w:pPr>
          </w:p>
        </w:tc>
        <w:tc>
          <w:tcPr>
            <w:tcW w:w="3416" w:type="pct"/>
            <w:vAlign w:val="center"/>
          </w:tcPr>
          <w:p w14:paraId="629BEDC4">
            <w:pPr>
              <w:pStyle w:val="73"/>
              <w:rPr>
                <w:rFonts w:cs="Times New Roman"/>
                <w:snapToGrid w:val="0"/>
                <w:color w:val="auto"/>
                <w:highlight w:val="none"/>
                <w:lang w:val="en-US"/>
              </w:rPr>
            </w:pPr>
            <w:r>
              <w:rPr>
                <w:rFonts w:hint="eastAsia" w:cs="Times New Roman"/>
                <w:snapToGrid w:val="0"/>
                <w:color w:val="auto"/>
                <w:highlight w:val="none"/>
                <w:lang w:val="en-US"/>
              </w:rPr>
              <w:t>废包装集中收集，定期外售综合利用</w:t>
            </w:r>
          </w:p>
        </w:tc>
        <w:tc>
          <w:tcPr>
            <w:tcW w:w="428" w:type="pct"/>
            <w:vMerge w:val="continue"/>
            <w:vAlign w:val="center"/>
          </w:tcPr>
          <w:p w14:paraId="267110C1">
            <w:pPr>
              <w:pStyle w:val="73"/>
              <w:rPr>
                <w:rFonts w:cs="Times New Roman"/>
                <w:snapToGrid w:val="0"/>
                <w:color w:val="auto"/>
                <w:highlight w:val="none"/>
              </w:rPr>
            </w:pPr>
          </w:p>
        </w:tc>
      </w:tr>
      <w:tr w14:paraId="40CF0A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8" w:hRule="atLeast"/>
          <w:jc w:val="center"/>
        </w:trPr>
        <w:tc>
          <w:tcPr>
            <w:tcW w:w="423" w:type="pct"/>
            <w:vMerge w:val="continue"/>
            <w:vAlign w:val="center"/>
          </w:tcPr>
          <w:p w14:paraId="7F704916">
            <w:pPr>
              <w:pStyle w:val="73"/>
              <w:rPr>
                <w:rFonts w:cs="Times New Roman"/>
                <w:snapToGrid w:val="0"/>
                <w:color w:val="auto"/>
                <w:highlight w:val="none"/>
              </w:rPr>
            </w:pPr>
          </w:p>
        </w:tc>
        <w:tc>
          <w:tcPr>
            <w:tcW w:w="732" w:type="pct"/>
            <w:gridSpan w:val="2"/>
            <w:vMerge w:val="continue"/>
            <w:vAlign w:val="center"/>
          </w:tcPr>
          <w:p w14:paraId="2F97FE36">
            <w:pPr>
              <w:pStyle w:val="73"/>
              <w:rPr>
                <w:rFonts w:cs="Times New Roman"/>
                <w:snapToGrid w:val="0"/>
                <w:color w:val="auto"/>
                <w:highlight w:val="none"/>
              </w:rPr>
            </w:pPr>
          </w:p>
        </w:tc>
        <w:tc>
          <w:tcPr>
            <w:tcW w:w="3416" w:type="pct"/>
            <w:vAlign w:val="center"/>
          </w:tcPr>
          <w:p w14:paraId="16D438AA">
            <w:pPr>
              <w:pStyle w:val="73"/>
              <w:rPr>
                <w:rFonts w:hint="default" w:eastAsia="宋体" w:cs="Times New Roman"/>
                <w:snapToGrid w:val="0"/>
                <w:color w:val="auto"/>
                <w:highlight w:val="none"/>
                <w:lang w:val="en-US" w:eastAsia="zh-CN"/>
              </w:rPr>
            </w:pPr>
            <w:r>
              <w:rPr>
                <w:rFonts w:cs="Times New Roman"/>
                <w:snapToGrid w:val="0"/>
                <w:color w:val="auto"/>
                <w:highlight w:val="none"/>
              </w:rPr>
              <w:t>检疫不合格品</w:t>
            </w:r>
            <w:r>
              <w:rPr>
                <w:rFonts w:cs="Times New Roman"/>
                <w:snapToGrid w:val="0"/>
                <w:color w:val="auto"/>
                <w:highlight w:val="none"/>
                <w:lang w:val="en-US"/>
              </w:rPr>
              <w:t>及病死牛羊</w:t>
            </w:r>
            <w:r>
              <w:rPr>
                <w:rFonts w:hint="eastAsia" w:cs="Times New Roman"/>
                <w:snapToGrid w:val="0"/>
                <w:color w:val="auto"/>
                <w:highlight w:val="none"/>
                <w:lang w:val="en-US" w:eastAsia="zh-CN"/>
              </w:rPr>
              <w:t>暂存于固体废物暂存间冷藏箱内，</w:t>
            </w:r>
            <w:r>
              <w:rPr>
                <w:rFonts w:cs="Times New Roman"/>
                <w:snapToGrid w:val="0"/>
                <w:color w:val="auto"/>
                <w:highlight w:val="none"/>
              </w:rPr>
              <w:t>当天</w:t>
            </w:r>
            <w:r>
              <w:rPr>
                <w:rFonts w:hint="eastAsia" w:cs="Times New Roman"/>
                <w:snapToGrid w:val="0"/>
                <w:color w:val="auto"/>
                <w:highlight w:val="none"/>
                <w:lang w:eastAsia="zh-CN"/>
              </w:rPr>
              <w:t>由双鸭山百奥迈斯生物科技有限公司</w:t>
            </w:r>
            <w:r>
              <w:rPr>
                <w:rFonts w:hint="eastAsia" w:cs="Times New Roman"/>
                <w:snapToGrid w:val="0"/>
                <w:color w:val="auto"/>
                <w:highlight w:val="none"/>
                <w:lang w:val="en-US" w:eastAsia="zh-CN"/>
              </w:rPr>
              <w:t>采用密闭车辆拉运处置</w:t>
            </w:r>
          </w:p>
        </w:tc>
        <w:tc>
          <w:tcPr>
            <w:tcW w:w="428" w:type="pct"/>
            <w:vMerge w:val="continue"/>
            <w:vAlign w:val="center"/>
          </w:tcPr>
          <w:p w14:paraId="30EEBEE5">
            <w:pPr>
              <w:pStyle w:val="73"/>
              <w:rPr>
                <w:rFonts w:cs="Times New Roman"/>
                <w:snapToGrid w:val="0"/>
                <w:color w:val="auto"/>
                <w:highlight w:val="none"/>
              </w:rPr>
            </w:pPr>
          </w:p>
        </w:tc>
      </w:tr>
      <w:tr w14:paraId="118D47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423" w:type="pct"/>
            <w:vMerge w:val="continue"/>
            <w:vAlign w:val="center"/>
          </w:tcPr>
          <w:p w14:paraId="5CD30130">
            <w:pPr>
              <w:pStyle w:val="73"/>
              <w:rPr>
                <w:rFonts w:cs="Times New Roman"/>
                <w:snapToGrid w:val="0"/>
                <w:color w:val="auto"/>
                <w:highlight w:val="none"/>
              </w:rPr>
            </w:pPr>
          </w:p>
        </w:tc>
        <w:tc>
          <w:tcPr>
            <w:tcW w:w="732" w:type="pct"/>
            <w:gridSpan w:val="2"/>
            <w:vMerge w:val="continue"/>
            <w:vAlign w:val="center"/>
          </w:tcPr>
          <w:p w14:paraId="46E95F8E">
            <w:pPr>
              <w:pStyle w:val="73"/>
              <w:rPr>
                <w:rFonts w:cs="Times New Roman"/>
                <w:snapToGrid w:val="0"/>
                <w:color w:val="auto"/>
                <w:highlight w:val="none"/>
              </w:rPr>
            </w:pPr>
          </w:p>
        </w:tc>
        <w:tc>
          <w:tcPr>
            <w:tcW w:w="3416" w:type="pct"/>
            <w:vAlign w:val="center"/>
          </w:tcPr>
          <w:p w14:paraId="4841A706">
            <w:pPr>
              <w:pStyle w:val="73"/>
              <w:rPr>
                <w:rFonts w:cs="Times New Roman"/>
                <w:snapToGrid w:val="0"/>
                <w:color w:val="auto"/>
                <w:highlight w:val="none"/>
              </w:rPr>
            </w:pPr>
            <w:r>
              <w:rPr>
                <w:rFonts w:cs="Times New Roman"/>
                <w:snapToGrid w:val="0"/>
                <w:color w:val="auto"/>
                <w:highlight w:val="none"/>
              </w:rPr>
              <w:t>生活垃圾</w:t>
            </w:r>
            <w:r>
              <w:rPr>
                <w:rFonts w:cs="Times New Roman"/>
                <w:snapToGrid w:val="0"/>
                <w:color w:val="auto"/>
                <w:highlight w:val="none"/>
                <w:lang w:val="en-US"/>
              </w:rPr>
              <w:t>分类收集，</w:t>
            </w:r>
            <w:r>
              <w:rPr>
                <w:rFonts w:cs="Times New Roman"/>
                <w:snapToGrid w:val="0"/>
                <w:color w:val="auto"/>
                <w:highlight w:val="none"/>
              </w:rPr>
              <w:t>由市政环卫部门统一清运。</w:t>
            </w:r>
          </w:p>
        </w:tc>
        <w:tc>
          <w:tcPr>
            <w:tcW w:w="428" w:type="pct"/>
            <w:vMerge w:val="continue"/>
            <w:vAlign w:val="center"/>
          </w:tcPr>
          <w:p w14:paraId="15DFDEDD">
            <w:pPr>
              <w:pStyle w:val="73"/>
              <w:rPr>
                <w:rFonts w:cs="Times New Roman"/>
                <w:snapToGrid w:val="0"/>
                <w:color w:val="auto"/>
                <w:highlight w:val="none"/>
              </w:rPr>
            </w:pPr>
          </w:p>
        </w:tc>
      </w:tr>
      <w:tr w14:paraId="008C5D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423" w:type="pct"/>
            <w:vMerge w:val="continue"/>
            <w:vAlign w:val="center"/>
          </w:tcPr>
          <w:p w14:paraId="3F2EBD66">
            <w:pPr>
              <w:pStyle w:val="73"/>
              <w:rPr>
                <w:rFonts w:cs="Times New Roman"/>
                <w:snapToGrid w:val="0"/>
                <w:color w:val="auto"/>
                <w:highlight w:val="none"/>
              </w:rPr>
            </w:pPr>
          </w:p>
        </w:tc>
        <w:tc>
          <w:tcPr>
            <w:tcW w:w="732" w:type="pct"/>
            <w:gridSpan w:val="2"/>
            <w:vMerge w:val="continue"/>
            <w:vAlign w:val="center"/>
          </w:tcPr>
          <w:p w14:paraId="592BA2DF">
            <w:pPr>
              <w:pStyle w:val="73"/>
              <w:rPr>
                <w:rFonts w:cs="Times New Roman"/>
                <w:snapToGrid w:val="0"/>
                <w:color w:val="auto"/>
                <w:highlight w:val="none"/>
              </w:rPr>
            </w:pPr>
          </w:p>
        </w:tc>
        <w:tc>
          <w:tcPr>
            <w:tcW w:w="3416" w:type="pct"/>
            <w:vAlign w:val="center"/>
          </w:tcPr>
          <w:p w14:paraId="2F890DBE">
            <w:pPr>
              <w:pStyle w:val="73"/>
              <w:rPr>
                <w:rFonts w:hint="eastAsia" w:eastAsia="宋体" w:cs="Times New Roman"/>
                <w:snapToGrid w:val="0"/>
                <w:color w:val="auto"/>
                <w:highlight w:val="none"/>
                <w:lang w:val="en-US" w:eastAsia="zh-CN"/>
              </w:rPr>
            </w:pPr>
            <w:r>
              <w:rPr>
                <w:rFonts w:cs="Times New Roman"/>
                <w:snapToGrid w:val="0"/>
                <w:color w:val="auto"/>
                <w:szCs w:val="24"/>
                <w:highlight w:val="none"/>
              </w:rPr>
              <w:t>检疫废物</w:t>
            </w:r>
            <w:r>
              <w:rPr>
                <w:rFonts w:hint="eastAsia" w:cs="Times New Roman"/>
                <w:snapToGrid w:val="0"/>
                <w:color w:val="auto"/>
                <w:szCs w:val="24"/>
                <w:highlight w:val="none"/>
                <w:lang w:val="en-US" w:eastAsia="zh-CN"/>
              </w:rPr>
              <w:t>（废弃载玻片）</w:t>
            </w:r>
            <w:r>
              <w:rPr>
                <w:rFonts w:cs="Times New Roman"/>
                <w:snapToGrid w:val="0"/>
                <w:color w:val="auto"/>
                <w:szCs w:val="24"/>
                <w:highlight w:val="none"/>
                <w:lang w:val="en-US"/>
              </w:rPr>
              <w:t>暂存于</w:t>
            </w:r>
            <w:r>
              <w:rPr>
                <w:rFonts w:hint="eastAsia" w:cs="Times New Roman"/>
                <w:snapToGrid w:val="0"/>
                <w:color w:val="auto"/>
                <w:kern w:val="0"/>
                <w:szCs w:val="21"/>
                <w:highlight w:val="none"/>
                <w:lang w:val="en-US" w:eastAsia="zh-CN"/>
              </w:rPr>
              <w:t>危险废物贮存点</w:t>
            </w:r>
            <w:r>
              <w:rPr>
                <w:rFonts w:cs="Times New Roman"/>
                <w:snapToGrid w:val="0"/>
                <w:color w:val="auto"/>
                <w:szCs w:val="24"/>
                <w:highlight w:val="none"/>
                <w:lang w:val="en-US"/>
              </w:rPr>
              <w:t>内</w:t>
            </w:r>
            <w:r>
              <w:rPr>
                <w:rFonts w:cs="Times New Roman"/>
                <w:snapToGrid w:val="0"/>
                <w:color w:val="auto"/>
                <w:szCs w:val="24"/>
                <w:highlight w:val="none"/>
                <w:lang w:val="en-US"/>
              </w:rPr>
              <w:t>，</w:t>
            </w:r>
            <w:r>
              <w:rPr>
                <w:rFonts w:hint="eastAsia" w:cs="Times New Roman"/>
                <w:snapToGrid w:val="0"/>
                <w:color w:val="auto"/>
                <w:szCs w:val="24"/>
                <w:highlight w:val="none"/>
                <w:lang w:val="en-US" w:eastAsia="zh-CN"/>
              </w:rPr>
              <w:t>15天转运一次，</w:t>
            </w:r>
            <w:r>
              <w:rPr>
                <w:rFonts w:cs="Times New Roman"/>
                <w:snapToGrid w:val="0"/>
                <w:color w:val="auto"/>
                <w:szCs w:val="24"/>
                <w:highlight w:val="none"/>
                <w:lang w:val="en-US"/>
              </w:rPr>
              <w:t>定期由</w:t>
            </w:r>
            <w:r>
              <w:rPr>
                <w:rFonts w:cs="Times New Roman"/>
                <w:snapToGrid w:val="0"/>
                <w:color w:val="auto"/>
                <w:szCs w:val="21"/>
                <w:highlight w:val="none"/>
                <w:lang w:val="en-US"/>
              </w:rPr>
              <w:t>有资质的单位处置</w:t>
            </w:r>
          </w:p>
        </w:tc>
        <w:tc>
          <w:tcPr>
            <w:tcW w:w="428" w:type="pct"/>
            <w:vMerge w:val="continue"/>
            <w:vAlign w:val="center"/>
          </w:tcPr>
          <w:p w14:paraId="448029D7">
            <w:pPr>
              <w:pStyle w:val="73"/>
              <w:rPr>
                <w:rFonts w:cs="Times New Roman"/>
                <w:snapToGrid w:val="0"/>
                <w:color w:val="auto"/>
                <w:highlight w:val="none"/>
              </w:rPr>
            </w:pPr>
          </w:p>
        </w:tc>
      </w:tr>
      <w:tr w14:paraId="67507F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423" w:type="pct"/>
            <w:vMerge w:val="continue"/>
            <w:vAlign w:val="center"/>
          </w:tcPr>
          <w:p w14:paraId="6118BA62">
            <w:pPr>
              <w:pStyle w:val="73"/>
              <w:rPr>
                <w:rFonts w:cs="Times New Roman"/>
                <w:snapToGrid w:val="0"/>
                <w:color w:val="auto"/>
                <w:highlight w:val="none"/>
              </w:rPr>
            </w:pPr>
          </w:p>
        </w:tc>
        <w:tc>
          <w:tcPr>
            <w:tcW w:w="732" w:type="pct"/>
            <w:gridSpan w:val="2"/>
            <w:vMerge w:val="continue"/>
            <w:vAlign w:val="center"/>
          </w:tcPr>
          <w:p w14:paraId="09CE651B">
            <w:pPr>
              <w:pStyle w:val="73"/>
              <w:rPr>
                <w:rFonts w:cs="Times New Roman"/>
                <w:snapToGrid w:val="0"/>
                <w:color w:val="auto"/>
                <w:highlight w:val="none"/>
              </w:rPr>
            </w:pPr>
          </w:p>
        </w:tc>
        <w:tc>
          <w:tcPr>
            <w:tcW w:w="3416" w:type="pct"/>
            <w:vAlign w:val="center"/>
          </w:tcPr>
          <w:p w14:paraId="5893AC29">
            <w:pPr>
              <w:pStyle w:val="73"/>
              <w:rPr>
                <w:rFonts w:hint="eastAsia" w:eastAsia="宋体" w:cs="Times New Roman"/>
                <w:snapToGrid w:val="0"/>
                <w:color w:val="auto"/>
                <w:highlight w:val="none"/>
                <w:lang w:val="en-US" w:eastAsia="zh-CN"/>
              </w:rPr>
            </w:pPr>
            <w:r>
              <w:rPr>
                <w:rFonts w:hint="eastAsia" w:cs="Times New Roman"/>
                <w:snapToGrid w:val="0"/>
                <w:color w:val="auto"/>
                <w:highlight w:val="none"/>
                <w:lang w:val="en-US" w:eastAsia="zh-CN"/>
              </w:rPr>
              <w:t>废活性炭、</w:t>
            </w:r>
            <w:r>
              <w:rPr>
                <w:rFonts w:hint="eastAsia" w:cs="Times New Roman"/>
                <w:snapToGrid w:val="0"/>
                <w:color w:val="auto"/>
                <w:highlight w:val="none"/>
                <w:lang w:val="en-US" w:eastAsia="zh-CN"/>
              </w:rPr>
              <w:t>在线监测废液</w:t>
            </w:r>
            <w:r>
              <w:rPr>
                <w:rFonts w:hint="eastAsia" w:cs="Times New Roman"/>
                <w:snapToGrid w:val="0"/>
                <w:color w:val="auto"/>
                <w:highlight w:val="none"/>
                <w:lang w:val="en-US" w:eastAsia="zh-CN"/>
              </w:rPr>
              <w:t>、废润滑油</w:t>
            </w:r>
            <w:r>
              <w:rPr>
                <w:rFonts w:cs="Times New Roman"/>
                <w:snapToGrid w:val="0"/>
                <w:color w:val="auto"/>
                <w:szCs w:val="24"/>
                <w:highlight w:val="none"/>
                <w:lang w:val="en-US"/>
              </w:rPr>
              <w:t>暂存于</w:t>
            </w:r>
            <w:r>
              <w:rPr>
                <w:rFonts w:hint="eastAsia" w:cs="Times New Roman"/>
                <w:snapToGrid w:val="0"/>
                <w:color w:val="auto"/>
                <w:kern w:val="0"/>
                <w:szCs w:val="21"/>
                <w:highlight w:val="none"/>
                <w:lang w:val="en-US" w:eastAsia="zh-CN"/>
              </w:rPr>
              <w:t>危险废物贮存点</w:t>
            </w:r>
            <w:r>
              <w:rPr>
                <w:rFonts w:cs="Times New Roman"/>
                <w:snapToGrid w:val="0"/>
                <w:color w:val="auto"/>
                <w:szCs w:val="24"/>
                <w:highlight w:val="none"/>
                <w:lang w:val="en-US"/>
              </w:rPr>
              <w:t>内，定期由</w:t>
            </w:r>
            <w:r>
              <w:rPr>
                <w:rFonts w:cs="Times New Roman"/>
                <w:snapToGrid w:val="0"/>
                <w:color w:val="auto"/>
                <w:szCs w:val="21"/>
                <w:highlight w:val="none"/>
                <w:lang w:val="en-US"/>
              </w:rPr>
              <w:t>有资质的单位处置</w:t>
            </w:r>
          </w:p>
        </w:tc>
        <w:tc>
          <w:tcPr>
            <w:tcW w:w="428" w:type="pct"/>
            <w:vMerge w:val="continue"/>
            <w:vAlign w:val="center"/>
          </w:tcPr>
          <w:p w14:paraId="34BC28BE">
            <w:pPr>
              <w:pStyle w:val="73"/>
              <w:rPr>
                <w:rFonts w:cs="Times New Roman"/>
                <w:snapToGrid w:val="0"/>
                <w:color w:val="auto"/>
                <w:highlight w:val="none"/>
              </w:rPr>
            </w:pPr>
          </w:p>
        </w:tc>
      </w:tr>
      <w:tr w14:paraId="4182CA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423" w:type="pct"/>
            <w:vMerge w:val="continue"/>
            <w:vAlign w:val="center"/>
          </w:tcPr>
          <w:p w14:paraId="271A867C">
            <w:pPr>
              <w:pStyle w:val="73"/>
              <w:rPr>
                <w:rFonts w:cs="Times New Roman"/>
                <w:snapToGrid w:val="0"/>
                <w:color w:val="auto"/>
                <w:highlight w:val="none"/>
              </w:rPr>
            </w:pPr>
          </w:p>
        </w:tc>
        <w:tc>
          <w:tcPr>
            <w:tcW w:w="732" w:type="pct"/>
            <w:gridSpan w:val="2"/>
            <w:vMerge w:val="continue"/>
            <w:vAlign w:val="center"/>
          </w:tcPr>
          <w:p w14:paraId="09067979">
            <w:pPr>
              <w:pStyle w:val="73"/>
              <w:rPr>
                <w:rFonts w:cs="Times New Roman"/>
                <w:snapToGrid w:val="0"/>
                <w:color w:val="auto"/>
                <w:highlight w:val="none"/>
              </w:rPr>
            </w:pPr>
          </w:p>
        </w:tc>
        <w:tc>
          <w:tcPr>
            <w:tcW w:w="3416" w:type="pct"/>
            <w:vAlign w:val="center"/>
          </w:tcPr>
          <w:p w14:paraId="67BC1A87">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含油抹布、劳保手套集中收集，暂存于</w:t>
            </w:r>
            <w:r>
              <w:rPr>
                <w:rFonts w:hint="eastAsia" w:cs="Times New Roman"/>
                <w:snapToGrid w:val="0"/>
                <w:color w:val="auto"/>
                <w:kern w:val="0"/>
                <w:szCs w:val="21"/>
                <w:highlight w:val="none"/>
                <w:lang w:val="en-US" w:eastAsia="zh-CN"/>
              </w:rPr>
              <w:t>危险废物贮存点</w:t>
            </w:r>
            <w:r>
              <w:rPr>
                <w:rFonts w:hint="eastAsia" w:cs="Times New Roman"/>
                <w:snapToGrid w:val="0"/>
                <w:color w:val="auto"/>
                <w:highlight w:val="none"/>
                <w:lang w:val="en-US" w:eastAsia="zh-CN"/>
              </w:rPr>
              <w:t>内，定期由有资质的单位处置。</w:t>
            </w:r>
          </w:p>
        </w:tc>
        <w:tc>
          <w:tcPr>
            <w:tcW w:w="428" w:type="pct"/>
            <w:vMerge w:val="continue"/>
            <w:vAlign w:val="center"/>
          </w:tcPr>
          <w:p w14:paraId="4D7B1F17">
            <w:pPr>
              <w:pStyle w:val="73"/>
              <w:rPr>
                <w:rFonts w:cs="Times New Roman"/>
                <w:snapToGrid w:val="0"/>
                <w:color w:val="auto"/>
                <w:highlight w:val="none"/>
              </w:rPr>
            </w:pPr>
          </w:p>
        </w:tc>
      </w:tr>
      <w:tr w14:paraId="67AB23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continue"/>
            <w:vAlign w:val="center"/>
          </w:tcPr>
          <w:p w14:paraId="42A020CB">
            <w:pPr>
              <w:pStyle w:val="73"/>
              <w:rPr>
                <w:rFonts w:cs="Times New Roman"/>
                <w:snapToGrid w:val="0"/>
                <w:color w:val="auto"/>
                <w:highlight w:val="none"/>
              </w:rPr>
            </w:pPr>
          </w:p>
        </w:tc>
        <w:tc>
          <w:tcPr>
            <w:tcW w:w="732" w:type="pct"/>
            <w:gridSpan w:val="2"/>
            <w:vAlign w:val="center"/>
          </w:tcPr>
          <w:p w14:paraId="5D22448C">
            <w:pPr>
              <w:pStyle w:val="73"/>
              <w:rPr>
                <w:rFonts w:cs="Times New Roman"/>
                <w:snapToGrid w:val="0"/>
                <w:color w:val="auto"/>
                <w:highlight w:val="none"/>
              </w:rPr>
            </w:pPr>
            <w:r>
              <w:rPr>
                <w:rFonts w:cs="Times New Roman"/>
                <w:snapToGrid w:val="0"/>
                <w:color w:val="auto"/>
                <w:highlight w:val="none"/>
              </w:rPr>
              <w:t>风险防范</w:t>
            </w:r>
          </w:p>
        </w:tc>
        <w:tc>
          <w:tcPr>
            <w:tcW w:w="3416" w:type="pct"/>
            <w:vAlign w:val="center"/>
          </w:tcPr>
          <w:p w14:paraId="648B0678">
            <w:pPr>
              <w:pStyle w:val="73"/>
              <w:rPr>
                <w:rFonts w:cs="Times New Roman"/>
                <w:snapToGrid w:val="0"/>
                <w:color w:val="auto"/>
                <w:highlight w:val="none"/>
              </w:rPr>
            </w:pPr>
            <w:r>
              <w:rPr>
                <w:rFonts w:cs="Times New Roman"/>
                <w:snapToGrid w:val="0"/>
                <w:color w:val="auto"/>
                <w:szCs w:val="21"/>
                <w:highlight w:val="none"/>
              </w:rPr>
              <w:t>企业建立健全环境应急预案体系，加强环境应急预案演练、评估与修订。本项目设有事故池，能够有效防止事故过程中产生的可能严重污染水体的生产废水、废液直接排入水体。</w:t>
            </w:r>
            <w:r>
              <w:rPr>
                <w:rFonts w:cs="Times New Roman"/>
                <w:snapToGrid w:val="0"/>
                <w:color w:val="auto"/>
                <w:highlight w:val="none"/>
              </w:rPr>
              <w:t>一旦突发环境风险事故，立即按应急预案提到的紧急处理、救援、监测方案等进行紧急救援，项目可以有效的防范风险事故发生或对事故的发生进行有效处置，防止环境污染事故发生。</w:t>
            </w:r>
          </w:p>
        </w:tc>
        <w:tc>
          <w:tcPr>
            <w:tcW w:w="428" w:type="pct"/>
            <w:vAlign w:val="center"/>
          </w:tcPr>
          <w:p w14:paraId="0BCE0EF1">
            <w:pPr>
              <w:pStyle w:val="73"/>
              <w:rPr>
                <w:rFonts w:cs="Times New Roman"/>
                <w:snapToGrid w:val="0"/>
                <w:color w:val="auto"/>
                <w:highlight w:val="none"/>
              </w:rPr>
            </w:pPr>
            <w:r>
              <w:rPr>
                <w:rFonts w:cs="Times New Roman"/>
                <w:snapToGrid w:val="0"/>
                <w:color w:val="auto"/>
                <w:highlight w:val="none"/>
              </w:rPr>
              <w:t>新建</w:t>
            </w:r>
          </w:p>
        </w:tc>
      </w:tr>
      <w:tr w14:paraId="6AEE15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restart"/>
            <w:vAlign w:val="center"/>
          </w:tcPr>
          <w:p w14:paraId="40E7F6E8">
            <w:pPr>
              <w:pStyle w:val="73"/>
              <w:rPr>
                <w:rFonts w:cs="Times New Roman"/>
                <w:snapToGrid w:val="0"/>
                <w:color w:val="auto"/>
                <w:highlight w:val="none"/>
              </w:rPr>
            </w:pPr>
            <w:r>
              <w:rPr>
                <w:rFonts w:cs="Times New Roman"/>
                <w:snapToGrid w:val="0"/>
                <w:color w:val="auto"/>
                <w:highlight w:val="none"/>
              </w:rPr>
              <w:t>依托工程</w:t>
            </w:r>
          </w:p>
        </w:tc>
        <w:tc>
          <w:tcPr>
            <w:tcW w:w="732" w:type="pct"/>
            <w:gridSpan w:val="2"/>
            <w:vAlign w:val="center"/>
          </w:tcPr>
          <w:p w14:paraId="6317E8E9">
            <w:pPr>
              <w:pStyle w:val="73"/>
              <w:rPr>
                <w:rFonts w:hint="default" w:cs="Times New Roman"/>
                <w:snapToGrid w:val="0"/>
                <w:color w:val="auto"/>
                <w:highlight w:val="none"/>
                <w:lang w:val="en-US"/>
              </w:rPr>
            </w:pPr>
            <w:r>
              <w:rPr>
                <w:rFonts w:hint="eastAsia" w:cs="Times New Roman"/>
                <w:snapToGrid w:val="0"/>
                <w:color w:val="auto"/>
                <w:highlight w:val="none"/>
                <w:lang w:val="en-US" w:eastAsia="zh-CN"/>
              </w:rPr>
              <w:t>双鸭山市畅源排水有限公司</w:t>
            </w:r>
          </w:p>
        </w:tc>
        <w:tc>
          <w:tcPr>
            <w:tcW w:w="3416" w:type="pct"/>
            <w:vAlign w:val="center"/>
          </w:tcPr>
          <w:p w14:paraId="59D67ACB">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GB" w:eastAsia="zh-CN"/>
              </w:rPr>
              <w:t>双鸭山市畅源排水有限公司</w:t>
            </w:r>
            <w:r>
              <w:rPr>
                <w:rFonts w:cs="Times New Roman"/>
                <w:snapToGrid w:val="0"/>
                <w:color w:val="auto"/>
                <w:highlight w:val="none"/>
              </w:rPr>
              <w:t>位于</w:t>
            </w:r>
            <w:r>
              <w:rPr>
                <w:rFonts w:hint="eastAsia" w:cs="Times New Roman"/>
                <w:snapToGrid w:val="0"/>
                <w:color w:val="auto"/>
                <w:highlight w:val="none"/>
              </w:rPr>
              <w:t>双鸭山市集贤县高丰村村西北(约2.5km)、哈同高速公路北侧3km、距离安邦河东岸堤坝坡脚 20m处。</w:t>
            </w:r>
            <w:r>
              <w:rPr>
                <w:rFonts w:cs="Times New Roman"/>
                <w:snapToGrid w:val="0"/>
                <w:color w:val="auto"/>
                <w:highlight w:val="none"/>
                <w:lang w:val="en-US"/>
              </w:rPr>
              <w:t>污水处理厂</w:t>
            </w:r>
            <w:r>
              <w:rPr>
                <w:rFonts w:cs="Times New Roman"/>
                <w:snapToGrid w:val="0"/>
                <w:color w:val="auto"/>
                <w:highlight w:val="none"/>
              </w:rPr>
              <w:t>设计处理污水量为</w:t>
            </w:r>
            <w:r>
              <w:rPr>
                <w:rFonts w:hint="eastAsia" w:cs="Times New Roman"/>
                <w:snapToGrid w:val="0"/>
                <w:color w:val="auto"/>
                <w:highlight w:val="none"/>
                <w:lang w:val="en-US" w:eastAsia="zh-CN"/>
              </w:rPr>
              <w:t>5</w:t>
            </w:r>
            <w:r>
              <w:rPr>
                <w:rFonts w:cs="Times New Roman"/>
                <w:snapToGrid w:val="0"/>
                <w:color w:val="auto"/>
                <w:highlight w:val="none"/>
              </w:rPr>
              <w:t>0000m</w:t>
            </w:r>
            <w:r>
              <w:rPr>
                <w:rFonts w:cs="Times New Roman"/>
                <w:snapToGrid w:val="0"/>
                <w:color w:val="auto"/>
                <w:highlight w:val="none"/>
                <w:vertAlign w:val="superscript"/>
              </w:rPr>
              <w:t>3</w:t>
            </w:r>
            <w:r>
              <w:rPr>
                <w:rFonts w:cs="Times New Roman"/>
                <w:snapToGrid w:val="0"/>
                <w:color w:val="auto"/>
                <w:highlight w:val="none"/>
              </w:rPr>
              <w:t>/d，污水处理工艺：</w:t>
            </w:r>
            <w:r>
              <w:rPr>
                <w:rFonts w:hint="eastAsia" w:cs="Times New Roman"/>
                <w:snapToGrid w:val="0"/>
                <w:color w:val="auto"/>
                <w:highlight w:val="none"/>
                <w:lang w:val="en-US" w:eastAsia="zh-CN"/>
              </w:rPr>
              <w:t>采用A</w:t>
            </w:r>
            <w:r>
              <w:rPr>
                <w:rFonts w:hint="eastAsia" w:cs="Times New Roman"/>
                <w:snapToGrid w:val="0"/>
                <w:color w:val="auto"/>
                <w:highlight w:val="none"/>
                <w:vertAlign w:val="superscript"/>
                <w:lang w:val="en-US" w:eastAsia="zh-CN"/>
              </w:rPr>
              <w:t>2</w:t>
            </w:r>
            <w:r>
              <w:rPr>
                <w:rFonts w:hint="eastAsia" w:cs="Times New Roman"/>
                <w:snapToGrid w:val="0"/>
                <w:color w:val="auto"/>
                <w:highlight w:val="none"/>
                <w:lang w:val="en-US" w:eastAsia="zh-CN"/>
              </w:rPr>
              <w:t>O处理工艺</w:t>
            </w:r>
            <w:r>
              <w:rPr>
                <w:rFonts w:cs="Times New Roman"/>
                <w:snapToGrid w:val="0"/>
                <w:color w:val="auto"/>
                <w:highlight w:val="none"/>
              </w:rPr>
              <w:t>，处理后出水水质达到《城镇污水处理厂污染物排放标准》中的一级A标准后排入</w:t>
            </w:r>
            <w:r>
              <w:rPr>
                <w:rFonts w:hint="eastAsia" w:cs="Times New Roman"/>
                <w:snapToGrid w:val="0"/>
                <w:color w:val="auto"/>
                <w:highlight w:val="none"/>
                <w:lang w:val="en-US" w:eastAsia="zh-CN"/>
              </w:rPr>
              <w:t>安邦河</w:t>
            </w:r>
            <w:r>
              <w:rPr>
                <w:rFonts w:hint="eastAsia" w:cs="Times New Roman"/>
                <w:snapToGrid w:val="0"/>
                <w:color w:val="auto"/>
                <w:highlight w:val="none"/>
                <w:lang w:eastAsia="zh-CN"/>
              </w:rPr>
              <w:t>，</w:t>
            </w:r>
            <w:r>
              <w:rPr>
                <w:rFonts w:hint="eastAsia" w:cs="Times New Roman"/>
                <w:snapToGrid w:val="0"/>
                <w:color w:val="auto"/>
                <w:kern w:val="0"/>
                <w:highlight w:val="none"/>
                <w:lang w:val="en-GB" w:eastAsia="zh-CN"/>
              </w:rPr>
              <w:t>双鸭山市畅源排水有限公司</w:t>
            </w:r>
            <w:r>
              <w:rPr>
                <w:rFonts w:hint="eastAsia" w:cs="Times New Roman"/>
                <w:snapToGrid w:val="0"/>
                <w:color w:val="auto"/>
                <w:kern w:val="0"/>
                <w:highlight w:val="none"/>
                <w:lang w:val="en-US" w:eastAsia="zh-CN"/>
              </w:rPr>
              <w:t>于2019年10月12日取得入河排污口批复，批复文号：双环函【2019】84号。</w:t>
            </w:r>
          </w:p>
          <w:p w14:paraId="2520AE88">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eastAsia="zh-CN"/>
              </w:rPr>
              <w:t>生产车间（包含冷库）、隔离</w:t>
            </w:r>
            <w:r>
              <w:rPr>
                <w:rFonts w:hint="eastAsia" w:cs="Times New Roman"/>
                <w:snapToGrid w:val="0"/>
                <w:color w:val="auto"/>
                <w:highlight w:val="none"/>
                <w:lang w:val="en-US" w:eastAsia="zh-CN"/>
              </w:rPr>
              <w:t>间</w:t>
            </w:r>
            <w:r>
              <w:rPr>
                <w:rFonts w:hint="eastAsia" w:cs="Times New Roman"/>
                <w:snapToGrid w:val="0"/>
                <w:color w:val="auto"/>
                <w:highlight w:val="none"/>
                <w:lang w:eastAsia="zh-CN"/>
              </w:rPr>
              <w:t>、本项目废水主要为生活污水、屠宰废水、车辆冲洗废水，屠宰废水、车辆冲洗废水经污水处理站处理后满足</w:t>
            </w:r>
            <w:r>
              <w:rPr>
                <w:rFonts w:cs="Times New Roman"/>
                <w:snapToGrid w:val="0"/>
                <w:color w:val="auto"/>
                <w:highlight w:val="none"/>
                <w:lang w:val="en-GB"/>
              </w:rPr>
              <w:t>《肉类加工工业水污</w:t>
            </w:r>
            <w:r>
              <w:rPr>
                <w:rFonts w:cs="Times New Roman"/>
                <w:snapToGrid w:val="0"/>
                <w:color w:val="auto"/>
                <w:highlight w:val="none"/>
                <w:lang w:val="en-US"/>
              </w:rPr>
              <w:t xml:space="preserve"> </w:t>
            </w:r>
            <w:r>
              <w:rPr>
                <w:rFonts w:cs="Times New Roman"/>
                <w:snapToGrid w:val="0"/>
                <w:color w:val="auto"/>
                <w:highlight w:val="none"/>
                <w:lang w:val="en-GB"/>
              </w:rPr>
              <w:t>染物排放标准》（GB13457-92）中畜类屠宰加工三级标准</w:t>
            </w:r>
            <w:r>
              <w:rPr>
                <w:rFonts w:cs="Times New Roman"/>
                <w:snapToGrid w:val="0"/>
                <w:color w:val="auto"/>
                <w:highlight w:val="none"/>
                <w:lang w:val="en-US"/>
              </w:rPr>
              <w:t>后与生活污水一同排入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w:t>
            </w:r>
            <w:r>
              <w:rPr>
                <w:rFonts w:hint="eastAsia" w:cs="Times New Roman"/>
                <w:snapToGrid w:val="0"/>
                <w:color w:val="auto"/>
                <w:highlight w:val="none"/>
                <w:lang w:val="en-US" w:eastAsia="zh-CN"/>
              </w:rPr>
              <w:t>该公司现污水处理量约30000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w:t>
            </w:r>
            <w:r>
              <w:rPr>
                <w:rFonts w:cs="Times New Roman"/>
                <w:snapToGrid w:val="0"/>
                <w:color w:val="auto"/>
                <w:highlight w:val="none"/>
                <w:lang w:val="en-US"/>
              </w:rPr>
              <w:t>。</w:t>
            </w:r>
            <w:r>
              <w:rPr>
                <w:rFonts w:hint="eastAsia" w:cs="Times New Roman"/>
                <w:snapToGrid w:val="0"/>
                <w:color w:val="auto"/>
                <w:highlight w:val="none"/>
                <w:lang w:val="en-US" w:eastAsia="zh-CN"/>
              </w:rPr>
              <w:t>尚有20000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/d的余量，本项目</w:t>
            </w:r>
            <w:r>
              <w:rPr>
                <w:rFonts w:cs="Times New Roman"/>
                <w:snapToGrid w:val="0"/>
                <w:color w:val="auto"/>
                <w:highlight w:val="none"/>
                <w:lang w:val="en-US"/>
              </w:rPr>
              <w:t>排放量为</w:t>
            </w:r>
            <w:r>
              <w:rPr>
                <w:rFonts w:hint="eastAsia" w:cs="Times New Roman"/>
                <w:snapToGrid w:val="0"/>
                <w:color w:val="auto"/>
                <w:highlight w:val="none"/>
                <w:lang w:val="en-US" w:eastAsia="zh-CN"/>
              </w:rPr>
              <w:t>235</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w:t>
            </w:r>
            <w:r>
              <w:rPr>
                <w:rFonts w:cs="Times New Roman"/>
                <w:snapToGrid w:val="0"/>
                <w:color w:val="auto"/>
                <w:highlight w:val="none"/>
                <w:lang w:val="en-US"/>
              </w:rPr>
              <w:t>。</w:t>
            </w:r>
            <w:r>
              <w:rPr>
                <w:rFonts w:hint="eastAsia" w:cs="Times New Roman"/>
                <w:snapToGrid w:val="0"/>
                <w:color w:val="auto"/>
                <w:highlight w:val="none"/>
                <w:lang w:val="en-US" w:eastAsia="zh-CN"/>
              </w:rPr>
              <w:t>所占比例较小，</w:t>
            </w:r>
            <w:r>
              <w:rPr>
                <w:rFonts w:cs="Times New Roman"/>
                <w:snapToGrid w:val="0"/>
                <w:color w:val="auto"/>
                <w:highlight w:val="none"/>
              </w:rPr>
              <w:t>因此，项目所排废水从水质和水量角度分析均能够达到</w:t>
            </w:r>
            <w:r>
              <w:rPr>
                <w:rFonts w:hint="eastAsia" w:cs="Times New Roman"/>
                <w:snapToGrid w:val="0"/>
                <w:color w:val="auto"/>
                <w:highlight w:val="none"/>
                <w:lang w:val="en-GB" w:eastAsia="zh-CN"/>
              </w:rPr>
              <w:t>双鸭山市畅源排水有限公司</w:t>
            </w:r>
            <w:r>
              <w:rPr>
                <w:rFonts w:cs="Times New Roman"/>
                <w:snapToGrid w:val="0"/>
                <w:color w:val="auto"/>
                <w:highlight w:val="none"/>
              </w:rPr>
              <w:t>接收条件，依托可行</w:t>
            </w:r>
            <w:r>
              <w:rPr>
                <w:rFonts w:hint="eastAsia" w:cs="Times New Roman"/>
                <w:snapToGrid w:val="0"/>
                <w:color w:val="auto"/>
                <w:highlight w:val="none"/>
                <w:lang w:eastAsia="zh-CN"/>
              </w:rPr>
              <w:t>。</w:t>
            </w:r>
          </w:p>
        </w:tc>
        <w:tc>
          <w:tcPr>
            <w:tcW w:w="428" w:type="pct"/>
            <w:vAlign w:val="center"/>
          </w:tcPr>
          <w:p w14:paraId="2403087E">
            <w:pPr>
              <w:pStyle w:val="73"/>
              <w:rPr>
                <w:rFonts w:cs="Times New Roman"/>
                <w:snapToGrid w:val="0"/>
                <w:color w:val="auto"/>
                <w:highlight w:val="none"/>
              </w:rPr>
            </w:pPr>
            <w:r>
              <w:rPr>
                <w:rFonts w:cs="Times New Roman"/>
                <w:snapToGrid w:val="0"/>
                <w:color w:val="auto"/>
                <w:highlight w:val="none"/>
              </w:rPr>
              <w:t>依托</w:t>
            </w:r>
          </w:p>
        </w:tc>
      </w:tr>
      <w:tr w14:paraId="6A28E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423" w:type="pct"/>
            <w:vMerge w:val="continue"/>
            <w:vAlign w:val="center"/>
          </w:tcPr>
          <w:p w14:paraId="3AAAC3C7">
            <w:pPr>
              <w:pStyle w:val="73"/>
              <w:rPr>
                <w:rFonts w:cs="Times New Roman"/>
                <w:snapToGrid w:val="0"/>
                <w:color w:val="auto"/>
                <w:highlight w:val="none"/>
              </w:rPr>
            </w:pPr>
          </w:p>
        </w:tc>
        <w:tc>
          <w:tcPr>
            <w:tcW w:w="732" w:type="pct"/>
            <w:gridSpan w:val="2"/>
            <w:vAlign w:val="center"/>
          </w:tcPr>
          <w:p w14:paraId="1AF5FF33">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管网工程</w:t>
            </w:r>
          </w:p>
        </w:tc>
        <w:tc>
          <w:tcPr>
            <w:tcW w:w="3416" w:type="pct"/>
            <w:vAlign w:val="center"/>
          </w:tcPr>
          <w:p w14:paraId="3446A4DA">
            <w:pPr>
              <w:pStyle w:val="73"/>
              <w:rPr>
                <w:rFonts w:hint="default" w:eastAsia="宋体" w:cs="Times New Roman"/>
                <w:snapToGrid w:val="0"/>
                <w:color w:val="auto"/>
                <w:highlight w:val="none"/>
                <w:lang w:val="en-US" w:eastAsia="zh-CN"/>
              </w:rPr>
            </w:pPr>
            <w:r>
              <w:rPr>
                <w:rFonts w:hint="eastAsia" w:cs="Times New Roman"/>
                <w:snapToGrid w:val="0"/>
                <w:color w:val="auto"/>
                <w:sz w:val="21"/>
                <w:highlight w:val="none"/>
                <w:lang w:val="en-US" w:eastAsia="zh-CN"/>
              </w:rPr>
              <w:t>厂区内给、排水管网和热网已覆盖本项目所在区域，用水、排水及供热能够满足本项目需求。厂区内管线自行敷设。</w:t>
            </w:r>
          </w:p>
        </w:tc>
        <w:tc>
          <w:tcPr>
            <w:tcW w:w="428" w:type="pct"/>
            <w:vAlign w:val="center"/>
          </w:tcPr>
          <w:p w14:paraId="7E839636">
            <w:pPr>
              <w:pStyle w:val="73"/>
              <w:rPr>
                <w:rFonts w:hint="eastAsia" w:eastAsia="宋体" w:cs="Times New Roman"/>
                <w:snapToGrid w:val="0"/>
                <w:color w:val="auto"/>
                <w:highlight w:val="none"/>
                <w:lang w:val="en-US" w:eastAsia="zh-CN"/>
              </w:rPr>
            </w:pPr>
            <w:r>
              <w:rPr>
                <w:rFonts w:hint="eastAsia" w:cs="Times New Roman"/>
                <w:snapToGrid w:val="0"/>
                <w:color w:val="auto"/>
                <w:highlight w:val="none"/>
                <w:lang w:val="en-US" w:eastAsia="zh-CN"/>
              </w:rPr>
              <w:t>依托</w:t>
            </w:r>
          </w:p>
        </w:tc>
      </w:tr>
      <w:bookmarkEnd w:id="106"/>
    </w:tbl>
    <w:p w14:paraId="632398D6">
      <w:pPr>
        <w:pStyle w:val="4"/>
        <w:spacing w:after="156"/>
        <w:ind w:firstLine="240" w:firstLineChars="100"/>
        <w:rPr>
          <w:rFonts w:cs="Times New Roman"/>
          <w:color w:val="auto"/>
          <w:highlight w:val="none"/>
        </w:rPr>
      </w:pPr>
      <w:bookmarkStart w:id="107" w:name="_Toc30195"/>
      <w:r>
        <w:rPr>
          <w:rFonts w:cs="Times New Roman"/>
          <w:color w:val="auto"/>
          <w:highlight w:val="none"/>
        </w:rPr>
        <w:t>3.1.3主要设备</w:t>
      </w:r>
      <w:bookmarkEnd w:id="107"/>
    </w:p>
    <w:p w14:paraId="57035B8C">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主要设备清单见表</w:t>
      </w:r>
      <w:r>
        <w:rPr>
          <w:rFonts w:hint="eastAsia" w:cs="Times New Roman"/>
          <w:snapToGrid w:val="0"/>
          <w:color w:val="auto"/>
          <w:kern w:val="0"/>
          <w:highlight w:val="none"/>
        </w:rPr>
        <w:t>3</w:t>
      </w:r>
      <w:r>
        <w:rPr>
          <w:rFonts w:hint="eastAsia" w:cs="Times New Roman"/>
          <w:snapToGrid w:val="0"/>
          <w:color w:val="auto"/>
          <w:kern w:val="0"/>
          <w:highlight w:val="none"/>
          <w:lang w:val="en-US" w:eastAsia="zh-CN"/>
        </w:rPr>
        <w:t>.</w:t>
      </w:r>
      <w:r>
        <w:rPr>
          <w:rFonts w:hint="eastAsia" w:cs="Times New Roman"/>
          <w:snapToGrid w:val="0"/>
          <w:color w:val="auto"/>
          <w:kern w:val="0"/>
          <w:highlight w:val="none"/>
        </w:rPr>
        <w:t>1-</w:t>
      </w:r>
      <w:r>
        <w:rPr>
          <w:rFonts w:cs="Times New Roman"/>
          <w:snapToGrid w:val="0"/>
          <w:color w:val="auto"/>
          <w:kern w:val="0"/>
          <w:highlight w:val="none"/>
        </w:rPr>
        <w:t>2。</w:t>
      </w:r>
    </w:p>
    <w:p w14:paraId="75F2E2F8">
      <w:pPr>
        <w:spacing w:line="240" w:lineRule="auto"/>
        <w:ind w:firstLine="0" w:firstLineChars="0"/>
        <w:jc w:val="center"/>
        <w:rPr>
          <w:rFonts w:eastAsia="黑体" w:cs="Times New Roman"/>
          <w:snapToGrid w:val="0"/>
          <w:color w:val="auto"/>
          <w:kern w:val="0"/>
          <w:szCs w:val="24"/>
          <w:highlight w:val="none"/>
          <w:lang w:val="zh-CN"/>
        </w:rPr>
      </w:pPr>
      <w:r>
        <w:rPr>
          <w:rFonts w:eastAsia="黑体" w:cs="Times New Roman"/>
          <w:snapToGrid w:val="0"/>
          <w:color w:val="auto"/>
          <w:kern w:val="0"/>
          <w:szCs w:val="24"/>
          <w:highlight w:val="none"/>
          <w:lang w:val="zh-CN"/>
        </w:rPr>
        <w:t>表</w:t>
      </w:r>
      <w:r>
        <w:rPr>
          <w:rFonts w:hint="eastAsia" w:eastAsia="黑体" w:cs="Times New Roman"/>
          <w:snapToGrid w:val="0"/>
          <w:color w:val="auto"/>
          <w:kern w:val="0"/>
          <w:szCs w:val="24"/>
          <w:highlight w:val="none"/>
          <w:lang w:val="zh-CN"/>
        </w:rPr>
        <w:t>3</w:t>
      </w:r>
      <w:r>
        <w:rPr>
          <w:rFonts w:hint="eastAsia" w:eastAsia="黑体" w:cs="Times New Roman"/>
          <w:snapToGrid w:val="0"/>
          <w:color w:val="auto"/>
          <w:kern w:val="0"/>
          <w:szCs w:val="24"/>
          <w:highlight w:val="none"/>
          <w:lang w:val="en-US" w:eastAsia="zh-CN"/>
        </w:rPr>
        <w:t>.</w:t>
      </w:r>
      <w:r>
        <w:rPr>
          <w:rFonts w:hint="eastAsia" w:eastAsia="黑体" w:cs="Times New Roman"/>
          <w:snapToGrid w:val="0"/>
          <w:color w:val="auto"/>
          <w:kern w:val="0"/>
          <w:szCs w:val="24"/>
          <w:highlight w:val="none"/>
          <w:lang w:val="zh-CN"/>
        </w:rPr>
        <w:t>1-</w:t>
      </w:r>
      <w:r>
        <w:rPr>
          <w:rFonts w:eastAsia="黑体" w:cs="Times New Roman"/>
          <w:snapToGrid w:val="0"/>
          <w:color w:val="auto"/>
          <w:kern w:val="0"/>
          <w:szCs w:val="24"/>
          <w:highlight w:val="none"/>
          <w:lang w:val="zh-CN"/>
        </w:rPr>
        <w:t>2  主要设备清单</w:t>
      </w:r>
    </w:p>
    <w:tbl>
      <w:tblPr>
        <w:tblStyle w:val="47"/>
        <w:tblW w:w="8418"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37"/>
        <w:gridCol w:w="2553"/>
        <w:gridCol w:w="581"/>
        <w:gridCol w:w="570"/>
        <w:gridCol w:w="3877"/>
      </w:tblGrid>
      <w:tr w14:paraId="2CEC4D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20E0775">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序号</w:t>
            </w:r>
          </w:p>
        </w:tc>
        <w:tc>
          <w:tcPr>
            <w:tcW w:w="2553" w:type="dxa"/>
            <w:tcBorders>
              <w:tl2br w:val="nil"/>
              <w:tr2bl w:val="nil"/>
            </w:tcBorders>
            <w:shd w:val="clear" w:color="auto" w:fill="auto"/>
            <w:noWrap/>
            <w:vAlign w:val="center"/>
          </w:tcPr>
          <w:p w14:paraId="19D9B12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设备名称</w:t>
            </w:r>
          </w:p>
        </w:tc>
        <w:tc>
          <w:tcPr>
            <w:tcW w:w="581" w:type="dxa"/>
            <w:tcBorders>
              <w:tl2br w:val="nil"/>
              <w:tr2bl w:val="nil"/>
            </w:tcBorders>
            <w:shd w:val="clear" w:color="auto" w:fill="auto"/>
            <w:noWrap/>
            <w:vAlign w:val="center"/>
          </w:tcPr>
          <w:p w14:paraId="0A1A70D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单位</w:t>
            </w:r>
          </w:p>
        </w:tc>
        <w:tc>
          <w:tcPr>
            <w:tcW w:w="570" w:type="dxa"/>
            <w:tcBorders>
              <w:tl2br w:val="nil"/>
              <w:tr2bl w:val="nil"/>
            </w:tcBorders>
            <w:shd w:val="clear" w:color="auto" w:fill="auto"/>
            <w:noWrap/>
            <w:vAlign w:val="center"/>
          </w:tcPr>
          <w:p w14:paraId="7FA1E92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数量</w:t>
            </w:r>
          </w:p>
        </w:tc>
        <w:tc>
          <w:tcPr>
            <w:tcW w:w="3877" w:type="dxa"/>
            <w:tcBorders>
              <w:tl2br w:val="nil"/>
              <w:tr2bl w:val="nil"/>
            </w:tcBorders>
            <w:shd w:val="clear" w:color="auto" w:fill="auto"/>
            <w:noWrap/>
            <w:vAlign w:val="center"/>
          </w:tcPr>
          <w:p w14:paraId="09848DB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备注说明</w:t>
            </w:r>
          </w:p>
        </w:tc>
      </w:tr>
      <w:tr w14:paraId="50E96B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3519C3E8">
            <w:pPr>
              <w:widowControl/>
              <w:spacing w:line="360" w:lineRule="exact"/>
              <w:ind w:firstLine="0" w:firstLineChars="0"/>
              <w:jc w:val="center"/>
              <w:textAlignment w:val="center"/>
              <w:rPr>
                <w:rFonts w:cs="Times New Roman"/>
                <w:b/>
                <w:bCs/>
                <w:color w:val="auto"/>
                <w:sz w:val="21"/>
                <w:szCs w:val="21"/>
                <w:highlight w:val="none"/>
              </w:rPr>
            </w:pPr>
            <w:r>
              <w:rPr>
                <w:rFonts w:cs="Times New Roman"/>
                <w:b/>
                <w:bCs/>
                <w:color w:val="auto"/>
                <w:kern w:val="0"/>
                <w:sz w:val="21"/>
                <w:szCs w:val="21"/>
                <w:highlight w:val="none"/>
                <w:lang w:bidi="ar"/>
              </w:rPr>
              <w:t>一、待宰圈</w:t>
            </w:r>
          </w:p>
        </w:tc>
      </w:tr>
      <w:tr w14:paraId="63CF37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250319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2553" w:type="dxa"/>
            <w:tcBorders>
              <w:tl2br w:val="nil"/>
              <w:tr2bl w:val="nil"/>
            </w:tcBorders>
            <w:shd w:val="clear" w:color="auto" w:fill="auto"/>
            <w:noWrap/>
            <w:vAlign w:val="center"/>
          </w:tcPr>
          <w:p w14:paraId="3F9E797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待宰圈护栏</w:t>
            </w:r>
          </w:p>
        </w:tc>
        <w:tc>
          <w:tcPr>
            <w:tcW w:w="581" w:type="dxa"/>
            <w:tcBorders>
              <w:tl2br w:val="nil"/>
              <w:tr2bl w:val="nil"/>
            </w:tcBorders>
            <w:shd w:val="clear" w:color="auto" w:fill="auto"/>
            <w:noWrap/>
            <w:vAlign w:val="center"/>
          </w:tcPr>
          <w:p w14:paraId="2A3E8B83">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米</w:t>
            </w:r>
          </w:p>
        </w:tc>
        <w:tc>
          <w:tcPr>
            <w:tcW w:w="570" w:type="dxa"/>
            <w:tcBorders>
              <w:tl2br w:val="nil"/>
              <w:tr2bl w:val="nil"/>
            </w:tcBorders>
            <w:shd w:val="clear" w:color="auto" w:fill="auto"/>
            <w:noWrap/>
            <w:vAlign w:val="center"/>
          </w:tcPr>
          <w:p w14:paraId="5F7949EC">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80</w:t>
            </w:r>
          </w:p>
        </w:tc>
        <w:tc>
          <w:tcPr>
            <w:tcW w:w="3877" w:type="dxa"/>
            <w:tcBorders>
              <w:tl2br w:val="nil"/>
              <w:tr2bl w:val="nil"/>
            </w:tcBorders>
            <w:shd w:val="clear" w:color="auto" w:fill="auto"/>
            <w:noWrap/>
            <w:vAlign w:val="center"/>
          </w:tcPr>
          <w:p w14:paraId="026A9A6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w:t>
            </w:r>
          </w:p>
        </w:tc>
      </w:tr>
      <w:tr w14:paraId="6812ED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77E6AE25">
            <w:pPr>
              <w:widowControl/>
              <w:spacing w:line="360" w:lineRule="exact"/>
              <w:ind w:firstLine="0" w:firstLineChars="0"/>
              <w:jc w:val="center"/>
              <w:textAlignment w:val="center"/>
              <w:rPr>
                <w:rFonts w:hint="default" w:eastAsia="宋体" w:cs="Times New Roman"/>
                <w:b/>
                <w:bCs/>
                <w:color w:val="auto"/>
                <w:sz w:val="21"/>
                <w:szCs w:val="21"/>
                <w:highlight w:val="none"/>
                <w:lang w:val="en-US" w:eastAsia="zh-CN"/>
              </w:rPr>
            </w:pPr>
            <w:r>
              <w:rPr>
                <w:rFonts w:cs="Times New Roman"/>
                <w:b/>
                <w:bCs/>
                <w:color w:val="auto"/>
                <w:kern w:val="0"/>
                <w:sz w:val="21"/>
                <w:szCs w:val="21"/>
                <w:highlight w:val="none"/>
                <w:lang w:bidi="ar"/>
              </w:rPr>
              <w:t>二、牛屠宰</w:t>
            </w:r>
            <w:r>
              <w:rPr>
                <w:rFonts w:hint="eastAsia" w:cs="Times New Roman"/>
                <w:b/>
                <w:bCs/>
                <w:color w:val="auto"/>
                <w:kern w:val="0"/>
                <w:sz w:val="21"/>
                <w:szCs w:val="21"/>
                <w:highlight w:val="none"/>
                <w:lang w:val="en-US" w:eastAsia="zh-CN" w:bidi="ar"/>
              </w:rPr>
              <w:t>放血区域</w:t>
            </w:r>
          </w:p>
        </w:tc>
      </w:tr>
      <w:tr w14:paraId="7E2B51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2FB6985">
            <w:pPr>
              <w:widowControl/>
              <w:spacing w:line="360" w:lineRule="exact"/>
              <w:ind w:firstLine="0" w:firstLineChars="0"/>
              <w:jc w:val="center"/>
              <w:textAlignment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w:t>
            </w:r>
          </w:p>
        </w:tc>
        <w:tc>
          <w:tcPr>
            <w:tcW w:w="2553" w:type="dxa"/>
            <w:tcBorders>
              <w:tl2br w:val="nil"/>
              <w:tr2bl w:val="nil"/>
            </w:tcBorders>
            <w:shd w:val="clear" w:color="auto" w:fill="auto"/>
            <w:noWrap/>
            <w:vAlign w:val="center"/>
          </w:tcPr>
          <w:p w14:paraId="3033A937">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牵牛机</w:t>
            </w:r>
          </w:p>
        </w:tc>
        <w:tc>
          <w:tcPr>
            <w:tcW w:w="581" w:type="dxa"/>
            <w:tcBorders>
              <w:tl2br w:val="nil"/>
              <w:tr2bl w:val="nil"/>
            </w:tcBorders>
            <w:shd w:val="clear" w:color="auto" w:fill="auto"/>
            <w:noWrap/>
            <w:vAlign w:val="center"/>
          </w:tcPr>
          <w:p w14:paraId="50C08D8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2228E46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72AF439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 xml:space="preserve">/ </w:t>
            </w:r>
          </w:p>
        </w:tc>
      </w:tr>
      <w:tr w14:paraId="0320C6B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EC459A9">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2</w:t>
            </w:r>
          </w:p>
        </w:tc>
        <w:tc>
          <w:tcPr>
            <w:tcW w:w="2553" w:type="dxa"/>
            <w:tcBorders>
              <w:tl2br w:val="nil"/>
              <w:tr2bl w:val="nil"/>
            </w:tcBorders>
            <w:shd w:val="clear" w:color="auto" w:fill="auto"/>
            <w:noWrap/>
            <w:vAlign w:val="center"/>
          </w:tcPr>
          <w:p w14:paraId="09B30E88">
            <w:pPr>
              <w:widowControl/>
              <w:spacing w:line="360" w:lineRule="exact"/>
              <w:ind w:firstLine="0" w:firstLineChars="0"/>
              <w:jc w:val="center"/>
              <w:textAlignment w:val="center"/>
              <w:rPr>
                <w:rFonts w:cs="Times New Roman"/>
                <w:color w:val="auto"/>
                <w:kern w:val="0"/>
                <w:sz w:val="21"/>
                <w:szCs w:val="21"/>
                <w:highlight w:val="none"/>
                <w:lang w:bidi="ar"/>
              </w:rPr>
            </w:pPr>
            <w:r>
              <w:rPr>
                <w:rFonts w:hint="eastAsia" w:cs="Times New Roman"/>
                <w:color w:val="auto"/>
                <w:kern w:val="0"/>
                <w:sz w:val="21"/>
                <w:szCs w:val="21"/>
                <w:highlight w:val="none"/>
                <w:lang w:val="en-US" w:eastAsia="zh-CN" w:bidi="ar"/>
              </w:rPr>
              <w:t>宗教式牛旋转翻板箱</w:t>
            </w:r>
          </w:p>
        </w:tc>
        <w:tc>
          <w:tcPr>
            <w:tcW w:w="581" w:type="dxa"/>
            <w:tcBorders>
              <w:tl2br w:val="nil"/>
              <w:tr2bl w:val="nil"/>
            </w:tcBorders>
            <w:shd w:val="clear" w:color="auto" w:fill="auto"/>
            <w:noWrap/>
            <w:vAlign w:val="center"/>
          </w:tcPr>
          <w:p w14:paraId="3A683EC1">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1E2B5F1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40AA57DA">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外型尺寸：</w:t>
            </w:r>
            <w:r>
              <w:rPr>
                <w:rFonts w:hint="eastAsia" w:cs="Times New Roman"/>
                <w:color w:val="auto"/>
                <w:kern w:val="0"/>
                <w:sz w:val="21"/>
                <w:szCs w:val="21"/>
                <w:highlight w:val="none"/>
                <w:lang w:val="en-US" w:eastAsia="zh-CN" w:bidi="ar"/>
              </w:rPr>
              <w:t>3360</w:t>
            </w:r>
            <w:r>
              <w:rPr>
                <w:rFonts w:cs="Times New Roman"/>
                <w:color w:val="auto"/>
                <w:kern w:val="0"/>
                <w:sz w:val="21"/>
                <w:szCs w:val="21"/>
                <w:highlight w:val="none"/>
                <w:lang w:bidi="ar"/>
              </w:rPr>
              <w:t>×</w:t>
            </w:r>
            <w:r>
              <w:rPr>
                <w:rFonts w:hint="eastAsia" w:cs="Times New Roman"/>
                <w:color w:val="auto"/>
                <w:kern w:val="0"/>
                <w:sz w:val="21"/>
                <w:szCs w:val="21"/>
                <w:highlight w:val="none"/>
                <w:lang w:val="en-US" w:eastAsia="zh-CN" w:bidi="ar"/>
              </w:rPr>
              <w:t>1270</w:t>
            </w:r>
            <w:r>
              <w:rPr>
                <w:rFonts w:cs="Times New Roman"/>
                <w:color w:val="auto"/>
                <w:kern w:val="0"/>
                <w:sz w:val="21"/>
                <w:szCs w:val="21"/>
                <w:highlight w:val="none"/>
                <w:lang w:bidi="ar"/>
              </w:rPr>
              <w:t>×</w:t>
            </w:r>
            <w:r>
              <w:rPr>
                <w:rFonts w:hint="eastAsia" w:cs="Times New Roman"/>
                <w:color w:val="auto"/>
                <w:kern w:val="0"/>
                <w:sz w:val="21"/>
                <w:szCs w:val="21"/>
                <w:highlight w:val="none"/>
                <w:lang w:val="en-US" w:eastAsia="zh-CN" w:bidi="ar"/>
              </w:rPr>
              <w:t>3550</w:t>
            </w:r>
            <w:r>
              <w:rPr>
                <w:rFonts w:cs="Times New Roman"/>
                <w:color w:val="auto"/>
                <w:kern w:val="0"/>
                <w:sz w:val="21"/>
                <w:szCs w:val="21"/>
                <w:highlight w:val="none"/>
                <w:lang w:bidi="ar"/>
              </w:rPr>
              <w:t>mm（长×宽×高）</w:t>
            </w:r>
          </w:p>
        </w:tc>
      </w:tr>
      <w:tr w14:paraId="6F3EA2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F255FDF">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3</w:t>
            </w:r>
          </w:p>
        </w:tc>
        <w:tc>
          <w:tcPr>
            <w:tcW w:w="2553" w:type="dxa"/>
            <w:tcBorders>
              <w:tl2br w:val="nil"/>
              <w:tr2bl w:val="nil"/>
            </w:tcBorders>
            <w:shd w:val="clear" w:color="auto" w:fill="auto"/>
            <w:vAlign w:val="center"/>
          </w:tcPr>
          <w:p w14:paraId="22D59EC9">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翻板箱操作站台</w:t>
            </w:r>
          </w:p>
        </w:tc>
        <w:tc>
          <w:tcPr>
            <w:tcW w:w="581" w:type="dxa"/>
            <w:tcBorders>
              <w:tl2br w:val="nil"/>
              <w:tr2bl w:val="nil"/>
            </w:tcBorders>
            <w:shd w:val="clear" w:color="auto" w:fill="auto"/>
            <w:noWrap/>
            <w:vAlign w:val="center"/>
          </w:tcPr>
          <w:p w14:paraId="6C36ED85">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03934A7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7FADC331">
            <w:pPr>
              <w:widowControl/>
              <w:spacing w:line="360" w:lineRule="exact"/>
              <w:ind w:firstLine="0" w:firstLineChars="0"/>
              <w:jc w:val="center"/>
              <w:textAlignment w:val="center"/>
              <w:rPr>
                <w:rFonts w:cs="Times New Roman"/>
                <w:color w:val="auto"/>
                <w:kern w:val="0"/>
                <w:sz w:val="21"/>
                <w:szCs w:val="21"/>
                <w:highlight w:val="none"/>
                <w:lang w:bidi="ar"/>
              </w:rPr>
            </w:pPr>
            <w:r>
              <w:rPr>
                <w:rFonts w:hint="eastAsia" w:cs="Times New Roman"/>
                <w:color w:val="auto"/>
                <w:kern w:val="0"/>
                <w:sz w:val="21"/>
                <w:szCs w:val="21"/>
                <w:highlight w:val="none"/>
                <w:lang w:val="en-US" w:eastAsia="zh-CN" w:bidi="ar"/>
              </w:rPr>
              <w:t>台面尺寸：</w:t>
            </w:r>
            <w:r>
              <w:rPr>
                <w:rFonts w:hint="default" w:cs="Times New Roman"/>
                <w:color w:val="auto"/>
                <w:kern w:val="0"/>
                <w:sz w:val="21"/>
                <w:szCs w:val="21"/>
                <w:highlight w:val="none"/>
                <w:lang w:val="en-US" w:eastAsia="zh-CN" w:bidi="ar"/>
              </w:rPr>
              <w:t>1200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1300mm</w:t>
            </w:r>
          </w:p>
        </w:tc>
      </w:tr>
      <w:tr w14:paraId="4C56208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ADCBFD4">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4</w:t>
            </w:r>
          </w:p>
        </w:tc>
        <w:tc>
          <w:tcPr>
            <w:tcW w:w="2553" w:type="dxa"/>
            <w:tcBorders>
              <w:tl2br w:val="nil"/>
              <w:tr2bl w:val="nil"/>
            </w:tcBorders>
            <w:shd w:val="clear" w:color="auto" w:fill="auto"/>
            <w:vAlign w:val="center"/>
          </w:tcPr>
          <w:p w14:paraId="20E8815C">
            <w:pPr>
              <w:widowControl/>
              <w:spacing w:line="360" w:lineRule="exact"/>
              <w:ind w:firstLine="0" w:firstLineChars="0"/>
              <w:jc w:val="center"/>
              <w:textAlignment w:val="center"/>
              <w:rPr>
                <w:rFonts w:hint="eastAsia" w:eastAsia="宋体" w:cs="Times New Roman"/>
                <w:color w:val="auto"/>
                <w:sz w:val="21"/>
                <w:szCs w:val="21"/>
                <w:highlight w:val="none"/>
                <w:lang w:eastAsia="zh-CN"/>
              </w:rPr>
            </w:pPr>
            <w:r>
              <w:rPr>
                <w:rFonts w:hint="eastAsia" w:cs="Times New Roman"/>
                <w:color w:val="auto"/>
                <w:kern w:val="0"/>
                <w:sz w:val="21"/>
                <w:szCs w:val="21"/>
                <w:highlight w:val="none"/>
                <w:lang w:val="en-US" w:eastAsia="zh-CN" w:bidi="ar"/>
              </w:rPr>
              <w:t>接牛槽</w:t>
            </w:r>
          </w:p>
        </w:tc>
        <w:tc>
          <w:tcPr>
            <w:tcW w:w="581" w:type="dxa"/>
            <w:tcBorders>
              <w:tl2br w:val="nil"/>
              <w:tr2bl w:val="nil"/>
            </w:tcBorders>
            <w:shd w:val="clear" w:color="auto" w:fill="auto"/>
            <w:noWrap/>
            <w:vAlign w:val="center"/>
          </w:tcPr>
          <w:p w14:paraId="03DE4EB9">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21B1165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75FC5E9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w:t>
            </w:r>
          </w:p>
        </w:tc>
      </w:tr>
      <w:tr w14:paraId="26FAE3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EA81391">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5</w:t>
            </w:r>
          </w:p>
        </w:tc>
        <w:tc>
          <w:tcPr>
            <w:tcW w:w="2553" w:type="dxa"/>
            <w:tcBorders>
              <w:tl2br w:val="nil"/>
              <w:tr2bl w:val="nil"/>
            </w:tcBorders>
            <w:shd w:val="clear" w:color="auto" w:fill="auto"/>
            <w:vAlign w:val="center"/>
          </w:tcPr>
          <w:p w14:paraId="3137D329">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牛上挂系统</w:t>
            </w:r>
          </w:p>
        </w:tc>
        <w:tc>
          <w:tcPr>
            <w:tcW w:w="581" w:type="dxa"/>
            <w:tcBorders>
              <w:tl2br w:val="nil"/>
              <w:tr2bl w:val="nil"/>
            </w:tcBorders>
            <w:shd w:val="clear" w:color="auto" w:fill="auto"/>
            <w:noWrap/>
            <w:vAlign w:val="center"/>
          </w:tcPr>
          <w:p w14:paraId="61737CE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5C7EC27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023008B6">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自动加载型</w:t>
            </w:r>
          </w:p>
        </w:tc>
      </w:tr>
      <w:tr w14:paraId="5ED878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47C2F89">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6</w:t>
            </w:r>
          </w:p>
        </w:tc>
        <w:tc>
          <w:tcPr>
            <w:tcW w:w="2553" w:type="dxa"/>
            <w:tcBorders>
              <w:tl2br w:val="nil"/>
              <w:tr2bl w:val="nil"/>
            </w:tcBorders>
            <w:shd w:val="clear" w:color="auto" w:fill="auto"/>
            <w:vAlign w:val="center"/>
          </w:tcPr>
          <w:p w14:paraId="03569BAB">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牛血收集槽</w:t>
            </w:r>
          </w:p>
        </w:tc>
        <w:tc>
          <w:tcPr>
            <w:tcW w:w="581" w:type="dxa"/>
            <w:tcBorders>
              <w:tl2br w:val="nil"/>
              <w:tr2bl w:val="nil"/>
            </w:tcBorders>
            <w:shd w:val="clear" w:color="auto" w:fill="auto"/>
            <w:noWrap/>
            <w:vAlign w:val="center"/>
          </w:tcPr>
          <w:p w14:paraId="44CE39C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1EC6FA2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599A5E0D">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304材质不锈钢板</w:t>
            </w:r>
          </w:p>
        </w:tc>
      </w:tr>
      <w:tr w14:paraId="5F6C58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5FA9AE7">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7</w:t>
            </w:r>
          </w:p>
        </w:tc>
        <w:tc>
          <w:tcPr>
            <w:tcW w:w="2553" w:type="dxa"/>
            <w:tcBorders>
              <w:tl2br w:val="nil"/>
              <w:tr2bl w:val="nil"/>
            </w:tcBorders>
            <w:shd w:val="clear" w:color="auto" w:fill="auto"/>
            <w:vAlign w:val="center"/>
          </w:tcPr>
          <w:p w14:paraId="4F8ED9EF">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牛放血吊链</w:t>
            </w:r>
          </w:p>
        </w:tc>
        <w:tc>
          <w:tcPr>
            <w:tcW w:w="581" w:type="dxa"/>
            <w:tcBorders>
              <w:tl2br w:val="nil"/>
              <w:tr2bl w:val="nil"/>
            </w:tcBorders>
            <w:shd w:val="clear" w:color="auto" w:fill="auto"/>
            <w:noWrap/>
            <w:vAlign w:val="center"/>
          </w:tcPr>
          <w:p w14:paraId="56C9BB1E">
            <w:pPr>
              <w:widowControl/>
              <w:spacing w:line="360" w:lineRule="exact"/>
              <w:ind w:firstLine="0" w:firstLineChars="0"/>
              <w:jc w:val="center"/>
              <w:textAlignment w:val="center"/>
              <w:rPr>
                <w:rFonts w:hint="eastAsia" w:eastAsia="宋体" w:cs="Times New Roman"/>
                <w:color w:val="auto"/>
                <w:sz w:val="21"/>
                <w:szCs w:val="21"/>
                <w:highlight w:val="none"/>
                <w:lang w:eastAsia="zh-CN"/>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1C978FFD">
            <w:pPr>
              <w:widowControl/>
              <w:spacing w:line="360" w:lineRule="exact"/>
              <w:ind w:firstLine="0" w:firstLineChars="0"/>
              <w:jc w:val="center"/>
              <w:textAlignment w:val="center"/>
              <w:rPr>
                <w:rFonts w:hint="eastAsia" w:eastAsia="宋体" w:cs="Times New Roman"/>
                <w:color w:val="auto"/>
                <w:sz w:val="21"/>
                <w:szCs w:val="21"/>
                <w:highlight w:val="none"/>
                <w:lang w:val="en-US" w:eastAsia="zh-CN"/>
              </w:rPr>
            </w:pPr>
            <w:r>
              <w:rPr>
                <w:rFonts w:cs="Times New Roman"/>
                <w:color w:val="auto"/>
                <w:kern w:val="0"/>
                <w:sz w:val="21"/>
                <w:szCs w:val="21"/>
                <w:highlight w:val="none"/>
                <w:lang w:bidi="ar"/>
              </w:rPr>
              <w:t>5</w:t>
            </w:r>
            <w:r>
              <w:rPr>
                <w:rFonts w:hint="eastAsia" w:cs="Times New Roman"/>
                <w:color w:val="auto"/>
                <w:kern w:val="0"/>
                <w:sz w:val="21"/>
                <w:szCs w:val="21"/>
                <w:highlight w:val="none"/>
                <w:lang w:val="en-US" w:eastAsia="zh-CN" w:bidi="ar"/>
              </w:rPr>
              <w:t>0</w:t>
            </w:r>
          </w:p>
        </w:tc>
        <w:tc>
          <w:tcPr>
            <w:tcW w:w="3877" w:type="dxa"/>
            <w:tcBorders>
              <w:tl2br w:val="nil"/>
              <w:tr2bl w:val="nil"/>
            </w:tcBorders>
            <w:shd w:val="clear" w:color="auto" w:fill="auto"/>
            <w:vAlign w:val="center"/>
          </w:tcPr>
          <w:p w14:paraId="0A3C7E41">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长度1000mm</w:t>
            </w:r>
          </w:p>
        </w:tc>
      </w:tr>
      <w:tr w14:paraId="34C1933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AEAF1DE">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8</w:t>
            </w:r>
          </w:p>
        </w:tc>
        <w:tc>
          <w:tcPr>
            <w:tcW w:w="2553" w:type="dxa"/>
            <w:tcBorders>
              <w:tl2br w:val="nil"/>
              <w:tr2bl w:val="nil"/>
            </w:tcBorders>
            <w:shd w:val="clear" w:color="auto" w:fill="auto"/>
            <w:vAlign w:val="center"/>
          </w:tcPr>
          <w:p w14:paraId="5B63F532">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放血吊链返回系统</w:t>
            </w:r>
          </w:p>
        </w:tc>
        <w:tc>
          <w:tcPr>
            <w:tcW w:w="581" w:type="dxa"/>
            <w:tcBorders>
              <w:tl2br w:val="nil"/>
              <w:tr2bl w:val="nil"/>
            </w:tcBorders>
            <w:shd w:val="clear" w:color="auto" w:fill="auto"/>
            <w:noWrap/>
            <w:vAlign w:val="center"/>
          </w:tcPr>
          <w:p w14:paraId="54DF87CB">
            <w:pPr>
              <w:widowControl/>
              <w:spacing w:line="360" w:lineRule="exact"/>
              <w:ind w:firstLine="0" w:firstLineChars="0"/>
              <w:jc w:val="center"/>
              <w:textAlignment w:val="center"/>
              <w:rPr>
                <w:rFonts w:hint="eastAsia" w:eastAsia="宋体" w:cs="Times New Roman"/>
                <w:color w:val="auto"/>
                <w:sz w:val="21"/>
                <w:szCs w:val="21"/>
                <w:highlight w:val="none"/>
                <w:lang w:eastAsia="zh-CN"/>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3D90FC73">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50B7E96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特制不锈钢镀锌弯道， φ</w:t>
            </w:r>
            <w:r>
              <w:rPr>
                <w:rFonts w:hint="default" w:cs="Times New Roman"/>
                <w:color w:val="auto"/>
                <w:kern w:val="0"/>
                <w:sz w:val="21"/>
                <w:szCs w:val="21"/>
                <w:highlight w:val="none"/>
                <w:lang w:val="en-US" w:eastAsia="zh-CN" w:bidi="ar"/>
              </w:rPr>
              <w:t xml:space="preserve">60*4 </w:t>
            </w:r>
            <w:r>
              <w:rPr>
                <w:rFonts w:hint="eastAsia" w:cs="Times New Roman"/>
                <w:color w:val="auto"/>
                <w:kern w:val="0"/>
                <w:sz w:val="21"/>
                <w:szCs w:val="21"/>
                <w:highlight w:val="none"/>
                <w:lang w:val="en-US" w:eastAsia="zh-CN" w:bidi="ar"/>
              </w:rPr>
              <w:t>不锈钢弯轨</w:t>
            </w:r>
          </w:p>
        </w:tc>
      </w:tr>
      <w:tr w14:paraId="7FDCE6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0C5B479">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9</w:t>
            </w:r>
          </w:p>
        </w:tc>
        <w:tc>
          <w:tcPr>
            <w:tcW w:w="2553" w:type="dxa"/>
            <w:tcBorders>
              <w:tl2br w:val="nil"/>
              <w:tr2bl w:val="nil"/>
            </w:tcBorders>
            <w:shd w:val="clear" w:color="auto" w:fill="auto"/>
            <w:vAlign w:val="center"/>
          </w:tcPr>
          <w:p w14:paraId="1864450C">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牛刺杀站台</w:t>
            </w:r>
          </w:p>
        </w:tc>
        <w:tc>
          <w:tcPr>
            <w:tcW w:w="581" w:type="dxa"/>
            <w:tcBorders>
              <w:tl2br w:val="nil"/>
              <w:tr2bl w:val="nil"/>
            </w:tcBorders>
            <w:shd w:val="clear" w:color="auto" w:fill="auto"/>
            <w:noWrap/>
            <w:vAlign w:val="center"/>
          </w:tcPr>
          <w:p w14:paraId="05817C5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65EFED05">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604D230A">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台面尺寸</w:t>
            </w:r>
            <w:r>
              <w:rPr>
                <w:rFonts w:hint="eastAsia" w:cs="Times New Roman"/>
                <w:color w:val="auto"/>
                <w:kern w:val="0"/>
                <w:sz w:val="21"/>
                <w:szCs w:val="21"/>
                <w:highlight w:val="none"/>
                <w:lang w:val="en-US" w:eastAsia="zh-CN" w:bidi="ar"/>
              </w:rPr>
              <w:t>1600</w:t>
            </w:r>
            <w:r>
              <w:rPr>
                <w:rFonts w:cs="Times New Roman"/>
                <w:color w:val="auto"/>
                <w:kern w:val="0"/>
                <w:sz w:val="21"/>
                <w:szCs w:val="21"/>
                <w:highlight w:val="none"/>
                <w:lang w:bidi="ar"/>
              </w:rPr>
              <w:t>×1</w:t>
            </w:r>
            <w:r>
              <w:rPr>
                <w:rFonts w:hint="eastAsia" w:cs="Times New Roman"/>
                <w:color w:val="auto"/>
                <w:kern w:val="0"/>
                <w:sz w:val="21"/>
                <w:szCs w:val="21"/>
                <w:highlight w:val="none"/>
                <w:lang w:val="en-US" w:eastAsia="zh-CN" w:bidi="ar"/>
              </w:rPr>
              <w:t>0</w:t>
            </w:r>
            <w:r>
              <w:rPr>
                <w:rFonts w:cs="Times New Roman"/>
                <w:color w:val="auto"/>
                <w:kern w:val="0"/>
                <w:sz w:val="21"/>
                <w:szCs w:val="21"/>
                <w:highlight w:val="none"/>
                <w:lang w:bidi="ar"/>
              </w:rPr>
              <w:t>00*600mm（长×宽*高）</w:t>
            </w:r>
          </w:p>
        </w:tc>
      </w:tr>
      <w:tr w14:paraId="69B67F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59647F4">
            <w:pPr>
              <w:widowControl/>
              <w:spacing w:line="360" w:lineRule="exact"/>
              <w:ind w:firstLine="0" w:firstLineChars="0"/>
              <w:jc w:val="center"/>
              <w:textAlignment w:val="center"/>
              <w:rPr>
                <w:rFonts w:ascii="Times New Roman" w:hAnsi="Times New Roman" w:eastAsia="宋体" w:cs="Times New Roman"/>
                <w:color w:val="auto"/>
                <w:kern w:val="2"/>
                <w:sz w:val="21"/>
                <w:szCs w:val="21"/>
                <w:highlight w:val="none"/>
                <w:lang w:val="en-US" w:eastAsia="zh-CN" w:bidi="ar-SA"/>
              </w:rPr>
            </w:pPr>
            <w:r>
              <w:rPr>
                <w:rFonts w:cs="Times New Roman"/>
                <w:color w:val="auto"/>
                <w:kern w:val="0"/>
                <w:sz w:val="21"/>
                <w:szCs w:val="21"/>
                <w:highlight w:val="none"/>
                <w:lang w:bidi="ar"/>
              </w:rPr>
              <w:t>10</w:t>
            </w:r>
          </w:p>
        </w:tc>
        <w:tc>
          <w:tcPr>
            <w:tcW w:w="2553" w:type="dxa"/>
            <w:tcBorders>
              <w:tl2br w:val="nil"/>
              <w:tr2bl w:val="nil"/>
            </w:tcBorders>
            <w:shd w:val="clear" w:color="auto" w:fill="auto"/>
            <w:vAlign w:val="center"/>
          </w:tcPr>
          <w:p w14:paraId="3274AB60">
            <w:pPr>
              <w:widowControl/>
              <w:spacing w:line="360" w:lineRule="exact"/>
              <w:ind w:firstLine="0" w:firstLineChars="0"/>
              <w:jc w:val="center"/>
              <w:textAlignment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换轨站台</w:t>
            </w:r>
          </w:p>
        </w:tc>
        <w:tc>
          <w:tcPr>
            <w:tcW w:w="581" w:type="dxa"/>
            <w:tcBorders>
              <w:tl2br w:val="nil"/>
              <w:tr2bl w:val="nil"/>
            </w:tcBorders>
            <w:shd w:val="clear" w:color="auto" w:fill="auto"/>
            <w:noWrap/>
            <w:vAlign w:val="center"/>
          </w:tcPr>
          <w:p w14:paraId="77B1695D">
            <w:pPr>
              <w:widowControl/>
              <w:spacing w:line="360" w:lineRule="exact"/>
              <w:ind w:firstLine="0" w:firstLineChars="0"/>
              <w:jc w:val="center"/>
              <w:textAlignment w:val="center"/>
              <w:rPr>
                <w:rFonts w:hint="eastAsia" w:eastAsia="宋体" w:cs="Times New Roman"/>
                <w:color w:val="auto"/>
                <w:sz w:val="21"/>
                <w:szCs w:val="21"/>
                <w:highlight w:val="none"/>
                <w:lang w:eastAsia="zh-CN"/>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02C631A">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36D0C12B">
            <w:pPr>
              <w:widowControl/>
              <w:spacing w:line="360" w:lineRule="exact"/>
              <w:ind w:firstLine="0" w:firstLineChars="0"/>
              <w:jc w:val="center"/>
              <w:textAlignment w:val="center"/>
              <w:rPr>
                <w:rFonts w:hint="default" w:cs="Times New Roman"/>
                <w:color w:val="auto"/>
                <w:sz w:val="21"/>
                <w:szCs w:val="21"/>
                <w:highlight w:val="none"/>
                <w:lang w:val="en-US"/>
              </w:rPr>
            </w:pPr>
            <w:r>
              <w:rPr>
                <w:rFonts w:hint="eastAsia" w:cs="Times New Roman"/>
                <w:color w:val="auto"/>
                <w:sz w:val="21"/>
                <w:szCs w:val="21"/>
                <w:highlight w:val="none"/>
                <w:lang w:val="en-US" w:eastAsia="zh-CN"/>
              </w:rPr>
              <w:t>304材质不锈钢材质</w:t>
            </w:r>
          </w:p>
        </w:tc>
      </w:tr>
      <w:tr w14:paraId="4D2573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2BC8D0B9">
            <w:pPr>
              <w:widowControl/>
              <w:spacing w:line="360" w:lineRule="exact"/>
              <w:ind w:firstLine="0" w:firstLineChars="0"/>
              <w:jc w:val="center"/>
              <w:textAlignment w:val="center"/>
              <w:rPr>
                <w:rFonts w:hint="default" w:cs="Times New Roman"/>
                <w:color w:val="auto"/>
                <w:sz w:val="21"/>
                <w:szCs w:val="21"/>
                <w:highlight w:val="none"/>
                <w:lang w:val="en-US" w:eastAsia="zh-CN"/>
              </w:rPr>
            </w:pPr>
            <w:r>
              <w:rPr>
                <w:rFonts w:hint="eastAsia" w:cs="Times New Roman"/>
                <w:b/>
                <w:bCs/>
                <w:color w:val="auto"/>
                <w:kern w:val="0"/>
                <w:sz w:val="21"/>
                <w:szCs w:val="21"/>
                <w:highlight w:val="none"/>
                <w:lang w:val="en-US" w:eastAsia="zh-CN" w:bidi="ar"/>
              </w:rPr>
              <w:t>三、牛酮体加工区域</w:t>
            </w:r>
          </w:p>
        </w:tc>
      </w:tr>
      <w:tr w14:paraId="6B90382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4BB0ECF">
            <w:pPr>
              <w:widowControl/>
              <w:spacing w:line="360" w:lineRule="exact"/>
              <w:ind w:firstLine="0" w:firstLineChars="0"/>
              <w:jc w:val="center"/>
              <w:textAlignment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w:t>
            </w:r>
          </w:p>
        </w:tc>
        <w:tc>
          <w:tcPr>
            <w:tcW w:w="2553" w:type="dxa"/>
            <w:tcBorders>
              <w:tl2br w:val="nil"/>
              <w:tr2bl w:val="nil"/>
            </w:tcBorders>
            <w:shd w:val="clear" w:color="auto" w:fill="auto"/>
            <w:vAlign w:val="center"/>
          </w:tcPr>
          <w:p w14:paraId="36D6EE95">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牛蹄剪</w:t>
            </w:r>
          </w:p>
        </w:tc>
        <w:tc>
          <w:tcPr>
            <w:tcW w:w="581" w:type="dxa"/>
            <w:tcBorders>
              <w:tl2br w:val="nil"/>
              <w:tr2bl w:val="nil"/>
            </w:tcBorders>
            <w:shd w:val="clear" w:color="auto" w:fill="auto"/>
            <w:noWrap/>
            <w:vAlign w:val="center"/>
          </w:tcPr>
          <w:p w14:paraId="48C9750C">
            <w:pPr>
              <w:widowControl/>
              <w:spacing w:line="360" w:lineRule="exact"/>
              <w:ind w:firstLine="0" w:firstLineChars="0"/>
              <w:jc w:val="center"/>
              <w:textAlignment w:val="center"/>
              <w:rPr>
                <w:rFonts w:hint="eastAsia" w:eastAsia="宋体" w:cs="Times New Roman"/>
                <w:color w:val="auto"/>
                <w:sz w:val="21"/>
                <w:szCs w:val="21"/>
                <w:highlight w:val="none"/>
                <w:lang w:eastAsia="zh-CN"/>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CC7BF9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048C2A3E">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切割宽度：200mm</w:t>
            </w:r>
          </w:p>
        </w:tc>
      </w:tr>
      <w:tr w14:paraId="21671C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2E3D27B">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2553" w:type="dxa"/>
            <w:tcBorders>
              <w:tl2br w:val="nil"/>
              <w:tr2bl w:val="nil"/>
            </w:tcBorders>
            <w:shd w:val="clear" w:color="auto" w:fill="auto"/>
            <w:vAlign w:val="center"/>
          </w:tcPr>
          <w:p w14:paraId="2898C07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开胸锯</w:t>
            </w:r>
          </w:p>
        </w:tc>
        <w:tc>
          <w:tcPr>
            <w:tcW w:w="581" w:type="dxa"/>
            <w:tcBorders>
              <w:tl2br w:val="nil"/>
              <w:tr2bl w:val="nil"/>
            </w:tcBorders>
            <w:shd w:val="clear" w:color="auto" w:fill="auto"/>
            <w:noWrap/>
            <w:vAlign w:val="center"/>
          </w:tcPr>
          <w:p w14:paraId="5CBA256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7EFB3EDE">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54582B0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液压装置，功率910W</w:t>
            </w:r>
          </w:p>
        </w:tc>
      </w:tr>
      <w:tr w14:paraId="706FE2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44A5050F">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w:t>
            </w:r>
          </w:p>
        </w:tc>
        <w:tc>
          <w:tcPr>
            <w:tcW w:w="2553" w:type="dxa"/>
            <w:tcBorders>
              <w:tl2br w:val="nil"/>
              <w:tr2bl w:val="nil"/>
            </w:tcBorders>
            <w:shd w:val="clear" w:color="auto" w:fill="auto"/>
            <w:vAlign w:val="center"/>
          </w:tcPr>
          <w:p w14:paraId="2C94236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气动喂入装置</w:t>
            </w:r>
          </w:p>
        </w:tc>
        <w:tc>
          <w:tcPr>
            <w:tcW w:w="581" w:type="dxa"/>
            <w:tcBorders>
              <w:tl2br w:val="nil"/>
              <w:tr2bl w:val="nil"/>
            </w:tcBorders>
            <w:shd w:val="clear" w:color="auto" w:fill="auto"/>
            <w:noWrap/>
            <w:vAlign w:val="center"/>
          </w:tcPr>
          <w:p w14:paraId="38886A7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22AE423D">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675A364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行程600mm</w:t>
            </w:r>
          </w:p>
        </w:tc>
      </w:tr>
      <w:tr w14:paraId="4F2783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2C0758E">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4</w:t>
            </w:r>
          </w:p>
        </w:tc>
        <w:tc>
          <w:tcPr>
            <w:tcW w:w="2553" w:type="dxa"/>
            <w:tcBorders>
              <w:tl2br w:val="nil"/>
              <w:tr2bl w:val="nil"/>
            </w:tcBorders>
            <w:shd w:val="clear" w:color="auto" w:fill="auto"/>
            <w:vAlign w:val="center"/>
          </w:tcPr>
          <w:p w14:paraId="06E71E9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气动道岔装置</w:t>
            </w:r>
          </w:p>
        </w:tc>
        <w:tc>
          <w:tcPr>
            <w:tcW w:w="581" w:type="dxa"/>
            <w:tcBorders>
              <w:tl2br w:val="nil"/>
              <w:tr2bl w:val="nil"/>
            </w:tcBorders>
            <w:shd w:val="clear" w:color="auto" w:fill="auto"/>
            <w:noWrap/>
            <w:vAlign w:val="center"/>
          </w:tcPr>
          <w:p w14:paraId="6DD9243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187B24A3">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3877" w:type="dxa"/>
            <w:tcBorders>
              <w:tl2br w:val="nil"/>
              <w:tr2bl w:val="nil"/>
            </w:tcBorders>
            <w:shd w:val="clear" w:color="auto" w:fill="auto"/>
            <w:vAlign w:val="center"/>
          </w:tcPr>
          <w:p w14:paraId="0A06BDA2">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热镀锌机架，手动转换</w:t>
            </w:r>
          </w:p>
        </w:tc>
      </w:tr>
      <w:tr w14:paraId="24754F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7B0BFD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5</w:t>
            </w:r>
          </w:p>
        </w:tc>
        <w:tc>
          <w:tcPr>
            <w:tcW w:w="2553" w:type="dxa"/>
            <w:tcBorders>
              <w:tl2br w:val="nil"/>
              <w:tr2bl w:val="nil"/>
            </w:tcBorders>
            <w:shd w:val="clear" w:color="auto" w:fill="auto"/>
            <w:vAlign w:val="center"/>
          </w:tcPr>
          <w:p w14:paraId="4E749D4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预剥高中低站台</w:t>
            </w:r>
          </w:p>
        </w:tc>
        <w:tc>
          <w:tcPr>
            <w:tcW w:w="581" w:type="dxa"/>
            <w:tcBorders>
              <w:tl2br w:val="nil"/>
              <w:tr2bl w:val="nil"/>
            </w:tcBorders>
            <w:shd w:val="clear" w:color="auto" w:fill="auto"/>
            <w:noWrap/>
            <w:vAlign w:val="center"/>
          </w:tcPr>
          <w:p w14:paraId="03195C9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93B00B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615AE8E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单个长 </w:t>
            </w:r>
            <w:r>
              <w:rPr>
                <w:rFonts w:hint="default" w:cs="Times New Roman"/>
                <w:color w:val="auto"/>
                <w:kern w:val="0"/>
                <w:sz w:val="21"/>
                <w:szCs w:val="21"/>
                <w:highlight w:val="none"/>
                <w:lang w:val="en-US" w:eastAsia="zh-CN" w:bidi="ar"/>
              </w:rPr>
              <w:t>3000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1300mm</w:t>
            </w:r>
          </w:p>
        </w:tc>
      </w:tr>
      <w:tr w14:paraId="6883045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254164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6</w:t>
            </w:r>
          </w:p>
        </w:tc>
        <w:tc>
          <w:tcPr>
            <w:tcW w:w="2553" w:type="dxa"/>
            <w:tcBorders>
              <w:tl2br w:val="nil"/>
              <w:tr2bl w:val="nil"/>
            </w:tcBorders>
            <w:shd w:val="clear" w:color="auto" w:fill="auto"/>
            <w:vAlign w:val="center"/>
          </w:tcPr>
          <w:p w14:paraId="18314219">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工位自动输送机</w:t>
            </w:r>
          </w:p>
        </w:tc>
        <w:tc>
          <w:tcPr>
            <w:tcW w:w="581" w:type="dxa"/>
            <w:tcBorders>
              <w:tl2br w:val="nil"/>
              <w:tr2bl w:val="nil"/>
            </w:tcBorders>
            <w:shd w:val="clear" w:color="auto" w:fill="auto"/>
            <w:noWrap/>
            <w:vAlign w:val="center"/>
          </w:tcPr>
          <w:p w14:paraId="3C4162A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B1F8CC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25F4DE7E">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输送机：</w:t>
            </w:r>
            <w:r>
              <w:rPr>
                <w:rFonts w:hint="default" w:cs="Times New Roman"/>
                <w:color w:val="auto"/>
                <w:kern w:val="0"/>
                <w:sz w:val="21"/>
                <w:szCs w:val="21"/>
                <w:highlight w:val="none"/>
                <w:lang w:val="en-US" w:eastAsia="zh-CN" w:bidi="ar"/>
              </w:rPr>
              <w:t xml:space="preserve">L=17 </w:t>
            </w:r>
            <w:r>
              <w:rPr>
                <w:rFonts w:hint="eastAsia" w:cs="Times New Roman"/>
                <w:color w:val="auto"/>
                <w:kern w:val="0"/>
                <w:sz w:val="21"/>
                <w:szCs w:val="21"/>
                <w:highlight w:val="none"/>
                <w:lang w:val="en-US" w:eastAsia="zh-CN" w:bidi="ar"/>
              </w:rPr>
              <w:t>米、</w:t>
            </w:r>
            <w:r>
              <w:rPr>
                <w:rFonts w:hint="default" w:cs="Times New Roman"/>
                <w:color w:val="auto"/>
                <w:kern w:val="0"/>
                <w:sz w:val="21"/>
                <w:szCs w:val="21"/>
                <w:highlight w:val="none"/>
                <w:lang w:val="en-US" w:eastAsia="zh-CN" w:bidi="ar"/>
              </w:rPr>
              <w:t>N=3kW</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 xml:space="preserve">7 </w:t>
            </w:r>
            <w:r>
              <w:rPr>
                <w:rFonts w:hint="eastAsia" w:cs="Times New Roman"/>
                <w:color w:val="auto"/>
                <w:kern w:val="0"/>
                <w:sz w:val="21"/>
                <w:szCs w:val="21"/>
                <w:highlight w:val="none"/>
                <w:lang w:val="en-US" w:eastAsia="zh-CN" w:bidi="ar"/>
              </w:rPr>
              <w:t>工位、</w:t>
            </w:r>
            <w:r>
              <w:rPr>
                <w:rFonts w:hint="default" w:cs="Times New Roman"/>
                <w:color w:val="auto"/>
                <w:kern w:val="0"/>
                <w:sz w:val="21"/>
                <w:szCs w:val="21"/>
                <w:highlight w:val="none"/>
                <w:lang w:val="en-US" w:eastAsia="zh-CN" w:bidi="ar"/>
              </w:rPr>
              <w:t xml:space="preserve">2.4 </w:t>
            </w:r>
            <w:r>
              <w:rPr>
                <w:rFonts w:hint="eastAsia" w:cs="Times New Roman"/>
                <w:color w:val="auto"/>
                <w:kern w:val="0"/>
                <w:sz w:val="21"/>
                <w:szCs w:val="21"/>
                <w:highlight w:val="none"/>
                <w:lang w:val="en-US" w:eastAsia="zh-CN" w:bidi="ar"/>
              </w:rPr>
              <w:t>米</w:t>
            </w:r>
            <w:r>
              <w:rPr>
                <w:rFonts w:hint="default" w:cs="Times New Roman"/>
                <w:color w:val="auto"/>
                <w:kern w:val="0"/>
                <w:sz w:val="21"/>
                <w:szCs w:val="21"/>
                <w:highlight w:val="none"/>
                <w:lang w:val="en-US" w:eastAsia="zh-CN" w:bidi="ar"/>
              </w:rPr>
              <w:t>/</w:t>
            </w:r>
            <w:r>
              <w:rPr>
                <w:rFonts w:hint="eastAsia" w:cs="Times New Roman"/>
                <w:color w:val="auto"/>
                <w:kern w:val="0"/>
                <w:sz w:val="21"/>
                <w:szCs w:val="21"/>
                <w:highlight w:val="none"/>
                <w:lang w:val="en-US" w:eastAsia="zh-CN" w:bidi="ar"/>
              </w:rPr>
              <w:t>工位</w:t>
            </w:r>
          </w:p>
        </w:tc>
      </w:tr>
      <w:tr w14:paraId="490A73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4B8E478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7</w:t>
            </w:r>
          </w:p>
        </w:tc>
        <w:tc>
          <w:tcPr>
            <w:tcW w:w="2553" w:type="dxa"/>
            <w:tcBorders>
              <w:tl2br w:val="nil"/>
              <w:tr2bl w:val="nil"/>
            </w:tcBorders>
            <w:shd w:val="clear" w:color="auto" w:fill="auto"/>
            <w:vAlign w:val="center"/>
          </w:tcPr>
          <w:p w14:paraId="6F0C6E43">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液压扯皮机（含固定桩）</w:t>
            </w:r>
          </w:p>
        </w:tc>
        <w:tc>
          <w:tcPr>
            <w:tcW w:w="581" w:type="dxa"/>
            <w:tcBorders>
              <w:tl2br w:val="nil"/>
              <w:tr2bl w:val="nil"/>
            </w:tcBorders>
            <w:shd w:val="clear" w:color="auto" w:fill="auto"/>
            <w:noWrap/>
            <w:vAlign w:val="center"/>
          </w:tcPr>
          <w:p w14:paraId="73554AB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098B552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63F2D10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电机功率 </w:t>
            </w:r>
            <w:r>
              <w:rPr>
                <w:rFonts w:hint="default" w:cs="Times New Roman"/>
                <w:color w:val="auto"/>
                <w:kern w:val="0"/>
                <w:sz w:val="21"/>
                <w:szCs w:val="21"/>
                <w:highlight w:val="none"/>
                <w:lang w:val="en-US" w:eastAsia="zh-CN" w:bidi="ar"/>
              </w:rPr>
              <w:t>5kW</w:t>
            </w:r>
            <w:r>
              <w:rPr>
                <w:rFonts w:hint="eastAsia" w:cs="Times New Roman"/>
                <w:color w:val="auto"/>
                <w:kern w:val="0"/>
                <w:sz w:val="21"/>
                <w:szCs w:val="21"/>
                <w:highlight w:val="none"/>
                <w:lang w:val="en-US" w:eastAsia="zh-CN" w:bidi="ar"/>
              </w:rPr>
              <w:t>，带减速变速箱，控制操作杆，电控箱</w:t>
            </w:r>
          </w:p>
        </w:tc>
      </w:tr>
      <w:tr w14:paraId="0087C8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4F156B9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8</w:t>
            </w:r>
          </w:p>
        </w:tc>
        <w:tc>
          <w:tcPr>
            <w:tcW w:w="2553" w:type="dxa"/>
            <w:tcBorders>
              <w:tl2br w:val="nil"/>
              <w:tr2bl w:val="nil"/>
            </w:tcBorders>
            <w:shd w:val="clear" w:color="auto" w:fill="auto"/>
            <w:vAlign w:val="center"/>
          </w:tcPr>
          <w:p w14:paraId="0CBD4A8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单柱气动升降台（扒皮）</w:t>
            </w:r>
          </w:p>
        </w:tc>
        <w:tc>
          <w:tcPr>
            <w:tcW w:w="581" w:type="dxa"/>
            <w:tcBorders>
              <w:tl2br w:val="nil"/>
              <w:tr2bl w:val="nil"/>
            </w:tcBorders>
            <w:shd w:val="clear" w:color="auto" w:fill="auto"/>
            <w:noWrap/>
            <w:vAlign w:val="center"/>
          </w:tcPr>
          <w:p w14:paraId="573DE8BA">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5D9BAAF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3877" w:type="dxa"/>
            <w:tcBorders>
              <w:tl2br w:val="nil"/>
              <w:tr2bl w:val="nil"/>
            </w:tcBorders>
            <w:shd w:val="clear" w:color="auto" w:fill="auto"/>
            <w:vAlign w:val="center"/>
          </w:tcPr>
          <w:p w14:paraId="7C593FD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提升高度：</w:t>
            </w:r>
            <w:r>
              <w:rPr>
                <w:rFonts w:hint="default" w:cs="Times New Roman"/>
                <w:color w:val="auto"/>
                <w:kern w:val="0"/>
                <w:sz w:val="21"/>
                <w:szCs w:val="21"/>
                <w:highlight w:val="none"/>
                <w:lang w:val="en-US" w:eastAsia="zh-CN" w:bidi="ar"/>
              </w:rPr>
              <w:t xml:space="preserve">400mm </w:t>
            </w:r>
            <w:r>
              <w:rPr>
                <w:rFonts w:hint="eastAsia" w:cs="Times New Roman"/>
                <w:color w:val="auto"/>
                <w:kern w:val="0"/>
                <w:sz w:val="21"/>
                <w:szCs w:val="21"/>
                <w:highlight w:val="none"/>
                <w:lang w:val="en-US" w:eastAsia="zh-CN" w:bidi="ar"/>
              </w:rPr>
              <w:t xml:space="preserve">到 </w:t>
            </w:r>
            <w:r>
              <w:rPr>
                <w:rFonts w:hint="default" w:cs="Times New Roman"/>
                <w:color w:val="auto"/>
                <w:kern w:val="0"/>
                <w:sz w:val="21"/>
                <w:szCs w:val="21"/>
                <w:highlight w:val="none"/>
                <w:lang w:val="en-US" w:eastAsia="zh-CN" w:bidi="ar"/>
              </w:rPr>
              <w:t>2000mm</w:t>
            </w:r>
            <w:r>
              <w:rPr>
                <w:rFonts w:hint="eastAsia" w:cs="Times New Roman"/>
                <w:color w:val="auto"/>
                <w:kern w:val="0"/>
                <w:sz w:val="21"/>
                <w:szCs w:val="21"/>
                <w:highlight w:val="none"/>
                <w:lang w:val="en-US" w:eastAsia="zh-CN" w:bidi="ar"/>
              </w:rPr>
              <w:t>；提升能力：</w:t>
            </w:r>
            <w:r>
              <w:rPr>
                <w:rFonts w:hint="default" w:cs="Times New Roman"/>
                <w:color w:val="auto"/>
                <w:kern w:val="0"/>
                <w:sz w:val="21"/>
                <w:szCs w:val="21"/>
                <w:highlight w:val="none"/>
                <w:lang w:val="en-US" w:eastAsia="zh-CN" w:bidi="ar"/>
              </w:rPr>
              <w:t>200kg</w:t>
            </w:r>
            <w:r>
              <w:rPr>
                <w:rFonts w:hint="eastAsia" w:cs="Times New Roman"/>
                <w:color w:val="auto"/>
                <w:kern w:val="0"/>
                <w:sz w:val="21"/>
                <w:szCs w:val="21"/>
                <w:highlight w:val="none"/>
                <w:lang w:val="en-US" w:eastAsia="zh-CN" w:bidi="ar"/>
              </w:rPr>
              <w:t xml:space="preserve">；平台尺寸： </w:t>
            </w:r>
            <w:r>
              <w:rPr>
                <w:rFonts w:hint="default" w:cs="Times New Roman"/>
                <w:color w:val="auto"/>
                <w:kern w:val="0"/>
                <w:sz w:val="21"/>
                <w:szCs w:val="21"/>
                <w:highlight w:val="none"/>
                <w:lang w:val="en-US" w:eastAsia="zh-CN" w:bidi="ar"/>
              </w:rPr>
              <w:t>1500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1000mm</w:t>
            </w:r>
            <w:r>
              <w:rPr>
                <w:rFonts w:hint="eastAsia" w:cs="Times New Roman"/>
                <w:color w:val="auto"/>
                <w:kern w:val="0"/>
                <w:sz w:val="21"/>
                <w:szCs w:val="21"/>
                <w:highlight w:val="none"/>
                <w:lang w:val="en-US" w:eastAsia="zh-CN" w:bidi="ar"/>
              </w:rPr>
              <w:t>；</w:t>
            </w:r>
          </w:p>
        </w:tc>
      </w:tr>
      <w:tr w14:paraId="61CD52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3C013E2">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9</w:t>
            </w:r>
          </w:p>
        </w:tc>
        <w:tc>
          <w:tcPr>
            <w:tcW w:w="2553" w:type="dxa"/>
            <w:tcBorders>
              <w:tl2br w:val="nil"/>
              <w:tr2bl w:val="nil"/>
            </w:tcBorders>
            <w:shd w:val="clear" w:color="auto" w:fill="auto"/>
            <w:vAlign w:val="center"/>
          </w:tcPr>
          <w:p w14:paraId="2177BDF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同体加工滑轮钩子</w:t>
            </w:r>
          </w:p>
        </w:tc>
        <w:tc>
          <w:tcPr>
            <w:tcW w:w="581" w:type="dxa"/>
            <w:tcBorders>
              <w:tl2br w:val="nil"/>
              <w:tr2bl w:val="nil"/>
            </w:tcBorders>
            <w:shd w:val="clear" w:color="auto" w:fill="auto"/>
            <w:noWrap/>
            <w:vAlign w:val="center"/>
          </w:tcPr>
          <w:p w14:paraId="476A528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789A2719">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100</w:t>
            </w:r>
          </w:p>
        </w:tc>
        <w:tc>
          <w:tcPr>
            <w:tcW w:w="3877" w:type="dxa"/>
            <w:tcBorders>
              <w:tl2br w:val="nil"/>
              <w:tr2bl w:val="nil"/>
            </w:tcBorders>
            <w:shd w:val="clear" w:color="auto" w:fill="auto"/>
            <w:vAlign w:val="center"/>
          </w:tcPr>
          <w:p w14:paraId="2CF71FD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081AC3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56F129F">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10</w:t>
            </w:r>
          </w:p>
        </w:tc>
        <w:tc>
          <w:tcPr>
            <w:tcW w:w="2553" w:type="dxa"/>
            <w:tcBorders>
              <w:tl2br w:val="nil"/>
              <w:tr2bl w:val="nil"/>
            </w:tcBorders>
            <w:shd w:val="clear" w:color="auto" w:fill="auto"/>
            <w:vAlign w:val="center"/>
          </w:tcPr>
          <w:p w14:paraId="6CA8534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取白内脏气动双柱升降台（含内胀滑槽）</w:t>
            </w:r>
          </w:p>
        </w:tc>
        <w:tc>
          <w:tcPr>
            <w:tcW w:w="581" w:type="dxa"/>
            <w:tcBorders>
              <w:tl2br w:val="nil"/>
              <w:tr2bl w:val="nil"/>
            </w:tcBorders>
            <w:shd w:val="clear" w:color="auto" w:fill="auto"/>
            <w:noWrap/>
            <w:vAlign w:val="center"/>
          </w:tcPr>
          <w:p w14:paraId="66D3D9D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20305C5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4E2E927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平台尺寸：</w:t>
            </w:r>
            <w:r>
              <w:rPr>
                <w:rFonts w:hint="default" w:cs="Times New Roman"/>
                <w:color w:val="auto"/>
                <w:kern w:val="0"/>
                <w:sz w:val="21"/>
                <w:szCs w:val="21"/>
                <w:highlight w:val="none"/>
                <w:lang w:val="en-US" w:eastAsia="zh-CN" w:bidi="ar"/>
              </w:rPr>
              <w:t>1500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1000mm</w:t>
            </w:r>
            <w:r>
              <w:rPr>
                <w:rFonts w:hint="eastAsia" w:cs="Times New Roman"/>
                <w:color w:val="auto"/>
                <w:kern w:val="0"/>
                <w:sz w:val="21"/>
                <w:szCs w:val="21"/>
                <w:highlight w:val="none"/>
                <w:lang w:val="en-US" w:eastAsia="zh-CN" w:bidi="ar"/>
              </w:rPr>
              <w:t>（长×宽），提升能力：</w:t>
            </w:r>
            <w:r>
              <w:rPr>
                <w:rFonts w:hint="default" w:cs="Times New Roman"/>
                <w:color w:val="auto"/>
                <w:kern w:val="0"/>
                <w:sz w:val="21"/>
                <w:szCs w:val="21"/>
                <w:highlight w:val="none"/>
                <w:lang w:val="en-US" w:eastAsia="zh-CN" w:bidi="ar"/>
              </w:rPr>
              <w:t>200kg</w:t>
            </w:r>
            <w:r>
              <w:rPr>
                <w:rFonts w:hint="eastAsia" w:cs="Times New Roman"/>
                <w:color w:val="auto"/>
                <w:kern w:val="0"/>
                <w:sz w:val="21"/>
                <w:szCs w:val="21"/>
                <w:highlight w:val="none"/>
                <w:lang w:val="en-US" w:eastAsia="zh-CN" w:bidi="ar"/>
              </w:rPr>
              <w:t>，提升高度：</w:t>
            </w:r>
            <w:r>
              <w:rPr>
                <w:rFonts w:hint="default" w:cs="Times New Roman"/>
                <w:color w:val="auto"/>
                <w:kern w:val="0"/>
                <w:sz w:val="21"/>
                <w:szCs w:val="21"/>
                <w:highlight w:val="none"/>
                <w:lang w:val="en-US" w:eastAsia="zh-CN" w:bidi="ar"/>
              </w:rPr>
              <w:t xml:space="preserve">400mm </w:t>
            </w:r>
          </w:p>
          <w:p w14:paraId="7D2C7AE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到 </w:t>
            </w:r>
            <w:r>
              <w:rPr>
                <w:rFonts w:hint="default" w:cs="Times New Roman"/>
                <w:color w:val="auto"/>
                <w:kern w:val="0"/>
                <w:sz w:val="21"/>
                <w:szCs w:val="21"/>
                <w:highlight w:val="none"/>
                <w:lang w:val="en-US" w:eastAsia="zh-CN" w:bidi="ar"/>
              </w:rPr>
              <w:t>2000mm</w:t>
            </w:r>
            <w:r>
              <w:rPr>
                <w:rFonts w:hint="eastAsia" w:cs="Times New Roman"/>
                <w:color w:val="auto"/>
                <w:kern w:val="0"/>
                <w:sz w:val="21"/>
                <w:szCs w:val="21"/>
                <w:highlight w:val="none"/>
                <w:lang w:val="en-US" w:eastAsia="zh-CN" w:bidi="ar"/>
              </w:rPr>
              <w:t>，</w:t>
            </w:r>
          </w:p>
        </w:tc>
      </w:tr>
      <w:tr w14:paraId="5CA11C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7B51151">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11</w:t>
            </w:r>
          </w:p>
        </w:tc>
        <w:tc>
          <w:tcPr>
            <w:tcW w:w="2553" w:type="dxa"/>
            <w:tcBorders>
              <w:tl2br w:val="nil"/>
              <w:tr2bl w:val="nil"/>
            </w:tcBorders>
            <w:shd w:val="clear" w:color="auto" w:fill="auto"/>
            <w:vAlign w:val="center"/>
          </w:tcPr>
          <w:p w14:paraId="185C183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取红内脏站台含内胀滑槽</w:t>
            </w:r>
          </w:p>
        </w:tc>
        <w:tc>
          <w:tcPr>
            <w:tcW w:w="581" w:type="dxa"/>
            <w:tcBorders>
              <w:tl2br w:val="nil"/>
              <w:tr2bl w:val="nil"/>
            </w:tcBorders>
            <w:shd w:val="clear" w:color="auto" w:fill="auto"/>
            <w:noWrap/>
            <w:vAlign w:val="center"/>
          </w:tcPr>
          <w:p w14:paraId="201F789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09FC8ED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2B9E8DC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台面尺寸：</w:t>
            </w:r>
            <w:r>
              <w:rPr>
                <w:rFonts w:hint="default" w:cs="Times New Roman"/>
                <w:color w:val="auto"/>
                <w:kern w:val="0"/>
                <w:sz w:val="21"/>
                <w:szCs w:val="21"/>
                <w:highlight w:val="none"/>
                <w:lang w:val="en-US" w:eastAsia="zh-CN" w:bidi="ar"/>
              </w:rPr>
              <w:t>1200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1300mm</w:t>
            </w:r>
            <w:r>
              <w:rPr>
                <w:rFonts w:hint="eastAsia" w:cs="Times New Roman"/>
                <w:color w:val="auto"/>
                <w:kern w:val="0"/>
                <w:sz w:val="21"/>
                <w:szCs w:val="21"/>
                <w:highlight w:val="none"/>
                <w:lang w:val="en-US" w:eastAsia="zh-CN" w:bidi="ar"/>
              </w:rPr>
              <w:t>；台腿采用热镀锌材料制作</w:t>
            </w:r>
          </w:p>
        </w:tc>
      </w:tr>
      <w:tr w14:paraId="589DFB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4C6E04B">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12</w:t>
            </w:r>
          </w:p>
        </w:tc>
        <w:tc>
          <w:tcPr>
            <w:tcW w:w="2553" w:type="dxa"/>
            <w:tcBorders>
              <w:tl2br w:val="nil"/>
              <w:tr2bl w:val="nil"/>
            </w:tcBorders>
            <w:shd w:val="clear" w:color="auto" w:fill="auto"/>
            <w:vAlign w:val="center"/>
          </w:tcPr>
          <w:p w14:paraId="53E7362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气动双柱升降台（劈半用）</w:t>
            </w:r>
          </w:p>
        </w:tc>
        <w:tc>
          <w:tcPr>
            <w:tcW w:w="581" w:type="dxa"/>
            <w:tcBorders>
              <w:tl2br w:val="nil"/>
              <w:tr2bl w:val="nil"/>
            </w:tcBorders>
            <w:shd w:val="clear" w:color="auto" w:fill="auto"/>
            <w:noWrap/>
            <w:vAlign w:val="center"/>
          </w:tcPr>
          <w:p w14:paraId="7A66617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56797A8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0D3B8BEA">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提升高度：</w:t>
            </w:r>
            <w:r>
              <w:rPr>
                <w:rFonts w:hint="default" w:cs="Times New Roman"/>
                <w:color w:val="auto"/>
                <w:kern w:val="0"/>
                <w:sz w:val="21"/>
                <w:szCs w:val="21"/>
                <w:highlight w:val="none"/>
                <w:lang w:val="en-US" w:eastAsia="zh-CN" w:bidi="ar"/>
              </w:rPr>
              <w:t xml:space="preserve">400mm </w:t>
            </w:r>
            <w:r>
              <w:rPr>
                <w:rFonts w:hint="eastAsia" w:cs="Times New Roman"/>
                <w:color w:val="auto"/>
                <w:kern w:val="0"/>
                <w:sz w:val="21"/>
                <w:szCs w:val="21"/>
                <w:highlight w:val="none"/>
                <w:lang w:val="en-US" w:eastAsia="zh-CN" w:bidi="ar"/>
              </w:rPr>
              <w:t xml:space="preserve">到 </w:t>
            </w:r>
            <w:r>
              <w:rPr>
                <w:rFonts w:hint="default" w:cs="Times New Roman"/>
                <w:color w:val="auto"/>
                <w:kern w:val="0"/>
                <w:sz w:val="21"/>
                <w:szCs w:val="21"/>
                <w:highlight w:val="none"/>
                <w:lang w:val="en-US" w:eastAsia="zh-CN" w:bidi="ar"/>
              </w:rPr>
              <w:t>2000mm</w:t>
            </w:r>
            <w:r>
              <w:rPr>
                <w:rFonts w:hint="eastAsia" w:cs="Times New Roman"/>
                <w:color w:val="auto"/>
                <w:kern w:val="0"/>
                <w:sz w:val="21"/>
                <w:szCs w:val="21"/>
                <w:highlight w:val="none"/>
                <w:lang w:val="en-US" w:eastAsia="zh-CN" w:bidi="ar"/>
              </w:rPr>
              <w:t>；提升能力：</w:t>
            </w:r>
            <w:r>
              <w:rPr>
                <w:rFonts w:hint="default" w:cs="Times New Roman"/>
                <w:color w:val="auto"/>
                <w:kern w:val="0"/>
                <w:sz w:val="21"/>
                <w:szCs w:val="21"/>
                <w:highlight w:val="none"/>
                <w:lang w:val="en-US" w:eastAsia="zh-CN" w:bidi="ar"/>
              </w:rPr>
              <w:t>200kg</w:t>
            </w:r>
            <w:r>
              <w:rPr>
                <w:rFonts w:hint="eastAsia" w:cs="Times New Roman"/>
                <w:color w:val="auto"/>
                <w:kern w:val="0"/>
                <w:sz w:val="21"/>
                <w:szCs w:val="21"/>
                <w:highlight w:val="none"/>
                <w:lang w:val="en-US" w:eastAsia="zh-CN" w:bidi="ar"/>
              </w:rPr>
              <w:t xml:space="preserve">；平台尺寸： </w:t>
            </w:r>
            <w:r>
              <w:rPr>
                <w:rFonts w:hint="default" w:cs="Times New Roman"/>
                <w:color w:val="auto"/>
                <w:kern w:val="0"/>
                <w:sz w:val="21"/>
                <w:szCs w:val="21"/>
                <w:highlight w:val="none"/>
                <w:lang w:val="en-US" w:eastAsia="zh-CN" w:bidi="ar"/>
              </w:rPr>
              <w:t>1500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1000mm</w:t>
            </w:r>
            <w:r>
              <w:rPr>
                <w:rFonts w:hint="eastAsia" w:cs="Times New Roman"/>
                <w:color w:val="auto"/>
                <w:kern w:val="0"/>
                <w:sz w:val="21"/>
                <w:szCs w:val="21"/>
                <w:highlight w:val="none"/>
                <w:lang w:val="en-US" w:eastAsia="zh-CN" w:bidi="ar"/>
              </w:rPr>
              <w:t>；</w:t>
            </w:r>
          </w:p>
        </w:tc>
      </w:tr>
      <w:tr w14:paraId="0815A7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269B36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13</w:t>
            </w:r>
          </w:p>
        </w:tc>
        <w:tc>
          <w:tcPr>
            <w:tcW w:w="2553" w:type="dxa"/>
            <w:tcBorders>
              <w:tl2br w:val="nil"/>
              <w:tr2bl w:val="nil"/>
            </w:tcBorders>
            <w:shd w:val="clear" w:color="auto" w:fill="auto"/>
            <w:vAlign w:val="center"/>
          </w:tcPr>
          <w:p w14:paraId="35866E9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手提式劈半锯（国产）</w:t>
            </w:r>
          </w:p>
        </w:tc>
        <w:tc>
          <w:tcPr>
            <w:tcW w:w="581" w:type="dxa"/>
            <w:tcBorders>
              <w:tl2br w:val="nil"/>
              <w:tr2bl w:val="nil"/>
            </w:tcBorders>
            <w:shd w:val="clear" w:color="auto" w:fill="auto"/>
            <w:noWrap/>
            <w:vAlign w:val="center"/>
          </w:tcPr>
          <w:p w14:paraId="514DB7A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0D80400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7CB3B82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功率 </w:t>
            </w:r>
            <w:r>
              <w:rPr>
                <w:rFonts w:hint="default" w:cs="Times New Roman"/>
                <w:color w:val="auto"/>
                <w:kern w:val="0"/>
                <w:sz w:val="21"/>
                <w:szCs w:val="21"/>
                <w:highlight w:val="none"/>
                <w:lang w:val="en-US" w:eastAsia="zh-CN" w:bidi="ar"/>
              </w:rPr>
              <w:t xml:space="preserve">2.2kW </w:t>
            </w:r>
            <w:r>
              <w:rPr>
                <w:rFonts w:hint="eastAsia" w:cs="Times New Roman"/>
                <w:color w:val="auto"/>
                <w:kern w:val="0"/>
                <w:sz w:val="21"/>
                <w:szCs w:val="21"/>
                <w:highlight w:val="none"/>
                <w:lang w:val="en-US" w:eastAsia="zh-CN" w:bidi="ar"/>
              </w:rPr>
              <w:t>机架不锈钢材质</w:t>
            </w:r>
          </w:p>
        </w:tc>
      </w:tr>
      <w:tr w14:paraId="012295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4A8A114">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14</w:t>
            </w:r>
          </w:p>
        </w:tc>
        <w:tc>
          <w:tcPr>
            <w:tcW w:w="2553" w:type="dxa"/>
            <w:tcBorders>
              <w:tl2br w:val="nil"/>
              <w:tr2bl w:val="nil"/>
            </w:tcBorders>
            <w:shd w:val="clear" w:color="auto" w:fill="auto"/>
            <w:vAlign w:val="center"/>
          </w:tcPr>
          <w:p w14:paraId="7FA1A07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四分体劈半锯</w:t>
            </w:r>
          </w:p>
        </w:tc>
        <w:tc>
          <w:tcPr>
            <w:tcW w:w="581" w:type="dxa"/>
            <w:tcBorders>
              <w:tl2br w:val="nil"/>
              <w:tr2bl w:val="nil"/>
            </w:tcBorders>
            <w:shd w:val="clear" w:color="auto" w:fill="auto"/>
            <w:noWrap/>
            <w:vAlign w:val="center"/>
          </w:tcPr>
          <w:p w14:paraId="0842257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4EE7EC6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708CA61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4C07CC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0BE15E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15</w:t>
            </w:r>
          </w:p>
        </w:tc>
        <w:tc>
          <w:tcPr>
            <w:tcW w:w="2553" w:type="dxa"/>
            <w:tcBorders>
              <w:tl2br w:val="nil"/>
              <w:tr2bl w:val="nil"/>
            </w:tcBorders>
            <w:shd w:val="clear" w:color="auto" w:fill="auto"/>
            <w:vAlign w:val="center"/>
          </w:tcPr>
          <w:p w14:paraId="432DEA3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胴体检疫站台</w:t>
            </w:r>
          </w:p>
        </w:tc>
        <w:tc>
          <w:tcPr>
            <w:tcW w:w="581" w:type="dxa"/>
            <w:tcBorders>
              <w:tl2br w:val="nil"/>
              <w:tr2bl w:val="nil"/>
            </w:tcBorders>
            <w:shd w:val="clear" w:color="auto" w:fill="auto"/>
            <w:noWrap/>
            <w:vAlign w:val="center"/>
          </w:tcPr>
          <w:p w14:paraId="788789A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7611C1D">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63FBFD8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台面尺寸：</w:t>
            </w:r>
            <w:r>
              <w:rPr>
                <w:rFonts w:hint="default" w:cs="Times New Roman"/>
                <w:color w:val="auto"/>
                <w:kern w:val="0"/>
                <w:sz w:val="21"/>
                <w:szCs w:val="21"/>
                <w:highlight w:val="none"/>
                <w:lang w:val="en-US" w:eastAsia="zh-CN" w:bidi="ar"/>
              </w:rPr>
              <w:t>1200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1300mm</w:t>
            </w:r>
            <w:r>
              <w:rPr>
                <w:rFonts w:hint="eastAsia" w:cs="Times New Roman"/>
                <w:color w:val="auto"/>
                <w:kern w:val="0"/>
                <w:sz w:val="21"/>
                <w:szCs w:val="21"/>
                <w:highlight w:val="none"/>
                <w:lang w:val="en-US" w:eastAsia="zh-CN" w:bidi="ar"/>
              </w:rPr>
              <w:t>；</w:t>
            </w:r>
          </w:p>
        </w:tc>
      </w:tr>
      <w:tr w14:paraId="279EDA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9607FA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16</w:t>
            </w:r>
          </w:p>
        </w:tc>
        <w:tc>
          <w:tcPr>
            <w:tcW w:w="2553" w:type="dxa"/>
            <w:tcBorders>
              <w:tl2br w:val="nil"/>
              <w:tr2bl w:val="nil"/>
            </w:tcBorders>
            <w:shd w:val="clear" w:color="auto" w:fill="auto"/>
            <w:vAlign w:val="center"/>
          </w:tcPr>
          <w:p w14:paraId="00D7FEF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修整固定式站台</w:t>
            </w:r>
          </w:p>
        </w:tc>
        <w:tc>
          <w:tcPr>
            <w:tcW w:w="581" w:type="dxa"/>
            <w:tcBorders>
              <w:tl2br w:val="nil"/>
              <w:tr2bl w:val="nil"/>
            </w:tcBorders>
            <w:shd w:val="clear" w:color="auto" w:fill="auto"/>
            <w:noWrap/>
            <w:vAlign w:val="center"/>
          </w:tcPr>
          <w:p w14:paraId="3752C03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EBD8CE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7408A15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台面尺寸：</w:t>
            </w:r>
            <w:r>
              <w:rPr>
                <w:rFonts w:hint="default" w:cs="Times New Roman"/>
                <w:color w:val="auto"/>
                <w:kern w:val="0"/>
                <w:sz w:val="21"/>
                <w:szCs w:val="21"/>
                <w:highlight w:val="none"/>
                <w:lang w:val="en-US" w:eastAsia="zh-CN" w:bidi="ar"/>
              </w:rPr>
              <w:t>1200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1300mm</w:t>
            </w:r>
            <w:r>
              <w:rPr>
                <w:rFonts w:hint="eastAsia" w:cs="Times New Roman"/>
                <w:color w:val="auto"/>
                <w:kern w:val="0"/>
                <w:sz w:val="21"/>
                <w:szCs w:val="21"/>
                <w:highlight w:val="none"/>
                <w:lang w:val="en-US" w:eastAsia="zh-CN" w:bidi="ar"/>
              </w:rPr>
              <w:t>；</w:t>
            </w:r>
          </w:p>
        </w:tc>
      </w:tr>
      <w:tr w14:paraId="2DB808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702897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17</w:t>
            </w:r>
          </w:p>
        </w:tc>
        <w:tc>
          <w:tcPr>
            <w:tcW w:w="2553" w:type="dxa"/>
            <w:tcBorders>
              <w:tl2br w:val="nil"/>
              <w:tr2bl w:val="nil"/>
            </w:tcBorders>
            <w:shd w:val="clear" w:color="auto" w:fill="auto"/>
            <w:vAlign w:val="center"/>
          </w:tcPr>
          <w:p w14:paraId="59946FF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四分体站台</w:t>
            </w:r>
          </w:p>
        </w:tc>
        <w:tc>
          <w:tcPr>
            <w:tcW w:w="581" w:type="dxa"/>
            <w:tcBorders>
              <w:tl2br w:val="nil"/>
              <w:tr2bl w:val="nil"/>
            </w:tcBorders>
            <w:shd w:val="clear" w:color="auto" w:fill="auto"/>
            <w:noWrap/>
            <w:vAlign w:val="center"/>
          </w:tcPr>
          <w:p w14:paraId="1B13A9C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2B221F5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5CC0FCC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台面尺寸：</w:t>
            </w:r>
            <w:r>
              <w:rPr>
                <w:rFonts w:hint="default" w:cs="Times New Roman"/>
                <w:color w:val="auto"/>
                <w:kern w:val="0"/>
                <w:sz w:val="21"/>
                <w:szCs w:val="21"/>
                <w:highlight w:val="none"/>
                <w:lang w:val="en-US" w:eastAsia="zh-CN" w:bidi="ar"/>
              </w:rPr>
              <w:t>1200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1000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1300mm</w:t>
            </w:r>
            <w:r>
              <w:rPr>
                <w:rFonts w:hint="eastAsia" w:cs="Times New Roman"/>
                <w:color w:val="auto"/>
                <w:kern w:val="0"/>
                <w:sz w:val="21"/>
                <w:szCs w:val="21"/>
                <w:highlight w:val="none"/>
                <w:lang w:val="en-US" w:eastAsia="zh-CN" w:bidi="ar"/>
              </w:rPr>
              <w:t>；</w:t>
            </w:r>
          </w:p>
        </w:tc>
      </w:tr>
      <w:tr w14:paraId="5B7D5F6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FDF0C2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18</w:t>
            </w:r>
          </w:p>
        </w:tc>
        <w:tc>
          <w:tcPr>
            <w:tcW w:w="2553" w:type="dxa"/>
            <w:tcBorders>
              <w:tl2br w:val="nil"/>
              <w:tr2bl w:val="nil"/>
            </w:tcBorders>
            <w:shd w:val="clear" w:color="auto" w:fill="auto"/>
            <w:vAlign w:val="center"/>
          </w:tcPr>
          <w:p w14:paraId="61577B7E">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管轨手推线及病体线</w:t>
            </w:r>
          </w:p>
        </w:tc>
        <w:tc>
          <w:tcPr>
            <w:tcW w:w="581" w:type="dxa"/>
            <w:tcBorders>
              <w:tl2br w:val="nil"/>
              <w:tr2bl w:val="nil"/>
            </w:tcBorders>
            <w:shd w:val="clear" w:color="auto" w:fill="auto"/>
            <w:noWrap/>
            <w:vAlign w:val="center"/>
          </w:tcPr>
          <w:p w14:paraId="010D371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米</w:t>
            </w:r>
          </w:p>
        </w:tc>
        <w:tc>
          <w:tcPr>
            <w:tcW w:w="570" w:type="dxa"/>
            <w:tcBorders>
              <w:tl2br w:val="nil"/>
              <w:tr2bl w:val="nil"/>
            </w:tcBorders>
            <w:shd w:val="clear" w:color="auto" w:fill="auto"/>
            <w:noWrap/>
            <w:vAlign w:val="center"/>
          </w:tcPr>
          <w:p w14:paraId="6B80C51E">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400</w:t>
            </w:r>
          </w:p>
        </w:tc>
        <w:tc>
          <w:tcPr>
            <w:tcW w:w="3877" w:type="dxa"/>
            <w:tcBorders>
              <w:tl2br w:val="nil"/>
              <w:tr2bl w:val="nil"/>
            </w:tcBorders>
            <w:shd w:val="clear" w:color="auto" w:fill="auto"/>
            <w:vAlign w:val="center"/>
          </w:tcPr>
          <w:p w14:paraId="1A1452DE">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10#</w:t>
            </w:r>
            <w:r>
              <w:rPr>
                <w:rFonts w:hint="eastAsia" w:cs="Times New Roman"/>
                <w:color w:val="auto"/>
                <w:kern w:val="0"/>
                <w:sz w:val="21"/>
                <w:szCs w:val="21"/>
                <w:highlight w:val="none"/>
                <w:lang w:val="en-US" w:eastAsia="zh-CN" w:bidi="ar"/>
              </w:rPr>
              <w:t>双槽钢钢件全部热镀锌结构</w:t>
            </w:r>
          </w:p>
        </w:tc>
      </w:tr>
      <w:tr w14:paraId="232BBA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08A187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19</w:t>
            </w:r>
          </w:p>
        </w:tc>
        <w:tc>
          <w:tcPr>
            <w:tcW w:w="2553" w:type="dxa"/>
            <w:tcBorders>
              <w:tl2br w:val="nil"/>
              <w:tr2bl w:val="nil"/>
            </w:tcBorders>
            <w:shd w:val="clear" w:color="auto" w:fill="auto"/>
            <w:vAlign w:val="center"/>
          </w:tcPr>
          <w:p w14:paraId="73EC835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90 </w:t>
            </w:r>
            <w:r>
              <w:rPr>
                <w:rFonts w:hint="eastAsia" w:cs="Times New Roman"/>
                <w:color w:val="auto"/>
                <w:kern w:val="0"/>
                <w:sz w:val="21"/>
                <w:szCs w:val="21"/>
                <w:highlight w:val="none"/>
                <w:lang w:val="en-US" w:eastAsia="zh-CN" w:bidi="ar"/>
              </w:rPr>
              <w:t>度弯轨</w:t>
            </w:r>
          </w:p>
        </w:tc>
        <w:tc>
          <w:tcPr>
            <w:tcW w:w="581" w:type="dxa"/>
            <w:tcBorders>
              <w:tl2br w:val="nil"/>
              <w:tr2bl w:val="nil"/>
            </w:tcBorders>
            <w:shd w:val="clear" w:color="auto" w:fill="auto"/>
            <w:noWrap/>
            <w:vAlign w:val="center"/>
          </w:tcPr>
          <w:p w14:paraId="72DEB1B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3450659">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32</w:t>
            </w:r>
          </w:p>
        </w:tc>
        <w:tc>
          <w:tcPr>
            <w:tcW w:w="3877" w:type="dxa"/>
            <w:tcBorders>
              <w:tl2br w:val="nil"/>
              <w:tr2bl w:val="nil"/>
            </w:tcBorders>
            <w:shd w:val="clear" w:color="auto" w:fill="auto"/>
            <w:vAlign w:val="center"/>
          </w:tcPr>
          <w:p w14:paraId="64E1E3F8">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90 </w:t>
            </w:r>
            <w:r>
              <w:rPr>
                <w:rFonts w:hint="eastAsia" w:cs="Times New Roman"/>
                <w:color w:val="auto"/>
                <w:kern w:val="0"/>
                <w:sz w:val="21"/>
                <w:szCs w:val="21"/>
                <w:highlight w:val="none"/>
                <w:lang w:val="en-US" w:eastAsia="zh-CN" w:bidi="ar"/>
              </w:rPr>
              <w:t>度不锈钢管轨弯轨∮</w:t>
            </w:r>
            <w:r>
              <w:rPr>
                <w:rFonts w:hint="default" w:cs="Times New Roman"/>
                <w:color w:val="auto"/>
                <w:kern w:val="0"/>
                <w:sz w:val="21"/>
                <w:szCs w:val="21"/>
                <w:highlight w:val="none"/>
                <w:lang w:val="en-US" w:eastAsia="zh-CN" w:bidi="ar"/>
              </w:rPr>
              <w:t>60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3mm</w:t>
            </w:r>
          </w:p>
        </w:tc>
      </w:tr>
      <w:tr w14:paraId="69914D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E32608E">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20</w:t>
            </w:r>
          </w:p>
        </w:tc>
        <w:tc>
          <w:tcPr>
            <w:tcW w:w="2553" w:type="dxa"/>
            <w:tcBorders>
              <w:tl2br w:val="nil"/>
              <w:tr2bl w:val="nil"/>
            </w:tcBorders>
            <w:shd w:val="clear" w:color="auto" w:fill="auto"/>
            <w:vAlign w:val="center"/>
          </w:tcPr>
          <w:p w14:paraId="4770AE03">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管轨道岔</w:t>
            </w:r>
          </w:p>
        </w:tc>
        <w:tc>
          <w:tcPr>
            <w:tcW w:w="581" w:type="dxa"/>
            <w:tcBorders>
              <w:tl2br w:val="nil"/>
              <w:tr2bl w:val="nil"/>
            </w:tcBorders>
            <w:shd w:val="clear" w:color="auto" w:fill="auto"/>
            <w:noWrap/>
            <w:vAlign w:val="center"/>
          </w:tcPr>
          <w:p w14:paraId="2318632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14B7F0FE">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38</w:t>
            </w:r>
          </w:p>
        </w:tc>
        <w:tc>
          <w:tcPr>
            <w:tcW w:w="3877" w:type="dxa"/>
            <w:tcBorders>
              <w:tl2br w:val="nil"/>
              <w:tr2bl w:val="nil"/>
            </w:tcBorders>
            <w:shd w:val="clear" w:color="auto" w:fill="auto"/>
            <w:vAlign w:val="center"/>
          </w:tcPr>
          <w:p w14:paraId="4423332D">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1B130DF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E3D8E6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21</w:t>
            </w:r>
          </w:p>
        </w:tc>
        <w:tc>
          <w:tcPr>
            <w:tcW w:w="2553" w:type="dxa"/>
            <w:tcBorders>
              <w:tl2br w:val="nil"/>
              <w:tr2bl w:val="nil"/>
            </w:tcBorders>
            <w:shd w:val="clear" w:color="auto" w:fill="auto"/>
            <w:vAlign w:val="center"/>
          </w:tcPr>
          <w:p w14:paraId="6563F5A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坡式四分体下降机</w:t>
            </w:r>
          </w:p>
        </w:tc>
        <w:tc>
          <w:tcPr>
            <w:tcW w:w="581" w:type="dxa"/>
            <w:tcBorders>
              <w:tl2br w:val="nil"/>
              <w:tr2bl w:val="nil"/>
            </w:tcBorders>
            <w:shd w:val="clear" w:color="auto" w:fill="auto"/>
            <w:noWrap/>
            <w:vAlign w:val="center"/>
          </w:tcPr>
          <w:p w14:paraId="3F41CEB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4B51B12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3877" w:type="dxa"/>
            <w:tcBorders>
              <w:tl2br w:val="nil"/>
              <w:tr2bl w:val="nil"/>
            </w:tcBorders>
            <w:shd w:val="clear" w:color="auto" w:fill="auto"/>
            <w:vAlign w:val="center"/>
          </w:tcPr>
          <w:p w14:paraId="73D880B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电机功率：</w:t>
            </w:r>
            <w:r>
              <w:rPr>
                <w:rFonts w:hint="default" w:cs="Times New Roman"/>
                <w:color w:val="auto"/>
                <w:kern w:val="0"/>
                <w:sz w:val="21"/>
                <w:szCs w:val="21"/>
                <w:highlight w:val="none"/>
                <w:lang w:val="en-US" w:eastAsia="zh-CN" w:bidi="ar"/>
              </w:rPr>
              <w:t>2.2KW</w:t>
            </w:r>
            <w:r>
              <w:rPr>
                <w:rFonts w:hint="eastAsia" w:cs="Times New Roman"/>
                <w:color w:val="auto"/>
                <w:kern w:val="0"/>
                <w:sz w:val="21"/>
                <w:szCs w:val="21"/>
                <w:highlight w:val="none"/>
                <w:lang w:val="en-US" w:eastAsia="zh-CN" w:bidi="ar"/>
              </w:rPr>
              <w:t>轨道采用φ</w:t>
            </w:r>
            <w:r>
              <w:rPr>
                <w:rFonts w:hint="default" w:cs="Times New Roman"/>
                <w:color w:val="auto"/>
                <w:kern w:val="0"/>
                <w:sz w:val="21"/>
                <w:szCs w:val="21"/>
                <w:highlight w:val="none"/>
                <w:lang w:val="en-US" w:eastAsia="zh-CN" w:bidi="ar"/>
              </w:rPr>
              <w:t xml:space="preserve">60*4 </w:t>
            </w:r>
            <w:r>
              <w:rPr>
                <w:rFonts w:hint="eastAsia" w:cs="Times New Roman"/>
                <w:color w:val="auto"/>
                <w:kern w:val="0"/>
                <w:sz w:val="21"/>
                <w:szCs w:val="21"/>
                <w:highlight w:val="none"/>
                <w:lang w:val="en-US" w:eastAsia="zh-CN" w:bidi="ar"/>
              </w:rPr>
              <w:t>不锈钢圆管</w:t>
            </w:r>
          </w:p>
        </w:tc>
      </w:tr>
      <w:tr w14:paraId="087222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C24058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22</w:t>
            </w:r>
          </w:p>
        </w:tc>
        <w:tc>
          <w:tcPr>
            <w:tcW w:w="2553" w:type="dxa"/>
            <w:tcBorders>
              <w:tl2br w:val="nil"/>
              <w:tr2bl w:val="nil"/>
            </w:tcBorders>
            <w:shd w:val="clear" w:color="auto" w:fill="auto"/>
            <w:vAlign w:val="center"/>
          </w:tcPr>
          <w:p w14:paraId="49FD48B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回空自动输送机</w:t>
            </w:r>
          </w:p>
        </w:tc>
        <w:tc>
          <w:tcPr>
            <w:tcW w:w="581" w:type="dxa"/>
            <w:tcBorders>
              <w:tl2br w:val="nil"/>
              <w:tr2bl w:val="nil"/>
            </w:tcBorders>
            <w:shd w:val="clear" w:color="auto" w:fill="auto"/>
            <w:noWrap/>
            <w:vAlign w:val="center"/>
          </w:tcPr>
          <w:p w14:paraId="07C5778D">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米</w:t>
            </w:r>
          </w:p>
        </w:tc>
        <w:tc>
          <w:tcPr>
            <w:tcW w:w="570" w:type="dxa"/>
            <w:tcBorders>
              <w:tl2br w:val="nil"/>
              <w:tr2bl w:val="nil"/>
            </w:tcBorders>
            <w:shd w:val="clear" w:color="auto" w:fill="auto"/>
            <w:noWrap/>
            <w:vAlign w:val="center"/>
          </w:tcPr>
          <w:p w14:paraId="2CC177FB">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65</w:t>
            </w:r>
          </w:p>
        </w:tc>
        <w:tc>
          <w:tcPr>
            <w:tcW w:w="3877" w:type="dxa"/>
            <w:tcBorders>
              <w:tl2br w:val="nil"/>
              <w:tr2bl w:val="nil"/>
            </w:tcBorders>
            <w:shd w:val="clear" w:color="auto" w:fill="auto"/>
            <w:vAlign w:val="center"/>
          </w:tcPr>
          <w:p w14:paraId="1FA0196A">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1C0883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08BC3E5">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23</w:t>
            </w:r>
          </w:p>
        </w:tc>
        <w:tc>
          <w:tcPr>
            <w:tcW w:w="2553" w:type="dxa"/>
            <w:tcBorders>
              <w:tl2br w:val="nil"/>
              <w:tr2bl w:val="nil"/>
            </w:tcBorders>
            <w:shd w:val="clear" w:color="auto" w:fill="auto"/>
            <w:noWrap/>
            <w:vAlign w:val="center"/>
          </w:tcPr>
          <w:p w14:paraId="4F49D05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轨道电子秤</w:t>
            </w:r>
          </w:p>
        </w:tc>
        <w:tc>
          <w:tcPr>
            <w:tcW w:w="581" w:type="dxa"/>
            <w:tcBorders>
              <w:tl2br w:val="nil"/>
              <w:tr2bl w:val="nil"/>
            </w:tcBorders>
            <w:shd w:val="clear" w:color="auto" w:fill="auto"/>
            <w:noWrap/>
            <w:vAlign w:val="center"/>
          </w:tcPr>
          <w:p w14:paraId="1CB06D33">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054F623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22E2231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3578A3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2BE4F1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24</w:t>
            </w:r>
          </w:p>
        </w:tc>
        <w:tc>
          <w:tcPr>
            <w:tcW w:w="2553" w:type="dxa"/>
            <w:tcBorders>
              <w:tl2br w:val="nil"/>
              <w:tr2bl w:val="nil"/>
            </w:tcBorders>
            <w:shd w:val="clear" w:color="auto" w:fill="auto"/>
            <w:noWrap/>
            <w:vAlign w:val="center"/>
          </w:tcPr>
          <w:p w14:paraId="332A8A1D">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胴体自动冲淋机</w:t>
            </w:r>
          </w:p>
        </w:tc>
        <w:tc>
          <w:tcPr>
            <w:tcW w:w="581" w:type="dxa"/>
            <w:tcBorders>
              <w:tl2br w:val="nil"/>
              <w:tr2bl w:val="nil"/>
            </w:tcBorders>
            <w:shd w:val="clear" w:color="auto" w:fill="auto"/>
            <w:noWrap/>
            <w:vAlign w:val="center"/>
          </w:tcPr>
          <w:p w14:paraId="20B067AA">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3D711D3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1985F37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全不锈钢制作</w:t>
            </w:r>
          </w:p>
        </w:tc>
      </w:tr>
      <w:tr w14:paraId="739A2C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FBF5DA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25</w:t>
            </w:r>
          </w:p>
        </w:tc>
        <w:tc>
          <w:tcPr>
            <w:tcW w:w="2553" w:type="dxa"/>
            <w:tcBorders>
              <w:tl2br w:val="nil"/>
              <w:tr2bl w:val="nil"/>
            </w:tcBorders>
            <w:shd w:val="clear" w:color="auto" w:fill="auto"/>
            <w:noWrap/>
            <w:vAlign w:val="center"/>
          </w:tcPr>
          <w:p w14:paraId="5ADA6413">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胃容物输送系统</w:t>
            </w:r>
          </w:p>
        </w:tc>
        <w:tc>
          <w:tcPr>
            <w:tcW w:w="581" w:type="dxa"/>
            <w:tcBorders>
              <w:tl2br w:val="nil"/>
              <w:tr2bl w:val="nil"/>
            </w:tcBorders>
            <w:shd w:val="clear" w:color="auto" w:fill="auto"/>
            <w:noWrap/>
            <w:vAlign w:val="center"/>
          </w:tcPr>
          <w:p w14:paraId="3A6D20B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0F04E12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08A6992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70FD52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344E855">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26</w:t>
            </w:r>
          </w:p>
        </w:tc>
        <w:tc>
          <w:tcPr>
            <w:tcW w:w="2553" w:type="dxa"/>
            <w:tcBorders>
              <w:tl2br w:val="nil"/>
              <w:tr2bl w:val="nil"/>
            </w:tcBorders>
            <w:shd w:val="clear" w:color="auto" w:fill="auto"/>
            <w:noWrap/>
            <w:vAlign w:val="center"/>
          </w:tcPr>
          <w:p w14:paraId="757DD83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胃溶物风送管道与支架</w:t>
            </w:r>
          </w:p>
        </w:tc>
        <w:tc>
          <w:tcPr>
            <w:tcW w:w="581" w:type="dxa"/>
            <w:tcBorders>
              <w:tl2br w:val="nil"/>
              <w:tr2bl w:val="nil"/>
            </w:tcBorders>
            <w:shd w:val="clear" w:color="auto" w:fill="auto"/>
            <w:noWrap/>
            <w:vAlign w:val="center"/>
          </w:tcPr>
          <w:p w14:paraId="4A49EA8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米</w:t>
            </w:r>
          </w:p>
        </w:tc>
        <w:tc>
          <w:tcPr>
            <w:tcW w:w="570" w:type="dxa"/>
            <w:tcBorders>
              <w:tl2br w:val="nil"/>
              <w:tr2bl w:val="nil"/>
            </w:tcBorders>
            <w:shd w:val="clear" w:color="auto" w:fill="auto"/>
            <w:noWrap/>
            <w:vAlign w:val="center"/>
          </w:tcPr>
          <w:p w14:paraId="69D9EEC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50</w:t>
            </w:r>
          </w:p>
        </w:tc>
        <w:tc>
          <w:tcPr>
            <w:tcW w:w="3877" w:type="dxa"/>
            <w:tcBorders>
              <w:tl2br w:val="nil"/>
              <w:tr2bl w:val="nil"/>
            </w:tcBorders>
            <w:shd w:val="clear" w:color="auto" w:fill="auto"/>
            <w:vAlign w:val="center"/>
          </w:tcPr>
          <w:p w14:paraId="79A4BC8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热镀锌管道∮</w:t>
            </w:r>
            <w:r>
              <w:rPr>
                <w:rFonts w:hint="default" w:cs="Times New Roman"/>
                <w:color w:val="auto"/>
                <w:kern w:val="0"/>
                <w:sz w:val="21"/>
                <w:szCs w:val="21"/>
                <w:highlight w:val="none"/>
                <w:lang w:val="en-US" w:eastAsia="zh-CN" w:bidi="ar"/>
              </w:rPr>
              <w:t>159</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3</w:t>
            </w:r>
          </w:p>
        </w:tc>
      </w:tr>
      <w:tr w14:paraId="062606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BD9B8E2">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27</w:t>
            </w:r>
          </w:p>
        </w:tc>
        <w:tc>
          <w:tcPr>
            <w:tcW w:w="2553" w:type="dxa"/>
            <w:tcBorders>
              <w:tl2br w:val="nil"/>
              <w:tr2bl w:val="nil"/>
            </w:tcBorders>
            <w:shd w:val="clear" w:color="auto" w:fill="auto"/>
            <w:noWrap/>
            <w:vAlign w:val="center"/>
          </w:tcPr>
          <w:p w14:paraId="64D10B2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刀具消毒器</w:t>
            </w:r>
          </w:p>
        </w:tc>
        <w:tc>
          <w:tcPr>
            <w:tcW w:w="581" w:type="dxa"/>
            <w:tcBorders>
              <w:tl2br w:val="nil"/>
              <w:tr2bl w:val="nil"/>
            </w:tcBorders>
            <w:shd w:val="clear" w:color="auto" w:fill="auto"/>
            <w:noWrap/>
            <w:vAlign w:val="center"/>
          </w:tcPr>
          <w:p w14:paraId="0A39551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0488FCA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5</w:t>
            </w:r>
          </w:p>
        </w:tc>
        <w:tc>
          <w:tcPr>
            <w:tcW w:w="3877" w:type="dxa"/>
            <w:tcBorders>
              <w:tl2br w:val="nil"/>
              <w:tr2bl w:val="nil"/>
            </w:tcBorders>
            <w:shd w:val="clear" w:color="auto" w:fill="auto"/>
            <w:vAlign w:val="center"/>
          </w:tcPr>
          <w:p w14:paraId="1E50406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540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330</w:t>
            </w:r>
            <w:r>
              <w:rPr>
                <w:rFonts w:hint="eastAsia" w:cs="Times New Roman"/>
                <w:color w:val="auto"/>
                <w:kern w:val="0"/>
                <w:sz w:val="21"/>
                <w:szCs w:val="21"/>
                <w:highlight w:val="none"/>
                <w:lang w:val="en-US" w:eastAsia="zh-CN" w:bidi="ar"/>
              </w:rPr>
              <w:t>×</w:t>
            </w:r>
            <w:r>
              <w:rPr>
                <w:rFonts w:hint="default" w:cs="Times New Roman"/>
                <w:color w:val="auto"/>
                <w:kern w:val="0"/>
                <w:sz w:val="21"/>
                <w:szCs w:val="21"/>
                <w:highlight w:val="none"/>
                <w:lang w:val="en-US" w:eastAsia="zh-CN" w:bidi="ar"/>
              </w:rPr>
              <w:t>1100mm</w:t>
            </w:r>
          </w:p>
        </w:tc>
      </w:tr>
      <w:tr w14:paraId="77A47E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D4232A2">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28</w:t>
            </w:r>
          </w:p>
        </w:tc>
        <w:tc>
          <w:tcPr>
            <w:tcW w:w="2553" w:type="dxa"/>
            <w:tcBorders>
              <w:tl2br w:val="nil"/>
              <w:tr2bl w:val="nil"/>
            </w:tcBorders>
            <w:shd w:val="clear" w:color="auto" w:fill="auto"/>
            <w:vAlign w:val="center"/>
          </w:tcPr>
          <w:p w14:paraId="7A41769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空压机及储气罐及冷干机</w:t>
            </w:r>
          </w:p>
        </w:tc>
        <w:tc>
          <w:tcPr>
            <w:tcW w:w="581" w:type="dxa"/>
            <w:tcBorders>
              <w:tl2br w:val="nil"/>
              <w:tr2bl w:val="nil"/>
            </w:tcBorders>
            <w:shd w:val="clear" w:color="auto" w:fill="auto"/>
            <w:noWrap/>
            <w:vAlign w:val="center"/>
          </w:tcPr>
          <w:p w14:paraId="31203F8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40ADA6CA">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74A3083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0903E0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75" w:hRule="atLeast"/>
          <w:jc w:val="center"/>
        </w:trPr>
        <w:tc>
          <w:tcPr>
            <w:tcW w:w="837" w:type="dxa"/>
            <w:tcBorders>
              <w:tl2br w:val="nil"/>
              <w:tr2bl w:val="nil"/>
            </w:tcBorders>
            <w:shd w:val="clear" w:color="auto" w:fill="auto"/>
            <w:noWrap/>
            <w:vAlign w:val="center"/>
          </w:tcPr>
          <w:p w14:paraId="07D32BB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29</w:t>
            </w:r>
          </w:p>
        </w:tc>
        <w:tc>
          <w:tcPr>
            <w:tcW w:w="2553" w:type="dxa"/>
            <w:tcBorders>
              <w:tl2br w:val="nil"/>
              <w:tr2bl w:val="nil"/>
            </w:tcBorders>
            <w:shd w:val="clear" w:color="auto" w:fill="auto"/>
            <w:vAlign w:val="center"/>
          </w:tcPr>
          <w:p w14:paraId="6C25840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电控柜</w:t>
            </w:r>
          </w:p>
        </w:tc>
        <w:tc>
          <w:tcPr>
            <w:tcW w:w="581" w:type="dxa"/>
            <w:tcBorders>
              <w:tl2br w:val="nil"/>
              <w:tr2bl w:val="nil"/>
            </w:tcBorders>
            <w:shd w:val="clear" w:color="auto" w:fill="auto"/>
            <w:noWrap/>
            <w:vAlign w:val="center"/>
          </w:tcPr>
          <w:p w14:paraId="0AC250F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个</w:t>
            </w:r>
          </w:p>
        </w:tc>
        <w:tc>
          <w:tcPr>
            <w:tcW w:w="570" w:type="dxa"/>
            <w:tcBorders>
              <w:tl2br w:val="nil"/>
              <w:tr2bl w:val="nil"/>
            </w:tcBorders>
            <w:shd w:val="clear" w:color="auto" w:fill="auto"/>
            <w:noWrap/>
            <w:vAlign w:val="center"/>
          </w:tcPr>
          <w:p w14:paraId="582A5E7C">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w:t>
            </w:r>
          </w:p>
        </w:tc>
        <w:tc>
          <w:tcPr>
            <w:tcW w:w="3877" w:type="dxa"/>
            <w:tcBorders>
              <w:tl2br w:val="nil"/>
              <w:tr2bl w:val="nil"/>
            </w:tcBorders>
            <w:shd w:val="clear" w:color="auto" w:fill="auto"/>
            <w:vAlign w:val="center"/>
          </w:tcPr>
          <w:p w14:paraId="54A8C7B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组合式</w:t>
            </w:r>
            <w:r>
              <w:rPr>
                <w:rFonts w:hint="default" w:cs="Times New Roman"/>
                <w:color w:val="auto"/>
                <w:kern w:val="0"/>
                <w:sz w:val="21"/>
                <w:szCs w:val="21"/>
                <w:highlight w:val="none"/>
                <w:lang w:val="en-US" w:eastAsia="zh-CN" w:bidi="ar"/>
              </w:rPr>
              <w:t xml:space="preserve">,36V </w:t>
            </w:r>
            <w:r>
              <w:rPr>
                <w:rFonts w:hint="eastAsia" w:cs="Times New Roman"/>
                <w:color w:val="auto"/>
                <w:kern w:val="0"/>
                <w:sz w:val="21"/>
                <w:szCs w:val="21"/>
                <w:highlight w:val="none"/>
                <w:lang w:val="en-US" w:eastAsia="zh-CN" w:bidi="ar"/>
              </w:rPr>
              <w:t>安全电压，外壳不锈钢</w:t>
            </w:r>
          </w:p>
        </w:tc>
      </w:tr>
      <w:tr w14:paraId="3BC9062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D7A07BB">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30</w:t>
            </w:r>
          </w:p>
        </w:tc>
        <w:tc>
          <w:tcPr>
            <w:tcW w:w="2553" w:type="dxa"/>
            <w:tcBorders>
              <w:tl2br w:val="nil"/>
              <w:tr2bl w:val="nil"/>
            </w:tcBorders>
            <w:shd w:val="clear" w:color="auto" w:fill="auto"/>
            <w:vAlign w:val="center"/>
          </w:tcPr>
          <w:p w14:paraId="55D0A03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电器控制系统</w:t>
            </w:r>
          </w:p>
        </w:tc>
        <w:tc>
          <w:tcPr>
            <w:tcW w:w="581" w:type="dxa"/>
            <w:tcBorders>
              <w:tl2br w:val="nil"/>
              <w:tr2bl w:val="nil"/>
            </w:tcBorders>
            <w:shd w:val="clear" w:color="auto" w:fill="auto"/>
            <w:noWrap/>
            <w:vAlign w:val="center"/>
          </w:tcPr>
          <w:p w14:paraId="5D75AE1A">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585220A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3CB2A6DE">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r>
      <w:tr w14:paraId="20E2AB5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5098EC6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b/>
                <w:bCs/>
                <w:color w:val="auto"/>
                <w:kern w:val="0"/>
                <w:sz w:val="21"/>
                <w:szCs w:val="21"/>
                <w:highlight w:val="none"/>
                <w:lang w:val="en-US" w:eastAsia="zh-CN" w:bidi="ar"/>
              </w:rPr>
              <w:t>四、分割输送线</w:t>
            </w:r>
          </w:p>
        </w:tc>
      </w:tr>
      <w:tr w14:paraId="2B7A5E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C1607D5">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2553" w:type="dxa"/>
            <w:tcBorders>
              <w:tl2br w:val="nil"/>
              <w:tr2bl w:val="nil"/>
            </w:tcBorders>
            <w:shd w:val="clear" w:color="auto" w:fill="auto"/>
            <w:vAlign w:val="center"/>
          </w:tcPr>
          <w:p w14:paraId="07248A8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分割输送机</w:t>
            </w:r>
          </w:p>
        </w:tc>
        <w:tc>
          <w:tcPr>
            <w:tcW w:w="581" w:type="dxa"/>
            <w:tcBorders>
              <w:tl2br w:val="nil"/>
              <w:tr2bl w:val="nil"/>
            </w:tcBorders>
            <w:shd w:val="clear" w:color="auto" w:fill="auto"/>
            <w:noWrap/>
            <w:vAlign w:val="center"/>
          </w:tcPr>
          <w:p w14:paraId="40543FA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米</w:t>
            </w:r>
          </w:p>
        </w:tc>
        <w:tc>
          <w:tcPr>
            <w:tcW w:w="570" w:type="dxa"/>
            <w:tcBorders>
              <w:tl2br w:val="nil"/>
              <w:tr2bl w:val="nil"/>
            </w:tcBorders>
            <w:shd w:val="clear" w:color="auto" w:fill="auto"/>
            <w:noWrap/>
            <w:vAlign w:val="center"/>
          </w:tcPr>
          <w:p w14:paraId="1484AEB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3877" w:type="dxa"/>
            <w:tcBorders>
              <w:tl2br w:val="nil"/>
              <w:tr2bl w:val="nil"/>
            </w:tcBorders>
            <w:shd w:val="clear" w:color="auto" w:fill="auto"/>
            <w:vAlign w:val="center"/>
          </w:tcPr>
          <w:p w14:paraId="1DE14BB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材质为 </w:t>
            </w:r>
            <w:r>
              <w:rPr>
                <w:rFonts w:hint="default" w:cs="Times New Roman"/>
                <w:color w:val="auto"/>
                <w:kern w:val="0"/>
                <w:sz w:val="21"/>
                <w:szCs w:val="21"/>
                <w:highlight w:val="none"/>
                <w:lang w:val="en-US" w:eastAsia="zh-CN" w:bidi="ar"/>
              </w:rPr>
              <w:t xml:space="preserve">304 </w:t>
            </w:r>
            <w:r>
              <w:rPr>
                <w:rFonts w:hint="eastAsia" w:cs="Times New Roman"/>
                <w:color w:val="auto"/>
                <w:kern w:val="0"/>
                <w:sz w:val="21"/>
                <w:szCs w:val="21"/>
                <w:highlight w:val="none"/>
                <w:lang w:val="en-US" w:eastAsia="zh-CN" w:bidi="ar"/>
              </w:rPr>
              <w:t>不锈钢</w:t>
            </w:r>
          </w:p>
        </w:tc>
      </w:tr>
      <w:tr w14:paraId="6770A3B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488B8E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2553" w:type="dxa"/>
            <w:tcBorders>
              <w:tl2br w:val="nil"/>
              <w:tr2bl w:val="nil"/>
            </w:tcBorders>
            <w:shd w:val="clear" w:color="auto" w:fill="auto"/>
            <w:vAlign w:val="center"/>
          </w:tcPr>
          <w:p w14:paraId="3ACE1B67">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分割工作台</w:t>
            </w:r>
          </w:p>
        </w:tc>
        <w:tc>
          <w:tcPr>
            <w:tcW w:w="581" w:type="dxa"/>
            <w:tcBorders>
              <w:tl2br w:val="nil"/>
              <w:tr2bl w:val="nil"/>
            </w:tcBorders>
            <w:shd w:val="clear" w:color="auto" w:fill="auto"/>
            <w:noWrap/>
            <w:vAlign w:val="center"/>
          </w:tcPr>
          <w:p w14:paraId="61474124">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张</w:t>
            </w:r>
          </w:p>
        </w:tc>
        <w:tc>
          <w:tcPr>
            <w:tcW w:w="570" w:type="dxa"/>
            <w:tcBorders>
              <w:tl2br w:val="nil"/>
              <w:tr2bl w:val="nil"/>
            </w:tcBorders>
            <w:shd w:val="clear" w:color="auto" w:fill="auto"/>
            <w:noWrap/>
            <w:vAlign w:val="center"/>
          </w:tcPr>
          <w:p w14:paraId="63DE4EB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20</w:t>
            </w:r>
          </w:p>
        </w:tc>
        <w:tc>
          <w:tcPr>
            <w:tcW w:w="3877" w:type="dxa"/>
            <w:tcBorders>
              <w:tl2br w:val="nil"/>
              <w:tr2bl w:val="nil"/>
            </w:tcBorders>
            <w:shd w:val="clear" w:color="auto" w:fill="auto"/>
            <w:vAlign w:val="center"/>
          </w:tcPr>
          <w:p w14:paraId="0572502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材质为 </w:t>
            </w:r>
            <w:r>
              <w:rPr>
                <w:rFonts w:hint="default" w:cs="Times New Roman"/>
                <w:color w:val="auto"/>
                <w:kern w:val="0"/>
                <w:sz w:val="21"/>
                <w:szCs w:val="21"/>
                <w:highlight w:val="none"/>
                <w:lang w:val="en-US" w:eastAsia="zh-CN" w:bidi="ar"/>
              </w:rPr>
              <w:t xml:space="preserve">304 </w:t>
            </w:r>
            <w:r>
              <w:rPr>
                <w:rFonts w:hint="eastAsia" w:cs="Times New Roman"/>
                <w:color w:val="auto"/>
                <w:kern w:val="0"/>
                <w:sz w:val="21"/>
                <w:szCs w:val="21"/>
                <w:highlight w:val="none"/>
                <w:lang w:val="en-US" w:eastAsia="zh-CN" w:bidi="ar"/>
              </w:rPr>
              <w:t>不锈钢</w:t>
            </w:r>
          </w:p>
        </w:tc>
      </w:tr>
      <w:tr w14:paraId="4A01B4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7AF72E3">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w:t>
            </w:r>
          </w:p>
        </w:tc>
        <w:tc>
          <w:tcPr>
            <w:tcW w:w="2553" w:type="dxa"/>
            <w:tcBorders>
              <w:tl2br w:val="nil"/>
              <w:tr2bl w:val="nil"/>
            </w:tcBorders>
            <w:shd w:val="clear" w:color="auto" w:fill="auto"/>
            <w:vAlign w:val="center"/>
          </w:tcPr>
          <w:p w14:paraId="3D3F1EE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包装工作台</w:t>
            </w:r>
          </w:p>
        </w:tc>
        <w:tc>
          <w:tcPr>
            <w:tcW w:w="581" w:type="dxa"/>
            <w:tcBorders>
              <w:tl2br w:val="nil"/>
              <w:tr2bl w:val="nil"/>
            </w:tcBorders>
            <w:shd w:val="clear" w:color="auto" w:fill="auto"/>
            <w:noWrap/>
            <w:vAlign w:val="center"/>
          </w:tcPr>
          <w:p w14:paraId="5EF97C0B">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张</w:t>
            </w:r>
          </w:p>
        </w:tc>
        <w:tc>
          <w:tcPr>
            <w:tcW w:w="570" w:type="dxa"/>
            <w:tcBorders>
              <w:tl2br w:val="nil"/>
              <w:tr2bl w:val="nil"/>
            </w:tcBorders>
            <w:shd w:val="clear" w:color="auto" w:fill="auto"/>
            <w:noWrap/>
            <w:vAlign w:val="center"/>
          </w:tcPr>
          <w:p w14:paraId="79F4D931">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w:t>
            </w:r>
          </w:p>
        </w:tc>
        <w:tc>
          <w:tcPr>
            <w:tcW w:w="3877" w:type="dxa"/>
            <w:tcBorders>
              <w:tl2br w:val="nil"/>
              <w:tr2bl w:val="nil"/>
            </w:tcBorders>
            <w:shd w:val="clear" w:color="auto" w:fill="auto"/>
            <w:vAlign w:val="center"/>
          </w:tcPr>
          <w:p w14:paraId="1E8A07E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规格 </w:t>
            </w:r>
            <w:r>
              <w:rPr>
                <w:rFonts w:hint="default" w:cs="Times New Roman"/>
                <w:color w:val="auto"/>
                <w:kern w:val="0"/>
                <w:sz w:val="21"/>
                <w:szCs w:val="21"/>
                <w:highlight w:val="none"/>
                <w:lang w:val="en-US" w:eastAsia="zh-CN" w:bidi="ar"/>
              </w:rPr>
              <w:t xml:space="preserve">1800*900*800mm.2mm </w:t>
            </w:r>
          </w:p>
        </w:tc>
      </w:tr>
      <w:tr w14:paraId="63BC2C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5B1A70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4</w:t>
            </w:r>
          </w:p>
        </w:tc>
        <w:tc>
          <w:tcPr>
            <w:tcW w:w="2553" w:type="dxa"/>
            <w:tcBorders>
              <w:tl2br w:val="nil"/>
              <w:tr2bl w:val="nil"/>
            </w:tcBorders>
            <w:shd w:val="clear" w:color="auto" w:fill="auto"/>
            <w:vAlign w:val="center"/>
          </w:tcPr>
          <w:p w14:paraId="1D66122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标准筒车</w:t>
            </w:r>
          </w:p>
        </w:tc>
        <w:tc>
          <w:tcPr>
            <w:tcW w:w="581" w:type="dxa"/>
            <w:tcBorders>
              <w:tl2br w:val="nil"/>
              <w:tr2bl w:val="nil"/>
            </w:tcBorders>
            <w:shd w:val="clear" w:color="auto" w:fill="auto"/>
            <w:noWrap/>
            <w:vAlign w:val="center"/>
          </w:tcPr>
          <w:p w14:paraId="40705E5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台</w:t>
            </w:r>
          </w:p>
        </w:tc>
        <w:tc>
          <w:tcPr>
            <w:tcW w:w="570" w:type="dxa"/>
            <w:tcBorders>
              <w:tl2br w:val="nil"/>
              <w:tr2bl w:val="nil"/>
            </w:tcBorders>
            <w:shd w:val="clear" w:color="auto" w:fill="auto"/>
            <w:noWrap/>
            <w:vAlign w:val="center"/>
          </w:tcPr>
          <w:p w14:paraId="630DE1C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5</w:t>
            </w:r>
          </w:p>
        </w:tc>
        <w:tc>
          <w:tcPr>
            <w:tcW w:w="3877" w:type="dxa"/>
            <w:tcBorders>
              <w:tl2br w:val="nil"/>
              <w:tr2bl w:val="nil"/>
            </w:tcBorders>
            <w:shd w:val="clear" w:color="auto" w:fill="auto"/>
            <w:vAlign w:val="center"/>
          </w:tcPr>
          <w:p w14:paraId="66625B0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640×640×500mm</w:t>
            </w:r>
          </w:p>
        </w:tc>
      </w:tr>
      <w:tr w14:paraId="5FB521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390E05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5</w:t>
            </w:r>
          </w:p>
        </w:tc>
        <w:tc>
          <w:tcPr>
            <w:tcW w:w="2553" w:type="dxa"/>
            <w:tcBorders>
              <w:tl2br w:val="nil"/>
              <w:tr2bl w:val="nil"/>
            </w:tcBorders>
            <w:shd w:val="clear" w:color="auto" w:fill="auto"/>
            <w:vAlign w:val="center"/>
          </w:tcPr>
          <w:p w14:paraId="535AD5B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冷库设备</w:t>
            </w:r>
          </w:p>
        </w:tc>
        <w:tc>
          <w:tcPr>
            <w:tcW w:w="581" w:type="dxa"/>
            <w:tcBorders>
              <w:tl2br w:val="nil"/>
              <w:tr2bl w:val="nil"/>
            </w:tcBorders>
            <w:shd w:val="clear" w:color="auto" w:fill="auto"/>
            <w:noWrap/>
            <w:vAlign w:val="center"/>
          </w:tcPr>
          <w:p w14:paraId="70D80C21">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项</w:t>
            </w:r>
          </w:p>
        </w:tc>
        <w:tc>
          <w:tcPr>
            <w:tcW w:w="570" w:type="dxa"/>
            <w:tcBorders>
              <w:tl2br w:val="nil"/>
              <w:tr2bl w:val="nil"/>
            </w:tcBorders>
            <w:shd w:val="clear" w:color="auto" w:fill="auto"/>
            <w:noWrap/>
            <w:vAlign w:val="center"/>
          </w:tcPr>
          <w:p w14:paraId="6AEFC03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2FC54B2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包括制冷系统、保温系统、电气控制系统等</w:t>
            </w:r>
          </w:p>
        </w:tc>
      </w:tr>
      <w:tr w14:paraId="72E40F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511D75BC">
            <w:pPr>
              <w:widowControl/>
              <w:spacing w:line="360" w:lineRule="exact"/>
              <w:ind w:firstLine="0" w:firstLineChars="0"/>
              <w:jc w:val="center"/>
              <w:textAlignment w:val="center"/>
              <w:rPr>
                <w:rFonts w:cs="Times New Roman"/>
                <w:b/>
                <w:bCs/>
                <w:color w:val="auto"/>
                <w:sz w:val="21"/>
                <w:szCs w:val="21"/>
                <w:highlight w:val="none"/>
              </w:rPr>
            </w:pPr>
            <w:r>
              <w:rPr>
                <w:rFonts w:hint="eastAsia" w:ascii="Times New Roman" w:hAnsi="Times New Roman" w:eastAsia="宋体" w:cs="Times New Roman"/>
                <w:b/>
                <w:bCs/>
                <w:color w:val="auto"/>
                <w:kern w:val="0"/>
                <w:sz w:val="21"/>
                <w:szCs w:val="21"/>
                <w:highlight w:val="none"/>
                <w:lang w:val="en-US" w:eastAsia="zh-CN" w:bidi="ar"/>
              </w:rPr>
              <w:t>五、羊屠宰设备</w:t>
            </w:r>
          </w:p>
        </w:tc>
      </w:tr>
      <w:tr w14:paraId="784C78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8B0717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2553" w:type="dxa"/>
            <w:tcBorders>
              <w:tl2br w:val="nil"/>
              <w:tr2bl w:val="nil"/>
            </w:tcBorders>
            <w:shd w:val="clear" w:color="auto" w:fill="auto"/>
            <w:noWrap/>
            <w:vAlign w:val="center"/>
          </w:tcPr>
          <w:p w14:paraId="4B84326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bidi="ar"/>
              </w:rPr>
            </w:pPr>
            <w:r>
              <w:rPr>
                <w:rFonts w:hint="eastAsia" w:ascii="Times New Roman" w:hAnsi="Times New Roman" w:eastAsia="宋体" w:cs="Times New Roman"/>
                <w:color w:val="auto"/>
                <w:kern w:val="0"/>
                <w:sz w:val="21"/>
                <w:szCs w:val="21"/>
                <w:highlight w:val="none"/>
                <w:lang w:bidi="ar"/>
              </w:rPr>
              <w:t>全自动放血线</w:t>
            </w:r>
          </w:p>
        </w:tc>
        <w:tc>
          <w:tcPr>
            <w:tcW w:w="581" w:type="dxa"/>
            <w:tcBorders>
              <w:tl2br w:val="nil"/>
              <w:tr2bl w:val="nil"/>
            </w:tcBorders>
            <w:shd w:val="clear" w:color="auto" w:fill="auto"/>
            <w:noWrap/>
            <w:vAlign w:val="center"/>
          </w:tcPr>
          <w:p w14:paraId="2410D25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bidi="ar"/>
              </w:rPr>
            </w:pPr>
            <w:r>
              <w:rPr>
                <w:rFonts w:hint="eastAsia" w:ascii="Times New Roman" w:hAnsi="Times New Roman" w:eastAsia="宋体" w:cs="Times New Roman"/>
                <w:color w:val="auto"/>
                <w:kern w:val="0"/>
                <w:sz w:val="21"/>
                <w:szCs w:val="21"/>
                <w:highlight w:val="none"/>
                <w:lang w:bidi="ar"/>
              </w:rPr>
              <w:t>米</w:t>
            </w:r>
          </w:p>
        </w:tc>
        <w:tc>
          <w:tcPr>
            <w:tcW w:w="570" w:type="dxa"/>
            <w:tcBorders>
              <w:tl2br w:val="nil"/>
              <w:tr2bl w:val="nil"/>
            </w:tcBorders>
            <w:shd w:val="clear" w:color="auto" w:fill="auto"/>
            <w:noWrap/>
            <w:vAlign w:val="center"/>
          </w:tcPr>
          <w:p w14:paraId="0990F6F2">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45</w:t>
            </w:r>
          </w:p>
        </w:tc>
        <w:tc>
          <w:tcPr>
            <w:tcW w:w="3877" w:type="dxa"/>
            <w:tcBorders>
              <w:tl2br w:val="nil"/>
              <w:tr2bl w:val="nil"/>
            </w:tcBorders>
            <w:shd w:val="clear" w:color="auto" w:fill="auto"/>
            <w:vAlign w:val="center"/>
          </w:tcPr>
          <w:p w14:paraId="666F6713">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负载钩为12mm的不锈钢材质。</w:t>
            </w:r>
          </w:p>
        </w:tc>
      </w:tr>
      <w:tr w14:paraId="5FB3DD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A6EE752">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w:t>
            </w:r>
          </w:p>
        </w:tc>
        <w:tc>
          <w:tcPr>
            <w:tcW w:w="2553" w:type="dxa"/>
            <w:tcBorders>
              <w:tl2br w:val="nil"/>
              <w:tr2bl w:val="nil"/>
            </w:tcBorders>
            <w:shd w:val="clear" w:color="auto" w:fill="auto"/>
            <w:noWrap/>
            <w:vAlign w:val="center"/>
          </w:tcPr>
          <w:p w14:paraId="060E921E">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bidi="ar"/>
              </w:rPr>
            </w:pPr>
            <w:r>
              <w:rPr>
                <w:rFonts w:hint="eastAsia" w:ascii="Times New Roman" w:hAnsi="Times New Roman" w:eastAsia="宋体" w:cs="Times New Roman"/>
                <w:color w:val="auto"/>
                <w:kern w:val="0"/>
                <w:sz w:val="21"/>
                <w:szCs w:val="21"/>
                <w:highlight w:val="none"/>
                <w:lang w:bidi="ar"/>
              </w:rPr>
              <w:t>动力系统</w:t>
            </w:r>
          </w:p>
        </w:tc>
        <w:tc>
          <w:tcPr>
            <w:tcW w:w="581" w:type="dxa"/>
            <w:tcBorders>
              <w:tl2br w:val="nil"/>
              <w:tr2bl w:val="nil"/>
            </w:tcBorders>
            <w:shd w:val="clear" w:color="auto" w:fill="auto"/>
            <w:noWrap/>
            <w:vAlign w:val="center"/>
          </w:tcPr>
          <w:p w14:paraId="357EE32F">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6B141D36">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bidi="ar"/>
              </w:rPr>
            </w:pPr>
            <w:r>
              <w:rPr>
                <w:rFonts w:hint="eastAsia" w:ascii="Times New Roman" w:hAnsi="Times New Roman" w:eastAsia="宋体"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71D27A43">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电机功率为5.5kw</w:t>
            </w:r>
          </w:p>
        </w:tc>
      </w:tr>
      <w:tr w14:paraId="6550218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446B332">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3</w:t>
            </w:r>
          </w:p>
        </w:tc>
        <w:tc>
          <w:tcPr>
            <w:tcW w:w="2553" w:type="dxa"/>
            <w:tcBorders>
              <w:tl2br w:val="nil"/>
              <w:tr2bl w:val="nil"/>
            </w:tcBorders>
            <w:shd w:val="clear" w:color="auto" w:fill="auto"/>
            <w:noWrap/>
            <w:vAlign w:val="center"/>
          </w:tcPr>
          <w:p w14:paraId="245E638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张紧装置</w:t>
            </w:r>
          </w:p>
        </w:tc>
        <w:tc>
          <w:tcPr>
            <w:tcW w:w="581" w:type="dxa"/>
            <w:tcBorders>
              <w:tl2br w:val="nil"/>
              <w:tr2bl w:val="nil"/>
            </w:tcBorders>
            <w:shd w:val="clear" w:color="auto" w:fill="auto"/>
            <w:noWrap/>
            <w:vAlign w:val="center"/>
          </w:tcPr>
          <w:p w14:paraId="20BB620E">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6B475E7B">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0094391C">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整体框架为热镀锌国标材质</w:t>
            </w:r>
          </w:p>
        </w:tc>
      </w:tr>
      <w:tr w14:paraId="75232D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06ED452">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4</w:t>
            </w:r>
          </w:p>
        </w:tc>
        <w:tc>
          <w:tcPr>
            <w:tcW w:w="2553" w:type="dxa"/>
            <w:tcBorders>
              <w:tl2br w:val="nil"/>
              <w:tr2bl w:val="nil"/>
            </w:tcBorders>
            <w:shd w:val="clear" w:color="auto" w:fill="auto"/>
            <w:noWrap/>
            <w:vAlign w:val="center"/>
          </w:tcPr>
          <w:p w14:paraId="56AD220E">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导向装置</w:t>
            </w:r>
          </w:p>
        </w:tc>
        <w:tc>
          <w:tcPr>
            <w:tcW w:w="581" w:type="dxa"/>
            <w:tcBorders>
              <w:tl2br w:val="nil"/>
              <w:tr2bl w:val="nil"/>
            </w:tcBorders>
            <w:shd w:val="clear" w:color="auto" w:fill="auto"/>
            <w:noWrap/>
            <w:vAlign w:val="center"/>
          </w:tcPr>
          <w:p w14:paraId="59BA53BA">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59E84F0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4</w:t>
            </w:r>
          </w:p>
        </w:tc>
        <w:tc>
          <w:tcPr>
            <w:tcW w:w="3877" w:type="dxa"/>
            <w:tcBorders>
              <w:tl2br w:val="nil"/>
              <w:tr2bl w:val="nil"/>
            </w:tcBorders>
            <w:shd w:val="clear" w:color="auto" w:fill="auto"/>
            <w:vAlign w:val="center"/>
          </w:tcPr>
          <w:p w14:paraId="5E8703EE">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高强度模锻铸造成型，材质为铸钢。</w:t>
            </w:r>
          </w:p>
        </w:tc>
      </w:tr>
      <w:tr w14:paraId="422B9A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4992333">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5</w:t>
            </w:r>
          </w:p>
        </w:tc>
        <w:tc>
          <w:tcPr>
            <w:tcW w:w="2553" w:type="dxa"/>
            <w:tcBorders>
              <w:tl2br w:val="nil"/>
              <w:tr2bl w:val="nil"/>
            </w:tcBorders>
            <w:shd w:val="clear" w:color="auto" w:fill="auto"/>
            <w:noWrap/>
            <w:vAlign w:val="center"/>
          </w:tcPr>
          <w:p w14:paraId="63273BD2">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积血槽</w:t>
            </w:r>
          </w:p>
        </w:tc>
        <w:tc>
          <w:tcPr>
            <w:tcW w:w="581" w:type="dxa"/>
            <w:tcBorders>
              <w:tl2br w:val="nil"/>
              <w:tr2bl w:val="nil"/>
            </w:tcBorders>
            <w:shd w:val="clear" w:color="auto" w:fill="auto"/>
            <w:noWrap/>
            <w:vAlign w:val="center"/>
          </w:tcPr>
          <w:p w14:paraId="32EEE4B8">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31819445">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335FE7C1">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整机采用不锈钢制作,厚度3MM</w:t>
            </w:r>
          </w:p>
        </w:tc>
      </w:tr>
      <w:tr w14:paraId="3B12E9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AD681F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6</w:t>
            </w:r>
          </w:p>
        </w:tc>
        <w:tc>
          <w:tcPr>
            <w:tcW w:w="2553" w:type="dxa"/>
            <w:tcBorders>
              <w:tl2br w:val="nil"/>
              <w:tr2bl w:val="nil"/>
            </w:tcBorders>
            <w:shd w:val="clear" w:color="auto" w:fill="auto"/>
            <w:noWrap/>
            <w:vAlign w:val="center"/>
          </w:tcPr>
          <w:p w14:paraId="2D95C67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换轨站台</w:t>
            </w:r>
          </w:p>
        </w:tc>
        <w:tc>
          <w:tcPr>
            <w:tcW w:w="581" w:type="dxa"/>
            <w:tcBorders>
              <w:tl2br w:val="nil"/>
              <w:tr2bl w:val="nil"/>
            </w:tcBorders>
            <w:shd w:val="clear" w:color="auto" w:fill="auto"/>
            <w:noWrap/>
            <w:vAlign w:val="center"/>
          </w:tcPr>
          <w:p w14:paraId="1F551F0C">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1D45F15B">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top"/>
          </w:tcPr>
          <w:p w14:paraId="0C652CAA">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设备整体为不锈钢材质.尺寸为800*1200</w:t>
            </w:r>
          </w:p>
        </w:tc>
      </w:tr>
      <w:tr w14:paraId="6F2E1D9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A6D27A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7</w:t>
            </w:r>
          </w:p>
        </w:tc>
        <w:tc>
          <w:tcPr>
            <w:tcW w:w="2553" w:type="dxa"/>
            <w:tcBorders>
              <w:tl2br w:val="nil"/>
              <w:tr2bl w:val="nil"/>
            </w:tcBorders>
            <w:shd w:val="clear" w:color="auto" w:fill="auto"/>
            <w:noWrap/>
            <w:vAlign w:val="center"/>
          </w:tcPr>
          <w:p w14:paraId="696D050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起伏装置</w:t>
            </w:r>
          </w:p>
        </w:tc>
        <w:tc>
          <w:tcPr>
            <w:tcW w:w="581" w:type="dxa"/>
            <w:tcBorders>
              <w:tl2br w:val="nil"/>
              <w:tr2bl w:val="nil"/>
            </w:tcBorders>
            <w:shd w:val="clear" w:color="auto" w:fill="auto"/>
            <w:noWrap/>
            <w:vAlign w:val="center"/>
          </w:tcPr>
          <w:p w14:paraId="412D27B5">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2DEADCA4">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top"/>
          </w:tcPr>
          <w:p w14:paraId="16FEC5E6">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整体为100国标型热镀锌工字钢材质</w:t>
            </w:r>
          </w:p>
        </w:tc>
      </w:tr>
      <w:tr w14:paraId="30A87D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BC2742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8</w:t>
            </w:r>
          </w:p>
        </w:tc>
        <w:tc>
          <w:tcPr>
            <w:tcW w:w="2553" w:type="dxa"/>
            <w:tcBorders>
              <w:tl2br w:val="nil"/>
              <w:tr2bl w:val="nil"/>
            </w:tcBorders>
            <w:shd w:val="clear" w:color="auto" w:fill="auto"/>
            <w:noWrap/>
            <w:vAlign w:val="center"/>
          </w:tcPr>
          <w:p w14:paraId="51F47CA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胴体预剥线</w:t>
            </w:r>
          </w:p>
        </w:tc>
        <w:tc>
          <w:tcPr>
            <w:tcW w:w="581" w:type="dxa"/>
            <w:tcBorders>
              <w:tl2br w:val="nil"/>
              <w:tr2bl w:val="nil"/>
            </w:tcBorders>
            <w:shd w:val="clear" w:color="auto" w:fill="auto"/>
            <w:noWrap/>
            <w:vAlign w:val="center"/>
          </w:tcPr>
          <w:p w14:paraId="0FAF5352">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米</w:t>
            </w:r>
          </w:p>
        </w:tc>
        <w:tc>
          <w:tcPr>
            <w:tcW w:w="570" w:type="dxa"/>
            <w:tcBorders>
              <w:tl2br w:val="nil"/>
              <w:tr2bl w:val="nil"/>
            </w:tcBorders>
            <w:shd w:val="clear" w:color="auto" w:fill="auto"/>
            <w:noWrap/>
            <w:vAlign w:val="center"/>
          </w:tcPr>
          <w:p w14:paraId="5A4D8870">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38</w:t>
            </w:r>
          </w:p>
        </w:tc>
        <w:tc>
          <w:tcPr>
            <w:tcW w:w="3877" w:type="dxa"/>
            <w:tcBorders>
              <w:tl2br w:val="nil"/>
              <w:tr2bl w:val="nil"/>
            </w:tcBorders>
            <w:shd w:val="clear" w:color="auto" w:fill="auto"/>
            <w:vAlign w:val="top"/>
          </w:tcPr>
          <w:p w14:paraId="1528033B">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支撑吊架为155模锻铸造材质</w:t>
            </w:r>
          </w:p>
        </w:tc>
      </w:tr>
      <w:tr w14:paraId="1C3E3FF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2B3A48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9</w:t>
            </w:r>
          </w:p>
        </w:tc>
        <w:tc>
          <w:tcPr>
            <w:tcW w:w="2553" w:type="dxa"/>
            <w:tcBorders>
              <w:tl2br w:val="nil"/>
              <w:tr2bl w:val="nil"/>
            </w:tcBorders>
            <w:shd w:val="clear" w:color="auto" w:fill="auto"/>
            <w:noWrap/>
            <w:vAlign w:val="center"/>
          </w:tcPr>
          <w:p w14:paraId="198FEB10">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预剝及工作站台</w:t>
            </w:r>
          </w:p>
        </w:tc>
        <w:tc>
          <w:tcPr>
            <w:tcW w:w="581" w:type="dxa"/>
            <w:tcBorders>
              <w:tl2br w:val="nil"/>
              <w:tr2bl w:val="nil"/>
            </w:tcBorders>
            <w:shd w:val="clear" w:color="auto" w:fill="auto"/>
            <w:noWrap/>
            <w:vAlign w:val="center"/>
          </w:tcPr>
          <w:p w14:paraId="352D83AA">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组</w:t>
            </w:r>
          </w:p>
        </w:tc>
        <w:tc>
          <w:tcPr>
            <w:tcW w:w="570" w:type="dxa"/>
            <w:tcBorders>
              <w:tl2br w:val="nil"/>
              <w:tr2bl w:val="nil"/>
            </w:tcBorders>
            <w:shd w:val="clear" w:color="auto" w:fill="auto"/>
            <w:noWrap/>
            <w:vAlign w:val="center"/>
          </w:tcPr>
          <w:p w14:paraId="23F4899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6</w:t>
            </w:r>
          </w:p>
        </w:tc>
        <w:tc>
          <w:tcPr>
            <w:tcW w:w="3877" w:type="dxa"/>
            <w:tcBorders>
              <w:tl2br w:val="nil"/>
              <w:tr2bl w:val="nil"/>
            </w:tcBorders>
            <w:shd w:val="clear" w:color="auto" w:fill="auto"/>
            <w:vAlign w:val="top"/>
          </w:tcPr>
          <w:p w14:paraId="17436E06">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尺寸为800*1600</w:t>
            </w:r>
          </w:p>
        </w:tc>
      </w:tr>
      <w:tr w14:paraId="13A7BF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58AAF0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10</w:t>
            </w:r>
          </w:p>
        </w:tc>
        <w:tc>
          <w:tcPr>
            <w:tcW w:w="2553" w:type="dxa"/>
            <w:tcBorders>
              <w:tl2br w:val="nil"/>
              <w:tr2bl w:val="nil"/>
            </w:tcBorders>
            <w:shd w:val="clear" w:color="auto" w:fill="auto"/>
            <w:vAlign w:val="center"/>
          </w:tcPr>
          <w:p w14:paraId="0FB86284">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全自动工位输送线</w:t>
            </w:r>
          </w:p>
        </w:tc>
        <w:tc>
          <w:tcPr>
            <w:tcW w:w="581" w:type="dxa"/>
            <w:tcBorders>
              <w:tl2br w:val="nil"/>
              <w:tr2bl w:val="nil"/>
            </w:tcBorders>
            <w:shd w:val="clear" w:color="auto" w:fill="auto"/>
            <w:noWrap/>
            <w:vAlign w:val="center"/>
          </w:tcPr>
          <w:p w14:paraId="2AB80E4C">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32178BF8">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top"/>
          </w:tcPr>
          <w:p w14:paraId="1CBED8A9">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该自动输送机主要和扯皮机配套使用含一套气动提升装置.</w:t>
            </w:r>
          </w:p>
        </w:tc>
      </w:tr>
      <w:tr w14:paraId="01A1C3B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635F79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11</w:t>
            </w:r>
          </w:p>
        </w:tc>
        <w:tc>
          <w:tcPr>
            <w:tcW w:w="2553" w:type="dxa"/>
            <w:tcBorders>
              <w:tl2br w:val="nil"/>
              <w:tr2bl w:val="nil"/>
            </w:tcBorders>
            <w:shd w:val="clear" w:color="auto" w:fill="auto"/>
            <w:vAlign w:val="center"/>
          </w:tcPr>
          <w:p w14:paraId="25EF8DC9">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动力系统</w:t>
            </w:r>
          </w:p>
        </w:tc>
        <w:tc>
          <w:tcPr>
            <w:tcW w:w="581" w:type="dxa"/>
            <w:tcBorders>
              <w:tl2br w:val="nil"/>
              <w:tr2bl w:val="nil"/>
            </w:tcBorders>
            <w:shd w:val="clear" w:color="auto" w:fill="auto"/>
            <w:noWrap/>
            <w:vAlign w:val="center"/>
          </w:tcPr>
          <w:p w14:paraId="50870288">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0534902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4B286075">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电机功率为3kw</w:t>
            </w:r>
          </w:p>
        </w:tc>
      </w:tr>
      <w:tr w14:paraId="36C8D2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DFFDC19">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12</w:t>
            </w:r>
          </w:p>
        </w:tc>
        <w:tc>
          <w:tcPr>
            <w:tcW w:w="2553" w:type="dxa"/>
            <w:tcBorders>
              <w:tl2br w:val="nil"/>
              <w:tr2bl w:val="nil"/>
            </w:tcBorders>
            <w:shd w:val="clear" w:color="auto" w:fill="auto"/>
            <w:noWrap/>
            <w:vAlign w:val="center"/>
          </w:tcPr>
          <w:p w14:paraId="394104C6">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张紧装置</w:t>
            </w:r>
          </w:p>
        </w:tc>
        <w:tc>
          <w:tcPr>
            <w:tcW w:w="581" w:type="dxa"/>
            <w:tcBorders>
              <w:tl2br w:val="nil"/>
              <w:tr2bl w:val="nil"/>
            </w:tcBorders>
            <w:shd w:val="clear" w:color="auto" w:fill="auto"/>
            <w:noWrap/>
            <w:vAlign w:val="center"/>
          </w:tcPr>
          <w:p w14:paraId="0578ADB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2C7D3DB2">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48775A11">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整体框架为热镀锌国标材质</w:t>
            </w:r>
          </w:p>
        </w:tc>
      </w:tr>
      <w:tr w14:paraId="2020A1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6B6181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13</w:t>
            </w:r>
          </w:p>
        </w:tc>
        <w:tc>
          <w:tcPr>
            <w:tcW w:w="2553" w:type="dxa"/>
            <w:tcBorders>
              <w:tl2br w:val="nil"/>
              <w:tr2bl w:val="nil"/>
            </w:tcBorders>
            <w:shd w:val="clear" w:color="auto" w:fill="auto"/>
            <w:noWrap/>
            <w:vAlign w:val="center"/>
          </w:tcPr>
          <w:p w14:paraId="7B29106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变频系统</w:t>
            </w:r>
          </w:p>
        </w:tc>
        <w:tc>
          <w:tcPr>
            <w:tcW w:w="581" w:type="dxa"/>
            <w:tcBorders>
              <w:tl2br w:val="nil"/>
              <w:tr2bl w:val="nil"/>
            </w:tcBorders>
            <w:shd w:val="clear" w:color="auto" w:fill="auto"/>
            <w:noWrap/>
            <w:vAlign w:val="center"/>
          </w:tcPr>
          <w:p w14:paraId="7F3CC7DE">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5AA33DC9">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2</w:t>
            </w:r>
          </w:p>
        </w:tc>
        <w:tc>
          <w:tcPr>
            <w:tcW w:w="3877" w:type="dxa"/>
            <w:tcBorders>
              <w:tl2br w:val="nil"/>
              <w:tr2bl w:val="nil"/>
            </w:tcBorders>
            <w:shd w:val="clear" w:color="auto" w:fill="auto"/>
            <w:vAlign w:val="center"/>
          </w:tcPr>
          <w:p w14:paraId="1D6AC4AB">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含控制箱总成系统，液晶显示屏，旋钮式调节。</w:t>
            </w:r>
          </w:p>
        </w:tc>
      </w:tr>
      <w:tr w14:paraId="7A181F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816F52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14</w:t>
            </w:r>
          </w:p>
        </w:tc>
        <w:tc>
          <w:tcPr>
            <w:tcW w:w="2553" w:type="dxa"/>
            <w:tcBorders>
              <w:tl2br w:val="nil"/>
              <w:tr2bl w:val="nil"/>
            </w:tcBorders>
            <w:shd w:val="clear" w:color="auto" w:fill="auto"/>
            <w:noWrap/>
            <w:vAlign w:val="center"/>
          </w:tcPr>
          <w:p w14:paraId="486B8FC8">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自动卫检线</w:t>
            </w:r>
          </w:p>
        </w:tc>
        <w:tc>
          <w:tcPr>
            <w:tcW w:w="581" w:type="dxa"/>
            <w:tcBorders>
              <w:tl2br w:val="nil"/>
              <w:tr2bl w:val="nil"/>
            </w:tcBorders>
            <w:shd w:val="clear" w:color="auto" w:fill="auto"/>
            <w:noWrap/>
            <w:vAlign w:val="center"/>
          </w:tcPr>
          <w:p w14:paraId="358568F7">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5EAB6435">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06CB8A41">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输送周长为2400mm，输送套组为20组，输送间距为1200mm</w:t>
            </w:r>
          </w:p>
        </w:tc>
      </w:tr>
      <w:tr w14:paraId="13A05C2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084EC5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15</w:t>
            </w:r>
          </w:p>
        </w:tc>
        <w:tc>
          <w:tcPr>
            <w:tcW w:w="2553" w:type="dxa"/>
            <w:tcBorders>
              <w:tl2br w:val="nil"/>
              <w:tr2bl w:val="nil"/>
            </w:tcBorders>
            <w:shd w:val="clear" w:color="auto" w:fill="auto"/>
            <w:noWrap/>
            <w:vAlign w:val="center"/>
          </w:tcPr>
          <w:p w14:paraId="1FC7C3BD">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动力系统</w:t>
            </w:r>
          </w:p>
        </w:tc>
        <w:tc>
          <w:tcPr>
            <w:tcW w:w="581" w:type="dxa"/>
            <w:tcBorders>
              <w:tl2br w:val="nil"/>
              <w:tr2bl w:val="nil"/>
            </w:tcBorders>
            <w:shd w:val="clear" w:color="auto" w:fill="auto"/>
            <w:noWrap/>
            <w:vAlign w:val="center"/>
          </w:tcPr>
          <w:p w14:paraId="775AFD17">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2FA4C8C4">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60152967">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电机功率为3kw</w:t>
            </w:r>
          </w:p>
        </w:tc>
      </w:tr>
      <w:tr w14:paraId="634675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ABB0EAA">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16</w:t>
            </w:r>
          </w:p>
        </w:tc>
        <w:tc>
          <w:tcPr>
            <w:tcW w:w="2553" w:type="dxa"/>
            <w:tcBorders>
              <w:tl2br w:val="nil"/>
              <w:tr2bl w:val="nil"/>
            </w:tcBorders>
            <w:shd w:val="clear" w:color="auto" w:fill="auto"/>
            <w:noWrap/>
            <w:vAlign w:val="center"/>
          </w:tcPr>
          <w:p w14:paraId="2A62117C">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张紧系统</w:t>
            </w:r>
          </w:p>
        </w:tc>
        <w:tc>
          <w:tcPr>
            <w:tcW w:w="581" w:type="dxa"/>
            <w:tcBorders>
              <w:tl2br w:val="nil"/>
              <w:tr2bl w:val="nil"/>
            </w:tcBorders>
            <w:shd w:val="clear" w:color="auto" w:fill="auto"/>
            <w:noWrap/>
            <w:vAlign w:val="center"/>
          </w:tcPr>
          <w:p w14:paraId="3824CED1">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套</w:t>
            </w:r>
          </w:p>
        </w:tc>
        <w:tc>
          <w:tcPr>
            <w:tcW w:w="570" w:type="dxa"/>
            <w:tcBorders>
              <w:tl2br w:val="nil"/>
              <w:tr2bl w:val="nil"/>
            </w:tcBorders>
            <w:shd w:val="clear" w:color="auto" w:fill="auto"/>
            <w:noWrap/>
            <w:vAlign w:val="center"/>
          </w:tcPr>
          <w:p w14:paraId="3ADCF02A">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1</w:t>
            </w:r>
          </w:p>
        </w:tc>
        <w:tc>
          <w:tcPr>
            <w:tcW w:w="3877" w:type="dxa"/>
            <w:tcBorders>
              <w:tl2br w:val="nil"/>
              <w:tr2bl w:val="nil"/>
            </w:tcBorders>
            <w:shd w:val="clear" w:color="auto" w:fill="auto"/>
            <w:vAlign w:val="center"/>
          </w:tcPr>
          <w:p w14:paraId="539A311D">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整体框架为热镀锌国标材质，主体为铸造成型</w:t>
            </w:r>
          </w:p>
        </w:tc>
      </w:tr>
      <w:tr w14:paraId="1A34D2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CEE141C">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17</w:t>
            </w:r>
          </w:p>
        </w:tc>
        <w:tc>
          <w:tcPr>
            <w:tcW w:w="2553" w:type="dxa"/>
            <w:tcBorders>
              <w:tl2br w:val="nil"/>
              <w:tr2bl w:val="nil"/>
            </w:tcBorders>
            <w:shd w:val="clear" w:color="auto" w:fill="auto"/>
            <w:noWrap/>
            <w:vAlign w:val="center"/>
          </w:tcPr>
          <w:p w14:paraId="0BE3C036">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内脏滑槽</w:t>
            </w:r>
          </w:p>
        </w:tc>
        <w:tc>
          <w:tcPr>
            <w:tcW w:w="581" w:type="dxa"/>
            <w:tcBorders>
              <w:tl2br w:val="nil"/>
              <w:tr2bl w:val="nil"/>
            </w:tcBorders>
            <w:shd w:val="clear" w:color="auto" w:fill="auto"/>
            <w:noWrap/>
            <w:vAlign w:val="center"/>
          </w:tcPr>
          <w:p w14:paraId="29F1E2F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6514395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2</w:t>
            </w:r>
          </w:p>
        </w:tc>
        <w:tc>
          <w:tcPr>
            <w:tcW w:w="3877" w:type="dxa"/>
            <w:tcBorders>
              <w:tl2br w:val="nil"/>
              <w:tr2bl w:val="nil"/>
            </w:tcBorders>
            <w:shd w:val="clear" w:color="auto" w:fill="auto"/>
            <w:vAlign w:val="center"/>
          </w:tcPr>
          <w:p w14:paraId="22B125F8">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整体不锈钢材质，u型制作.</w:t>
            </w:r>
          </w:p>
        </w:tc>
      </w:tr>
      <w:tr w14:paraId="2E4ABE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47EB867C">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18</w:t>
            </w:r>
          </w:p>
        </w:tc>
        <w:tc>
          <w:tcPr>
            <w:tcW w:w="2553" w:type="dxa"/>
            <w:tcBorders>
              <w:tl2br w:val="nil"/>
              <w:tr2bl w:val="nil"/>
            </w:tcBorders>
            <w:shd w:val="clear" w:color="auto" w:fill="auto"/>
            <w:noWrap/>
            <w:vAlign w:val="center"/>
          </w:tcPr>
          <w:p w14:paraId="0EA7C5A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扯皮机</w:t>
            </w:r>
          </w:p>
        </w:tc>
        <w:tc>
          <w:tcPr>
            <w:tcW w:w="581" w:type="dxa"/>
            <w:tcBorders>
              <w:tl2br w:val="nil"/>
              <w:tr2bl w:val="nil"/>
            </w:tcBorders>
            <w:shd w:val="clear" w:color="auto" w:fill="auto"/>
            <w:noWrap/>
            <w:vAlign w:val="center"/>
          </w:tcPr>
          <w:p w14:paraId="49B3983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0F52A50E">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3FCDD05E">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主体采用 150x150X3 不锈钢方管制作</w:t>
            </w:r>
          </w:p>
        </w:tc>
      </w:tr>
      <w:tr w14:paraId="2B206A9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AFA1CA1">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19</w:t>
            </w:r>
          </w:p>
        </w:tc>
        <w:tc>
          <w:tcPr>
            <w:tcW w:w="2553" w:type="dxa"/>
            <w:tcBorders>
              <w:tl2br w:val="nil"/>
              <w:tr2bl w:val="nil"/>
            </w:tcBorders>
            <w:shd w:val="clear" w:color="auto" w:fill="auto"/>
            <w:noWrap/>
            <w:vAlign w:val="center"/>
          </w:tcPr>
          <w:p w14:paraId="414C393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排酸及输送线</w:t>
            </w:r>
          </w:p>
        </w:tc>
        <w:tc>
          <w:tcPr>
            <w:tcW w:w="581" w:type="dxa"/>
            <w:tcBorders>
              <w:tl2br w:val="nil"/>
              <w:tr2bl w:val="nil"/>
            </w:tcBorders>
            <w:shd w:val="clear" w:color="auto" w:fill="auto"/>
            <w:noWrap/>
            <w:vAlign w:val="center"/>
          </w:tcPr>
          <w:p w14:paraId="5DF6F93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米</w:t>
            </w:r>
          </w:p>
        </w:tc>
        <w:tc>
          <w:tcPr>
            <w:tcW w:w="570" w:type="dxa"/>
            <w:tcBorders>
              <w:tl2br w:val="nil"/>
              <w:tr2bl w:val="nil"/>
            </w:tcBorders>
            <w:shd w:val="clear" w:color="auto" w:fill="auto"/>
            <w:noWrap/>
            <w:vAlign w:val="center"/>
          </w:tcPr>
          <w:p w14:paraId="28452B47">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2</w:t>
            </w:r>
            <w:r>
              <w:rPr>
                <w:rFonts w:hint="eastAsia" w:ascii="Times New Roman" w:hAnsi="Times New Roman" w:eastAsia="宋体" w:cs="Times New Roman"/>
                <w:color w:val="auto"/>
                <w:kern w:val="0"/>
                <w:sz w:val="21"/>
                <w:szCs w:val="21"/>
                <w:highlight w:val="none"/>
                <w:lang w:val="en-US" w:eastAsia="zh-CN" w:bidi="ar"/>
              </w:rPr>
              <w:t>75</w:t>
            </w:r>
          </w:p>
        </w:tc>
        <w:tc>
          <w:tcPr>
            <w:tcW w:w="3877" w:type="dxa"/>
            <w:tcBorders>
              <w:tl2br w:val="nil"/>
              <w:tr2bl w:val="nil"/>
            </w:tcBorders>
            <w:shd w:val="clear" w:color="auto" w:fill="auto"/>
            <w:vAlign w:val="top"/>
          </w:tcPr>
          <w:p w14:paraId="69F74083">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支撑吊架为155模锻铸造材质，热镀锌工艺处理</w:t>
            </w:r>
          </w:p>
        </w:tc>
      </w:tr>
      <w:tr w14:paraId="32BABE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3A70BC6">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20</w:t>
            </w:r>
          </w:p>
        </w:tc>
        <w:tc>
          <w:tcPr>
            <w:tcW w:w="2553" w:type="dxa"/>
            <w:tcBorders>
              <w:tl2br w:val="nil"/>
              <w:tr2bl w:val="nil"/>
            </w:tcBorders>
            <w:shd w:val="clear" w:color="auto" w:fill="auto"/>
            <w:noWrap/>
            <w:vAlign w:val="center"/>
          </w:tcPr>
          <w:p w14:paraId="6A6430BC">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弯轨</w:t>
            </w:r>
          </w:p>
        </w:tc>
        <w:tc>
          <w:tcPr>
            <w:tcW w:w="581" w:type="dxa"/>
            <w:tcBorders>
              <w:tl2br w:val="nil"/>
              <w:tr2bl w:val="nil"/>
            </w:tcBorders>
            <w:shd w:val="clear" w:color="auto" w:fill="auto"/>
            <w:noWrap/>
            <w:vAlign w:val="center"/>
          </w:tcPr>
          <w:p w14:paraId="37CF57D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300838F9">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73</w:t>
            </w:r>
          </w:p>
        </w:tc>
        <w:tc>
          <w:tcPr>
            <w:tcW w:w="3877" w:type="dxa"/>
            <w:tcBorders>
              <w:tl2br w:val="nil"/>
              <w:tr2bl w:val="nil"/>
            </w:tcBorders>
            <w:shd w:val="clear" w:color="auto" w:fill="auto"/>
            <w:vAlign w:val="center"/>
          </w:tcPr>
          <w:p w14:paraId="474A0931">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模锻铸造成型，热镀锌</w:t>
            </w:r>
          </w:p>
        </w:tc>
      </w:tr>
      <w:tr w14:paraId="5777F6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1232D40">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21</w:t>
            </w:r>
          </w:p>
        </w:tc>
        <w:tc>
          <w:tcPr>
            <w:tcW w:w="2553" w:type="dxa"/>
            <w:tcBorders>
              <w:tl2br w:val="nil"/>
              <w:tr2bl w:val="nil"/>
            </w:tcBorders>
            <w:shd w:val="clear" w:color="auto" w:fill="auto"/>
            <w:noWrap/>
            <w:vAlign w:val="center"/>
          </w:tcPr>
          <w:p w14:paraId="37198AEA">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道叉</w:t>
            </w:r>
          </w:p>
        </w:tc>
        <w:tc>
          <w:tcPr>
            <w:tcW w:w="581" w:type="dxa"/>
            <w:tcBorders>
              <w:tl2br w:val="nil"/>
              <w:tr2bl w:val="nil"/>
            </w:tcBorders>
            <w:shd w:val="clear" w:color="auto" w:fill="auto"/>
            <w:noWrap/>
            <w:vAlign w:val="center"/>
          </w:tcPr>
          <w:p w14:paraId="044600A3">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0E1574B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55</w:t>
            </w:r>
          </w:p>
        </w:tc>
        <w:tc>
          <w:tcPr>
            <w:tcW w:w="3877" w:type="dxa"/>
            <w:tcBorders>
              <w:tl2br w:val="nil"/>
              <w:tr2bl w:val="nil"/>
            </w:tcBorders>
            <w:shd w:val="clear" w:color="auto" w:fill="auto"/>
            <w:vAlign w:val="center"/>
          </w:tcPr>
          <w:p w14:paraId="4B60B681">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模锻铸造成型，热镀锌</w:t>
            </w:r>
          </w:p>
        </w:tc>
      </w:tr>
      <w:tr w14:paraId="2CDB12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2279168">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22</w:t>
            </w:r>
          </w:p>
        </w:tc>
        <w:tc>
          <w:tcPr>
            <w:tcW w:w="2553" w:type="dxa"/>
            <w:tcBorders>
              <w:tl2br w:val="nil"/>
              <w:tr2bl w:val="nil"/>
            </w:tcBorders>
            <w:shd w:val="clear" w:color="auto" w:fill="auto"/>
            <w:noWrap/>
            <w:vAlign w:val="center"/>
          </w:tcPr>
          <w:p w14:paraId="4BD69480">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自动落羊器</w:t>
            </w:r>
          </w:p>
        </w:tc>
        <w:tc>
          <w:tcPr>
            <w:tcW w:w="581" w:type="dxa"/>
            <w:tcBorders>
              <w:tl2br w:val="nil"/>
              <w:tr2bl w:val="nil"/>
            </w:tcBorders>
            <w:shd w:val="clear" w:color="auto" w:fill="auto"/>
            <w:noWrap/>
            <w:vAlign w:val="center"/>
          </w:tcPr>
          <w:p w14:paraId="1A07D2C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6C41A672">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1083A398">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整体国标热镀锌材质，含自动感应装置，气动装置</w:t>
            </w:r>
          </w:p>
        </w:tc>
      </w:tr>
      <w:tr w14:paraId="58F7B4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F4394C6">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23</w:t>
            </w:r>
          </w:p>
        </w:tc>
        <w:tc>
          <w:tcPr>
            <w:tcW w:w="2553" w:type="dxa"/>
            <w:tcBorders>
              <w:tl2br w:val="nil"/>
              <w:tr2bl w:val="nil"/>
            </w:tcBorders>
            <w:shd w:val="clear" w:color="auto" w:fill="auto"/>
            <w:noWrap/>
            <w:vAlign w:val="center"/>
          </w:tcPr>
          <w:p w14:paraId="3C1FFB13">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全自动智能烫池</w:t>
            </w:r>
          </w:p>
        </w:tc>
        <w:tc>
          <w:tcPr>
            <w:tcW w:w="581" w:type="dxa"/>
            <w:tcBorders>
              <w:tl2br w:val="nil"/>
              <w:tr2bl w:val="nil"/>
            </w:tcBorders>
            <w:shd w:val="clear" w:color="auto" w:fill="auto"/>
            <w:noWrap/>
            <w:vAlign w:val="center"/>
          </w:tcPr>
          <w:p w14:paraId="4CA18D5D">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14856856">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3A15C434">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整体不锈钢材质，2200*1800*850</w:t>
            </w:r>
          </w:p>
        </w:tc>
      </w:tr>
      <w:tr w14:paraId="1B9970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ABA418E">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24</w:t>
            </w:r>
          </w:p>
        </w:tc>
        <w:tc>
          <w:tcPr>
            <w:tcW w:w="2553" w:type="dxa"/>
            <w:tcBorders>
              <w:tl2br w:val="nil"/>
              <w:tr2bl w:val="nil"/>
            </w:tcBorders>
            <w:shd w:val="clear" w:color="auto" w:fill="auto"/>
            <w:noWrap/>
            <w:vAlign w:val="center"/>
          </w:tcPr>
          <w:p w14:paraId="66721F98">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新型全自动羊抛毛机</w:t>
            </w:r>
          </w:p>
        </w:tc>
        <w:tc>
          <w:tcPr>
            <w:tcW w:w="581" w:type="dxa"/>
            <w:tcBorders>
              <w:tl2br w:val="nil"/>
              <w:tr2bl w:val="nil"/>
            </w:tcBorders>
            <w:shd w:val="clear" w:color="auto" w:fill="auto"/>
            <w:noWrap/>
            <w:vAlign w:val="center"/>
          </w:tcPr>
          <w:p w14:paraId="61CCE3BB">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0849F18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7082E9F9">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技术尺寸为2600*1900*1700</w:t>
            </w:r>
          </w:p>
        </w:tc>
      </w:tr>
      <w:tr w14:paraId="76EDE3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DB7CA85">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25</w:t>
            </w:r>
          </w:p>
        </w:tc>
        <w:tc>
          <w:tcPr>
            <w:tcW w:w="2553" w:type="dxa"/>
            <w:tcBorders>
              <w:tl2br w:val="nil"/>
              <w:tr2bl w:val="nil"/>
            </w:tcBorders>
            <w:shd w:val="clear" w:color="auto" w:fill="auto"/>
            <w:noWrap/>
            <w:vAlign w:val="center"/>
          </w:tcPr>
          <w:p w14:paraId="3195EDEA">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白条提升机</w:t>
            </w:r>
          </w:p>
        </w:tc>
        <w:tc>
          <w:tcPr>
            <w:tcW w:w="581" w:type="dxa"/>
            <w:tcBorders>
              <w:tl2br w:val="nil"/>
              <w:tr2bl w:val="nil"/>
            </w:tcBorders>
            <w:shd w:val="clear" w:color="auto" w:fill="auto"/>
            <w:noWrap/>
            <w:vAlign w:val="center"/>
          </w:tcPr>
          <w:p w14:paraId="2195993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18CDE659">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799B7DBF">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整体热镀锌国标材质，功率为2.2kw</w:t>
            </w:r>
          </w:p>
        </w:tc>
      </w:tr>
      <w:tr w14:paraId="564143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498F74B">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26</w:t>
            </w:r>
          </w:p>
        </w:tc>
        <w:tc>
          <w:tcPr>
            <w:tcW w:w="2553" w:type="dxa"/>
            <w:tcBorders>
              <w:tl2br w:val="nil"/>
              <w:tr2bl w:val="nil"/>
            </w:tcBorders>
            <w:shd w:val="clear" w:color="auto" w:fill="auto"/>
            <w:noWrap/>
            <w:vAlign w:val="center"/>
          </w:tcPr>
          <w:p w14:paraId="28EEE6FB">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白条清水池</w:t>
            </w:r>
          </w:p>
        </w:tc>
        <w:tc>
          <w:tcPr>
            <w:tcW w:w="581" w:type="dxa"/>
            <w:tcBorders>
              <w:tl2br w:val="nil"/>
              <w:tr2bl w:val="nil"/>
            </w:tcBorders>
            <w:shd w:val="clear" w:color="auto" w:fill="auto"/>
            <w:noWrap/>
            <w:vAlign w:val="center"/>
          </w:tcPr>
          <w:p w14:paraId="77011AB9">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0DC269C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1BBB6A7D">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整体不锈钢材质，不锈钢框架支撑结构</w:t>
            </w:r>
          </w:p>
        </w:tc>
      </w:tr>
      <w:tr w14:paraId="1ECC315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6AF1715">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27</w:t>
            </w:r>
          </w:p>
        </w:tc>
        <w:tc>
          <w:tcPr>
            <w:tcW w:w="2553" w:type="dxa"/>
            <w:tcBorders>
              <w:tl2br w:val="nil"/>
              <w:tr2bl w:val="nil"/>
            </w:tcBorders>
            <w:shd w:val="clear" w:color="auto" w:fill="auto"/>
            <w:noWrap/>
            <w:vAlign w:val="center"/>
          </w:tcPr>
          <w:p w14:paraId="4F02999C">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扣脚链</w:t>
            </w:r>
          </w:p>
        </w:tc>
        <w:tc>
          <w:tcPr>
            <w:tcW w:w="581" w:type="dxa"/>
            <w:tcBorders>
              <w:tl2br w:val="nil"/>
              <w:tr2bl w:val="nil"/>
            </w:tcBorders>
            <w:shd w:val="clear" w:color="auto" w:fill="auto"/>
            <w:noWrap/>
            <w:vAlign w:val="center"/>
          </w:tcPr>
          <w:p w14:paraId="5169612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2C874F5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30</w:t>
            </w:r>
          </w:p>
        </w:tc>
        <w:tc>
          <w:tcPr>
            <w:tcW w:w="3877" w:type="dxa"/>
            <w:tcBorders>
              <w:tl2br w:val="nil"/>
              <w:tr2bl w:val="nil"/>
            </w:tcBorders>
            <w:shd w:val="clear" w:color="auto" w:fill="auto"/>
            <w:vAlign w:val="center"/>
          </w:tcPr>
          <w:p w14:paraId="39353E31">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热镀套管，链条为不锈钢材质</w:t>
            </w:r>
          </w:p>
        </w:tc>
      </w:tr>
      <w:tr w14:paraId="4D1543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BCA1E5C">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28</w:t>
            </w:r>
          </w:p>
        </w:tc>
        <w:tc>
          <w:tcPr>
            <w:tcW w:w="2553" w:type="dxa"/>
            <w:tcBorders>
              <w:tl2br w:val="nil"/>
              <w:tr2bl w:val="nil"/>
            </w:tcBorders>
            <w:shd w:val="clear" w:color="auto" w:fill="auto"/>
            <w:noWrap/>
            <w:vAlign w:val="center"/>
          </w:tcPr>
          <w:p w14:paraId="08F542E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滑轮</w:t>
            </w:r>
          </w:p>
        </w:tc>
        <w:tc>
          <w:tcPr>
            <w:tcW w:w="581" w:type="dxa"/>
            <w:tcBorders>
              <w:tl2br w:val="nil"/>
              <w:tr2bl w:val="nil"/>
            </w:tcBorders>
            <w:shd w:val="clear" w:color="auto" w:fill="auto"/>
            <w:noWrap/>
            <w:vAlign w:val="center"/>
          </w:tcPr>
          <w:p w14:paraId="5AFA57CA">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18B1E811">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300</w:t>
            </w:r>
          </w:p>
        </w:tc>
        <w:tc>
          <w:tcPr>
            <w:tcW w:w="3877" w:type="dxa"/>
            <w:tcBorders>
              <w:tl2br w:val="nil"/>
              <w:tr2bl w:val="nil"/>
            </w:tcBorders>
            <w:shd w:val="clear" w:color="auto" w:fill="auto"/>
            <w:vAlign w:val="center"/>
          </w:tcPr>
          <w:p w14:paraId="733EC9E6">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模锻铸造成型，热镀锌</w:t>
            </w:r>
          </w:p>
        </w:tc>
      </w:tr>
      <w:tr w14:paraId="7774E1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A72E62F">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29</w:t>
            </w:r>
          </w:p>
        </w:tc>
        <w:tc>
          <w:tcPr>
            <w:tcW w:w="2553" w:type="dxa"/>
            <w:tcBorders>
              <w:tl2br w:val="nil"/>
              <w:tr2bl w:val="nil"/>
            </w:tcBorders>
            <w:shd w:val="clear" w:color="auto" w:fill="auto"/>
            <w:noWrap/>
            <w:vAlign w:val="center"/>
          </w:tcPr>
          <w:p w14:paraId="2C506952">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W钩</w:t>
            </w:r>
          </w:p>
        </w:tc>
        <w:tc>
          <w:tcPr>
            <w:tcW w:w="581" w:type="dxa"/>
            <w:tcBorders>
              <w:tl2br w:val="nil"/>
              <w:tr2bl w:val="nil"/>
            </w:tcBorders>
            <w:shd w:val="clear" w:color="auto" w:fill="auto"/>
            <w:noWrap/>
            <w:vAlign w:val="center"/>
          </w:tcPr>
          <w:p w14:paraId="1FBCFFEF">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3D186764">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300</w:t>
            </w:r>
          </w:p>
        </w:tc>
        <w:tc>
          <w:tcPr>
            <w:tcW w:w="3877" w:type="dxa"/>
            <w:tcBorders>
              <w:tl2br w:val="nil"/>
              <w:tr2bl w:val="nil"/>
            </w:tcBorders>
            <w:shd w:val="clear" w:color="auto" w:fill="auto"/>
            <w:vAlign w:val="center"/>
          </w:tcPr>
          <w:p w14:paraId="5F8979BD">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整体采用不锈钢材质，直径10mm.</w:t>
            </w:r>
          </w:p>
        </w:tc>
      </w:tr>
      <w:tr w14:paraId="05192E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8355298">
            <w:pPr>
              <w:widowControl/>
              <w:spacing w:line="360" w:lineRule="exact"/>
              <w:ind w:firstLine="0" w:firstLineChars="0"/>
              <w:jc w:val="center"/>
              <w:textAlignment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30</w:t>
            </w:r>
          </w:p>
        </w:tc>
        <w:tc>
          <w:tcPr>
            <w:tcW w:w="2553" w:type="dxa"/>
            <w:tcBorders>
              <w:tl2br w:val="nil"/>
              <w:tr2bl w:val="nil"/>
            </w:tcBorders>
            <w:shd w:val="clear" w:color="auto" w:fill="auto"/>
            <w:noWrap/>
            <w:vAlign w:val="center"/>
          </w:tcPr>
          <w:p w14:paraId="5428C967">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电子轨道称</w:t>
            </w:r>
          </w:p>
        </w:tc>
        <w:tc>
          <w:tcPr>
            <w:tcW w:w="581" w:type="dxa"/>
            <w:tcBorders>
              <w:tl2br w:val="nil"/>
              <w:tr2bl w:val="nil"/>
            </w:tcBorders>
            <w:shd w:val="clear" w:color="auto" w:fill="auto"/>
            <w:noWrap/>
            <w:vAlign w:val="center"/>
          </w:tcPr>
          <w:p w14:paraId="36AD8EF0">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4B18E65F">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4FF3AF6A">
            <w:pPr>
              <w:widowControl/>
              <w:spacing w:line="360" w:lineRule="exact"/>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bidi="ar"/>
              </w:rPr>
              <w:t>镀锌结构，长度800mm，含显示屏和打印装置</w:t>
            </w:r>
          </w:p>
        </w:tc>
      </w:tr>
      <w:tr w14:paraId="4E693D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5A94F89A">
            <w:pPr>
              <w:widowControl/>
              <w:spacing w:line="360" w:lineRule="exact"/>
              <w:ind w:firstLine="0" w:firstLineChars="0"/>
              <w:jc w:val="center"/>
              <w:textAlignment w:val="center"/>
              <w:rPr>
                <w:rFonts w:cs="Times New Roman"/>
                <w:b/>
                <w:bCs/>
                <w:color w:val="auto"/>
                <w:sz w:val="21"/>
                <w:szCs w:val="21"/>
                <w:highlight w:val="none"/>
              </w:rPr>
            </w:pPr>
            <w:r>
              <w:rPr>
                <w:rFonts w:cs="Times New Roman"/>
                <w:b/>
                <w:bCs/>
                <w:color w:val="auto"/>
                <w:kern w:val="0"/>
                <w:sz w:val="21"/>
                <w:szCs w:val="21"/>
                <w:highlight w:val="none"/>
                <w:lang w:bidi="ar"/>
              </w:rPr>
              <w:t>四、排酸间设备</w:t>
            </w:r>
          </w:p>
        </w:tc>
      </w:tr>
      <w:tr w14:paraId="03F702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E6D97D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2553" w:type="dxa"/>
            <w:tcBorders>
              <w:tl2br w:val="nil"/>
              <w:tr2bl w:val="nil"/>
            </w:tcBorders>
            <w:shd w:val="clear" w:color="auto" w:fill="auto"/>
            <w:vAlign w:val="center"/>
          </w:tcPr>
          <w:p w14:paraId="6A85CB81">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管轨手推线</w:t>
            </w:r>
          </w:p>
        </w:tc>
        <w:tc>
          <w:tcPr>
            <w:tcW w:w="581" w:type="dxa"/>
            <w:tcBorders>
              <w:tl2br w:val="nil"/>
              <w:tr2bl w:val="nil"/>
            </w:tcBorders>
            <w:shd w:val="clear" w:color="auto" w:fill="auto"/>
            <w:noWrap/>
            <w:vAlign w:val="center"/>
          </w:tcPr>
          <w:p w14:paraId="27473F09">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米</w:t>
            </w:r>
          </w:p>
        </w:tc>
        <w:tc>
          <w:tcPr>
            <w:tcW w:w="570" w:type="dxa"/>
            <w:tcBorders>
              <w:tl2br w:val="nil"/>
              <w:tr2bl w:val="nil"/>
            </w:tcBorders>
            <w:shd w:val="clear" w:color="auto" w:fill="auto"/>
            <w:noWrap/>
            <w:vAlign w:val="center"/>
          </w:tcPr>
          <w:p w14:paraId="54A3084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140</w:t>
            </w:r>
          </w:p>
        </w:tc>
        <w:tc>
          <w:tcPr>
            <w:tcW w:w="3877" w:type="dxa"/>
            <w:tcBorders>
              <w:tl2br w:val="nil"/>
              <w:tr2bl w:val="nil"/>
            </w:tcBorders>
            <w:shd w:val="clear" w:color="auto" w:fill="auto"/>
            <w:vAlign w:val="center"/>
          </w:tcPr>
          <w:p w14:paraId="7437D360">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6A5EA7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EF0AA12">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w:t>
            </w:r>
          </w:p>
        </w:tc>
        <w:tc>
          <w:tcPr>
            <w:tcW w:w="2553" w:type="dxa"/>
            <w:tcBorders>
              <w:tl2br w:val="nil"/>
              <w:tr2bl w:val="nil"/>
            </w:tcBorders>
            <w:shd w:val="clear" w:color="auto" w:fill="auto"/>
            <w:vAlign w:val="center"/>
          </w:tcPr>
          <w:p w14:paraId="26BC818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道叉</w:t>
            </w:r>
          </w:p>
        </w:tc>
        <w:tc>
          <w:tcPr>
            <w:tcW w:w="581" w:type="dxa"/>
            <w:tcBorders>
              <w:tl2br w:val="nil"/>
              <w:tr2bl w:val="nil"/>
            </w:tcBorders>
            <w:shd w:val="clear" w:color="auto" w:fill="auto"/>
            <w:noWrap/>
            <w:vAlign w:val="center"/>
          </w:tcPr>
          <w:p w14:paraId="5BCB9E29">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49B84B2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10</w:t>
            </w:r>
          </w:p>
        </w:tc>
        <w:tc>
          <w:tcPr>
            <w:tcW w:w="3877" w:type="dxa"/>
            <w:tcBorders>
              <w:tl2br w:val="nil"/>
              <w:tr2bl w:val="nil"/>
            </w:tcBorders>
            <w:shd w:val="clear" w:color="auto" w:fill="auto"/>
            <w:vAlign w:val="center"/>
          </w:tcPr>
          <w:p w14:paraId="53BC11ED">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343E30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721F06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3</w:t>
            </w:r>
          </w:p>
        </w:tc>
        <w:tc>
          <w:tcPr>
            <w:tcW w:w="2553" w:type="dxa"/>
            <w:tcBorders>
              <w:tl2br w:val="nil"/>
              <w:tr2bl w:val="nil"/>
            </w:tcBorders>
            <w:shd w:val="clear" w:color="auto" w:fill="auto"/>
            <w:vAlign w:val="center"/>
          </w:tcPr>
          <w:p w14:paraId="04D37C6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弯道</w:t>
            </w:r>
          </w:p>
        </w:tc>
        <w:tc>
          <w:tcPr>
            <w:tcW w:w="581" w:type="dxa"/>
            <w:tcBorders>
              <w:tl2br w:val="nil"/>
              <w:tr2bl w:val="nil"/>
            </w:tcBorders>
            <w:shd w:val="clear" w:color="auto" w:fill="auto"/>
            <w:noWrap/>
            <w:vAlign w:val="center"/>
          </w:tcPr>
          <w:p w14:paraId="2AE743D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件</w:t>
            </w:r>
          </w:p>
        </w:tc>
        <w:tc>
          <w:tcPr>
            <w:tcW w:w="570" w:type="dxa"/>
            <w:tcBorders>
              <w:tl2br w:val="nil"/>
              <w:tr2bl w:val="nil"/>
            </w:tcBorders>
            <w:shd w:val="clear" w:color="auto" w:fill="auto"/>
            <w:noWrap/>
            <w:vAlign w:val="center"/>
          </w:tcPr>
          <w:p w14:paraId="13AA6E4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17</w:t>
            </w:r>
          </w:p>
        </w:tc>
        <w:tc>
          <w:tcPr>
            <w:tcW w:w="3877" w:type="dxa"/>
            <w:tcBorders>
              <w:tl2br w:val="nil"/>
              <w:tr2bl w:val="nil"/>
            </w:tcBorders>
            <w:shd w:val="clear" w:color="auto" w:fill="auto"/>
            <w:vAlign w:val="center"/>
          </w:tcPr>
          <w:p w14:paraId="6C46F9F7">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7FAD33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1B735D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4</w:t>
            </w:r>
          </w:p>
        </w:tc>
        <w:tc>
          <w:tcPr>
            <w:tcW w:w="2553" w:type="dxa"/>
            <w:tcBorders>
              <w:tl2br w:val="nil"/>
              <w:tr2bl w:val="nil"/>
            </w:tcBorders>
            <w:shd w:val="clear" w:color="auto" w:fill="auto"/>
            <w:vAlign w:val="center"/>
          </w:tcPr>
          <w:p w14:paraId="5E6E103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双轨手推线</w:t>
            </w:r>
          </w:p>
        </w:tc>
        <w:tc>
          <w:tcPr>
            <w:tcW w:w="581" w:type="dxa"/>
            <w:tcBorders>
              <w:tl2br w:val="nil"/>
              <w:tr2bl w:val="nil"/>
            </w:tcBorders>
            <w:shd w:val="clear" w:color="auto" w:fill="auto"/>
            <w:noWrap/>
            <w:vAlign w:val="center"/>
          </w:tcPr>
          <w:p w14:paraId="75F8484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米</w:t>
            </w:r>
          </w:p>
        </w:tc>
        <w:tc>
          <w:tcPr>
            <w:tcW w:w="570" w:type="dxa"/>
            <w:tcBorders>
              <w:tl2br w:val="nil"/>
              <w:tr2bl w:val="nil"/>
            </w:tcBorders>
            <w:shd w:val="clear" w:color="auto" w:fill="auto"/>
            <w:noWrap/>
            <w:vAlign w:val="center"/>
          </w:tcPr>
          <w:p w14:paraId="74D8FFD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270</w:t>
            </w:r>
          </w:p>
        </w:tc>
        <w:tc>
          <w:tcPr>
            <w:tcW w:w="3877" w:type="dxa"/>
            <w:tcBorders>
              <w:tl2br w:val="nil"/>
              <w:tr2bl w:val="nil"/>
            </w:tcBorders>
            <w:shd w:val="clear" w:color="auto" w:fill="auto"/>
            <w:vAlign w:val="center"/>
          </w:tcPr>
          <w:p w14:paraId="5A10374D">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1EBE10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F3E220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5</w:t>
            </w:r>
          </w:p>
        </w:tc>
        <w:tc>
          <w:tcPr>
            <w:tcW w:w="2553" w:type="dxa"/>
            <w:tcBorders>
              <w:tl2br w:val="nil"/>
              <w:tr2bl w:val="nil"/>
            </w:tcBorders>
            <w:shd w:val="clear" w:color="auto" w:fill="auto"/>
            <w:vAlign w:val="center"/>
          </w:tcPr>
          <w:p w14:paraId="5C9C67C3">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双向道叉</w:t>
            </w:r>
          </w:p>
        </w:tc>
        <w:tc>
          <w:tcPr>
            <w:tcW w:w="581" w:type="dxa"/>
            <w:tcBorders>
              <w:tl2br w:val="nil"/>
              <w:tr2bl w:val="nil"/>
            </w:tcBorders>
            <w:shd w:val="clear" w:color="auto" w:fill="auto"/>
            <w:noWrap/>
            <w:vAlign w:val="center"/>
          </w:tcPr>
          <w:p w14:paraId="60936BD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50D84C2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36</w:t>
            </w:r>
          </w:p>
        </w:tc>
        <w:tc>
          <w:tcPr>
            <w:tcW w:w="3877" w:type="dxa"/>
            <w:tcBorders>
              <w:tl2br w:val="nil"/>
              <w:tr2bl w:val="nil"/>
            </w:tcBorders>
            <w:shd w:val="clear" w:color="auto" w:fill="auto"/>
            <w:vAlign w:val="center"/>
          </w:tcPr>
          <w:p w14:paraId="5A14970C">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0579F4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E6DF33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6</w:t>
            </w:r>
          </w:p>
        </w:tc>
        <w:tc>
          <w:tcPr>
            <w:tcW w:w="2553" w:type="dxa"/>
            <w:tcBorders>
              <w:tl2br w:val="nil"/>
              <w:tr2bl w:val="nil"/>
            </w:tcBorders>
            <w:shd w:val="clear" w:color="auto" w:fill="auto"/>
            <w:vAlign w:val="center"/>
          </w:tcPr>
          <w:p w14:paraId="27DCA57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三向道叉</w:t>
            </w:r>
          </w:p>
        </w:tc>
        <w:tc>
          <w:tcPr>
            <w:tcW w:w="581" w:type="dxa"/>
            <w:tcBorders>
              <w:tl2br w:val="nil"/>
              <w:tr2bl w:val="nil"/>
            </w:tcBorders>
            <w:shd w:val="clear" w:color="auto" w:fill="auto"/>
            <w:noWrap/>
            <w:vAlign w:val="center"/>
          </w:tcPr>
          <w:p w14:paraId="7EDBEAB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套</w:t>
            </w:r>
          </w:p>
        </w:tc>
        <w:tc>
          <w:tcPr>
            <w:tcW w:w="570" w:type="dxa"/>
            <w:tcBorders>
              <w:tl2br w:val="nil"/>
              <w:tr2bl w:val="nil"/>
            </w:tcBorders>
            <w:shd w:val="clear" w:color="auto" w:fill="auto"/>
            <w:noWrap/>
            <w:vAlign w:val="center"/>
          </w:tcPr>
          <w:p w14:paraId="1C2E44D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14</w:t>
            </w:r>
          </w:p>
        </w:tc>
        <w:tc>
          <w:tcPr>
            <w:tcW w:w="3877" w:type="dxa"/>
            <w:tcBorders>
              <w:tl2br w:val="nil"/>
              <w:tr2bl w:val="nil"/>
            </w:tcBorders>
            <w:shd w:val="clear" w:color="auto" w:fill="auto"/>
            <w:vAlign w:val="center"/>
          </w:tcPr>
          <w:p w14:paraId="0E33BCBD">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7EFE529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4E5440F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7</w:t>
            </w:r>
          </w:p>
        </w:tc>
        <w:tc>
          <w:tcPr>
            <w:tcW w:w="2553" w:type="dxa"/>
            <w:tcBorders>
              <w:tl2br w:val="nil"/>
              <w:tr2bl w:val="nil"/>
            </w:tcBorders>
            <w:shd w:val="clear" w:color="auto" w:fill="auto"/>
            <w:vAlign w:val="center"/>
          </w:tcPr>
          <w:p w14:paraId="49E530C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弯道</w:t>
            </w:r>
          </w:p>
        </w:tc>
        <w:tc>
          <w:tcPr>
            <w:tcW w:w="581" w:type="dxa"/>
            <w:tcBorders>
              <w:tl2br w:val="nil"/>
              <w:tr2bl w:val="nil"/>
            </w:tcBorders>
            <w:shd w:val="clear" w:color="auto" w:fill="auto"/>
            <w:noWrap/>
            <w:vAlign w:val="center"/>
          </w:tcPr>
          <w:p w14:paraId="764C3BF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件</w:t>
            </w:r>
          </w:p>
        </w:tc>
        <w:tc>
          <w:tcPr>
            <w:tcW w:w="570" w:type="dxa"/>
            <w:tcBorders>
              <w:tl2br w:val="nil"/>
              <w:tr2bl w:val="nil"/>
            </w:tcBorders>
            <w:shd w:val="clear" w:color="auto" w:fill="auto"/>
            <w:noWrap/>
            <w:vAlign w:val="center"/>
          </w:tcPr>
          <w:p w14:paraId="18331173">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120</w:t>
            </w:r>
          </w:p>
        </w:tc>
        <w:tc>
          <w:tcPr>
            <w:tcW w:w="3877" w:type="dxa"/>
            <w:tcBorders>
              <w:tl2br w:val="nil"/>
              <w:tr2bl w:val="nil"/>
            </w:tcBorders>
            <w:shd w:val="clear" w:color="auto" w:fill="auto"/>
            <w:vAlign w:val="center"/>
          </w:tcPr>
          <w:p w14:paraId="01482E60">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w:t>
            </w:r>
          </w:p>
        </w:tc>
      </w:tr>
      <w:tr w14:paraId="46EE90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388EDF3A">
            <w:pPr>
              <w:widowControl/>
              <w:spacing w:line="360" w:lineRule="exact"/>
              <w:ind w:firstLine="0" w:firstLineChars="0"/>
              <w:jc w:val="center"/>
              <w:textAlignment w:val="center"/>
              <w:rPr>
                <w:rFonts w:cs="Times New Roman"/>
                <w:b/>
                <w:bCs/>
                <w:color w:val="auto"/>
                <w:sz w:val="21"/>
                <w:szCs w:val="21"/>
                <w:highlight w:val="none"/>
              </w:rPr>
            </w:pPr>
            <w:r>
              <w:rPr>
                <w:rFonts w:cs="Times New Roman"/>
                <w:b/>
                <w:bCs/>
                <w:color w:val="auto"/>
                <w:kern w:val="0"/>
                <w:sz w:val="21"/>
                <w:szCs w:val="21"/>
                <w:highlight w:val="none"/>
                <w:lang w:bidi="ar"/>
              </w:rPr>
              <w:t>五、分割包装设备</w:t>
            </w:r>
          </w:p>
        </w:tc>
      </w:tr>
      <w:tr w14:paraId="58B7815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23DBDD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2553" w:type="dxa"/>
            <w:tcBorders>
              <w:tl2br w:val="nil"/>
              <w:tr2bl w:val="nil"/>
            </w:tcBorders>
            <w:shd w:val="clear" w:color="auto" w:fill="auto"/>
            <w:vAlign w:val="center"/>
          </w:tcPr>
          <w:p w14:paraId="37CFA6D7">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剔骨工作台</w:t>
            </w:r>
          </w:p>
        </w:tc>
        <w:tc>
          <w:tcPr>
            <w:tcW w:w="581" w:type="dxa"/>
            <w:tcBorders>
              <w:tl2br w:val="nil"/>
              <w:tr2bl w:val="nil"/>
            </w:tcBorders>
            <w:shd w:val="clear" w:color="auto" w:fill="auto"/>
            <w:noWrap/>
            <w:vAlign w:val="center"/>
          </w:tcPr>
          <w:p w14:paraId="05463B57">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313012C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w:t>
            </w:r>
          </w:p>
        </w:tc>
        <w:tc>
          <w:tcPr>
            <w:tcW w:w="3877" w:type="dxa"/>
            <w:tcBorders>
              <w:tl2br w:val="nil"/>
              <w:tr2bl w:val="nil"/>
            </w:tcBorders>
            <w:shd w:val="clear" w:color="auto" w:fill="auto"/>
            <w:vAlign w:val="center"/>
          </w:tcPr>
          <w:p w14:paraId="11DDBA0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1800X900X800，不锈钢材质：304</w:t>
            </w:r>
          </w:p>
        </w:tc>
      </w:tr>
      <w:tr w14:paraId="15F6580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C2FB84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w:t>
            </w:r>
          </w:p>
        </w:tc>
        <w:tc>
          <w:tcPr>
            <w:tcW w:w="2553" w:type="dxa"/>
            <w:tcBorders>
              <w:tl2br w:val="nil"/>
              <w:tr2bl w:val="nil"/>
            </w:tcBorders>
            <w:shd w:val="clear" w:color="auto" w:fill="auto"/>
            <w:vAlign w:val="center"/>
          </w:tcPr>
          <w:p w14:paraId="153DEF5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分割输送机</w:t>
            </w:r>
          </w:p>
        </w:tc>
        <w:tc>
          <w:tcPr>
            <w:tcW w:w="581" w:type="dxa"/>
            <w:tcBorders>
              <w:tl2br w:val="nil"/>
              <w:tr2bl w:val="nil"/>
            </w:tcBorders>
            <w:shd w:val="clear" w:color="auto" w:fill="auto"/>
            <w:noWrap/>
            <w:vAlign w:val="center"/>
          </w:tcPr>
          <w:p w14:paraId="39D390F3">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45A2AB3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3CA0B686">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电机功率为1.1kw</w:t>
            </w:r>
          </w:p>
        </w:tc>
      </w:tr>
      <w:tr w14:paraId="263BE8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D62743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3</w:t>
            </w:r>
          </w:p>
        </w:tc>
        <w:tc>
          <w:tcPr>
            <w:tcW w:w="2553" w:type="dxa"/>
            <w:tcBorders>
              <w:tl2br w:val="nil"/>
              <w:tr2bl w:val="nil"/>
            </w:tcBorders>
            <w:shd w:val="clear" w:color="auto" w:fill="auto"/>
            <w:vAlign w:val="center"/>
          </w:tcPr>
          <w:p w14:paraId="5CD12605">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分割台</w:t>
            </w:r>
          </w:p>
        </w:tc>
        <w:tc>
          <w:tcPr>
            <w:tcW w:w="581" w:type="dxa"/>
            <w:tcBorders>
              <w:tl2br w:val="nil"/>
              <w:tr2bl w:val="nil"/>
            </w:tcBorders>
            <w:shd w:val="clear" w:color="auto" w:fill="auto"/>
            <w:noWrap/>
            <w:vAlign w:val="center"/>
          </w:tcPr>
          <w:p w14:paraId="3596222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7BE4BCE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10</w:t>
            </w:r>
          </w:p>
        </w:tc>
        <w:tc>
          <w:tcPr>
            <w:tcW w:w="3877" w:type="dxa"/>
            <w:tcBorders>
              <w:tl2br w:val="nil"/>
              <w:tr2bl w:val="nil"/>
            </w:tcBorders>
            <w:shd w:val="clear" w:color="auto" w:fill="auto"/>
            <w:vAlign w:val="center"/>
          </w:tcPr>
          <w:p w14:paraId="4647C5D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1200X700X800</w:t>
            </w:r>
          </w:p>
        </w:tc>
      </w:tr>
      <w:tr w14:paraId="197F67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39DFC91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4</w:t>
            </w:r>
          </w:p>
        </w:tc>
        <w:tc>
          <w:tcPr>
            <w:tcW w:w="2553" w:type="dxa"/>
            <w:tcBorders>
              <w:tl2br w:val="nil"/>
              <w:tr2bl w:val="nil"/>
            </w:tcBorders>
            <w:shd w:val="clear" w:color="auto" w:fill="auto"/>
            <w:vAlign w:val="center"/>
          </w:tcPr>
          <w:p w14:paraId="252CA34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包装工作台</w:t>
            </w:r>
          </w:p>
        </w:tc>
        <w:tc>
          <w:tcPr>
            <w:tcW w:w="581" w:type="dxa"/>
            <w:tcBorders>
              <w:tl2br w:val="nil"/>
              <w:tr2bl w:val="nil"/>
            </w:tcBorders>
            <w:shd w:val="clear" w:color="auto" w:fill="auto"/>
            <w:noWrap/>
            <w:vAlign w:val="center"/>
          </w:tcPr>
          <w:p w14:paraId="410FD85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78FF8189">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w:t>
            </w:r>
          </w:p>
        </w:tc>
        <w:tc>
          <w:tcPr>
            <w:tcW w:w="3877" w:type="dxa"/>
            <w:tcBorders>
              <w:tl2br w:val="nil"/>
              <w:tr2bl w:val="nil"/>
            </w:tcBorders>
            <w:shd w:val="clear" w:color="auto" w:fill="auto"/>
            <w:vAlign w:val="center"/>
          </w:tcPr>
          <w:p w14:paraId="24ED035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外形尺寸:1800X900X800mm</w:t>
            </w:r>
          </w:p>
        </w:tc>
      </w:tr>
      <w:tr w14:paraId="7347FE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C803167">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5</w:t>
            </w:r>
          </w:p>
        </w:tc>
        <w:tc>
          <w:tcPr>
            <w:tcW w:w="2553" w:type="dxa"/>
            <w:tcBorders>
              <w:tl2br w:val="nil"/>
              <w:tr2bl w:val="nil"/>
            </w:tcBorders>
            <w:shd w:val="clear" w:color="auto" w:fill="auto"/>
            <w:vAlign w:val="center"/>
          </w:tcPr>
          <w:p w14:paraId="39889A9A">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真空包装</w:t>
            </w:r>
          </w:p>
        </w:tc>
        <w:tc>
          <w:tcPr>
            <w:tcW w:w="581" w:type="dxa"/>
            <w:tcBorders>
              <w:tl2br w:val="nil"/>
              <w:tr2bl w:val="nil"/>
            </w:tcBorders>
            <w:shd w:val="clear" w:color="auto" w:fill="auto"/>
            <w:noWrap/>
            <w:vAlign w:val="center"/>
          </w:tcPr>
          <w:p w14:paraId="75DB1AA1">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39D02C2B">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135F24BA">
            <w:pPr>
              <w:widowControl/>
              <w:spacing w:line="360" w:lineRule="exact"/>
              <w:ind w:firstLine="0" w:firstLineChars="0"/>
              <w:jc w:val="center"/>
              <w:textAlignment w:val="center"/>
              <w:rPr>
                <w:rFonts w:cs="Times New Roman"/>
                <w:color w:val="auto"/>
                <w:kern w:val="0"/>
                <w:sz w:val="21"/>
                <w:szCs w:val="21"/>
                <w:highlight w:val="none"/>
                <w:lang w:bidi="ar"/>
              </w:rPr>
            </w:pPr>
            <w:r>
              <w:rPr>
                <w:rFonts w:cs="Times New Roman"/>
                <w:color w:val="auto"/>
                <w:kern w:val="0"/>
                <w:sz w:val="21"/>
                <w:szCs w:val="21"/>
                <w:highlight w:val="none"/>
                <w:lang w:bidi="ar"/>
              </w:rPr>
              <w:t>DZ-800/2S</w:t>
            </w:r>
          </w:p>
        </w:tc>
      </w:tr>
      <w:tr w14:paraId="25ABD02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AAB187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6</w:t>
            </w:r>
          </w:p>
        </w:tc>
        <w:tc>
          <w:tcPr>
            <w:tcW w:w="2553" w:type="dxa"/>
            <w:tcBorders>
              <w:tl2br w:val="nil"/>
              <w:tr2bl w:val="nil"/>
            </w:tcBorders>
            <w:shd w:val="clear" w:color="auto" w:fill="auto"/>
            <w:vAlign w:val="center"/>
          </w:tcPr>
          <w:p w14:paraId="07914E1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热缩机</w:t>
            </w:r>
          </w:p>
        </w:tc>
        <w:tc>
          <w:tcPr>
            <w:tcW w:w="581" w:type="dxa"/>
            <w:tcBorders>
              <w:tl2br w:val="nil"/>
              <w:tr2bl w:val="nil"/>
            </w:tcBorders>
            <w:shd w:val="clear" w:color="auto" w:fill="auto"/>
            <w:noWrap/>
            <w:vAlign w:val="center"/>
          </w:tcPr>
          <w:p w14:paraId="2B2B87B1">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4C995F00">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34FACEE5">
            <w:pPr>
              <w:widowControl/>
              <w:spacing w:line="360" w:lineRule="exact"/>
              <w:ind w:firstLine="420"/>
              <w:jc w:val="center"/>
              <w:textAlignment w:val="center"/>
              <w:rPr>
                <w:rFonts w:cs="Times New Roman"/>
                <w:color w:val="auto"/>
                <w:sz w:val="21"/>
                <w:szCs w:val="21"/>
                <w:highlight w:val="none"/>
              </w:rPr>
            </w:pPr>
            <w:r>
              <w:rPr>
                <w:rFonts w:cs="Times New Roman"/>
                <w:color w:val="auto"/>
                <w:sz w:val="21"/>
                <w:szCs w:val="21"/>
                <w:highlight w:val="none"/>
              </w:rPr>
              <w:t>/</w:t>
            </w:r>
          </w:p>
        </w:tc>
      </w:tr>
      <w:tr w14:paraId="1552F6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D667F2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7</w:t>
            </w:r>
          </w:p>
        </w:tc>
        <w:tc>
          <w:tcPr>
            <w:tcW w:w="2553" w:type="dxa"/>
            <w:tcBorders>
              <w:tl2br w:val="nil"/>
              <w:tr2bl w:val="nil"/>
            </w:tcBorders>
            <w:shd w:val="clear" w:color="auto" w:fill="auto"/>
            <w:noWrap/>
            <w:vAlign w:val="center"/>
          </w:tcPr>
          <w:p w14:paraId="0F675FD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速冻架车</w:t>
            </w:r>
          </w:p>
        </w:tc>
        <w:tc>
          <w:tcPr>
            <w:tcW w:w="581" w:type="dxa"/>
            <w:tcBorders>
              <w:tl2br w:val="nil"/>
              <w:tr2bl w:val="nil"/>
            </w:tcBorders>
            <w:shd w:val="clear" w:color="auto" w:fill="auto"/>
            <w:noWrap/>
            <w:vAlign w:val="center"/>
          </w:tcPr>
          <w:p w14:paraId="6B0F3A7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辆</w:t>
            </w:r>
          </w:p>
        </w:tc>
        <w:tc>
          <w:tcPr>
            <w:tcW w:w="570" w:type="dxa"/>
            <w:tcBorders>
              <w:tl2br w:val="nil"/>
              <w:tr2bl w:val="nil"/>
            </w:tcBorders>
            <w:shd w:val="clear" w:color="auto" w:fill="auto"/>
            <w:noWrap/>
            <w:vAlign w:val="center"/>
          </w:tcPr>
          <w:p w14:paraId="3F1F835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20</w:t>
            </w:r>
          </w:p>
        </w:tc>
        <w:tc>
          <w:tcPr>
            <w:tcW w:w="3877" w:type="dxa"/>
            <w:tcBorders>
              <w:tl2br w:val="nil"/>
              <w:tr2bl w:val="nil"/>
            </w:tcBorders>
            <w:shd w:val="clear" w:color="auto" w:fill="auto"/>
            <w:vAlign w:val="center"/>
          </w:tcPr>
          <w:p w14:paraId="21E0ADF5">
            <w:pPr>
              <w:widowControl/>
              <w:spacing w:line="360" w:lineRule="exact"/>
              <w:ind w:firstLine="420"/>
              <w:jc w:val="center"/>
              <w:textAlignment w:val="center"/>
              <w:rPr>
                <w:rFonts w:cs="Times New Roman"/>
                <w:color w:val="auto"/>
                <w:sz w:val="21"/>
                <w:szCs w:val="21"/>
                <w:highlight w:val="none"/>
              </w:rPr>
            </w:pPr>
            <w:r>
              <w:rPr>
                <w:rFonts w:cs="Times New Roman"/>
                <w:color w:val="auto"/>
                <w:sz w:val="21"/>
                <w:szCs w:val="21"/>
                <w:highlight w:val="none"/>
              </w:rPr>
              <w:t>/</w:t>
            </w:r>
          </w:p>
        </w:tc>
      </w:tr>
      <w:tr w14:paraId="035425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0C47CC7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8</w:t>
            </w:r>
          </w:p>
        </w:tc>
        <w:tc>
          <w:tcPr>
            <w:tcW w:w="2553" w:type="dxa"/>
            <w:tcBorders>
              <w:tl2br w:val="nil"/>
              <w:tr2bl w:val="nil"/>
            </w:tcBorders>
            <w:shd w:val="clear" w:color="auto" w:fill="auto"/>
            <w:noWrap/>
            <w:vAlign w:val="center"/>
          </w:tcPr>
          <w:p w14:paraId="382D79E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全自动打包机</w:t>
            </w:r>
          </w:p>
        </w:tc>
        <w:tc>
          <w:tcPr>
            <w:tcW w:w="581" w:type="dxa"/>
            <w:tcBorders>
              <w:tl2br w:val="nil"/>
              <w:tr2bl w:val="nil"/>
            </w:tcBorders>
            <w:shd w:val="clear" w:color="auto" w:fill="auto"/>
            <w:noWrap/>
            <w:vAlign w:val="center"/>
          </w:tcPr>
          <w:p w14:paraId="6C95A219">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台</w:t>
            </w:r>
          </w:p>
        </w:tc>
        <w:tc>
          <w:tcPr>
            <w:tcW w:w="570" w:type="dxa"/>
            <w:tcBorders>
              <w:tl2br w:val="nil"/>
              <w:tr2bl w:val="nil"/>
            </w:tcBorders>
            <w:shd w:val="clear" w:color="auto" w:fill="auto"/>
            <w:noWrap/>
            <w:vAlign w:val="center"/>
          </w:tcPr>
          <w:p w14:paraId="24C64DF2">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w:t>
            </w:r>
          </w:p>
        </w:tc>
        <w:tc>
          <w:tcPr>
            <w:tcW w:w="3877" w:type="dxa"/>
            <w:tcBorders>
              <w:tl2br w:val="nil"/>
              <w:tr2bl w:val="nil"/>
            </w:tcBorders>
            <w:shd w:val="clear" w:color="auto" w:fill="auto"/>
            <w:vAlign w:val="center"/>
          </w:tcPr>
          <w:p w14:paraId="036579C3">
            <w:pPr>
              <w:widowControl/>
              <w:spacing w:line="360" w:lineRule="exact"/>
              <w:ind w:firstLine="420"/>
              <w:jc w:val="center"/>
              <w:textAlignment w:val="center"/>
              <w:rPr>
                <w:rFonts w:cs="Times New Roman"/>
                <w:color w:val="auto"/>
                <w:sz w:val="21"/>
                <w:szCs w:val="21"/>
                <w:highlight w:val="none"/>
              </w:rPr>
            </w:pPr>
            <w:r>
              <w:rPr>
                <w:rFonts w:cs="Times New Roman"/>
                <w:color w:val="auto"/>
                <w:sz w:val="21"/>
                <w:szCs w:val="21"/>
                <w:highlight w:val="none"/>
              </w:rPr>
              <w:t>/</w:t>
            </w:r>
          </w:p>
        </w:tc>
      </w:tr>
      <w:tr w14:paraId="6616D9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418" w:type="dxa"/>
            <w:gridSpan w:val="5"/>
            <w:tcBorders>
              <w:tl2br w:val="nil"/>
              <w:tr2bl w:val="nil"/>
            </w:tcBorders>
            <w:shd w:val="clear" w:color="auto" w:fill="auto"/>
            <w:noWrap/>
            <w:vAlign w:val="center"/>
          </w:tcPr>
          <w:p w14:paraId="7162BC5A">
            <w:pPr>
              <w:widowControl/>
              <w:spacing w:line="360" w:lineRule="exact"/>
              <w:ind w:firstLine="420"/>
              <w:jc w:val="center"/>
              <w:textAlignment w:val="center"/>
              <w:rPr>
                <w:rFonts w:hint="default" w:eastAsia="宋体" w:cs="Times New Roman"/>
                <w:color w:val="auto"/>
                <w:sz w:val="21"/>
                <w:szCs w:val="21"/>
                <w:highlight w:val="none"/>
                <w:lang w:val="en-US" w:eastAsia="zh-CN"/>
              </w:rPr>
            </w:pPr>
            <w:r>
              <w:rPr>
                <w:rFonts w:hint="eastAsia" w:cs="Times New Roman"/>
                <w:b/>
                <w:bCs/>
                <w:color w:val="auto"/>
                <w:kern w:val="0"/>
                <w:sz w:val="21"/>
                <w:szCs w:val="21"/>
                <w:highlight w:val="none"/>
                <w:lang w:val="en-US" w:eastAsia="zh-CN" w:bidi="ar"/>
              </w:rPr>
              <w:t>六</w:t>
            </w:r>
            <w:r>
              <w:rPr>
                <w:rFonts w:cs="Times New Roman"/>
                <w:b/>
                <w:bCs/>
                <w:color w:val="auto"/>
                <w:kern w:val="0"/>
                <w:sz w:val="21"/>
                <w:szCs w:val="21"/>
                <w:highlight w:val="none"/>
                <w:lang w:bidi="ar"/>
              </w:rPr>
              <w:t>、</w:t>
            </w:r>
            <w:r>
              <w:rPr>
                <w:rFonts w:hint="eastAsia" w:cs="Times New Roman"/>
                <w:b/>
                <w:bCs/>
                <w:color w:val="auto"/>
                <w:kern w:val="0"/>
                <w:sz w:val="21"/>
                <w:szCs w:val="21"/>
                <w:highlight w:val="none"/>
                <w:lang w:val="en-US" w:eastAsia="zh-CN" w:bidi="ar"/>
              </w:rPr>
              <w:t>构筑物一览表</w:t>
            </w:r>
          </w:p>
        </w:tc>
      </w:tr>
      <w:tr w14:paraId="584AA4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6C8762B">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1</w:t>
            </w:r>
          </w:p>
        </w:tc>
        <w:tc>
          <w:tcPr>
            <w:tcW w:w="2553" w:type="dxa"/>
            <w:tcBorders>
              <w:tl2br w:val="nil"/>
              <w:tr2bl w:val="nil"/>
            </w:tcBorders>
            <w:shd w:val="clear" w:color="auto" w:fill="E6E6E6"/>
            <w:noWrap/>
            <w:vAlign w:val="center"/>
          </w:tcPr>
          <w:p w14:paraId="13677AED">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机械格栅</w:t>
            </w:r>
          </w:p>
        </w:tc>
        <w:tc>
          <w:tcPr>
            <w:tcW w:w="581" w:type="dxa"/>
            <w:tcBorders>
              <w:tl2br w:val="nil"/>
              <w:tr2bl w:val="nil"/>
            </w:tcBorders>
            <w:shd w:val="clear" w:color="auto" w:fill="E6E6E6"/>
            <w:noWrap/>
            <w:vAlign w:val="center"/>
          </w:tcPr>
          <w:p w14:paraId="7059126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台</w:t>
            </w:r>
          </w:p>
        </w:tc>
        <w:tc>
          <w:tcPr>
            <w:tcW w:w="570" w:type="dxa"/>
            <w:tcBorders>
              <w:tl2br w:val="nil"/>
              <w:tr2bl w:val="nil"/>
            </w:tcBorders>
            <w:shd w:val="clear" w:color="auto" w:fill="E6E6E6"/>
            <w:noWrap/>
            <w:vAlign w:val="center"/>
          </w:tcPr>
          <w:p w14:paraId="2119EB0F">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tcBorders>
              <w:tl2br w:val="nil"/>
              <w:tr2bl w:val="nil"/>
            </w:tcBorders>
            <w:shd w:val="clear" w:color="auto" w:fill="E6E6E6"/>
            <w:vAlign w:val="center"/>
          </w:tcPr>
          <w:p w14:paraId="18EFD33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300m³/d</w:t>
            </w:r>
          </w:p>
        </w:tc>
      </w:tr>
      <w:tr w14:paraId="250A48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284F63FB">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2</w:t>
            </w:r>
          </w:p>
        </w:tc>
        <w:tc>
          <w:tcPr>
            <w:tcW w:w="2553" w:type="dxa"/>
            <w:tcBorders>
              <w:tl2br w:val="nil"/>
              <w:tr2bl w:val="nil"/>
            </w:tcBorders>
            <w:shd w:val="clear" w:color="auto" w:fill="auto"/>
            <w:noWrap/>
            <w:vAlign w:val="center"/>
          </w:tcPr>
          <w:p w14:paraId="31383402">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调节池提升泵</w:t>
            </w:r>
          </w:p>
        </w:tc>
        <w:tc>
          <w:tcPr>
            <w:tcW w:w="581" w:type="dxa"/>
            <w:tcBorders>
              <w:tl2br w:val="nil"/>
              <w:tr2bl w:val="nil"/>
            </w:tcBorders>
            <w:shd w:val="clear" w:color="auto" w:fill="auto"/>
            <w:noWrap/>
            <w:vAlign w:val="center"/>
          </w:tcPr>
          <w:p w14:paraId="0F35A0C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台</w:t>
            </w:r>
          </w:p>
        </w:tc>
        <w:tc>
          <w:tcPr>
            <w:tcW w:w="570" w:type="dxa"/>
            <w:tcBorders>
              <w:tl2br w:val="nil"/>
              <w:tr2bl w:val="nil"/>
            </w:tcBorders>
            <w:shd w:val="clear" w:color="auto" w:fill="auto"/>
            <w:noWrap/>
            <w:vAlign w:val="center"/>
          </w:tcPr>
          <w:p w14:paraId="0DBEB570">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2</w:t>
            </w:r>
          </w:p>
        </w:tc>
        <w:tc>
          <w:tcPr>
            <w:tcW w:w="3877" w:type="dxa"/>
            <w:tcBorders>
              <w:tl2br w:val="nil"/>
              <w:tr2bl w:val="nil"/>
            </w:tcBorders>
            <w:shd w:val="clear" w:color="auto" w:fill="auto"/>
            <w:vAlign w:val="center"/>
          </w:tcPr>
          <w:p w14:paraId="75A8083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w:t>
            </w:r>
          </w:p>
        </w:tc>
      </w:tr>
      <w:tr w14:paraId="16F6DF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0C1D0C7">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3</w:t>
            </w:r>
          </w:p>
        </w:tc>
        <w:tc>
          <w:tcPr>
            <w:tcW w:w="2553" w:type="dxa"/>
            <w:tcBorders>
              <w:tl2br w:val="nil"/>
              <w:tr2bl w:val="nil"/>
            </w:tcBorders>
            <w:shd w:val="clear" w:color="auto" w:fill="auto"/>
            <w:noWrap/>
            <w:vAlign w:val="center"/>
          </w:tcPr>
          <w:p w14:paraId="35465ED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液位控制器</w:t>
            </w:r>
          </w:p>
        </w:tc>
        <w:tc>
          <w:tcPr>
            <w:tcW w:w="581" w:type="dxa"/>
            <w:tcBorders>
              <w:tl2br w:val="nil"/>
              <w:tr2bl w:val="nil"/>
            </w:tcBorders>
            <w:shd w:val="clear" w:color="auto" w:fill="auto"/>
            <w:noWrap/>
            <w:vAlign w:val="center"/>
          </w:tcPr>
          <w:p w14:paraId="74E2E00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570" w:type="dxa"/>
            <w:tcBorders>
              <w:tl2br w:val="nil"/>
              <w:tr2bl w:val="nil"/>
            </w:tcBorders>
            <w:shd w:val="clear" w:color="auto" w:fill="auto"/>
            <w:noWrap/>
            <w:vAlign w:val="center"/>
          </w:tcPr>
          <w:p w14:paraId="0570615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tcBorders>
              <w:tl2br w:val="nil"/>
              <w:tr2bl w:val="nil"/>
            </w:tcBorders>
            <w:shd w:val="clear" w:color="auto" w:fill="auto"/>
            <w:vAlign w:val="center"/>
          </w:tcPr>
          <w:p w14:paraId="775AB51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配套</w:t>
            </w:r>
          </w:p>
        </w:tc>
      </w:tr>
      <w:tr w14:paraId="5E787C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D99A631">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4</w:t>
            </w:r>
          </w:p>
        </w:tc>
        <w:tc>
          <w:tcPr>
            <w:tcW w:w="2553" w:type="dxa"/>
            <w:tcBorders>
              <w:tl2br w:val="nil"/>
              <w:tr2bl w:val="nil"/>
            </w:tcBorders>
            <w:shd w:val="clear" w:color="auto" w:fill="auto"/>
            <w:noWrap/>
            <w:vAlign w:val="center"/>
          </w:tcPr>
          <w:p w14:paraId="01A2D52B">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絮凝反应池</w:t>
            </w:r>
          </w:p>
        </w:tc>
        <w:tc>
          <w:tcPr>
            <w:tcW w:w="581" w:type="dxa"/>
            <w:tcBorders>
              <w:tl2br w:val="nil"/>
              <w:tr2bl w:val="nil"/>
            </w:tcBorders>
            <w:shd w:val="clear" w:color="auto" w:fill="auto"/>
            <w:noWrap/>
            <w:vAlign w:val="center"/>
          </w:tcPr>
          <w:p w14:paraId="4AED418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个</w:t>
            </w:r>
          </w:p>
        </w:tc>
        <w:tc>
          <w:tcPr>
            <w:tcW w:w="570" w:type="dxa"/>
            <w:tcBorders>
              <w:tl2br w:val="nil"/>
              <w:tr2bl w:val="nil"/>
            </w:tcBorders>
            <w:shd w:val="clear" w:color="auto" w:fill="auto"/>
            <w:noWrap/>
            <w:vAlign w:val="center"/>
          </w:tcPr>
          <w:p w14:paraId="3B493E67">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2</w:t>
            </w:r>
          </w:p>
        </w:tc>
        <w:tc>
          <w:tcPr>
            <w:tcW w:w="3877" w:type="dxa"/>
            <w:vMerge w:val="restart"/>
            <w:tcBorders>
              <w:tl2br w:val="nil"/>
              <w:tr2bl w:val="nil"/>
            </w:tcBorders>
            <w:shd w:val="clear" w:color="auto" w:fill="auto"/>
            <w:vAlign w:val="center"/>
          </w:tcPr>
          <w:p w14:paraId="4746C428">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碳钢防腐</w:t>
            </w:r>
          </w:p>
        </w:tc>
      </w:tr>
      <w:tr w14:paraId="328B11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75112895">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5</w:t>
            </w:r>
          </w:p>
        </w:tc>
        <w:tc>
          <w:tcPr>
            <w:tcW w:w="2553" w:type="dxa"/>
            <w:tcBorders>
              <w:tl2br w:val="nil"/>
              <w:tr2bl w:val="nil"/>
            </w:tcBorders>
            <w:shd w:val="clear" w:color="auto" w:fill="auto"/>
            <w:noWrap/>
            <w:vAlign w:val="center"/>
          </w:tcPr>
          <w:p w14:paraId="6EE6FF4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接触池</w:t>
            </w:r>
          </w:p>
        </w:tc>
        <w:tc>
          <w:tcPr>
            <w:tcW w:w="581" w:type="dxa"/>
            <w:tcBorders>
              <w:tl2br w:val="nil"/>
              <w:tr2bl w:val="nil"/>
            </w:tcBorders>
            <w:shd w:val="clear" w:color="auto" w:fill="auto"/>
            <w:noWrap/>
            <w:vAlign w:val="center"/>
          </w:tcPr>
          <w:p w14:paraId="7A3F51B2">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个</w:t>
            </w:r>
          </w:p>
        </w:tc>
        <w:tc>
          <w:tcPr>
            <w:tcW w:w="570" w:type="dxa"/>
            <w:tcBorders>
              <w:tl2br w:val="nil"/>
              <w:tr2bl w:val="nil"/>
            </w:tcBorders>
            <w:shd w:val="clear" w:color="auto" w:fill="auto"/>
            <w:noWrap/>
            <w:vAlign w:val="center"/>
          </w:tcPr>
          <w:p w14:paraId="67F34F9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vMerge w:val="continue"/>
            <w:tcBorders>
              <w:tl2br w:val="nil"/>
              <w:tr2bl w:val="nil"/>
            </w:tcBorders>
            <w:shd w:val="clear" w:color="auto" w:fill="auto"/>
            <w:vAlign w:val="center"/>
          </w:tcPr>
          <w:p w14:paraId="768EB976">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p>
        </w:tc>
      </w:tr>
      <w:tr w14:paraId="1D8F250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11E5087">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6</w:t>
            </w:r>
          </w:p>
        </w:tc>
        <w:tc>
          <w:tcPr>
            <w:tcW w:w="2553" w:type="dxa"/>
            <w:tcBorders>
              <w:tl2br w:val="nil"/>
              <w:tr2bl w:val="nil"/>
            </w:tcBorders>
            <w:shd w:val="clear" w:color="auto" w:fill="auto"/>
            <w:noWrap/>
            <w:vAlign w:val="center"/>
          </w:tcPr>
          <w:p w14:paraId="0D71AB9F">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浮上分离池</w:t>
            </w:r>
          </w:p>
        </w:tc>
        <w:tc>
          <w:tcPr>
            <w:tcW w:w="581" w:type="dxa"/>
            <w:tcBorders>
              <w:tl2br w:val="nil"/>
              <w:tr2bl w:val="nil"/>
            </w:tcBorders>
            <w:shd w:val="clear" w:color="auto" w:fill="auto"/>
            <w:noWrap/>
            <w:vAlign w:val="center"/>
          </w:tcPr>
          <w:p w14:paraId="5C6E40E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个</w:t>
            </w:r>
          </w:p>
        </w:tc>
        <w:tc>
          <w:tcPr>
            <w:tcW w:w="570" w:type="dxa"/>
            <w:tcBorders>
              <w:tl2br w:val="nil"/>
              <w:tr2bl w:val="nil"/>
            </w:tcBorders>
            <w:shd w:val="clear" w:color="auto" w:fill="auto"/>
            <w:noWrap/>
            <w:vAlign w:val="center"/>
          </w:tcPr>
          <w:p w14:paraId="6136BE0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vMerge w:val="continue"/>
            <w:tcBorders>
              <w:tl2br w:val="nil"/>
              <w:tr2bl w:val="nil"/>
            </w:tcBorders>
            <w:shd w:val="clear" w:color="auto" w:fill="auto"/>
            <w:vAlign w:val="center"/>
          </w:tcPr>
          <w:p w14:paraId="6B63E9C2">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p>
        </w:tc>
      </w:tr>
      <w:tr w14:paraId="228A34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A234A28">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7</w:t>
            </w:r>
          </w:p>
        </w:tc>
        <w:tc>
          <w:tcPr>
            <w:tcW w:w="2553" w:type="dxa"/>
            <w:tcBorders>
              <w:tl2br w:val="nil"/>
              <w:tr2bl w:val="nil"/>
            </w:tcBorders>
            <w:shd w:val="clear" w:color="auto" w:fill="auto"/>
            <w:noWrap/>
            <w:vAlign w:val="center"/>
          </w:tcPr>
          <w:p w14:paraId="43C8906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清水池</w:t>
            </w:r>
          </w:p>
        </w:tc>
        <w:tc>
          <w:tcPr>
            <w:tcW w:w="581" w:type="dxa"/>
            <w:tcBorders>
              <w:tl2br w:val="nil"/>
              <w:tr2bl w:val="nil"/>
            </w:tcBorders>
            <w:shd w:val="clear" w:color="auto" w:fill="auto"/>
            <w:noWrap/>
            <w:vAlign w:val="center"/>
          </w:tcPr>
          <w:p w14:paraId="0ACE66CF">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个</w:t>
            </w:r>
          </w:p>
        </w:tc>
        <w:tc>
          <w:tcPr>
            <w:tcW w:w="570" w:type="dxa"/>
            <w:tcBorders>
              <w:tl2br w:val="nil"/>
              <w:tr2bl w:val="nil"/>
            </w:tcBorders>
            <w:shd w:val="clear" w:color="auto" w:fill="auto"/>
            <w:noWrap/>
            <w:vAlign w:val="center"/>
          </w:tcPr>
          <w:p w14:paraId="568811F2">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vMerge w:val="continue"/>
            <w:tcBorders>
              <w:tl2br w:val="nil"/>
              <w:tr2bl w:val="nil"/>
            </w:tcBorders>
            <w:shd w:val="clear" w:color="auto" w:fill="auto"/>
            <w:vAlign w:val="center"/>
          </w:tcPr>
          <w:p w14:paraId="2F90C2A5">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p>
        </w:tc>
      </w:tr>
      <w:tr w14:paraId="7411A2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167AA5DE">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8</w:t>
            </w:r>
          </w:p>
        </w:tc>
        <w:tc>
          <w:tcPr>
            <w:tcW w:w="2553" w:type="dxa"/>
            <w:tcBorders>
              <w:tl2br w:val="nil"/>
              <w:tr2bl w:val="nil"/>
            </w:tcBorders>
            <w:shd w:val="clear" w:color="auto" w:fill="auto"/>
            <w:noWrap/>
            <w:vAlign w:val="center"/>
          </w:tcPr>
          <w:p w14:paraId="0E6A2E3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出渣槽</w:t>
            </w:r>
          </w:p>
        </w:tc>
        <w:tc>
          <w:tcPr>
            <w:tcW w:w="581" w:type="dxa"/>
            <w:tcBorders>
              <w:tl2br w:val="nil"/>
              <w:tr2bl w:val="nil"/>
            </w:tcBorders>
            <w:shd w:val="clear" w:color="auto" w:fill="auto"/>
            <w:noWrap/>
            <w:vAlign w:val="center"/>
          </w:tcPr>
          <w:p w14:paraId="2FF435A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个</w:t>
            </w:r>
          </w:p>
        </w:tc>
        <w:tc>
          <w:tcPr>
            <w:tcW w:w="570" w:type="dxa"/>
            <w:tcBorders>
              <w:tl2br w:val="nil"/>
              <w:tr2bl w:val="nil"/>
            </w:tcBorders>
            <w:shd w:val="clear" w:color="auto" w:fill="auto"/>
            <w:noWrap/>
            <w:vAlign w:val="center"/>
          </w:tcPr>
          <w:p w14:paraId="2AE22C0D">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vMerge w:val="continue"/>
            <w:tcBorders>
              <w:tl2br w:val="nil"/>
              <w:tr2bl w:val="nil"/>
            </w:tcBorders>
            <w:shd w:val="clear" w:color="auto" w:fill="auto"/>
            <w:vAlign w:val="center"/>
          </w:tcPr>
          <w:p w14:paraId="453BE818">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p>
        </w:tc>
      </w:tr>
      <w:tr w14:paraId="3EA02B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D4D2A46">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9</w:t>
            </w:r>
          </w:p>
        </w:tc>
        <w:tc>
          <w:tcPr>
            <w:tcW w:w="2553" w:type="dxa"/>
            <w:tcBorders>
              <w:tl2br w:val="nil"/>
              <w:tr2bl w:val="nil"/>
            </w:tcBorders>
            <w:shd w:val="clear" w:color="auto" w:fill="auto"/>
            <w:noWrap/>
            <w:vAlign w:val="center"/>
          </w:tcPr>
          <w:p w14:paraId="687DE2A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管道泵</w:t>
            </w:r>
          </w:p>
        </w:tc>
        <w:tc>
          <w:tcPr>
            <w:tcW w:w="581" w:type="dxa"/>
            <w:tcBorders>
              <w:tl2br w:val="nil"/>
              <w:tr2bl w:val="nil"/>
            </w:tcBorders>
            <w:shd w:val="clear" w:color="auto" w:fill="E6E6E6"/>
            <w:noWrap/>
            <w:vAlign w:val="center"/>
          </w:tcPr>
          <w:p w14:paraId="72EAA01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台</w:t>
            </w:r>
          </w:p>
        </w:tc>
        <w:tc>
          <w:tcPr>
            <w:tcW w:w="570" w:type="dxa"/>
            <w:tcBorders>
              <w:tl2br w:val="nil"/>
              <w:tr2bl w:val="nil"/>
            </w:tcBorders>
            <w:shd w:val="clear" w:color="auto" w:fill="E6E6E6"/>
            <w:noWrap/>
            <w:vAlign w:val="center"/>
          </w:tcPr>
          <w:p w14:paraId="318ED7E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tcBorders>
              <w:tl2br w:val="nil"/>
              <w:tr2bl w:val="nil"/>
            </w:tcBorders>
            <w:shd w:val="clear" w:color="auto" w:fill="auto"/>
            <w:vAlign w:val="center"/>
          </w:tcPr>
          <w:p w14:paraId="70ECF55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碳钢防腐</w:t>
            </w:r>
          </w:p>
        </w:tc>
      </w:tr>
      <w:tr w14:paraId="738DEB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6AC1391C">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10</w:t>
            </w:r>
          </w:p>
        </w:tc>
        <w:tc>
          <w:tcPr>
            <w:tcW w:w="2553" w:type="dxa"/>
            <w:tcBorders>
              <w:tl2br w:val="nil"/>
              <w:tr2bl w:val="nil"/>
            </w:tcBorders>
            <w:shd w:val="clear" w:color="auto" w:fill="auto"/>
            <w:noWrap/>
            <w:vAlign w:val="center"/>
          </w:tcPr>
          <w:p w14:paraId="415459A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加药泵</w:t>
            </w:r>
          </w:p>
        </w:tc>
        <w:tc>
          <w:tcPr>
            <w:tcW w:w="581" w:type="dxa"/>
            <w:tcBorders>
              <w:tl2br w:val="nil"/>
              <w:tr2bl w:val="nil"/>
            </w:tcBorders>
            <w:shd w:val="clear" w:color="auto" w:fill="auto"/>
            <w:noWrap/>
            <w:vAlign w:val="center"/>
          </w:tcPr>
          <w:p w14:paraId="008ACA3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570" w:type="dxa"/>
            <w:tcBorders>
              <w:tl2br w:val="nil"/>
              <w:tr2bl w:val="nil"/>
            </w:tcBorders>
            <w:shd w:val="clear" w:color="auto" w:fill="auto"/>
            <w:noWrap/>
            <w:vAlign w:val="center"/>
          </w:tcPr>
          <w:p w14:paraId="4534880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kern w:val="2"/>
                <w:sz w:val="21"/>
                <w:szCs w:val="22"/>
                <w:highlight w:val="none"/>
                <w:lang w:val="en-US" w:eastAsia="zh-CN" w:bidi="ar-SA"/>
              </w:rPr>
              <w:t>2</w:t>
            </w:r>
          </w:p>
        </w:tc>
        <w:tc>
          <w:tcPr>
            <w:tcW w:w="3877" w:type="dxa"/>
            <w:tcBorders>
              <w:tl2br w:val="nil"/>
              <w:tr2bl w:val="nil"/>
            </w:tcBorders>
            <w:shd w:val="clear" w:color="auto" w:fill="auto"/>
            <w:vAlign w:val="center"/>
          </w:tcPr>
          <w:p w14:paraId="49B35C7E">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p>
        </w:tc>
      </w:tr>
      <w:tr w14:paraId="328124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58D5A3CF">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11</w:t>
            </w:r>
          </w:p>
        </w:tc>
        <w:tc>
          <w:tcPr>
            <w:tcW w:w="2553" w:type="dxa"/>
            <w:tcBorders>
              <w:tl2br w:val="nil"/>
              <w:tr2bl w:val="nil"/>
            </w:tcBorders>
            <w:shd w:val="clear" w:color="auto" w:fill="auto"/>
            <w:noWrap/>
            <w:vAlign w:val="center"/>
          </w:tcPr>
          <w:p w14:paraId="2B3F1B4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容器罐单向阀</w:t>
            </w:r>
          </w:p>
        </w:tc>
        <w:tc>
          <w:tcPr>
            <w:tcW w:w="581" w:type="dxa"/>
            <w:tcBorders>
              <w:tl2br w:val="nil"/>
              <w:tr2bl w:val="nil"/>
            </w:tcBorders>
            <w:shd w:val="clear" w:color="auto" w:fill="auto"/>
            <w:noWrap/>
            <w:vAlign w:val="center"/>
          </w:tcPr>
          <w:p w14:paraId="1C9E800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570" w:type="dxa"/>
            <w:tcBorders>
              <w:tl2br w:val="nil"/>
              <w:tr2bl w:val="nil"/>
            </w:tcBorders>
            <w:shd w:val="clear" w:color="auto" w:fill="auto"/>
            <w:noWrap/>
            <w:vAlign w:val="center"/>
          </w:tcPr>
          <w:p w14:paraId="0BA3A760">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kern w:val="2"/>
                <w:sz w:val="21"/>
                <w:szCs w:val="22"/>
                <w:highlight w:val="none"/>
                <w:lang w:val="en-US" w:eastAsia="zh-CN" w:bidi="ar-SA"/>
              </w:rPr>
              <w:t>2</w:t>
            </w:r>
          </w:p>
        </w:tc>
        <w:tc>
          <w:tcPr>
            <w:tcW w:w="3877" w:type="dxa"/>
            <w:tcBorders>
              <w:tl2br w:val="nil"/>
              <w:tr2bl w:val="nil"/>
            </w:tcBorders>
            <w:shd w:val="clear" w:color="auto" w:fill="auto"/>
            <w:vAlign w:val="center"/>
          </w:tcPr>
          <w:p w14:paraId="78376E2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PVC</w:t>
            </w:r>
          </w:p>
        </w:tc>
      </w:tr>
      <w:tr w14:paraId="2A4289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37" w:type="dxa"/>
            <w:tcBorders>
              <w:tl2br w:val="nil"/>
              <w:tr2bl w:val="nil"/>
            </w:tcBorders>
            <w:shd w:val="clear" w:color="auto" w:fill="auto"/>
            <w:noWrap/>
            <w:vAlign w:val="center"/>
          </w:tcPr>
          <w:p w14:paraId="4C8C4742">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12</w:t>
            </w:r>
          </w:p>
        </w:tc>
        <w:tc>
          <w:tcPr>
            <w:tcW w:w="2553" w:type="dxa"/>
            <w:tcBorders>
              <w:tl2br w:val="nil"/>
              <w:tr2bl w:val="nil"/>
            </w:tcBorders>
            <w:shd w:val="clear" w:color="auto" w:fill="auto"/>
            <w:noWrap/>
            <w:vAlign w:val="center"/>
          </w:tcPr>
          <w:p w14:paraId="1ABFFD1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中间水池</w:t>
            </w:r>
          </w:p>
        </w:tc>
        <w:tc>
          <w:tcPr>
            <w:tcW w:w="581" w:type="dxa"/>
            <w:tcBorders>
              <w:tl2br w:val="nil"/>
              <w:tr2bl w:val="nil"/>
            </w:tcBorders>
            <w:shd w:val="clear" w:color="auto" w:fill="E6E6E6"/>
            <w:noWrap/>
            <w:vAlign w:val="center"/>
          </w:tcPr>
          <w:p w14:paraId="78AEADBF">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座</w:t>
            </w:r>
          </w:p>
        </w:tc>
        <w:tc>
          <w:tcPr>
            <w:tcW w:w="570" w:type="dxa"/>
            <w:tcBorders>
              <w:tl2br w:val="nil"/>
              <w:tr2bl w:val="nil"/>
            </w:tcBorders>
            <w:shd w:val="clear" w:color="auto" w:fill="E6E6E6"/>
            <w:noWrap/>
            <w:vAlign w:val="center"/>
          </w:tcPr>
          <w:p w14:paraId="6CD3268D">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1</w:t>
            </w:r>
          </w:p>
        </w:tc>
        <w:tc>
          <w:tcPr>
            <w:tcW w:w="3877" w:type="dxa"/>
            <w:tcBorders>
              <w:tl2br w:val="nil"/>
              <w:tr2bl w:val="nil"/>
            </w:tcBorders>
            <w:shd w:val="clear" w:color="auto" w:fill="auto"/>
            <w:vAlign w:val="center"/>
          </w:tcPr>
          <w:p w14:paraId="43C37E0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钢混</w:t>
            </w:r>
          </w:p>
        </w:tc>
      </w:tr>
      <w:tr w14:paraId="5E622E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7E62E773">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13</w:t>
            </w:r>
          </w:p>
        </w:tc>
        <w:tc>
          <w:tcPr>
            <w:tcW w:w="2553" w:type="dxa"/>
            <w:shd w:val="clear" w:color="auto" w:fill="auto"/>
            <w:vAlign w:val="center"/>
          </w:tcPr>
          <w:p w14:paraId="04761AFA">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水解酸化池</w:t>
            </w:r>
          </w:p>
        </w:tc>
        <w:tc>
          <w:tcPr>
            <w:tcW w:w="0" w:type="auto"/>
            <w:shd w:val="clear" w:color="auto" w:fill="E6E6E6"/>
            <w:vAlign w:val="center"/>
          </w:tcPr>
          <w:p w14:paraId="6883E46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座</w:t>
            </w:r>
          </w:p>
        </w:tc>
        <w:tc>
          <w:tcPr>
            <w:tcW w:w="0" w:type="auto"/>
            <w:shd w:val="clear" w:color="auto" w:fill="E6E6E6"/>
            <w:vAlign w:val="center"/>
          </w:tcPr>
          <w:p w14:paraId="017A523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1</w:t>
            </w:r>
          </w:p>
        </w:tc>
        <w:tc>
          <w:tcPr>
            <w:tcW w:w="3877" w:type="dxa"/>
            <w:shd w:val="clear" w:color="auto" w:fill="auto"/>
            <w:vAlign w:val="center"/>
          </w:tcPr>
          <w:p w14:paraId="401E7377">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叶轮直径260mm</w:t>
            </w:r>
          </w:p>
        </w:tc>
      </w:tr>
      <w:tr w14:paraId="12CFFDB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3AB393A2">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14</w:t>
            </w:r>
          </w:p>
        </w:tc>
        <w:tc>
          <w:tcPr>
            <w:tcW w:w="2553" w:type="dxa"/>
            <w:shd w:val="clear" w:color="auto" w:fill="auto"/>
            <w:vAlign w:val="center"/>
          </w:tcPr>
          <w:p w14:paraId="70E7179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潜水搅拌机</w:t>
            </w:r>
          </w:p>
        </w:tc>
        <w:tc>
          <w:tcPr>
            <w:tcW w:w="0" w:type="auto"/>
            <w:shd w:val="clear" w:color="auto" w:fill="auto"/>
            <w:vAlign w:val="center"/>
          </w:tcPr>
          <w:p w14:paraId="1E070B4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2E684E26">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2</w:t>
            </w:r>
          </w:p>
        </w:tc>
        <w:tc>
          <w:tcPr>
            <w:tcW w:w="3877" w:type="dxa"/>
            <w:shd w:val="clear" w:color="auto" w:fill="auto"/>
            <w:vAlign w:val="center"/>
          </w:tcPr>
          <w:p w14:paraId="38DA390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QJB-1.5</w:t>
            </w:r>
          </w:p>
        </w:tc>
      </w:tr>
      <w:tr w14:paraId="0133D5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3DF68B06">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15</w:t>
            </w:r>
          </w:p>
        </w:tc>
        <w:tc>
          <w:tcPr>
            <w:tcW w:w="2553" w:type="dxa"/>
            <w:shd w:val="clear" w:color="auto" w:fill="auto"/>
            <w:vAlign w:val="center"/>
          </w:tcPr>
          <w:p w14:paraId="075E00D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缺氧池生物填料</w:t>
            </w:r>
          </w:p>
        </w:tc>
        <w:tc>
          <w:tcPr>
            <w:tcW w:w="0" w:type="auto"/>
            <w:shd w:val="clear" w:color="auto" w:fill="auto"/>
            <w:vAlign w:val="center"/>
          </w:tcPr>
          <w:p w14:paraId="01EF7E2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14F3738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shd w:val="clear" w:color="auto" w:fill="auto"/>
            <w:vAlign w:val="center"/>
          </w:tcPr>
          <w:p w14:paraId="5BC21135">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弹性填料 (80%安装密</w:t>
            </w:r>
          </w:p>
          <w:p w14:paraId="3847E9DF">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度)</w:t>
            </w:r>
          </w:p>
        </w:tc>
      </w:tr>
      <w:tr w14:paraId="65686D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4DB84CC7">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16</w:t>
            </w:r>
          </w:p>
        </w:tc>
        <w:tc>
          <w:tcPr>
            <w:tcW w:w="0" w:type="auto"/>
            <w:shd w:val="clear" w:color="auto" w:fill="auto"/>
            <w:vAlign w:val="center"/>
          </w:tcPr>
          <w:p w14:paraId="4EA5C00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缺氧池生物填料支架</w:t>
            </w:r>
          </w:p>
        </w:tc>
        <w:tc>
          <w:tcPr>
            <w:tcW w:w="0" w:type="auto"/>
            <w:shd w:val="clear" w:color="auto" w:fill="auto"/>
            <w:vAlign w:val="center"/>
          </w:tcPr>
          <w:p w14:paraId="6A033D7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6846E97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3877" w:type="dxa"/>
            <w:shd w:val="clear" w:color="auto" w:fill="auto"/>
            <w:vAlign w:val="center"/>
          </w:tcPr>
          <w:p w14:paraId="76C9FFE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角钢加螺纹碳钢</w:t>
            </w:r>
          </w:p>
        </w:tc>
      </w:tr>
      <w:tr w14:paraId="2A3593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66B974F4">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17</w:t>
            </w:r>
          </w:p>
        </w:tc>
        <w:tc>
          <w:tcPr>
            <w:tcW w:w="0" w:type="auto"/>
            <w:shd w:val="clear" w:color="auto" w:fill="auto"/>
            <w:vAlign w:val="center"/>
          </w:tcPr>
          <w:p w14:paraId="5DA34333">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穿孔曝气装置</w:t>
            </w:r>
          </w:p>
        </w:tc>
        <w:tc>
          <w:tcPr>
            <w:tcW w:w="0" w:type="auto"/>
            <w:shd w:val="clear" w:color="auto" w:fill="auto"/>
            <w:vAlign w:val="center"/>
          </w:tcPr>
          <w:p w14:paraId="6C71D88D">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3B40432E">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3877" w:type="dxa"/>
            <w:shd w:val="clear" w:color="auto" w:fill="auto"/>
            <w:vAlign w:val="center"/>
          </w:tcPr>
          <w:p w14:paraId="496E20F0">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穿孔管</w:t>
            </w:r>
          </w:p>
        </w:tc>
      </w:tr>
      <w:tr w14:paraId="15F1F2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070F1BFA">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18</w:t>
            </w:r>
          </w:p>
        </w:tc>
        <w:tc>
          <w:tcPr>
            <w:tcW w:w="0" w:type="auto"/>
            <w:shd w:val="clear" w:color="auto" w:fill="auto"/>
            <w:vAlign w:val="center"/>
          </w:tcPr>
          <w:p w14:paraId="74EDA217">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好氧池生物填料</w:t>
            </w:r>
          </w:p>
        </w:tc>
        <w:tc>
          <w:tcPr>
            <w:tcW w:w="0" w:type="auto"/>
            <w:shd w:val="clear" w:color="auto" w:fill="auto"/>
            <w:vAlign w:val="center"/>
          </w:tcPr>
          <w:p w14:paraId="4ED5177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6A14AEF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3632F588">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弹性填料 (80%安装密</w:t>
            </w:r>
          </w:p>
          <w:p w14:paraId="63B6418D">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度)</w:t>
            </w:r>
          </w:p>
        </w:tc>
      </w:tr>
      <w:tr w14:paraId="266930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10EE5191">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19</w:t>
            </w:r>
          </w:p>
        </w:tc>
        <w:tc>
          <w:tcPr>
            <w:tcW w:w="0" w:type="auto"/>
            <w:shd w:val="clear" w:color="auto" w:fill="auto"/>
            <w:vAlign w:val="center"/>
          </w:tcPr>
          <w:p w14:paraId="0177AF2E">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好氧池生物填料支架</w:t>
            </w:r>
          </w:p>
        </w:tc>
        <w:tc>
          <w:tcPr>
            <w:tcW w:w="0" w:type="auto"/>
            <w:shd w:val="clear" w:color="auto" w:fill="auto"/>
            <w:vAlign w:val="center"/>
          </w:tcPr>
          <w:p w14:paraId="22F21F9F">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5DBA8D8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4FFFD68C">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角钢加螺纹碳钢</w:t>
            </w:r>
          </w:p>
        </w:tc>
      </w:tr>
      <w:tr w14:paraId="1C955D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1C238D70">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20</w:t>
            </w:r>
          </w:p>
        </w:tc>
        <w:tc>
          <w:tcPr>
            <w:tcW w:w="0" w:type="auto"/>
            <w:shd w:val="clear" w:color="auto" w:fill="auto"/>
            <w:vAlign w:val="center"/>
          </w:tcPr>
          <w:p w14:paraId="0EE4B67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好氧池布水器</w:t>
            </w:r>
          </w:p>
        </w:tc>
        <w:tc>
          <w:tcPr>
            <w:tcW w:w="0" w:type="auto"/>
            <w:shd w:val="clear" w:color="auto" w:fill="auto"/>
            <w:vAlign w:val="center"/>
          </w:tcPr>
          <w:p w14:paraId="5850D409">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22D45D8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1A7DFAF9">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碳钢防腐</w:t>
            </w:r>
          </w:p>
        </w:tc>
      </w:tr>
      <w:tr w14:paraId="490D62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7413D64B">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21</w:t>
            </w:r>
          </w:p>
        </w:tc>
        <w:tc>
          <w:tcPr>
            <w:tcW w:w="0" w:type="auto"/>
            <w:shd w:val="clear" w:color="auto" w:fill="auto"/>
            <w:vAlign w:val="center"/>
          </w:tcPr>
          <w:p w14:paraId="524C2E98">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接触氧化池曝气装置</w:t>
            </w:r>
          </w:p>
        </w:tc>
        <w:tc>
          <w:tcPr>
            <w:tcW w:w="0" w:type="auto"/>
            <w:shd w:val="clear" w:color="auto" w:fill="auto"/>
            <w:vAlign w:val="center"/>
          </w:tcPr>
          <w:p w14:paraId="13F2C10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批</w:t>
            </w:r>
          </w:p>
        </w:tc>
        <w:tc>
          <w:tcPr>
            <w:tcW w:w="0" w:type="auto"/>
            <w:shd w:val="clear" w:color="auto" w:fill="auto"/>
            <w:vAlign w:val="center"/>
          </w:tcPr>
          <w:p w14:paraId="06E3C040">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29991A7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配套</w:t>
            </w:r>
          </w:p>
        </w:tc>
      </w:tr>
      <w:tr w14:paraId="7DD401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08FE4AE4">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22</w:t>
            </w:r>
          </w:p>
        </w:tc>
        <w:tc>
          <w:tcPr>
            <w:tcW w:w="0" w:type="auto"/>
            <w:shd w:val="clear" w:color="auto" w:fill="auto"/>
            <w:vAlign w:val="center"/>
          </w:tcPr>
          <w:p w14:paraId="35FE3FD2">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二沉池污泥回流系统</w:t>
            </w:r>
          </w:p>
        </w:tc>
        <w:tc>
          <w:tcPr>
            <w:tcW w:w="0" w:type="auto"/>
            <w:shd w:val="clear" w:color="auto" w:fill="auto"/>
            <w:vAlign w:val="center"/>
          </w:tcPr>
          <w:p w14:paraId="18F9ED1B">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0CDEE15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00B4CC62">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配套</w:t>
            </w:r>
          </w:p>
        </w:tc>
      </w:tr>
      <w:tr w14:paraId="10A6F2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1AD46194">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23</w:t>
            </w:r>
          </w:p>
        </w:tc>
        <w:tc>
          <w:tcPr>
            <w:tcW w:w="0" w:type="auto"/>
            <w:shd w:val="clear" w:color="auto" w:fill="auto"/>
            <w:vAlign w:val="center"/>
          </w:tcPr>
          <w:p w14:paraId="63926A8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污泥回流泵</w:t>
            </w:r>
          </w:p>
        </w:tc>
        <w:tc>
          <w:tcPr>
            <w:tcW w:w="0" w:type="auto"/>
            <w:shd w:val="clear" w:color="auto" w:fill="auto"/>
            <w:vAlign w:val="center"/>
          </w:tcPr>
          <w:p w14:paraId="0B3D459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台</w:t>
            </w:r>
          </w:p>
        </w:tc>
        <w:tc>
          <w:tcPr>
            <w:tcW w:w="0" w:type="auto"/>
            <w:shd w:val="clear" w:color="auto" w:fill="auto"/>
            <w:vAlign w:val="center"/>
          </w:tcPr>
          <w:p w14:paraId="3737BE6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25E39DD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cs="Times New Roman"/>
                <w:snapToGrid w:val="0"/>
                <w:color w:val="auto"/>
                <w:sz w:val="21"/>
                <w:highlight w:val="none"/>
                <w:lang w:val="en-US" w:eastAsia="zh-CN"/>
              </w:rPr>
              <w:t>/</w:t>
            </w:r>
          </w:p>
        </w:tc>
      </w:tr>
      <w:tr w14:paraId="65C887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2A3B34D4">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24</w:t>
            </w:r>
          </w:p>
        </w:tc>
        <w:tc>
          <w:tcPr>
            <w:tcW w:w="0" w:type="auto"/>
            <w:shd w:val="clear" w:color="auto" w:fill="auto"/>
            <w:vAlign w:val="center"/>
          </w:tcPr>
          <w:p w14:paraId="34F3090B">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污泥池硝化液泵</w:t>
            </w:r>
          </w:p>
        </w:tc>
        <w:tc>
          <w:tcPr>
            <w:tcW w:w="0" w:type="auto"/>
            <w:shd w:val="clear" w:color="auto" w:fill="auto"/>
            <w:vAlign w:val="center"/>
          </w:tcPr>
          <w:p w14:paraId="3DDFA42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5BF1C43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50A84E2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cs="Times New Roman"/>
                <w:snapToGrid w:val="0"/>
                <w:color w:val="auto"/>
                <w:sz w:val="21"/>
                <w:highlight w:val="none"/>
                <w:lang w:val="en-US" w:eastAsia="zh-CN"/>
              </w:rPr>
              <w:t>/</w:t>
            </w:r>
          </w:p>
        </w:tc>
      </w:tr>
      <w:tr w14:paraId="0A29E1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48C62DA6">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25</w:t>
            </w:r>
          </w:p>
        </w:tc>
        <w:tc>
          <w:tcPr>
            <w:tcW w:w="0" w:type="auto"/>
            <w:shd w:val="clear" w:color="auto" w:fill="auto"/>
            <w:vAlign w:val="center"/>
          </w:tcPr>
          <w:p w14:paraId="55C4ABD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污泥叠螺机</w:t>
            </w:r>
          </w:p>
        </w:tc>
        <w:tc>
          <w:tcPr>
            <w:tcW w:w="0" w:type="auto"/>
            <w:shd w:val="clear" w:color="auto" w:fill="auto"/>
            <w:vAlign w:val="center"/>
          </w:tcPr>
          <w:p w14:paraId="1ECB488B">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221D2DC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4B9855B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DL201</w:t>
            </w:r>
          </w:p>
        </w:tc>
      </w:tr>
      <w:tr w14:paraId="0FA412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273E6C2A">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26</w:t>
            </w:r>
          </w:p>
        </w:tc>
        <w:tc>
          <w:tcPr>
            <w:tcW w:w="0" w:type="auto"/>
            <w:shd w:val="clear" w:color="auto" w:fill="auto"/>
            <w:vAlign w:val="center"/>
          </w:tcPr>
          <w:p w14:paraId="0E1FB83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污泥泵</w:t>
            </w:r>
          </w:p>
        </w:tc>
        <w:tc>
          <w:tcPr>
            <w:tcW w:w="0" w:type="auto"/>
            <w:shd w:val="clear" w:color="auto" w:fill="auto"/>
            <w:vAlign w:val="center"/>
          </w:tcPr>
          <w:p w14:paraId="1AD79DE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台</w:t>
            </w:r>
          </w:p>
        </w:tc>
        <w:tc>
          <w:tcPr>
            <w:tcW w:w="0" w:type="auto"/>
            <w:shd w:val="clear" w:color="auto" w:fill="auto"/>
            <w:vAlign w:val="center"/>
          </w:tcPr>
          <w:p w14:paraId="70EB8385">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2DD68DA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sz w:val="21"/>
                <w:highlight w:val="none"/>
                <w:lang w:val="en-US" w:eastAsia="zh-CN"/>
              </w:rPr>
              <w:t>/</w:t>
            </w:r>
          </w:p>
        </w:tc>
      </w:tr>
      <w:tr w14:paraId="5E49DC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6CB0389B">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27</w:t>
            </w:r>
          </w:p>
        </w:tc>
        <w:tc>
          <w:tcPr>
            <w:tcW w:w="0" w:type="auto"/>
            <w:shd w:val="clear" w:color="auto" w:fill="auto"/>
            <w:vAlign w:val="center"/>
          </w:tcPr>
          <w:p w14:paraId="716152F6">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加药系统</w:t>
            </w:r>
          </w:p>
        </w:tc>
        <w:tc>
          <w:tcPr>
            <w:tcW w:w="0" w:type="auto"/>
            <w:shd w:val="clear" w:color="auto" w:fill="auto"/>
            <w:vAlign w:val="center"/>
          </w:tcPr>
          <w:p w14:paraId="7B71BBA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4CF4289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2905335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含加药泵、搅拌系统、存储 系统等</w:t>
            </w:r>
          </w:p>
        </w:tc>
      </w:tr>
      <w:tr w14:paraId="592EE1D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03853C59">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28</w:t>
            </w:r>
          </w:p>
        </w:tc>
        <w:tc>
          <w:tcPr>
            <w:tcW w:w="0" w:type="auto"/>
            <w:shd w:val="clear" w:color="auto" w:fill="auto"/>
            <w:vAlign w:val="center"/>
          </w:tcPr>
          <w:p w14:paraId="542B0A8B">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清水池导流管</w:t>
            </w:r>
          </w:p>
        </w:tc>
        <w:tc>
          <w:tcPr>
            <w:tcW w:w="0" w:type="auto"/>
            <w:shd w:val="clear" w:color="auto" w:fill="auto"/>
            <w:vAlign w:val="center"/>
          </w:tcPr>
          <w:p w14:paraId="6D359C4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64C66518">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0AEE96B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碳钢防腐</w:t>
            </w:r>
          </w:p>
        </w:tc>
      </w:tr>
      <w:tr w14:paraId="7C2BD8F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20E408FB">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29</w:t>
            </w:r>
          </w:p>
        </w:tc>
        <w:tc>
          <w:tcPr>
            <w:tcW w:w="0" w:type="auto"/>
            <w:shd w:val="clear" w:color="auto" w:fill="auto"/>
            <w:vAlign w:val="center"/>
          </w:tcPr>
          <w:p w14:paraId="4C22BD87">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消毒系统</w:t>
            </w:r>
          </w:p>
        </w:tc>
        <w:tc>
          <w:tcPr>
            <w:tcW w:w="0" w:type="auto"/>
            <w:shd w:val="clear" w:color="auto" w:fill="auto"/>
            <w:vAlign w:val="center"/>
          </w:tcPr>
          <w:p w14:paraId="1F57F32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3BB2EF5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43A2EF4B">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含加药桶、搅拌装置、 加药泵</w:t>
            </w:r>
          </w:p>
        </w:tc>
      </w:tr>
      <w:tr w14:paraId="414AC9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0CAC0719">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30</w:t>
            </w:r>
          </w:p>
        </w:tc>
        <w:tc>
          <w:tcPr>
            <w:tcW w:w="0" w:type="auto"/>
            <w:shd w:val="clear" w:color="auto" w:fill="auto"/>
            <w:vAlign w:val="center"/>
          </w:tcPr>
          <w:p w14:paraId="2EAAC99B">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en-US"/>
              </w:rPr>
            </w:pPr>
            <w:r>
              <w:rPr>
                <w:rFonts w:hint="eastAsia" w:ascii="Times New Roman" w:hAnsi="Times New Roman" w:eastAsia="宋体" w:cs="Times New Roman"/>
                <w:snapToGrid w:val="0"/>
                <w:color w:val="auto"/>
                <w:sz w:val="21"/>
                <w:highlight w:val="none"/>
                <w:lang w:val="en-US" w:eastAsia="zh-CN"/>
              </w:rPr>
              <w:t>曝气风机</w:t>
            </w:r>
          </w:p>
        </w:tc>
        <w:tc>
          <w:tcPr>
            <w:tcW w:w="0" w:type="auto"/>
            <w:shd w:val="clear" w:color="auto" w:fill="auto"/>
            <w:vAlign w:val="center"/>
          </w:tcPr>
          <w:p w14:paraId="45E6D901">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en-US"/>
              </w:rPr>
            </w:pPr>
            <w:r>
              <w:rPr>
                <w:rFonts w:hint="eastAsia" w:ascii="Times New Roman" w:hAnsi="Times New Roman" w:eastAsia="宋体" w:cs="Times New Roman"/>
                <w:snapToGrid w:val="0"/>
                <w:color w:val="auto"/>
                <w:sz w:val="21"/>
                <w:highlight w:val="none"/>
                <w:lang w:val="en-US" w:eastAsia="zh-CN"/>
              </w:rPr>
              <w:t>台</w:t>
            </w:r>
          </w:p>
        </w:tc>
        <w:tc>
          <w:tcPr>
            <w:tcW w:w="0" w:type="auto"/>
            <w:shd w:val="clear" w:color="auto" w:fill="auto"/>
            <w:vAlign w:val="center"/>
          </w:tcPr>
          <w:p w14:paraId="608F03C7">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en-US"/>
              </w:rPr>
            </w:pPr>
            <w:r>
              <w:rPr>
                <w:rFonts w:hint="eastAsia" w:cs="Times New Roman"/>
                <w:snapToGrid w:val="0"/>
                <w:color w:val="auto"/>
                <w:sz w:val="21"/>
                <w:highlight w:val="none"/>
                <w:lang w:val="en-US" w:eastAsia="zh-CN"/>
              </w:rPr>
              <w:t>2</w:t>
            </w:r>
          </w:p>
        </w:tc>
        <w:tc>
          <w:tcPr>
            <w:tcW w:w="0" w:type="auto"/>
            <w:shd w:val="clear" w:color="auto" w:fill="auto"/>
            <w:vAlign w:val="center"/>
          </w:tcPr>
          <w:p w14:paraId="0CB369D3">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en-US"/>
              </w:rPr>
            </w:pPr>
            <w:r>
              <w:rPr>
                <w:rFonts w:hint="eastAsia" w:ascii="Times New Roman" w:hAnsi="Times New Roman" w:eastAsia="宋体" w:cs="Times New Roman"/>
                <w:snapToGrid w:val="0"/>
                <w:color w:val="auto"/>
                <w:sz w:val="21"/>
                <w:highlight w:val="none"/>
                <w:lang w:val="en-US" w:eastAsia="zh-CN"/>
              </w:rPr>
              <w:t>HC-100S</w:t>
            </w:r>
          </w:p>
        </w:tc>
      </w:tr>
      <w:tr w14:paraId="237806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2ED8B3B6">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31</w:t>
            </w:r>
          </w:p>
        </w:tc>
        <w:tc>
          <w:tcPr>
            <w:tcW w:w="0" w:type="auto"/>
            <w:shd w:val="clear" w:color="auto" w:fill="auto"/>
            <w:vAlign w:val="center"/>
          </w:tcPr>
          <w:p w14:paraId="303CE632">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风机止回阀、泄气阀</w:t>
            </w:r>
          </w:p>
        </w:tc>
        <w:tc>
          <w:tcPr>
            <w:tcW w:w="0" w:type="auto"/>
            <w:shd w:val="clear" w:color="auto" w:fill="auto"/>
            <w:vAlign w:val="center"/>
          </w:tcPr>
          <w:p w14:paraId="5F31EB5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4BDA5C1A">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2</w:t>
            </w:r>
          </w:p>
        </w:tc>
        <w:tc>
          <w:tcPr>
            <w:tcW w:w="0" w:type="auto"/>
            <w:shd w:val="clear" w:color="auto" w:fill="auto"/>
            <w:vAlign w:val="center"/>
          </w:tcPr>
          <w:p w14:paraId="1074595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标配</w:t>
            </w:r>
          </w:p>
        </w:tc>
      </w:tr>
      <w:tr w14:paraId="2CA7E0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02B5F863">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32</w:t>
            </w:r>
          </w:p>
        </w:tc>
        <w:tc>
          <w:tcPr>
            <w:tcW w:w="0" w:type="auto"/>
            <w:shd w:val="clear" w:color="auto" w:fill="auto"/>
            <w:vAlign w:val="center"/>
          </w:tcPr>
          <w:p w14:paraId="62D47B00">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电控制系统</w:t>
            </w:r>
          </w:p>
        </w:tc>
        <w:tc>
          <w:tcPr>
            <w:tcW w:w="0" w:type="auto"/>
            <w:shd w:val="clear" w:color="auto" w:fill="auto"/>
            <w:vAlign w:val="center"/>
          </w:tcPr>
          <w:p w14:paraId="66111E27">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6523BEB3">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74BA4E4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手自一体</w:t>
            </w:r>
          </w:p>
        </w:tc>
      </w:tr>
      <w:tr w14:paraId="5D2EAC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0" w:type="auto"/>
            <w:shd w:val="clear" w:color="auto" w:fill="auto"/>
            <w:vAlign w:val="center"/>
          </w:tcPr>
          <w:p w14:paraId="0D095B60">
            <w:pPr>
              <w:pStyle w:val="18"/>
              <w:spacing w:line="360" w:lineRule="exact"/>
              <w:ind w:firstLine="0" w:firstLineChars="0"/>
              <w:jc w:val="center"/>
              <w:rPr>
                <w:rFonts w:hint="default" w:ascii="Times New Roman" w:hAnsi="Times New Roman" w:eastAsia="宋体" w:cs="Times New Roman"/>
                <w:snapToGrid w:val="0"/>
                <w:color w:val="auto"/>
                <w:kern w:val="2"/>
                <w:sz w:val="21"/>
                <w:szCs w:val="22"/>
                <w:highlight w:val="none"/>
                <w:lang w:val="en-US" w:eastAsia="zh-CN" w:bidi="ar-SA"/>
              </w:rPr>
            </w:pPr>
            <w:r>
              <w:rPr>
                <w:rFonts w:hint="eastAsia" w:cs="Times New Roman"/>
                <w:snapToGrid w:val="0"/>
                <w:color w:val="auto"/>
                <w:kern w:val="2"/>
                <w:sz w:val="21"/>
                <w:szCs w:val="22"/>
                <w:highlight w:val="none"/>
                <w:lang w:val="en-US" w:eastAsia="zh-CN" w:bidi="ar-SA"/>
              </w:rPr>
              <w:t>33</w:t>
            </w:r>
          </w:p>
        </w:tc>
        <w:tc>
          <w:tcPr>
            <w:tcW w:w="0" w:type="auto"/>
            <w:shd w:val="clear" w:color="auto" w:fill="auto"/>
            <w:vAlign w:val="center"/>
          </w:tcPr>
          <w:p w14:paraId="2586CBC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电控箱</w:t>
            </w:r>
          </w:p>
        </w:tc>
        <w:tc>
          <w:tcPr>
            <w:tcW w:w="0" w:type="auto"/>
            <w:shd w:val="clear" w:color="auto" w:fill="auto"/>
            <w:vAlign w:val="center"/>
          </w:tcPr>
          <w:p w14:paraId="17FC2CFC">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套</w:t>
            </w:r>
          </w:p>
        </w:tc>
        <w:tc>
          <w:tcPr>
            <w:tcW w:w="0" w:type="auto"/>
            <w:shd w:val="clear" w:color="auto" w:fill="auto"/>
            <w:vAlign w:val="center"/>
          </w:tcPr>
          <w:p w14:paraId="7440A42E">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ascii="Times New Roman" w:hAnsi="Times New Roman" w:eastAsia="宋体" w:cs="Times New Roman"/>
                <w:snapToGrid w:val="0"/>
                <w:color w:val="auto"/>
                <w:sz w:val="21"/>
                <w:highlight w:val="none"/>
                <w:lang w:val="en-US" w:eastAsia="zh-CN"/>
              </w:rPr>
              <w:t>1</w:t>
            </w:r>
          </w:p>
        </w:tc>
        <w:tc>
          <w:tcPr>
            <w:tcW w:w="0" w:type="auto"/>
            <w:shd w:val="clear" w:color="auto" w:fill="auto"/>
            <w:vAlign w:val="center"/>
          </w:tcPr>
          <w:p w14:paraId="15B88A94">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en-US" w:bidi="ar-SA"/>
              </w:rPr>
            </w:pPr>
            <w:r>
              <w:rPr>
                <w:rFonts w:hint="eastAsia" w:cs="Times New Roman"/>
                <w:snapToGrid w:val="0"/>
                <w:color w:val="auto"/>
                <w:sz w:val="21"/>
                <w:highlight w:val="none"/>
                <w:lang w:val="en-US" w:eastAsia="zh-CN"/>
              </w:rPr>
              <w:t>/</w:t>
            </w:r>
          </w:p>
        </w:tc>
      </w:tr>
      <w:tr w14:paraId="79AAD8A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0" w:type="auto"/>
            <w:vAlign w:val="center"/>
          </w:tcPr>
          <w:p w14:paraId="6DE28DBE">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34</w:t>
            </w:r>
          </w:p>
        </w:tc>
        <w:tc>
          <w:tcPr>
            <w:tcW w:w="0" w:type="auto"/>
            <w:shd w:val="clear" w:color="auto" w:fill="auto"/>
            <w:vAlign w:val="center"/>
          </w:tcPr>
          <w:p w14:paraId="3B3BD274">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活性炭净化装置</w:t>
            </w:r>
          </w:p>
        </w:tc>
        <w:tc>
          <w:tcPr>
            <w:tcW w:w="0" w:type="auto"/>
            <w:vAlign w:val="center"/>
          </w:tcPr>
          <w:p w14:paraId="655EDF28">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台</w:t>
            </w:r>
          </w:p>
        </w:tc>
        <w:tc>
          <w:tcPr>
            <w:tcW w:w="0" w:type="auto"/>
            <w:vAlign w:val="center"/>
          </w:tcPr>
          <w:p w14:paraId="51732382">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2</w:t>
            </w:r>
          </w:p>
        </w:tc>
        <w:tc>
          <w:tcPr>
            <w:tcW w:w="0" w:type="auto"/>
            <w:vAlign w:val="center"/>
          </w:tcPr>
          <w:p w14:paraId="1D10E69C">
            <w:pPr>
              <w:pStyle w:val="18"/>
              <w:spacing w:line="360" w:lineRule="exact"/>
              <w:ind w:firstLine="0" w:firstLineChars="0"/>
              <w:jc w:val="center"/>
              <w:rPr>
                <w:rFonts w:hint="default" w:ascii="Times New Roman" w:hAnsi="Times New Roman"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w:t>
            </w:r>
          </w:p>
        </w:tc>
      </w:tr>
      <w:tr w14:paraId="77396F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0" w:type="auto"/>
            <w:vAlign w:val="center"/>
          </w:tcPr>
          <w:p w14:paraId="71E26FC9">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35</w:t>
            </w:r>
          </w:p>
        </w:tc>
        <w:tc>
          <w:tcPr>
            <w:tcW w:w="0" w:type="auto"/>
            <w:shd w:val="clear" w:color="auto" w:fill="auto"/>
            <w:vAlign w:val="center"/>
          </w:tcPr>
          <w:p w14:paraId="40B18D5A">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冷凝除湿器</w:t>
            </w:r>
          </w:p>
        </w:tc>
        <w:tc>
          <w:tcPr>
            <w:tcW w:w="0" w:type="auto"/>
            <w:shd w:val="clear" w:color="auto" w:fill="auto"/>
            <w:vAlign w:val="center"/>
          </w:tcPr>
          <w:p w14:paraId="58A632D4">
            <w:pPr>
              <w:pStyle w:val="18"/>
              <w:spacing w:line="360" w:lineRule="exact"/>
              <w:ind w:firstLine="0" w:firstLineChars="0"/>
              <w:jc w:val="center"/>
              <w:rPr>
                <w:rFonts w:hint="eastAsia" w:ascii="Times New Roman" w:hAnsi="Times New Roman" w:eastAsia="宋体" w:cs="Times New Roman"/>
                <w:snapToGrid w:val="0"/>
                <w:color w:val="auto"/>
                <w:sz w:val="21"/>
                <w:highlight w:val="none"/>
                <w:lang w:val="en-US" w:eastAsia="zh-CN"/>
              </w:rPr>
            </w:pPr>
            <w:r>
              <w:rPr>
                <w:rFonts w:hint="eastAsia" w:ascii="Times New Roman" w:hAnsi="Times New Roman" w:eastAsia="宋体" w:cs="Times New Roman"/>
                <w:snapToGrid w:val="0"/>
                <w:color w:val="auto"/>
                <w:sz w:val="21"/>
                <w:highlight w:val="none"/>
                <w:lang w:val="en-US" w:eastAsia="zh-CN"/>
              </w:rPr>
              <w:t>台</w:t>
            </w:r>
          </w:p>
        </w:tc>
        <w:tc>
          <w:tcPr>
            <w:tcW w:w="0" w:type="auto"/>
            <w:shd w:val="clear" w:color="auto" w:fill="auto"/>
            <w:vAlign w:val="center"/>
          </w:tcPr>
          <w:p w14:paraId="254D3EC1">
            <w:pPr>
              <w:pStyle w:val="18"/>
              <w:spacing w:line="360" w:lineRule="exact"/>
              <w:ind w:firstLine="0" w:firstLineChars="0"/>
              <w:jc w:val="center"/>
              <w:rPr>
                <w:rFonts w:hint="eastAsia" w:ascii="Times New Roman" w:hAnsi="Times New Roman" w:eastAsia="宋体" w:cs="Times New Roman"/>
                <w:snapToGrid w:val="0"/>
                <w:color w:val="auto"/>
                <w:kern w:val="2"/>
                <w:sz w:val="21"/>
                <w:szCs w:val="22"/>
                <w:highlight w:val="none"/>
                <w:lang w:val="en-US" w:eastAsia="zh-CN" w:bidi="ar-SA"/>
              </w:rPr>
            </w:pPr>
            <w:r>
              <w:rPr>
                <w:rFonts w:hint="eastAsia" w:ascii="Times New Roman" w:hAnsi="Times New Roman" w:eastAsia="宋体" w:cs="Times New Roman"/>
                <w:snapToGrid w:val="0"/>
                <w:color w:val="auto"/>
                <w:sz w:val="21"/>
                <w:highlight w:val="none"/>
                <w:lang w:val="en-US" w:eastAsia="zh-CN"/>
              </w:rPr>
              <w:t>1</w:t>
            </w:r>
          </w:p>
        </w:tc>
        <w:tc>
          <w:tcPr>
            <w:tcW w:w="0" w:type="auto"/>
            <w:vAlign w:val="center"/>
          </w:tcPr>
          <w:p w14:paraId="6212FC48">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w:t>
            </w:r>
          </w:p>
        </w:tc>
      </w:tr>
    </w:tbl>
    <w:p w14:paraId="1231F134">
      <w:pPr>
        <w:pStyle w:val="4"/>
        <w:spacing w:after="156"/>
        <w:rPr>
          <w:rFonts w:cs="Times New Roman"/>
          <w:color w:val="auto"/>
          <w:highlight w:val="none"/>
        </w:rPr>
      </w:pPr>
      <w:bookmarkStart w:id="108" w:name="_Toc12303"/>
      <w:r>
        <w:rPr>
          <w:rFonts w:cs="Times New Roman"/>
          <w:color w:val="auto"/>
          <w:highlight w:val="none"/>
        </w:rPr>
        <w:t>3.1.4主要原辅材料</w:t>
      </w:r>
      <w:r>
        <w:rPr>
          <w:rFonts w:hint="eastAsia" w:cs="Times New Roman"/>
          <w:color w:val="auto"/>
          <w:highlight w:val="none"/>
          <w:lang w:eastAsia="zh-CN"/>
        </w:rPr>
        <w:t>、</w:t>
      </w:r>
      <w:r>
        <w:rPr>
          <w:rFonts w:hint="eastAsia" w:cs="Times New Roman"/>
          <w:color w:val="auto"/>
          <w:highlight w:val="none"/>
          <w:lang w:val="en-US" w:eastAsia="zh-CN"/>
        </w:rPr>
        <w:t>燃料</w:t>
      </w:r>
      <w:r>
        <w:rPr>
          <w:rFonts w:cs="Times New Roman"/>
          <w:color w:val="auto"/>
          <w:highlight w:val="none"/>
        </w:rPr>
        <w:t>消耗</w:t>
      </w:r>
      <w:bookmarkEnd w:id="108"/>
    </w:p>
    <w:p w14:paraId="1D7B8BE3">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项目原辅材料</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燃料</w:t>
      </w:r>
      <w:r>
        <w:rPr>
          <w:rFonts w:cs="Times New Roman"/>
          <w:snapToGrid w:val="0"/>
          <w:color w:val="auto"/>
          <w:highlight w:val="none"/>
        </w:rPr>
        <w:t>消耗情况见表</w:t>
      </w:r>
      <w:r>
        <w:rPr>
          <w:rFonts w:hint="eastAsia" w:cs="Times New Roman"/>
          <w:snapToGrid w:val="0"/>
          <w:color w:val="auto"/>
          <w:highlight w:val="none"/>
        </w:rPr>
        <w:t>3</w:t>
      </w:r>
      <w:r>
        <w:rPr>
          <w:rFonts w:hint="eastAsia" w:cs="Times New Roman"/>
          <w:snapToGrid w:val="0"/>
          <w:color w:val="auto"/>
          <w:highlight w:val="none"/>
          <w:lang w:val="en-US" w:eastAsia="zh-CN"/>
        </w:rPr>
        <w:t>.</w:t>
      </w:r>
      <w:r>
        <w:rPr>
          <w:rFonts w:hint="eastAsia" w:cs="Times New Roman"/>
          <w:snapToGrid w:val="0"/>
          <w:color w:val="auto"/>
          <w:highlight w:val="none"/>
        </w:rPr>
        <w:t>1-</w:t>
      </w:r>
      <w:r>
        <w:rPr>
          <w:rFonts w:cs="Times New Roman"/>
          <w:snapToGrid w:val="0"/>
          <w:color w:val="auto"/>
          <w:highlight w:val="none"/>
        </w:rPr>
        <w:t>3。</w:t>
      </w:r>
    </w:p>
    <w:p w14:paraId="2766FEA2">
      <w:pPr>
        <w:widowControl/>
        <w:spacing w:line="360" w:lineRule="exact"/>
        <w:ind w:firstLine="0" w:firstLineChars="0"/>
        <w:jc w:val="center"/>
        <w:rPr>
          <w:rFonts w:eastAsia="黑体" w:cs="Times New Roman"/>
          <w:snapToGrid w:val="0"/>
          <w:color w:val="auto"/>
          <w:kern w:val="0"/>
          <w:sz w:val="21"/>
          <w:szCs w:val="21"/>
          <w:highlight w:val="none"/>
        </w:rPr>
      </w:pPr>
      <w:r>
        <w:rPr>
          <w:rFonts w:eastAsia="黑体" w:cs="Times New Roman"/>
          <w:snapToGrid w:val="0"/>
          <w:color w:val="auto"/>
          <w:kern w:val="0"/>
          <w:sz w:val="21"/>
          <w:szCs w:val="21"/>
          <w:highlight w:val="none"/>
        </w:rPr>
        <w:t>表</w:t>
      </w:r>
      <w:r>
        <w:rPr>
          <w:rFonts w:hint="eastAsia" w:eastAsia="黑体" w:cs="Times New Roman"/>
          <w:snapToGrid w:val="0"/>
          <w:color w:val="auto"/>
          <w:kern w:val="0"/>
          <w:sz w:val="21"/>
          <w:szCs w:val="21"/>
          <w:highlight w:val="none"/>
        </w:rPr>
        <w:t>3</w:t>
      </w:r>
      <w:r>
        <w:rPr>
          <w:rFonts w:hint="eastAsia" w:eastAsia="黑体" w:cs="Times New Roman"/>
          <w:snapToGrid w:val="0"/>
          <w:color w:val="auto"/>
          <w:kern w:val="0"/>
          <w:sz w:val="21"/>
          <w:szCs w:val="21"/>
          <w:highlight w:val="none"/>
          <w:lang w:val="en-US" w:eastAsia="zh-CN"/>
        </w:rPr>
        <w:t>.</w:t>
      </w:r>
      <w:r>
        <w:rPr>
          <w:rFonts w:hint="eastAsia" w:eastAsia="黑体" w:cs="Times New Roman"/>
          <w:snapToGrid w:val="0"/>
          <w:color w:val="auto"/>
          <w:kern w:val="0"/>
          <w:sz w:val="21"/>
          <w:szCs w:val="21"/>
          <w:highlight w:val="none"/>
        </w:rPr>
        <w:t>1-</w:t>
      </w:r>
      <w:r>
        <w:rPr>
          <w:rFonts w:eastAsia="黑体" w:cs="Times New Roman"/>
          <w:snapToGrid w:val="0"/>
          <w:color w:val="auto"/>
          <w:kern w:val="0"/>
          <w:sz w:val="21"/>
          <w:szCs w:val="21"/>
          <w:highlight w:val="none"/>
        </w:rPr>
        <w:t>3  项目原辅材料</w:t>
      </w:r>
      <w:r>
        <w:rPr>
          <w:rFonts w:hint="eastAsia" w:eastAsia="黑体" w:cs="Times New Roman"/>
          <w:snapToGrid w:val="0"/>
          <w:color w:val="auto"/>
          <w:kern w:val="0"/>
          <w:sz w:val="21"/>
          <w:szCs w:val="21"/>
          <w:highlight w:val="none"/>
          <w:lang w:eastAsia="zh-CN"/>
        </w:rPr>
        <w:t>、</w:t>
      </w:r>
      <w:r>
        <w:rPr>
          <w:rFonts w:hint="eastAsia" w:eastAsia="黑体" w:cs="Times New Roman"/>
          <w:snapToGrid w:val="0"/>
          <w:color w:val="auto"/>
          <w:kern w:val="0"/>
          <w:sz w:val="21"/>
          <w:szCs w:val="21"/>
          <w:highlight w:val="none"/>
          <w:lang w:val="en-US" w:eastAsia="zh-CN"/>
        </w:rPr>
        <w:t>燃料</w:t>
      </w:r>
      <w:r>
        <w:rPr>
          <w:rFonts w:eastAsia="黑体" w:cs="Times New Roman"/>
          <w:snapToGrid w:val="0"/>
          <w:color w:val="auto"/>
          <w:kern w:val="0"/>
          <w:sz w:val="21"/>
          <w:szCs w:val="21"/>
          <w:highlight w:val="none"/>
        </w:rPr>
        <w:t>消耗情况表</w:t>
      </w:r>
    </w:p>
    <w:tbl>
      <w:tblPr>
        <w:tblStyle w:val="398"/>
        <w:tblW w:w="4984"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2007"/>
        <w:gridCol w:w="2233"/>
        <w:gridCol w:w="3381"/>
      </w:tblGrid>
      <w:tr w14:paraId="11B054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29" w:hRule="atLeast"/>
        </w:trPr>
        <w:tc>
          <w:tcPr>
            <w:tcW w:w="514" w:type="pct"/>
            <w:vAlign w:val="center"/>
          </w:tcPr>
          <w:p w14:paraId="2BB71BB2">
            <w:pPr>
              <w:pStyle w:val="73"/>
              <w:rPr>
                <w:rFonts w:cs="Times New Roman"/>
                <w:snapToGrid w:val="0"/>
                <w:color w:val="auto"/>
                <w:highlight w:val="none"/>
              </w:rPr>
            </w:pPr>
            <w:r>
              <w:rPr>
                <w:rFonts w:cs="Times New Roman"/>
                <w:snapToGrid w:val="0"/>
                <w:color w:val="auto"/>
                <w:highlight w:val="none"/>
              </w:rPr>
              <w:t>序号</w:t>
            </w:r>
          </w:p>
        </w:tc>
        <w:tc>
          <w:tcPr>
            <w:tcW w:w="1181" w:type="pct"/>
            <w:vAlign w:val="center"/>
          </w:tcPr>
          <w:p w14:paraId="44DA08DA">
            <w:pPr>
              <w:pStyle w:val="73"/>
              <w:rPr>
                <w:rFonts w:cs="Times New Roman"/>
                <w:snapToGrid w:val="0"/>
                <w:color w:val="auto"/>
                <w:highlight w:val="none"/>
              </w:rPr>
            </w:pPr>
            <w:r>
              <w:rPr>
                <w:rFonts w:cs="Times New Roman"/>
                <w:snapToGrid w:val="0"/>
                <w:color w:val="auto"/>
                <w:highlight w:val="none"/>
              </w:rPr>
              <w:t>名称</w:t>
            </w:r>
          </w:p>
        </w:tc>
        <w:tc>
          <w:tcPr>
            <w:tcW w:w="1314" w:type="pct"/>
            <w:vAlign w:val="center"/>
          </w:tcPr>
          <w:p w14:paraId="0341CAE0">
            <w:pPr>
              <w:pStyle w:val="73"/>
              <w:rPr>
                <w:rFonts w:cs="Times New Roman"/>
                <w:snapToGrid w:val="0"/>
                <w:color w:val="auto"/>
                <w:highlight w:val="none"/>
              </w:rPr>
            </w:pPr>
            <w:r>
              <w:rPr>
                <w:rFonts w:cs="Times New Roman"/>
                <w:snapToGrid w:val="0"/>
                <w:color w:val="auto"/>
                <w:highlight w:val="none"/>
              </w:rPr>
              <w:t>年消耗量</w:t>
            </w:r>
          </w:p>
        </w:tc>
        <w:tc>
          <w:tcPr>
            <w:tcW w:w="1989" w:type="pct"/>
            <w:vAlign w:val="center"/>
          </w:tcPr>
          <w:p w14:paraId="07385A95">
            <w:pPr>
              <w:pStyle w:val="73"/>
              <w:rPr>
                <w:rFonts w:cs="Times New Roman"/>
                <w:snapToGrid w:val="0"/>
                <w:color w:val="auto"/>
                <w:highlight w:val="none"/>
              </w:rPr>
            </w:pPr>
            <w:r>
              <w:rPr>
                <w:rFonts w:cs="Times New Roman"/>
                <w:snapToGrid w:val="0"/>
                <w:color w:val="auto"/>
                <w:highlight w:val="none"/>
              </w:rPr>
              <w:t>备注</w:t>
            </w:r>
          </w:p>
        </w:tc>
      </w:tr>
      <w:tr w14:paraId="5572FC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514" w:type="pct"/>
            <w:vAlign w:val="center"/>
          </w:tcPr>
          <w:p w14:paraId="00212C26">
            <w:pPr>
              <w:pStyle w:val="73"/>
              <w:rPr>
                <w:rFonts w:cs="Times New Roman"/>
                <w:snapToGrid w:val="0"/>
                <w:color w:val="auto"/>
                <w:highlight w:val="none"/>
              </w:rPr>
            </w:pPr>
            <w:r>
              <w:rPr>
                <w:rFonts w:cs="Times New Roman"/>
                <w:snapToGrid w:val="0"/>
                <w:color w:val="auto"/>
                <w:highlight w:val="none"/>
              </w:rPr>
              <w:t>1</w:t>
            </w:r>
          </w:p>
        </w:tc>
        <w:tc>
          <w:tcPr>
            <w:tcW w:w="1181" w:type="pct"/>
            <w:vAlign w:val="center"/>
          </w:tcPr>
          <w:p w14:paraId="60BF2D28">
            <w:pPr>
              <w:pStyle w:val="73"/>
              <w:rPr>
                <w:rFonts w:cs="Times New Roman"/>
                <w:snapToGrid w:val="0"/>
                <w:color w:val="auto"/>
                <w:highlight w:val="none"/>
              </w:rPr>
            </w:pPr>
            <w:r>
              <w:rPr>
                <w:rFonts w:cs="Times New Roman"/>
                <w:snapToGrid w:val="0"/>
                <w:color w:val="auto"/>
                <w:highlight w:val="none"/>
                <w:lang w:val="en-US"/>
              </w:rPr>
              <w:t>肉</w:t>
            </w:r>
            <w:r>
              <w:rPr>
                <w:rFonts w:cs="Times New Roman"/>
                <w:snapToGrid w:val="0"/>
                <w:color w:val="auto"/>
                <w:highlight w:val="none"/>
              </w:rPr>
              <w:t>牛</w:t>
            </w:r>
          </w:p>
        </w:tc>
        <w:tc>
          <w:tcPr>
            <w:tcW w:w="1314" w:type="pct"/>
            <w:vAlign w:val="center"/>
          </w:tcPr>
          <w:p w14:paraId="0616E654">
            <w:pPr>
              <w:pStyle w:val="73"/>
              <w:rPr>
                <w:rFonts w:cs="Times New Roman"/>
                <w:snapToGrid w:val="0"/>
                <w:color w:val="auto"/>
                <w:highlight w:val="none"/>
              </w:rPr>
            </w:pPr>
            <w:r>
              <w:rPr>
                <w:rFonts w:hint="eastAsia" w:cs="Times New Roman"/>
                <w:snapToGrid w:val="0"/>
                <w:color w:val="auto"/>
                <w:highlight w:val="none"/>
                <w:lang w:val="en-US" w:eastAsia="zh-CN"/>
              </w:rPr>
              <w:t>31000</w:t>
            </w:r>
            <w:r>
              <w:rPr>
                <w:rFonts w:cs="Times New Roman"/>
                <w:snapToGrid w:val="0"/>
                <w:color w:val="auto"/>
                <w:highlight w:val="none"/>
              </w:rPr>
              <w:t>头</w:t>
            </w:r>
          </w:p>
        </w:tc>
        <w:tc>
          <w:tcPr>
            <w:tcW w:w="1989" w:type="pct"/>
            <w:vAlign w:val="center"/>
          </w:tcPr>
          <w:p w14:paraId="6E97F9F4">
            <w:pPr>
              <w:pStyle w:val="73"/>
              <w:rPr>
                <w:rFonts w:cs="Times New Roman"/>
                <w:snapToGrid w:val="0"/>
                <w:color w:val="auto"/>
                <w:highlight w:val="none"/>
              </w:rPr>
            </w:pPr>
            <w:r>
              <w:rPr>
                <w:rFonts w:cs="Times New Roman"/>
                <w:snapToGrid w:val="0"/>
                <w:color w:val="auto"/>
                <w:highlight w:val="none"/>
                <w:lang w:val="en-US"/>
              </w:rPr>
              <w:t>活屠重500</w:t>
            </w:r>
            <w:r>
              <w:rPr>
                <w:rFonts w:cs="Times New Roman"/>
                <w:snapToGrid w:val="0"/>
                <w:color w:val="auto"/>
                <w:highlight w:val="none"/>
              </w:rPr>
              <w:t>kg</w:t>
            </w:r>
            <w:r>
              <w:rPr>
                <w:rFonts w:cs="Times New Roman"/>
                <w:snapToGrid w:val="0"/>
                <w:color w:val="auto"/>
                <w:highlight w:val="none"/>
                <w:lang w:val="en-US"/>
              </w:rPr>
              <w:t>/</w:t>
            </w:r>
            <w:r>
              <w:rPr>
                <w:rFonts w:cs="Times New Roman"/>
                <w:snapToGrid w:val="0"/>
                <w:color w:val="auto"/>
                <w:highlight w:val="none"/>
              </w:rPr>
              <w:t>头</w:t>
            </w:r>
          </w:p>
        </w:tc>
      </w:tr>
      <w:tr w14:paraId="00DF61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514" w:type="pct"/>
            <w:vAlign w:val="center"/>
          </w:tcPr>
          <w:p w14:paraId="7D00801A">
            <w:pPr>
              <w:pStyle w:val="73"/>
              <w:rPr>
                <w:rFonts w:cs="Times New Roman"/>
                <w:snapToGrid w:val="0"/>
                <w:color w:val="auto"/>
                <w:highlight w:val="none"/>
              </w:rPr>
            </w:pPr>
            <w:r>
              <w:rPr>
                <w:rFonts w:cs="Times New Roman"/>
                <w:snapToGrid w:val="0"/>
                <w:color w:val="auto"/>
                <w:highlight w:val="none"/>
              </w:rPr>
              <w:t>2</w:t>
            </w:r>
          </w:p>
        </w:tc>
        <w:tc>
          <w:tcPr>
            <w:tcW w:w="1181" w:type="pct"/>
            <w:vAlign w:val="center"/>
          </w:tcPr>
          <w:p w14:paraId="797ED0AB">
            <w:pPr>
              <w:pStyle w:val="73"/>
              <w:rPr>
                <w:rFonts w:cs="Times New Roman"/>
                <w:snapToGrid w:val="0"/>
                <w:color w:val="auto"/>
                <w:highlight w:val="none"/>
                <w:lang w:val="en-US"/>
              </w:rPr>
            </w:pPr>
            <w:r>
              <w:rPr>
                <w:rFonts w:hint="eastAsia" w:cs="Times New Roman"/>
                <w:snapToGrid w:val="0"/>
                <w:color w:val="auto"/>
                <w:highlight w:val="none"/>
                <w:lang w:val="en-US"/>
              </w:rPr>
              <w:t>肉</w:t>
            </w:r>
            <w:r>
              <w:rPr>
                <w:rFonts w:cs="Times New Roman"/>
                <w:snapToGrid w:val="0"/>
                <w:color w:val="auto"/>
                <w:highlight w:val="none"/>
                <w:lang w:val="en-US"/>
              </w:rPr>
              <w:t>羊</w:t>
            </w:r>
          </w:p>
        </w:tc>
        <w:tc>
          <w:tcPr>
            <w:tcW w:w="1314" w:type="pct"/>
            <w:vAlign w:val="center"/>
          </w:tcPr>
          <w:p w14:paraId="19A61999">
            <w:pPr>
              <w:pStyle w:val="73"/>
              <w:rPr>
                <w:rFonts w:cs="Times New Roman"/>
                <w:snapToGrid w:val="0"/>
                <w:color w:val="auto"/>
                <w:highlight w:val="none"/>
                <w:lang w:val="en-US"/>
              </w:rPr>
            </w:pPr>
            <w:r>
              <w:rPr>
                <w:rFonts w:hint="eastAsia" w:cs="Times New Roman"/>
                <w:snapToGrid w:val="0"/>
                <w:color w:val="auto"/>
                <w:highlight w:val="none"/>
                <w:lang w:val="en-US" w:eastAsia="zh-CN"/>
              </w:rPr>
              <w:t>155000</w:t>
            </w:r>
            <w:r>
              <w:rPr>
                <w:rFonts w:cs="Times New Roman"/>
                <w:snapToGrid w:val="0"/>
                <w:color w:val="auto"/>
                <w:highlight w:val="none"/>
                <w:lang w:val="en-US"/>
              </w:rPr>
              <w:t>只</w:t>
            </w:r>
          </w:p>
        </w:tc>
        <w:tc>
          <w:tcPr>
            <w:tcW w:w="1989" w:type="pct"/>
            <w:vAlign w:val="center"/>
          </w:tcPr>
          <w:p w14:paraId="53F509BC">
            <w:pPr>
              <w:pStyle w:val="73"/>
              <w:rPr>
                <w:rFonts w:cs="Times New Roman"/>
                <w:snapToGrid w:val="0"/>
                <w:color w:val="auto"/>
                <w:highlight w:val="none"/>
              </w:rPr>
            </w:pPr>
            <w:r>
              <w:rPr>
                <w:rFonts w:cs="Times New Roman"/>
                <w:snapToGrid w:val="0"/>
                <w:color w:val="auto"/>
                <w:highlight w:val="none"/>
                <w:lang w:val="en-US"/>
              </w:rPr>
              <w:t>活屠重50</w:t>
            </w:r>
            <w:r>
              <w:rPr>
                <w:rFonts w:cs="Times New Roman"/>
                <w:snapToGrid w:val="0"/>
                <w:color w:val="auto"/>
                <w:highlight w:val="none"/>
              </w:rPr>
              <w:t>kg</w:t>
            </w:r>
            <w:r>
              <w:rPr>
                <w:rFonts w:cs="Times New Roman"/>
                <w:snapToGrid w:val="0"/>
                <w:color w:val="auto"/>
                <w:highlight w:val="none"/>
                <w:lang w:val="en-US"/>
              </w:rPr>
              <w:t>/</w:t>
            </w:r>
            <w:r>
              <w:rPr>
                <w:rFonts w:cs="Times New Roman"/>
                <w:snapToGrid w:val="0"/>
                <w:color w:val="auto"/>
                <w:highlight w:val="none"/>
              </w:rPr>
              <w:t>头</w:t>
            </w:r>
          </w:p>
        </w:tc>
      </w:tr>
      <w:tr w14:paraId="1C98BC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514" w:type="pct"/>
            <w:vAlign w:val="center"/>
          </w:tcPr>
          <w:p w14:paraId="5EE8A8A2">
            <w:pPr>
              <w:pStyle w:val="73"/>
              <w:rPr>
                <w:rFonts w:cs="Times New Roman"/>
                <w:snapToGrid w:val="0"/>
                <w:color w:val="auto"/>
                <w:highlight w:val="none"/>
              </w:rPr>
            </w:pPr>
            <w:r>
              <w:rPr>
                <w:rFonts w:cs="Times New Roman"/>
                <w:snapToGrid w:val="0"/>
                <w:color w:val="auto"/>
                <w:highlight w:val="none"/>
                <w:lang w:val="en-US"/>
              </w:rPr>
              <w:t>3</w:t>
            </w:r>
          </w:p>
        </w:tc>
        <w:tc>
          <w:tcPr>
            <w:tcW w:w="1181" w:type="pct"/>
            <w:vAlign w:val="center"/>
          </w:tcPr>
          <w:p w14:paraId="16A44BA5">
            <w:pPr>
              <w:widowControl/>
              <w:spacing w:line="360" w:lineRule="exact"/>
              <w:ind w:firstLine="0" w:firstLineChars="0"/>
              <w:jc w:val="center"/>
              <w:rPr>
                <w:rFonts w:cs="Times New Roman"/>
                <w:snapToGrid w:val="0"/>
                <w:color w:val="auto"/>
                <w:sz w:val="21"/>
                <w:szCs w:val="21"/>
                <w:highlight w:val="none"/>
              </w:rPr>
            </w:pPr>
            <w:r>
              <w:rPr>
                <w:rFonts w:cs="Times New Roman"/>
                <w:snapToGrid w:val="0"/>
                <w:color w:val="auto"/>
                <w:sz w:val="21"/>
                <w:szCs w:val="21"/>
                <w:highlight w:val="none"/>
              </w:rPr>
              <w:t>消毒剂（</w:t>
            </w:r>
            <w:r>
              <w:rPr>
                <w:rFonts w:hint="eastAsia" w:cs="Times New Roman"/>
                <w:snapToGrid w:val="0"/>
                <w:color w:val="auto"/>
                <w:sz w:val="21"/>
                <w:szCs w:val="21"/>
                <w:highlight w:val="none"/>
                <w:lang w:val="en-US" w:eastAsia="zh-CN"/>
              </w:rPr>
              <w:t>次氯酸钠</w:t>
            </w:r>
            <w:r>
              <w:rPr>
                <w:rFonts w:cs="Times New Roman"/>
                <w:snapToGrid w:val="0"/>
                <w:color w:val="auto"/>
                <w:sz w:val="21"/>
                <w:szCs w:val="21"/>
                <w:highlight w:val="none"/>
              </w:rPr>
              <w:t>）</w:t>
            </w:r>
          </w:p>
        </w:tc>
        <w:tc>
          <w:tcPr>
            <w:tcW w:w="1314" w:type="pct"/>
            <w:vAlign w:val="center"/>
          </w:tcPr>
          <w:p w14:paraId="6C6F056B">
            <w:pPr>
              <w:pStyle w:val="18"/>
              <w:spacing w:line="360" w:lineRule="exact"/>
              <w:ind w:firstLine="0" w:firstLineChars="0"/>
              <w:jc w:val="center"/>
              <w:rPr>
                <w:rFonts w:cs="Times New Roman"/>
                <w:snapToGrid w:val="0"/>
                <w:color w:val="auto"/>
                <w:sz w:val="21"/>
                <w:highlight w:val="none"/>
                <w:lang w:val="zh-CN"/>
              </w:rPr>
            </w:pPr>
            <w:r>
              <w:rPr>
                <w:rFonts w:hint="eastAsia" w:cs="Times New Roman"/>
                <w:snapToGrid w:val="0"/>
                <w:color w:val="auto"/>
                <w:sz w:val="21"/>
                <w:highlight w:val="none"/>
                <w:lang w:val="en-US" w:eastAsia="zh-CN"/>
              </w:rPr>
              <w:t>5</w:t>
            </w:r>
            <w:r>
              <w:rPr>
                <w:rFonts w:cs="Times New Roman"/>
                <w:snapToGrid w:val="0"/>
                <w:color w:val="auto"/>
                <w:sz w:val="21"/>
                <w:highlight w:val="none"/>
              </w:rPr>
              <w:t>t/a</w:t>
            </w:r>
          </w:p>
        </w:tc>
        <w:tc>
          <w:tcPr>
            <w:tcW w:w="1989" w:type="pct"/>
            <w:vAlign w:val="center"/>
          </w:tcPr>
          <w:p w14:paraId="08A53B16">
            <w:pPr>
              <w:pStyle w:val="18"/>
              <w:spacing w:line="360" w:lineRule="exact"/>
              <w:ind w:firstLine="0" w:firstLineChars="0"/>
              <w:jc w:val="center"/>
              <w:rPr>
                <w:rFonts w:hint="default" w:eastAsia="宋体" w:cs="Times New Roman"/>
                <w:snapToGrid w:val="0"/>
                <w:color w:val="auto"/>
                <w:sz w:val="21"/>
                <w:highlight w:val="none"/>
                <w:lang w:val="en-US" w:eastAsia="zh-CN"/>
              </w:rPr>
            </w:pPr>
            <w:r>
              <w:rPr>
                <w:rFonts w:cs="Times New Roman"/>
                <w:snapToGrid w:val="0"/>
                <w:color w:val="auto"/>
                <w:sz w:val="21"/>
                <w:highlight w:val="none"/>
              </w:rPr>
              <w:t>厂内最大暂存量为</w:t>
            </w:r>
            <w:r>
              <w:rPr>
                <w:rFonts w:hint="eastAsia" w:cs="Times New Roman"/>
                <w:snapToGrid w:val="0"/>
                <w:color w:val="auto"/>
                <w:sz w:val="21"/>
                <w:highlight w:val="none"/>
                <w:lang w:val="en-US" w:eastAsia="zh-CN"/>
              </w:rPr>
              <w:t>2</w:t>
            </w:r>
            <w:r>
              <w:rPr>
                <w:rFonts w:cs="Times New Roman"/>
                <w:snapToGrid w:val="0"/>
                <w:color w:val="auto"/>
                <w:sz w:val="21"/>
                <w:highlight w:val="none"/>
              </w:rPr>
              <w:t>t</w:t>
            </w:r>
            <w:r>
              <w:rPr>
                <w:rFonts w:hint="eastAsia" w:cs="Times New Roman"/>
                <w:snapToGrid w:val="0"/>
                <w:color w:val="auto"/>
                <w:sz w:val="21"/>
                <w:highlight w:val="none"/>
                <w:lang w:eastAsia="zh-CN"/>
              </w:rPr>
              <w:t>，</w:t>
            </w:r>
            <w:r>
              <w:rPr>
                <w:rFonts w:hint="eastAsia" w:cs="Times New Roman"/>
                <w:snapToGrid w:val="0"/>
                <w:color w:val="auto"/>
                <w:sz w:val="21"/>
                <w:highlight w:val="none"/>
                <w:lang w:val="en-US" w:eastAsia="zh-CN"/>
              </w:rPr>
              <w:t>储存于厂区西侧库房内</w:t>
            </w:r>
          </w:p>
        </w:tc>
      </w:tr>
      <w:tr w14:paraId="40980D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14" w:type="pct"/>
            <w:vAlign w:val="center"/>
          </w:tcPr>
          <w:p w14:paraId="059C870B">
            <w:pPr>
              <w:pStyle w:val="73"/>
              <w:rPr>
                <w:rFonts w:cs="Times New Roman"/>
                <w:snapToGrid w:val="0"/>
                <w:color w:val="auto"/>
                <w:highlight w:val="none"/>
                <w:lang w:val="en-US"/>
              </w:rPr>
            </w:pPr>
            <w:r>
              <w:rPr>
                <w:rFonts w:cs="Times New Roman"/>
                <w:snapToGrid w:val="0"/>
                <w:color w:val="auto"/>
                <w:highlight w:val="none"/>
                <w:lang w:val="en-US"/>
              </w:rPr>
              <w:t>4</w:t>
            </w:r>
          </w:p>
        </w:tc>
        <w:tc>
          <w:tcPr>
            <w:tcW w:w="1181" w:type="pct"/>
            <w:vAlign w:val="center"/>
          </w:tcPr>
          <w:p w14:paraId="2B0B7EFA">
            <w:pPr>
              <w:widowControl/>
              <w:spacing w:line="360" w:lineRule="exact"/>
              <w:ind w:firstLine="0" w:firstLineChars="0"/>
              <w:jc w:val="center"/>
              <w:rPr>
                <w:rFonts w:cs="Times New Roman"/>
                <w:snapToGrid w:val="0"/>
                <w:color w:val="auto"/>
                <w:sz w:val="21"/>
                <w:szCs w:val="21"/>
                <w:highlight w:val="none"/>
              </w:rPr>
            </w:pPr>
            <w:r>
              <w:rPr>
                <w:rFonts w:cs="Times New Roman"/>
                <w:snapToGrid w:val="0"/>
                <w:color w:val="auto"/>
                <w:sz w:val="21"/>
                <w:szCs w:val="21"/>
                <w:highlight w:val="none"/>
              </w:rPr>
              <w:t>制冷剂R410A</w:t>
            </w:r>
          </w:p>
        </w:tc>
        <w:tc>
          <w:tcPr>
            <w:tcW w:w="1314" w:type="pct"/>
            <w:vAlign w:val="center"/>
          </w:tcPr>
          <w:p w14:paraId="59939742">
            <w:pPr>
              <w:pStyle w:val="18"/>
              <w:spacing w:line="360" w:lineRule="exact"/>
              <w:ind w:firstLine="0" w:firstLineChars="0"/>
              <w:jc w:val="center"/>
              <w:rPr>
                <w:rFonts w:cs="Times New Roman"/>
                <w:snapToGrid w:val="0"/>
                <w:color w:val="auto"/>
                <w:sz w:val="21"/>
                <w:highlight w:val="none"/>
                <w:lang w:val="zh-CN"/>
              </w:rPr>
            </w:pPr>
            <w:r>
              <w:rPr>
                <w:rFonts w:hint="eastAsia" w:cs="Times New Roman"/>
                <w:snapToGrid w:val="0"/>
                <w:color w:val="auto"/>
                <w:sz w:val="21"/>
                <w:highlight w:val="none"/>
                <w:lang w:val="en-US" w:eastAsia="zh-CN"/>
              </w:rPr>
              <w:t>0.32t</w:t>
            </w:r>
            <w:r>
              <w:rPr>
                <w:rFonts w:cs="Times New Roman"/>
                <w:snapToGrid w:val="0"/>
                <w:color w:val="auto"/>
                <w:sz w:val="21"/>
                <w:highlight w:val="none"/>
              </w:rPr>
              <w:t>/a</w:t>
            </w:r>
          </w:p>
        </w:tc>
        <w:tc>
          <w:tcPr>
            <w:tcW w:w="1989" w:type="pct"/>
            <w:vAlign w:val="center"/>
          </w:tcPr>
          <w:p w14:paraId="632DEF6C">
            <w:pPr>
              <w:pStyle w:val="18"/>
              <w:spacing w:line="360" w:lineRule="exact"/>
              <w:ind w:firstLine="0" w:firstLineChars="0"/>
              <w:jc w:val="center"/>
              <w:rPr>
                <w:rFonts w:hint="default" w:eastAsia="宋体" w:cs="Times New Roman"/>
                <w:snapToGrid w:val="0"/>
                <w:color w:val="auto"/>
                <w:sz w:val="21"/>
                <w:highlight w:val="none"/>
                <w:lang w:val="en-US" w:eastAsia="zh-CN"/>
              </w:rPr>
            </w:pPr>
            <w:r>
              <w:rPr>
                <w:rFonts w:hint="eastAsia" w:cs="Times New Roman"/>
                <w:snapToGrid w:val="0"/>
                <w:color w:val="auto"/>
                <w:sz w:val="21"/>
                <w:highlight w:val="none"/>
                <w:lang w:val="en-US" w:eastAsia="zh-CN"/>
              </w:rPr>
              <w:t>本项目采用氟制冷，</w:t>
            </w:r>
            <w:r>
              <w:rPr>
                <w:rFonts w:cs="Times New Roman"/>
                <w:snapToGrid w:val="0"/>
                <w:color w:val="auto"/>
                <w:sz w:val="21"/>
                <w:szCs w:val="21"/>
                <w:highlight w:val="none"/>
              </w:rPr>
              <w:t>R410A</w:t>
            </w:r>
            <w:r>
              <w:rPr>
                <w:rFonts w:hint="eastAsia" w:cs="Times New Roman"/>
                <w:snapToGrid w:val="0"/>
                <w:color w:val="auto"/>
                <w:sz w:val="21"/>
                <w:szCs w:val="21"/>
                <w:highlight w:val="none"/>
                <w:lang w:val="en-US" w:eastAsia="zh-CN"/>
              </w:rPr>
              <w:t>是环保型制冷剂，</w:t>
            </w:r>
            <w:r>
              <w:rPr>
                <w:rFonts w:cs="Times New Roman"/>
                <w:snapToGrid w:val="0"/>
                <w:color w:val="auto"/>
                <w:sz w:val="21"/>
                <w:highlight w:val="none"/>
              </w:rPr>
              <w:t>需要时由厂家派专人进行更换和补充</w:t>
            </w:r>
            <w:r>
              <w:rPr>
                <w:rFonts w:hint="eastAsia" w:cs="Times New Roman"/>
                <w:snapToGrid w:val="0"/>
                <w:color w:val="auto"/>
                <w:sz w:val="21"/>
                <w:highlight w:val="none"/>
                <w:lang w:eastAsia="zh-CN"/>
              </w:rPr>
              <w:t>，</w:t>
            </w:r>
            <w:r>
              <w:rPr>
                <w:rFonts w:hint="eastAsia" w:cs="Times New Roman"/>
                <w:snapToGrid w:val="0"/>
                <w:color w:val="auto"/>
                <w:sz w:val="21"/>
                <w:highlight w:val="none"/>
                <w:lang w:val="en-US" w:eastAsia="zh-CN"/>
              </w:rPr>
              <w:t>不在厂区内暂存</w:t>
            </w:r>
          </w:p>
        </w:tc>
      </w:tr>
      <w:tr w14:paraId="06E688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14" w:type="pct"/>
            <w:vAlign w:val="center"/>
          </w:tcPr>
          <w:p w14:paraId="34D9E7A6">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6</w:t>
            </w:r>
          </w:p>
        </w:tc>
        <w:tc>
          <w:tcPr>
            <w:tcW w:w="1181" w:type="pct"/>
            <w:vAlign w:val="center"/>
          </w:tcPr>
          <w:p w14:paraId="4A4A3C5E">
            <w:pPr>
              <w:widowControl/>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活性炭</w:t>
            </w:r>
          </w:p>
        </w:tc>
        <w:tc>
          <w:tcPr>
            <w:tcW w:w="1314" w:type="pct"/>
            <w:vAlign w:val="center"/>
          </w:tcPr>
          <w:p w14:paraId="40A73CC6">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2t/a</w:t>
            </w:r>
          </w:p>
        </w:tc>
        <w:tc>
          <w:tcPr>
            <w:tcW w:w="1989" w:type="pct"/>
            <w:vAlign w:val="center"/>
          </w:tcPr>
          <w:p w14:paraId="6429EE52">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外购，厂内最大暂存量为1t，储存于厂区西侧库房内</w:t>
            </w:r>
          </w:p>
        </w:tc>
      </w:tr>
      <w:tr w14:paraId="71082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14" w:type="pct"/>
            <w:vAlign w:val="center"/>
          </w:tcPr>
          <w:p w14:paraId="0CEEA9A3">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7</w:t>
            </w:r>
          </w:p>
        </w:tc>
        <w:tc>
          <w:tcPr>
            <w:tcW w:w="1181" w:type="pct"/>
            <w:vAlign w:val="center"/>
          </w:tcPr>
          <w:p w14:paraId="417134A7">
            <w:pPr>
              <w:widowControl/>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环保型消毒液</w:t>
            </w:r>
          </w:p>
        </w:tc>
        <w:tc>
          <w:tcPr>
            <w:tcW w:w="1314" w:type="pct"/>
            <w:vAlign w:val="center"/>
          </w:tcPr>
          <w:p w14:paraId="757B6189">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3.2t/a</w:t>
            </w:r>
          </w:p>
        </w:tc>
        <w:tc>
          <w:tcPr>
            <w:tcW w:w="1989" w:type="pct"/>
            <w:vAlign w:val="center"/>
          </w:tcPr>
          <w:p w14:paraId="65F53074">
            <w:pPr>
              <w:pStyle w:val="18"/>
              <w:spacing w:line="360" w:lineRule="exact"/>
              <w:ind w:firstLine="0" w:firstLineChars="0"/>
              <w:jc w:val="center"/>
              <w:rPr>
                <w:rFonts w:hint="eastAsia" w:cs="Times New Roman"/>
                <w:snapToGrid w:val="0"/>
                <w:color w:val="auto"/>
                <w:sz w:val="21"/>
                <w:highlight w:val="none"/>
                <w:lang w:val="en-US" w:eastAsia="zh-CN"/>
              </w:rPr>
            </w:pPr>
            <w:r>
              <w:rPr>
                <w:rFonts w:hint="eastAsia" w:cs="Times New Roman"/>
                <w:snapToGrid w:val="0"/>
                <w:color w:val="auto"/>
                <w:sz w:val="21"/>
                <w:highlight w:val="none"/>
                <w:lang w:val="en-US" w:eastAsia="zh-CN"/>
              </w:rPr>
              <w:t>外购，厂内最大暂存量为0.5t，储存于厂区西侧库房内</w:t>
            </w:r>
          </w:p>
        </w:tc>
      </w:tr>
      <w:tr w14:paraId="5F2C95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14" w:type="pct"/>
            <w:vAlign w:val="center"/>
          </w:tcPr>
          <w:p w14:paraId="23F49DBA">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8</w:t>
            </w:r>
          </w:p>
        </w:tc>
        <w:tc>
          <w:tcPr>
            <w:tcW w:w="1181" w:type="pct"/>
            <w:vAlign w:val="center"/>
          </w:tcPr>
          <w:p w14:paraId="27607606">
            <w:pPr>
              <w:widowControl/>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环保型除臭剂</w:t>
            </w:r>
          </w:p>
        </w:tc>
        <w:tc>
          <w:tcPr>
            <w:tcW w:w="1314" w:type="pct"/>
            <w:vAlign w:val="center"/>
          </w:tcPr>
          <w:p w14:paraId="0FB9B29C">
            <w:pPr>
              <w:pStyle w:val="18"/>
              <w:spacing w:line="360" w:lineRule="exact"/>
              <w:ind w:firstLine="0" w:firstLineChars="0"/>
              <w:jc w:val="center"/>
              <w:rPr>
                <w:rFonts w:hint="default" w:cs="Times New Roman"/>
                <w:snapToGrid w:val="0"/>
                <w:color w:val="auto"/>
                <w:sz w:val="21"/>
                <w:highlight w:val="none"/>
                <w:lang w:val="en-US" w:eastAsia="zh-CN"/>
              </w:rPr>
            </w:pPr>
            <w:r>
              <w:rPr>
                <w:rFonts w:hint="eastAsia" w:cs="Times New Roman"/>
                <w:snapToGrid w:val="0"/>
                <w:color w:val="auto"/>
                <w:sz w:val="21"/>
                <w:highlight w:val="none"/>
                <w:lang w:val="en-US" w:eastAsia="zh-CN"/>
              </w:rPr>
              <w:t>12t/a</w:t>
            </w:r>
          </w:p>
        </w:tc>
        <w:tc>
          <w:tcPr>
            <w:tcW w:w="1989" w:type="pct"/>
            <w:vAlign w:val="center"/>
          </w:tcPr>
          <w:p w14:paraId="3A02E86A">
            <w:pPr>
              <w:pStyle w:val="18"/>
              <w:spacing w:line="360" w:lineRule="exact"/>
              <w:ind w:firstLine="0" w:firstLineChars="0"/>
              <w:jc w:val="center"/>
              <w:rPr>
                <w:rFonts w:hint="eastAsia" w:cs="Times New Roman"/>
                <w:snapToGrid w:val="0"/>
                <w:color w:val="auto"/>
                <w:sz w:val="21"/>
                <w:highlight w:val="none"/>
                <w:lang w:val="en-US" w:eastAsia="zh-CN"/>
              </w:rPr>
            </w:pPr>
            <w:r>
              <w:rPr>
                <w:rFonts w:hint="eastAsia" w:cs="Times New Roman"/>
                <w:snapToGrid w:val="0"/>
                <w:color w:val="auto"/>
                <w:sz w:val="21"/>
                <w:highlight w:val="none"/>
                <w:lang w:val="en-US" w:eastAsia="zh-CN"/>
              </w:rPr>
              <w:t>外购，厂内最大暂存量为2t，储存于厂区西侧库房内</w:t>
            </w:r>
          </w:p>
        </w:tc>
      </w:tr>
    </w:tbl>
    <w:p w14:paraId="1202CA9A">
      <w:pPr>
        <w:pStyle w:val="117"/>
        <w:keepNext w:val="0"/>
        <w:keepLines w:val="0"/>
        <w:pageBreakBefore w:val="0"/>
        <w:widowControl w:val="0"/>
        <w:kinsoku/>
        <w:wordWrap/>
        <w:overflowPunct/>
        <w:topLinePunct w:val="0"/>
        <w:autoSpaceDE/>
        <w:autoSpaceDN/>
        <w:bidi w:val="0"/>
        <w:adjustRightInd w:val="0"/>
        <w:snapToGrid w:val="0"/>
        <w:spacing w:before="156" w:beforeLines="50" w:line="520" w:lineRule="atLeast"/>
        <w:textAlignment w:val="auto"/>
        <w:rPr>
          <w:rFonts w:cs="Times New Roman"/>
          <w:snapToGrid w:val="0"/>
          <w:color w:val="auto"/>
          <w:szCs w:val="24"/>
          <w:highlight w:val="none"/>
        </w:rPr>
      </w:pPr>
      <w:r>
        <w:rPr>
          <w:rFonts w:cs="Times New Roman"/>
          <w:snapToGrid w:val="0"/>
          <w:color w:val="auto"/>
          <w:szCs w:val="24"/>
          <w:highlight w:val="none"/>
        </w:rPr>
        <w:t>（1）</w:t>
      </w:r>
      <w:r>
        <w:rPr>
          <w:rFonts w:hint="eastAsia" w:cs="Times New Roman"/>
          <w:color w:val="auto"/>
          <w:szCs w:val="24"/>
          <w:highlight w:val="none"/>
          <w:lang w:val="en-US" w:eastAsia="zh-CN"/>
        </w:rPr>
        <w:t>次氯酸钠</w:t>
      </w:r>
      <w:r>
        <w:rPr>
          <w:rFonts w:cs="Times New Roman"/>
          <w:color w:val="auto"/>
          <w:szCs w:val="24"/>
          <w:highlight w:val="none"/>
        </w:rPr>
        <w:t>：</w:t>
      </w:r>
      <w:r>
        <w:rPr>
          <w:rFonts w:hint="eastAsia" w:cs="Times New Roman"/>
          <w:color w:val="auto"/>
          <w:szCs w:val="24"/>
          <w:highlight w:val="none"/>
        </w:rPr>
        <w:t>次氯化钠的消毒机理涉及氧化作用、新生态氧的作用以及氯化作用。其中，氧化作用被普遍认为是主要的消毒机制。当次氯酸钠在溶液中水解后，次氯酸根离子会得到电子而呈现强氧化性。这种强氧化性的离子能够轻易地穿透细胞壁，破坏细菌的酶系统，进而导致细胞死亡。这种独特的杀菌方式使得次氯酸钠成为一种高效且安全的消毒剂。</w:t>
      </w:r>
    </w:p>
    <w:p w14:paraId="1CF8AAA2">
      <w:pPr>
        <w:pStyle w:val="117"/>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szCs w:val="24"/>
          <w:highlight w:val="none"/>
        </w:rPr>
      </w:pPr>
      <w:r>
        <w:rPr>
          <w:rFonts w:cs="Times New Roman"/>
          <w:snapToGrid w:val="0"/>
          <w:color w:val="auto"/>
          <w:szCs w:val="24"/>
          <w:highlight w:val="none"/>
        </w:rPr>
        <w:t>（2）</w:t>
      </w:r>
      <w:r>
        <w:rPr>
          <w:rFonts w:cs="Times New Roman"/>
          <w:color w:val="auto"/>
          <w:szCs w:val="24"/>
          <w:highlight w:val="none"/>
        </w:rPr>
        <w:t>制冷剂R410A：</w:t>
      </w:r>
      <w:r>
        <w:rPr>
          <w:rFonts w:eastAsia="Times New Roman" w:cs="Times New Roman"/>
          <w:color w:val="auto"/>
          <w:szCs w:val="24"/>
          <w:highlight w:val="none"/>
        </w:rPr>
        <w:t>R410A</w:t>
      </w:r>
      <w:r>
        <w:rPr>
          <w:rFonts w:cs="Times New Roman"/>
          <w:color w:val="auto"/>
          <w:szCs w:val="24"/>
          <w:highlight w:val="none"/>
        </w:rPr>
        <w:t>，是一种</w:t>
      </w:r>
      <w:r>
        <w:rPr>
          <w:rFonts w:hint="eastAsia" w:cs="Times New Roman"/>
          <w:color w:val="auto"/>
          <w:szCs w:val="24"/>
          <w:highlight w:val="none"/>
          <w:lang w:val="en-US" w:eastAsia="zh-CN"/>
        </w:rPr>
        <w:t>环保型</w:t>
      </w:r>
      <w:r>
        <w:rPr>
          <w:rFonts w:cs="Times New Roman"/>
          <w:color w:val="auto"/>
          <w:szCs w:val="24"/>
          <w:highlight w:val="none"/>
        </w:rPr>
        <w:t>混合制冷剂，它是由</w:t>
      </w:r>
      <w:r>
        <w:rPr>
          <w:rFonts w:eastAsia="Times New Roman" w:cs="Times New Roman"/>
          <w:color w:val="auto"/>
          <w:szCs w:val="24"/>
          <w:highlight w:val="none"/>
        </w:rPr>
        <w:t>50%R32</w:t>
      </w:r>
      <w:r>
        <w:rPr>
          <w:rFonts w:cs="Times New Roman"/>
          <w:color w:val="auto"/>
          <w:szCs w:val="24"/>
          <w:highlight w:val="none"/>
        </w:rPr>
        <w:t>（二氟甲烷）和</w:t>
      </w:r>
      <w:r>
        <w:rPr>
          <w:rFonts w:eastAsia="Times New Roman" w:cs="Times New Roman"/>
          <w:color w:val="auto"/>
          <w:szCs w:val="24"/>
          <w:highlight w:val="none"/>
        </w:rPr>
        <w:t>50%R125</w:t>
      </w:r>
      <w:r>
        <w:rPr>
          <w:rFonts w:cs="Times New Roman"/>
          <w:color w:val="auto"/>
          <w:szCs w:val="24"/>
          <w:highlight w:val="none"/>
        </w:rPr>
        <w:t>（五氟乙烷</w:t>
      </w:r>
      <w:r>
        <w:rPr>
          <w:rFonts w:cs="Times New Roman"/>
          <w:color w:val="auto"/>
          <w:spacing w:val="-24"/>
          <w:szCs w:val="24"/>
          <w:highlight w:val="none"/>
        </w:rPr>
        <w:t>）</w:t>
      </w:r>
      <w:r>
        <w:rPr>
          <w:rFonts w:cs="Times New Roman"/>
          <w:color w:val="auto"/>
          <w:spacing w:val="-7"/>
          <w:szCs w:val="24"/>
          <w:highlight w:val="none"/>
        </w:rPr>
        <w:t>组成的混合物，其优点在于可以根据具体的使用要求，对各种性质，如</w:t>
      </w:r>
      <w:r>
        <w:rPr>
          <w:rFonts w:cs="Times New Roman"/>
          <w:color w:val="auto"/>
          <w:spacing w:val="-3"/>
          <w:szCs w:val="24"/>
          <w:highlight w:val="none"/>
        </w:rPr>
        <w:t>易燃性、容量、排气温度和效能加以考虑，量身合成一种制冷剂，属于</w:t>
      </w:r>
      <w:r>
        <w:rPr>
          <w:rFonts w:eastAsia="Times New Roman" w:cs="Times New Roman"/>
          <w:color w:val="auto"/>
          <w:szCs w:val="24"/>
          <w:highlight w:val="none"/>
        </w:rPr>
        <w:t>R22</w:t>
      </w:r>
      <w:r>
        <w:rPr>
          <w:rFonts w:cs="Times New Roman"/>
          <w:color w:val="auto"/>
          <w:spacing w:val="-7"/>
          <w:szCs w:val="24"/>
          <w:highlight w:val="none"/>
        </w:rPr>
        <w:t>的环</w:t>
      </w:r>
      <w:r>
        <w:rPr>
          <w:rFonts w:cs="Times New Roman"/>
          <w:color w:val="auto"/>
          <w:spacing w:val="-3"/>
          <w:szCs w:val="24"/>
          <w:highlight w:val="none"/>
        </w:rPr>
        <w:t>保替代品。</w:t>
      </w:r>
      <w:r>
        <w:rPr>
          <w:rFonts w:eastAsia="Times New Roman" w:cs="Times New Roman"/>
          <w:color w:val="auto"/>
          <w:szCs w:val="24"/>
          <w:highlight w:val="none"/>
        </w:rPr>
        <w:t>R410A</w:t>
      </w:r>
      <w:r>
        <w:rPr>
          <w:rFonts w:cs="Times New Roman"/>
          <w:color w:val="auto"/>
          <w:spacing w:val="-4"/>
          <w:szCs w:val="24"/>
          <w:highlight w:val="none"/>
        </w:rPr>
        <w:t>外观无色，不浑浊，易挥发，沸点</w:t>
      </w:r>
      <w:r>
        <w:rPr>
          <w:rFonts w:eastAsia="Times New Roman" w:cs="Times New Roman"/>
          <w:color w:val="auto"/>
          <w:szCs w:val="24"/>
          <w:highlight w:val="none"/>
        </w:rPr>
        <w:t>-51.6</w:t>
      </w:r>
      <w:r>
        <w:rPr>
          <w:rFonts w:cs="Times New Roman"/>
          <w:color w:val="auto"/>
          <w:szCs w:val="24"/>
          <w:highlight w:val="none"/>
        </w:rPr>
        <w:t>℃，凝固点</w:t>
      </w:r>
      <w:r>
        <w:rPr>
          <w:rFonts w:eastAsia="Times New Roman" w:cs="Times New Roman"/>
          <w:color w:val="auto"/>
          <w:szCs w:val="24"/>
          <w:highlight w:val="none"/>
        </w:rPr>
        <w:t>-155</w:t>
      </w:r>
      <w:r>
        <w:rPr>
          <w:rFonts w:cs="Times New Roman"/>
          <w:color w:val="auto"/>
          <w:spacing w:val="-3"/>
          <w:szCs w:val="24"/>
          <w:highlight w:val="none"/>
        </w:rPr>
        <w:t>℃，不</w:t>
      </w:r>
      <w:r>
        <w:rPr>
          <w:rFonts w:cs="Times New Roman"/>
          <w:color w:val="auto"/>
          <w:szCs w:val="24"/>
          <w:highlight w:val="none"/>
        </w:rPr>
        <w:t>属于破坏臭氧层物质清单。</w:t>
      </w:r>
    </w:p>
    <w:p w14:paraId="0029C3CC">
      <w:pPr>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过氧化氢</w:t>
      </w:r>
      <w:r>
        <w:rPr>
          <w:rFonts w:ascii="Times New Roman" w:hAnsi="Times New Roman" w:eastAsia="宋体" w:cs="Times New Roman"/>
          <w:color w:val="auto"/>
          <w:kern w:val="2"/>
          <w:sz w:val="24"/>
          <w:szCs w:val="24"/>
          <w:highlight w:val="none"/>
          <w:lang w:val="en-US" w:eastAsia="zh-CN" w:bidi="ar-SA"/>
        </w:rPr>
        <w:t>消毒剂</w:t>
      </w:r>
      <w:r>
        <w:rPr>
          <w:rFonts w:hint="eastAsia" w:ascii="Times New Roman" w:hAnsi="Times New Roman" w:eastAsia="宋体" w:cs="Times New Roman"/>
          <w:color w:val="auto"/>
          <w:kern w:val="2"/>
          <w:sz w:val="24"/>
          <w:szCs w:val="24"/>
          <w:highlight w:val="none"/>
          <w:lang w:val="en-US" w:eastAsia="zh-CN" w:bidi="ar-SA"/>
        </w:rPr>
        <w:t>：</w:t>
      </w:r>
      <w:r>
        <w:rPr>
          <w:rFonts w:ascii="Times New Roman" w:hAnsi="Times New Roman" w:eastAsia="宋体" w:cs="Times New Roman"/>
          <w:color w:val="auto"/>
          <w:kern w:val="2"/>
          <w:sz w:val="24"/>
          <w:szCs w:val="24"/>
          <w:highlight w:val="none"/>
          <w:lang w:val="en-US" w:eastAsia="zh-CN" w:bidi="ar-SA"/>
        </w:rPr>
        <w:t>其分解产物只有</w:t>
      </w:r>
      <w:r>
        <w:rPr>
          <w:rFonts w:hint="default" w:ascii="Times New Roman" w:hAnsi="Times New Roman" w:eastAsia="宋体" w:cs="Times New Roman"/>
          <w:color w:val="auto"/>
          <w:kern w:val="2"/>
          <w:sz w:val="24"/>
          <w:szCs w:val="24"/>
          <w:highlight w:val="none"/>
          <w:lang w:val="en-US" w:eastAsia="zh-CN" w:bidi="ar-SA"/>
        </w:rPr>
        <w:t>水和氧气，对环境绝对安全，无任何有毒残留。可用于食品直接接触面的消毒。</w:t>
      </w:r>
      <w:r>
        <w:rPr>
          <w:rFonts w:ascii="Times New Roman" w:hAnsi="Times New Roman" w:eastAsia="宋体" w:cs="Times New Roman"/>
          <w:color w:val="auto"/>
          <w:kern w:val="2"/>
          <w:sz w:val="24"/>
          <w:szCs w:val="24"/>
          <w:highlight w:val="none"/>
          <w:lang w:val="en-US" w:eastAsia="zh-CN" w:bidi="ar-SA"/>
        </w:rPr>
        <w:t>广谱杀菌，对细菌、病毒、真菌和细菌芽孢均有效。现在市售的食品级过氧化氢消毒液通常通过特殊技术（如与银离子、胶质银或有机酸复配）使其更稳定、作用更持久、杀菌效力更强。</w:t>
      </w:r>
      <w:r>
        <w:rPr>
          <w:rFonts w:hint="eastAsia" w:ascii="Times New Roman" w:hAnsi="Times New Roman" w:eastAsia="宋体" w:cs="Times New Roman"/>
          <w:color w:val="auto"/>
          <w:kern w:val="2"/>
          <w:sz w:val="24"/>
          <w:szCs w:val="24"/>
          <w:highlight w:val="none"/>
          <w:lang w:val="en-US" w:eastAsia="zh-CN" w:bidi="ar-SA"/>
        </w:rPr>
        <w:t>可用于</w:t>
      </w:r>
      <w:r>
        <w:rPr>
          <w:rFonts w:ascii="Times New Roman" w:hAnsi="Times New Roman" w:eastAsia="宋体" w:cs="Times New Roman"/>
          <w:color w:val="auto"/>
          <w:kern w:val="2"/>
          <w:sz w:val="24"/>
          <w:szCs w:val="24"/>
          <w:highlight w:val="none"/>
          <w:lang w:val="en-US" w:eastAsia="zh-CN" w:bidi="ar-SA"/>
        </w:rPr>
        <w:t>车间地面、墙壁、空间喷雾。</w:t>
      </w:r>
    </w:p>
    <w:p w14:paraId="6ADD120C">
      <w:pPr>
        <w:pStyle w:val="63"/>
        <w:keepNext w:val="0"/>
        <w:keepLines w:val="0"/>
        <w:pageBreakBefore w:val="0"/>
        <w:widowControl w:val="0"/>
        <w:kinsoku/>
        <w:wordWrap/>
        <w:overflowPunct/>
        <w:topLinePunct w:val="0"/>
        <w:autoSpaceDE w:val="0"/>
        <w:autoSpaceDN w:val="0"/>
        <w:bidi w:val="0"/>
        <w:adjustRightInd w:val="0"/>
        <w:snapToGrid/>
        <w:spacing w:line="520" w:lineRule="atLeast"/>
        <w:ind w:left="0" w:leftChars="0"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（4）</w:t>
      </w:r>
      <w:r>
        <w:rPr>
          <w:rFonts w:ascii="Times New Roman" w:hAnsi="Times New Roman" w:eastAsia="宋体" w:cs="Times New Roman"/>
          <w:color w:val="auto"/>
          <w:kern w:val="2"/>
          <w:sz w:val="24"/>
          <w:szCs w:val="24"/>
          <w:highlight w:val="none"/>
          <w:lang w:val="en-US" w:eastAsia="zh-CN" w:bidi="ar-SA"/>
        </w:rPr>
        <w:t>植物提取液除臭剂</w:t>
      </w:r>
      <w:r>
        <w:rPr>
          <w:rFonts w:hint="eastAsia" w:ascii="Times New Roman" w:hAnsi="Times New Roman" w:eastAsia="宋体" w:cs="Times New Roman"/>
          <w:color w:val="auto"/>
          <w:kern w:val="2"/>
          <w:sz w:val="24"/>
          <w:szCs w:val="24"/>
          <w:highlight w:val="none"/>
          <w:lang w:val="en-US" w:eastAsia="zh-CN" w:bidi="ar-SA"/>
        </w:rPr>
        <w:t>：</w:t>
      </w:r>
      <w:r>
        <w:rPr>
          <w:rFonts w:ascii="Times New Roman" w:hAnsi="Times New Roman" w:eastAsia="宋体" w:cs="Times New Roman"/>
          <w:color w:val="auto"/>
          <w:kern w:val="2"/>
          <w:sz w:val="24"/>
          <w:szCs w:val="24"/>
          <w:highlight w:val="none"/>
          <w:lang w:val="en-US" w:eastAsia="zh-CN" w:bidi="ar-SA"/>
        </w:rPr>
        <w:t>从天然植物（如茶树、桉树、松针、柑橘等）中提取有效成分，通过中和、聚合、氧化等化学反应与臭味分子作用，从而消除臭味。可用于空间喷雾、设备表面擦拭等。对于车间内空气的即时除臭效果很好。天然、安全，通常带有植物本身的清新气味，对人畜无害。</w:t>
      </w:r>
    </w:p>
    <w:p w14:paraId="5D361C9D">
      <w:pPr>
        <w:pStyle w:val="4"/>
        <w:spacing w:after="156"/>
        <w:rPr>
          <w:rFonts w:cs="Times New Roman"/>
          <w:color w:val="auto"/>
          <w:highlight w:val="none"/>
        </w:rPr>
      </w:pPr>
      <w:bookmarkStart w:id="109" w:name="_Toc27557"/>
      <w:r>
        <w:rPr>
          <w:rFonts w:cs="Times New Roman"/>
          <w:color w:val="auto"/>
          <w:highlight w:val="none"/>
        </w:rPr>
        <w:t>3.1.5产品方案</w:t>
      </w:r>
      <w:bookmarkEnd w:id="109"/>
    </w:p>
    <w:p w14:paraId="4F6082EB">
      <w:pPr>
        <w:jc w:val="left"/>
        <w:rPr>
          <w:rFonts w:eastAsia="黑体" w:cs="Times New Roman"/>
          <w:snapToGrid w:val="0"/>
          <w:color w:val="auto"/>
          <w:kern w:val="0"/>
          <w:szCs w:val="24"/>
          <w:highlight w:val="none"/>
          <w:lang w:val="zh-CN"/>
        </w:rPr>
      </w:pPr>
      <w:r>
        <w:rPr>
          <w:rFonts w:cs="Times New Roman"/>
          <w:snapToGrid w:val="0"/>
          <w:color w:val="auto"/>
          <w:kern w:val="0"/>
          <w:highlight w:val="none"/>
        </w:rPr>
        <w:t>本项目运营期主要进行牛、羊的屠宰，</w:t>
      </w:r>
      <w:r>
        <w:rPr>
          <w:rFonts w:hint="eastAsia" w:cs="Times New Roman"/>
          <w:color w:val="auto"/>
          <w:highlight w:val="none"/>
        </w:rPr>
        <w:t>屠宰量为肉牛</w:t>
      </w:r>
      <w:r>
        <w:rPr>
          <w:rFonts w:hint="eastAsia" w:cs="Times New Roman"/>
          <w:color w:val="auto"/>
          <w:highlight w:val="none"/>
          <w:lang w:val="en-US" w:eastAsia="zh-CN"/>
        </w:rPr>
        <w:t>100</w:t>
      </w:r>
      <w:r>
        <w:rPr>
          <w:rFonts w:hint="eastAsia" w:cs="Times New Roman"/>
          <w:color w:val="auto"/>
          <w:highlight w:val="none"/>
        </w:rPr>
        <w:t>头/d，肉羊</w:t>
      </w:r>
      <w:r>
        <w:rPr>
          <w:rFonts w:hint="eastAsia" w:cs="Times New Roman"/>
          <w:color w:val="auto"/>
          <w:highlight w:val="none"/>
          <w:lang w:val="en-US" w:eastAsia="zh-CN"/>
        </w:rPr>
        <w:t>500</w:t>
      </w:r>
      <w:r>
        <w:rPr>
          <w:rFonts w:hint="eastAsia" w:cs="Times New Roman"/>
          <w:color w:val="auto"/>
          <w:highlight w:val="none"/>
        </w:rPr>
        <w:t>只/d</w:t>
      </w:r>
      <w:r>
        <w:rPr>
          <w:rFonts w:hint="eastAsia" w:cs="Times New Roman"/>
          <w:color w:val="auto"/>
          <w:highlight w:val="none"/>
          <w:lang w:eastAsia="zh-CN"/>
        </w:rPr>
        <w:t>，</w:t>
      </w:r>
      <w:r>
        <w:rPr>
          <w:rFonts w:hint="eastAsia" w:cs="Times New Roman"/>
          <w:color w:val="auto"/>
          <w:highlight w:val="none"/>
        </w:rPr>
        <w:t>按设计</w:t>
      </w:r>
      <w:r>
        <w:rPr>
          <w:rFonts w:hint="eastAsia" w:cs="Times New Roman"/>
          <w:color w:val="auto"/>
          <w:highlight w:val="none"/>
          <w:lang w:val="en-US" w:eastAsia="zh-CN"/>
        </w:rPr>
        <w:t>310</w:t>
      </w:r>
      <w:r>
        <w:rPr>
          <w:rFonts w:hint="eastAsia" w:cs="Times New Roman"/>
          <w:color w:val="auto"/>
          <w:highlight w:val="none"/>
        </w:rPr>
        <w:t>天工作计算，</w:t>
      </w:r>
      <w:r>
        <w:rPr>
          <w:rFonts w:hint="eastAsia" w:cs="Times New Roman"/>
          <w:color w:val="auto"/>
          <w:highlight w:val="none"/>
          <w:lang w:eastAsia="zh-CN"/>
        </w:rPr>
        <w:t>年屠宰肉牛</w:t>
      </w:r>
      <w:r>
        <w:rPr>
          <w:rFonts w:hint="eastAsia" w:cs="Times New Roman"/>
          <w:color w:val="auto"/>
          <w:highlight w:val="none"/>
          <w:lang w:val="en-US" w:eastAsia="zh-CN"/>
        </w:rPr>
        <w:t>31000</w:t>
      </w:r>
      <w:r>
        <w:rPr>
          <w:rFonts w:hint="eastAsia" w:cs="Times New Roman"/>
          <w:color w:val="auto"/>
          <w:highlight w:val="none"/>
          <w:lang w:eastAsia="zh-CN"/>
        </w:rPr>
        <w:t>头、肉羊</w:t>
      </w:r>
      <w:r>
        <w:rPr>
          <w:rFonts w:hint="eastAsia" w:cs="Times New Roman"/>
          <w:color w:val="auto"/>
          <w:highlight w:val="none"/>
          <w:lang w:val="en-US" w:eastAsia="zh-CN"/>
        </w:rPr>
        <w:t>155</w:t>
      </w:r>
      <w:r>
        <w:rPr>
          <w:rFonts w:hint="eastAsia" w:cs="Times New Roman"/>
          <w:color w:val="auto"/>
          <w:highlight w:val="none"/>
          <w:lang w:eastAsia="zh-CN"/>
        </w:rPr>
        <w:t>000只。</w:t>
      </w:r>
    </w:p>
    <w:p w14:paraId="44E2E727">
      <w:pPr>
        <w:widowControl/>
        <w:spacing w:line="360" w:lineRule="exact"/>
        <w:ind w:firstLine="0" w:firstLineChars="0"/>
        <w:jc w:val="center"/>
        <w:rPr>
          <w:rFonts w:eastAsia="黑体" w:cs="Times New Roman"/>
          <w:snapToGrid w:val="0"/>
          <w:color w:val="auto"/>
          <w:kern w:val="0"/>
          <w:szCs w:val="24"/>
          <w:highlight w:val="none"/>
          <w:lang w:val="zh-CN"/>
        </w:rPr>
      </w:pPr>
      <w:r>
        <w:rPr>
          <w:rFonts w:eastAsia="黑体" w:cs="Times New Roman"/>
          <w:snapToGrid w:val="0"/>
          <w:color w:val="auto"/>
          <w:kern w:val="0"/>
          <w:szCs w:val="24"/>
          <w:highlight w:val="none"/>
          <w:lang w:val="zh-CN"/>
        </w:rPr>
        <w:t>表</w:t>
      </w:r>
      <w:r>
        <w:rPr>
          <w:rFonts w:hint="eastAsia" w:eastAsia="黑体" w:cs="Times New Roman"/>
          <w:snapToGrid w:val="0"/>
          <w:color w:val="auto"/>
          <w:kern w:val="0"/>
          <w:szCs w:val="24"/>
          <w:highlight w:val="none"/>
          <w:lang w:val="zh-CN"/>
        </w:rPr>
        <w:t>3</w:t>
      </w:r>
      <w:r>
        <w:rPr>
          <w:rFonts w:hint="eastAsia" w:eastAsia="黑体" w:cs="Times New Roman"/>
          <w:snapToGrid w:val="0"/>
          <w:color w:val="auto"/>
          <w:kern w:val="0"/>
          <w:szCs w:val="24"/>
          <w:highlight w:val="none"/>
          <w:lang w:val="en-US" w:eastAsia="zh-CN"/>
        </w:rPr>
        <w:t>.</w:t>
      </w:r>
      <w:r>
        <w:rPr>
          <w:rFonts w:hint="eastAsia" w:eastAsia="黑体" w:cs="Times New Roman"/>
          <w:snapToGrid w:val="0"/>
          <w:color w:val="auto"/>
          <w:kern w:val="0"/>
          <w:szCs w:val="24"/>
          <w:highlight w:val="none"/>
          <w:lang w:val="zh-CN"/>
        </w:rPr>
        <w:t>1-</w:t>
      </w:r>
      <w:r>
        <w:rPr>
          <w:rFonts w:eastAsia="黑体" w:cs="Times New Roman"/>
          <w:snapToGrid w:val="0"/>
          <w:color w:val="auto"/>
          <w:kern w:val="0"/>
          <w:szCs w:val="24"/>
          <w:highlight w:val="none"/>
        </w:rPr>
        <w:t xml:space="preserve">4  </w:t>
      </w:r>
      <w:r>
        <w:rPr>
          <w:rFonts w:eastAsia="黑体" w:cs="Times New Roman"/>
          <w:snapToGrid w:val="0"/>
          <w:color w:val="auto"/>
          <w:kern w:val="0"/>
          <w:szCs w:val="24"/>
          <w:highlight w:val="none"/>
          <w:lang w:val="zh-CN"/>
        </w:rPr>
        <w:t>产品方案</w:t>
      </w:r>
    </w:p>
    <w:tbl>
      <w:tblPr>
        <w:tblStyle w:val="398"/>
        <w:tblW w:w="490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3200"/>
        <w:gridCol w:w="4084"/>
      </w:tblGrid>
      <w:tr w14:paraId="433BBD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642" w:type="pct"/>
            <w:vAlign w:val="center"/>
          </w:tcPr>
          <w:p w14:paraId="5AE7A8A5">
            <w:pPr>
              <w:pStyle w:val="73"/>
              <w:rPr>
                <w:rFonts w:cs="Times New Roman"/>
                <w:snapToGrid w:val="0"/>
                <w:color w:val="auto"/>
                <w:highlight w:val="none"/>
              </w:rPr>
            </w:pPr>
            <w:r>
              <w:rPr>
                <w:rFonts w:cs="Times New Roman"/>
                <w:snapToGrid w:val="0"/>
                <w:color w:val="auto"/>
                <w:highlight w:val="none"/>
              </w:rPr>
              <w:t>序号</w:t>
            </w:r>
          </w:p>
        </w:tc>
        <w:tc>
          <w:tcPr>
            <w:tcW w:w="1913" w:type="pct"/>
            <w:vAlign w:val="center"/>
          </w:tcPr>
          <w:p w14:paraId="00339539">
            <w:pPr>
              <w:pStyle w:val="73"/>
              <w:rPr>
                <w:rFonts w:cs="Times New Roman"/>
                <w:snapToGrid w:val="0"/>
                <w:color w:val="auto"/>
                <w:highlight w:val="none"/>
              </w:rPr>
            </w:pPr>
            <w:r>
              <w:rPr>
                <w:rFonts w:cs="Times New Roman"/>
                <w:snapToGrid w:val="0"/>
                <w:color w:val="auto"/>
                <w:highlight w:val="none"/>
              </w:rPr>
              <w:t>产品名称</w:t>
            </w:r>
          </w:p>
        </w:tc>
        <w:tc>
          <w:tcPr>
            <w:tcW w:w="2443" w:type="pct"/>
            <w:vAlign w:val="center"/>
          </w:tcPr>
          <w:p w14:paraId="4A91D89C">
            <w:pPr>
              <w:pStyle w:val="73"/>
              <w:rPr>
                <w:rFonts w:cs="Times New Roman"/>
                <w:snapToGrid w:val="0"/>
                <w:color w:val="auto"/>
                <w:highlight w:val="none"/>
              </w:rPr>
            </w:pPr>
            <w:r>
              <w:rPr>
                <w:rFonts w:cs="Times New Roman"/>
                <w:snapToGrid w:val="0"/>
                <w:color w:val="auto"/>
                <w:highlight w:val="none"/>
              </w:rPr>
              <w:t>产量t/a</w:t>
            </w:r>
          </w:p>
        </w:tc>
      </w:tr>
      <w:tr w14:paraId="6C07F1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42" w:type="pct"/>
            <w:vAlign w:val="center"/>
          </w:tcPr>
          <w:p w14:paraId="50EF7772">
            <w:pPr>
              <w:pStyle w:val="73"/>
              <w:rPr>
                <w:rFonts w:cs="Times New Roman"/>
                <w:snapToGrid w:val="0"/>
                <w:color w:val="auto"/>
                <w:highlight w:val="none"/>
              </w:rPr>
            </w:pPr>
            <w:r>
              <w:rPr>
                <w:rFonts w:cs="Times New Roman"/>
                <w:snapToGrid w:val="0"/>
                <w:color w:val="auto"/>
                <w:highlight w:val="none"/>
              </w:rPr>
              <w:t>1</w:t>
            </w:r>
          </w:p>
        </w:tc>
        <w:tc>
          <w:tcPr>
            <w:tcW w:w="1913" w:type="pct"/>
            <w:vAlign w:val="center"/>
          </w:tcPr>
          <w:p w14:paraId="2D9EAB5D">
            <w:pPr>
              <w:widowControl/>
              <w:spacing w:line="360" w:lineRule="exact"/>
              <w:ind w:firstLine="0" w:firstLineChars="0"/>
              <w:jc w:val="center"/>
              <w:textAlignment w:val="center"/>
              <w:rPr>
                <w:rFonts w:cs="Times New Roman"/>
                <w:snapToGrid w:val="0"/>
                <w:color w:val="auto"/>
                <w:highlight w:val="none"/>
              </w:rPr>
            </w:pPr>
            <w:r>
              <w:rPr>
                <w:rFonts w:cs="Times New Roman"/>
                <w:snapToGrid w:val="0"/>
                <w:color w:val="auto"/>
                <w:kern w:val="0"/>
                <w:sz w:val="21"/>
                <w:szCs w:val="21"/>
                <w:highlight w:val="none"/>
                <w:lang w:bidi="ar"/>
              </w:rPr>
              <w:t>牛、羊肉</w:t>
            </w:r>
          </w:p>
        </w:tc>
        <w:tc>
          <w:tcPr>
            <w:tcW w:w="2443" w:type="pct"/>
            <w:vAlign w:val="center"/>
          </w:tcPr>
          <w:p w14:paraId="6354DDB2">
            <w:pPr>
              <w:widowControl/>
              <w:spacing w:line="360" w:lineRule="exact"/>
              <w:ind w:firstLine="0" w:firstLineChars="0"/>
              <w:jc w:val="center"/>
              <w:textAlignment w:val="center"/>
              <w:rPr>
                <w:rFonts w:hint="default" w:ascii="Times New Roman" w:hAnsi="Times New Roman" w:eastAsia="宋体" w:cs="Times New Roman"/>
                <w:snapToGrid w:val="0"/>
                <w:color w:val="auto"/>
                <w:kern w:val="0"/>
                <w:sz w:val="21"/>
                <w:szCs w:val="21"/>
                <w:highlight w:val="none"/>
                <w:lang w:val="en-US" w:bidi="ar"/>
              </w:rPr>
            </w:pPr>
            <w:r>
              <w:rPr>
                <w:rFonts w:hint="eastAsia" w:cs="Times New Roman"/>
                <w:snapToGrid w:val="0"/>
                <w:color w:val="auto"/>
                <w:kern w:val="0"/>
                <w:sz w:val="21"/>
                <w:szCs w:val="21"/>
                <w:highlight w:val="none"/>
                <w:lang w:val="en-US" w:eastAsia="zh-CN" w:bidi="ar"/>
              </w:rPr>
              <w:t>12950</w:t>
            </w:r>
          </w:p>
        </w:tc>
      </w:tr>
      <w:tr w14:paraId="0561A0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42" w:type="pct"/>
            <w:vAlign w:val="center"/>
          </w:tcPr>
          <w:p w14:paraId="3BE8AB3E">
            <w:pPr>
              <w:pStyle w:val="73"/>
              <w:rPr>
                <w:rFonts w:cs="Times New Roman"/>
                <w:snapToGrid w:val="0"/>
                <w:color w:val="auto"/>
                <w:highlight w:val="none"/>
              </w:rPr>
            </w:pPr>
            <w:r>
              <w:rPr>
                <w:rFonts w:cs="Times New Roman"/>
                <w:snapToGrid w:val="0"/>
                <w:color w:val="auto"/>
                <w:highlight w:val="none"/>
              </w:rPr>
              <w:t>2</w:t>
            </w:r>
          </w:p>
        </w:tc>
        <w:tc>
          <w:tcPr>
            <w:tcW w:w="1913" w:type="pct"/>
            <w:vAlign w:val="center"/>
          </w:tcPr>
          <w:p w14:paraId="62A483D0">
            <w:pPr>
              <w:widowControl/>
              <w:spacing w:line="360" w:lineRule="exact"/>
              <w:ind w:firstLine="0" w:firstLineChars="0"/>
              <w:jc w:val="center"/>
              <w:textAlignment w:val="center"/>
              <w:rPr>
                <w:rFonts w:cs="Times New Roman"/>
                <w:snapToGrid w:val="0"/>
                <w:color w:val="auto"/>
                <w:highlight w:val="none"/>
              </w:rPr>
            </w:pPr>
            <w:r>
              <w:rPr>
                <w:rFonts w:cs="Times New Roman"/>
                <w:snapToGrid w:val="0"/>
                <w:color w:val="auto"/>
                <w:kern w:val="0"/>
                <w:sz w:val="21"/>
                <w:szCs w:val="21"/>
                <w:highlight w:val="none"/>
                <w:lang w:bidi="ar"/>
              </w:rPr>
              <w:t>内脏</w:t>
            </w:r>
          </w:p>
        </w:tc>
        <w:tc>
          <w:tcPr>
            <w:tcW w:w="2443" w:type="pct"/>
            <w:vAlign w:val="center"/>
          </w:tcPr>
          <w:p w14:paraId="59DF2C9C">
            <w:pPr>
              <w:widowControl/>
              <w:spacing w:line="360" w:lineRule="exact"/>
              <w:ind w:firstLine="0" w:firstLineChars="0"/>
              <w:jc w:val="center"/>
              <w:textAlignment w:val="center"/>
              <w:rPr>
                <w:rFonts w:hint="default" w:ascii="Times New Roman" w:hAnsi="Times New Roman" w:eastAsia="宋体"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2750</w:t>
            </w:r>
          </w:p>
        </w:tc>
      </w:tr>
      <w:tr w14:paraId="21CCDC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42" w:type="pct"/>
            <w:vAlign w:val="center"/>
          </w:tcPr>
          <w:p w14:paraId="13264F3A">
            <w:pPr>
              <w:pStyle w:val="73"/>
              <w:rPr>
                <w:rFonts w:cs="Times New Roman"/>
                <w:snapToGrid w:val="0"/>
                <w:color w:val="auto"/>
                <w:highlight w:val="none"/>
              </w:rPr>
            </w:pPr>
            <w:r>
              <w:rPr>
                <w:rFonts w:cs="Times New Roman"/>
                <w:snapToGrid w:val="0"/>
                <w:color w:val="auto"/>
                <w:highlight w:val="none"/>
              </w:rPr>
              <w:t>3</w:t>
            </w:r>
          </w:p>
        </w:tc>
        <w:tc>
          <w:tcPr>
            <w:tcW w:w="1913" w:type="pct"/>
            <w:vAlign w:val="center"/>
          </w:tcPr>
          <w:p w14:paraId="43D11433">
            <w:pPr>
              <w:widowControl/>
              <w:spacing w:line="360" w:lineRule="exact"/>
              <w:ind w:firstLine="0" w:firstLineChars="0"/>
              <w:jc w:val="center"/>
              <w:textAlignment w:val="center"/>
              <w:rPr>
                <w:rFonts w:cs="Times New Roman"/>
                <w:snapToGrid w:val="0"/>
                <w:color w:val="auto"/>
                <w:highlight w:val="none"/>
              </w:rPr>
            </w:pPr>
            <w:r>
              <w:rPr>
                <w:rFonts w:cs="Times New Roman"/>
                <w:snapToGrid w:val="0"/>
                <w:color w:val="auto"/>
                <w:kern w:val="0"/>
                <w:sz w:val="21"/>
                <w:szCs w:val="21"/>
                <w:highlight w:val="none"/>
                <w:lang w:bidi="ar"/>
              </w:rPr>
              <w:t>头、蹄</w:t>
            </w:r>
          </w:p>
        </w:tc>
        <w:tc>
          <w:tcPr>
            <w:tcW w:w="2443" w:type="pct"/>
            <w:vAlign w:val="center"/>
          </w:tcPr>
          <w:p w14:paraId="79B630E7">
            <w:pPr>
              <w:widowControl/>
              <w:spacing w:line="360" w:lineRule="exact"/>
              <w:ind w:firstLine="0" w:firstLineChars="0"/>
              <w:jc w:val="center"/>
              <w:textAlignment w:val="center"/>
              <w:rPr>
                <w:rFonts w:hint="default" w:ascii="Times New Roman" w:hAnsi="Times New Roman" w:eastAsia="宋体"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1400</w:t>
            </w:r>
          </w:p>
        </w:tc>
      </w:tr>
      <w:tr w14:paraId="6B8F10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42" w:type="pct"/>
            <w:vAlign w:val="center"/>
          </w:tcPr>
          <w:p w14:paraId="13796B21">
            <w:pPr>
              <w:pStyle w:val="73"/>
              <w:rPr>
                <w:rFonts w:cs="Times New Roman"/>
                <w:snapToGrid w:val="0"/>
                <w:color w:val="auto"/>
                <w:highlight w:val="none"/>
              </w:rPr>
            </w:pPr>
            <w:r>
              <w:rPr>
                <w:rFonts w:cs="Times New Roman"/>
                <w:snapToGrid w:val="0"/>
                <w:color w:val="auto"/>
                <w:highlight w:val="none"/>
              </w:rPr>
              <w:t>4</w:t>
            </w:r>
          </w:p>
        </w:tc>
        <w:tc>
          <w:tcPr>
            <w:tcW w:w="1913" w:type="pct"/>
            <w:vAlign w:val="center"/>
          </w:tcPr>
          <w:p w14:paraId="7A847B25">
            <w:pPr>
              <w:widowControl/>
              <w:spacing w:line="360" w:lineRule="exact"/>
              <w:ind w:firstLine="0" w:firstLineChars="0"/>
              <w:jc w:val="center"/>
              <w:textAlignment w:val="center"/>
              <w:rPr>
                <w:rFonts w:cs="Times New Roman"/>
                <w:snapToGrid w:val="0"/>
                <w:color w:val="auto"/>
                <w:highlight w:val="none"/>
              </w:rPr>
            </w:pPr>
            <w:r>
              <w:rPr>
                <w:rFonts w:cs="Times New Roman"/>
                <w:snapToGrid w:val="0"/>
                <w:color w:val="auto"/>
                <w:kern w:val="0"/>
                <w:sz w:val="21"/>
                <w:szCs w:val="21"/>
                <w:highlight w:val="none"/>
                <w:lang w:bidi="ar"/>
              </w:rPr>
              <w:t>牛、羊血</w:t>
            </w:r>
          </w:p>
        </w:tc>
        <w:tc>
          <w:tcPr>
            <w:tcW w:w="2443" w:type="pct"/>
            <w:vAlign w:val="center"/>
          </w:tcPr>
          <w:p w14:paraId="78726F09">
            <w:pPr>
              <w:widowControl/>
              <w:spacing w:line="360" w:lineRule="exact"/>
              <w:ind w:firstLine="0" w:firstLineChars="0"/>
              <w:jc w:val="center"/>
              <w:textAlignment w:val="center"/>
              <w:rPr>
                <w:rFonts w:hint="default" w:ascii="Times New Roman" w:hAnsi="Times New Roman" w:eastAsia="宋体"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1075</w:t>
            </w:r>
          </w:p>
        </w:tc>
      </w:tr>
      <w:tr w14:paraId="07B000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42" w:type="pct"/>
            <w:vAlign w:val="center"/>
          </w:tcPr>
          <w:p w14:paraId="65FAB6A4">
            <w:pPr>
              <w:pStyle w:val="73"/>
              <w:rPr>
                <w:rFonts w:cs="Times New Roman"/>
                <w:snapToGrid w:val="0"/>
                <w:color w:val="auto"/>
                <w:highlight w:val="none"/>
                <w:lang w:val="en-US"/>
              </w:rPr>
            </w:pPr>
            <w:r>
              <w:rPr>
                <w:rFonts w:cs="Times New Roman"/>
                <w:snapToGrid w:val="0"/>
                <w:color w:val="auto"/>
                <w:highlight w:val="none"/>
                <w:lang w:val="en-US"/>
              </w:rPr>
              <w:t>5</w:t>
            </w:r>
          </w:p>
        </w:tc>
        <w:tc>
          <w:tcPr>
            <w:tcW w:w="1913" w:type="pct"/>
            <w:vAlign w:val="center"/>
          </w:tcPr>
          <w:p w14:paraId="1E2AFF75">
            <w:pPr>
              <w:widowControl/>
              <w:spacing w:line="360" w:lineRule="exact"/>
              <w:ind w:firstLine="0" w:firstLineChars="0"/>
              <w:jc w:val="center"/>
              <w:textAlignment w:val="center"/>
              <w:rPr>
                <w:rFonts w:cs="Times New Roman"/>
                <w:snapToGrid w:val="0"/>
                <w:color w:val="auto"/>
                <w:highlight w:val="none"/>
              </w:rPr>
            </w:pPr>
            <w:r>
              <w:rPr>
                <w:rFonts w:cs="Times New Roman"/>
                <w:snapToGrid w:val="0"/>
                <w:color w:val="auto"/>
                <w:kern w:val="0"/>
                <w:sz w:val="21"/>
                <w:szCs w:val="21"/>
                <w:highlight w:val="none"/>
                <w:lang w:bidi="ar"/>
              </w:rPr>
              <w:t>牛、羊皮</w:t>
            </w:r>
          </w:p>
        </w:tc>
        <w:tc>
          <w:tcPr>
            <w:tcW w:w="2443" w:type="pct"/>
            <w:vAlign w:val="center"/>
          </w:tcPr>
          <w:p w14:paraId="370F1EC8">
            <w:pPr>
              <w:widowControl/>
              <w:spacing w:line="360" w:lineRule="exact"/>
              <w:ind w:firstLine="0" w:firstLineChars="0"/>
              <w:jc w:val="center"/>
              <w:textAlignment w:val="center"/>
              <w:rPr>
                <w:rFonts w:hint="default" w:ascii="Times New Roman" w:hAnsi="Times New Roman" w:eastAsia="宋体"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1100</w:t>
            </w:r>
          </w:p>
        </w:tc>
      </w:tr>
      <w:tr w14:paraId="5BEAC3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42" w:type="pct"/>
            <w:vAlign w:val="center"/>
          </w:tcPr>
          <w:p w14:paraId="6D9C0E51">
            <w:pPr>
              <w:pStyle w:val="73"/>
              <w:rPr>
                <w:rFonts w:hint="eastAsia" w:eastAsia="宋体" w:cs="Times New Roman"/>
                <w:snapToGrid w:val="0"/>
                <w:color w:val="auto"/>
                <w:highlight w:val="none"/>
                <w:lang w:val="en-US" w:eastAsia="zh-CN"/>
              </w:rPr>
            </w:pPr>
            <w:r>
              <w:rPr>
                <w:rFonts w:hint="eastAsia" w:cs="Times New Roman"/>
                <w:snapToGrid w:val="0"/>
                <w:color w:val="auto"/>
                <w:highlight w:val="none"/>
                <w:lang w:val="en-US" w:eastAsia="zh-CN"/>
              </w:rPr>
              <w:t>6</w:t>
            </w:r>
          </w:p>
        </w:tc>
        <w:tc>
          <w:tcPr>
            <w:tcW w:w="1913" w:type="pct"/>
            <w:vAlign w:val="center"/>
          </w:tcPr>
          <w:p w14:paraId="4362D9E9">
            <w:pPr>
              <w:widowControl/>
              <w:spacing w:line="360" w:lineRule="exact"/>
              <w:ind w:firstLine="0" w:firstLineChars="0"/>
              <w:jc w:val="center"/>
              <w:textAlignment w:val="center"/>
              <w:rPr>
                <w:rFonts w:hint="default" w:eastAsia="宋体"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骨骼</w:t>
            </w:r>
          </w:p>
        </w:tc>
        <w:tc>
          <w:tcPr>
            <w:tcW w:w="2443" w:type="pct"/>
            <w:vAlign w:val="center"/>
          </w:tcPr>
          <w:p w14:paraId="015A359A">
            <w:pPr>
              <w:widowControl/>
              <w:spacing w:line="360" w:lineRule="exact"/>
              <w:ind w:firstLine="0" w:firstLineChars="0"/>
              <w:jc w:val="center"/>
              <w:textAlignment w:val="center"/>
              <w:rPr>
                <w:rFonts w:hint="default"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2225</w:t>
            </w:r>
          </w:p>
        </w:tc>
      </w:tr>
      <w:tr w14:paraId="19C1BF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556" w:type="pct"/>
            <w:gridSpan w:val="2"/>
            <w:vAlign w:val="center"/>
          </w:tcPr>
          <w:p w14:paraId="648FA6A4">
            <w:pPr>
              <w:widowControl/>
              <w:spacing w:line="360" w:lineRule="exact"/>
              <w:ind w:firstLine="0" w:firstLineChars="0"/>
              <w:jc w:val="center"/>
              <w:textAlignment w:val="center"/>
              <w:rPr>
                <w:rFonts w:hint="default"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合计</w:t>
            </w:r>
          </w:p>
        </w:tc>
        <w:tc>
          <w:tcPr>
            <w:tcW w:w="2443" w:type="pct"/>
            <w:vAlign w:val="center"/>
          </w:tcPr>
          <w:p w14:paraId="6629F6E1">
            <w:pPr>
              <w:widowControl/>
              <w:spacing w:line="360" w:lineRule="exact"/>
              <w:ind w:firstLine="0" w:firstLineChars="0"/>
              <w:jc w:val="center"/>
              <w:textAlignment w:val="center"/>
              <w:rPr>
                <w:rFonts w:hint="eastAsia"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fldChar w:fldCharType="begin"/>
            </w:r>
            <w:r>
              <w:rPr>
                <w:rFonts w:hint="eastAsia" w:cs="Times New Roman"/>
                <w:snapToGrid w:val="0"/>
                <w:color w:val="auto"/>
                <w:kern w:val="0"/>
                <w:sz w:val="21"/>
                <w:szCs w:val="21"/>
                <w:highlight w:val="none"/>
                <w:lang w:val="en-US" w:eastAsia="zh-CN" w:bidi="ar"/>
              </w:rPr>
              <w:instrText xml:space="preserve"> = sum(C2:C7) \* MERGEFORMAT </w:instrText>
            </w:r>
            <w:r>
              <w:rPr>
                <w:rFonts w:hint="eastAsia" w:cs="Times New Roman"/>
                <w:snapToGrid w:val="0"/>
                <w:color w:val="auto"/>
                <w:kern w:val="0"/>
                <w:sz w:val="21"/>
                <w:szCs w:val="21"/>
                <w:highlight w:val="none"/>
                <w:lang w:val="en-US" w:eastAsia="zh-CN" w:bidi="ar"/>
              </w:rPr>
              <w:fldChar w:fldCharType="separate"/>
            </w:r>
            <w:r>
              <w:rPr>
                <w:rFonts w:hint="eastAsia" w:cs="Times New Roman"/>
                <w:snapToGrid w:val="0"/>
                <w:color w:val="auto"/>
                <w:kern w:val="0"/>
                <w:sz w:val="21"/>
                <w:szCs w:val="21"/>
                <w:highlight w:val="none"/>
                <w:lang w:val="en-US" w:eastAsia="zh-CN" w:bidi="ar"/>
              </w:rPr>
              <w:t>21500</w:t>
            </w:r>
            <w:r>
              <w:rPr>
                <w:rFonts w:hint="eastAsia" w:cs="Times New Roman"/>
                <w:snapToGrid w:val="0"/>
                <w:color w:val="auto"/>
                <w:kern w:val="0"/>
                <w:sz w:val="21"/>
                <w:szCs w:val="21"/>
                <w:highlight w:val="none"/>
                <w:lang w:val="en-US" w:eastAsia="zh-CN" w:bidi="ar"/>
              </w:rPr>
              <w:fldChar w:fldCharType="end"/>
            </w:r>
          </w:p>
        </w:tc>
      </w:tr>
    </w:tbl>
    <w:p w14:paraId="115F9A79">
      <w:pPr>
        <w:keepNext/>
        <w:keepLines/>
        <w:adjustRightInd/>
        <w:snapToGrid/>
        <w:spacing w:line="500" w:lineRule="exact"/>
        <w:ind w:firstLine="0" w:firstLineChars="0"/>
        <w:jc w:val="left"/>
        <w:outlineLvl w:val="2"/>
        <w:rPr>
          <w:rFonts w:eastAsia="黑体" w:cs="Times New Roman"/>
          <w:bCs/>
          <w:snapToGrid w:val="0"/>
          <w:color w:val="auto"/>
          <w:kern w:val="0"/>
          <w:szCs w:val="32"/>
          <w:highlight w:val="none"/>
        </w:rPr>
      </w:pPr>
      <w:bookmarkStart w:id="110" w:name="_Toc6995"/>
      <w:r>
        <w:rPr>
          <w:rFonts w:eastAsia="黑体" w:cs="Times New Roman"/>
          <w:bCs/>
          <w:snapToGrid w:val="0"/>
          <w:color w:val="auto"/>
          <w:kern w:val="0"/>
          <w:szCs w:val="32"/>
          <w:highlight w:val="none"/>
        </w:rPr>
        <w:t>3.1.6生产班制及劳动定员</w:t>
      </w:r>
      <w:bookmarkEnd w:id="110"/>
    </w:p>
    <w:p w14:paraId="281D7879">
      <w:pPr>
        <w:adjustRightInd/>
        <w:snapToGrid/>
        <w:spacing w:line="500" w:lineRule="exact"/>
        <w:rPr>
          <w:rFonts w:hint="default" w:eastAsia="宋体" w:cs="Times New Roman"/>
          <w:snapToGrid w:val="0"/>
          <w:color w:val="auto"/>
          <w:kern w:val="0"/>
          <w:highlight w:val="none"/>
          <w:lang w:val="en-US" w:eastAsia="zh-CN"/>
        </w:rPr>
      </w:pPr>
      <w:r>
        <w:rPr>
          <w:rFonts w:cs="Times New Roman"/>
          <w:snapToGrid w:val="0"/>
          <w:color w:val="auto"/>
          <w:kern w:val="0"/>
          <w:highlight w:val="none"/>
        </w:rPr>
        <w:t>本项目劳动定员</w:t>
      </w:r>
      <w:r>
        <w:rPr>
          <w:rFonts w:hint="eastAsia" w:cs="Times New Roman"/>
          <w:snapToGrid w:val="0"/>
          <w:color w:val="auto"/>
          <w:kern w:val="0"/>
          <w:highlight w:val="none"/>
          <w:lang w:val="en-US" w:eastAsia="zh-CN"/>
        </w:rPr>
        <w:t>3</w:t>
      </w:r>
      <w:r>
        <w:rPr>
          <w:rFonts w:hint="eastAsia"/>
          <w:color w:val="auto"/>
          <w:highlight w:val="none"/>
          <w:lang w:val="en-US" w:eastAsia="zh-CN"/>
        </w:rPr>
        <w:t>0人，屠宰车间实行1班制，日工作8小时；待宰圈运行时间为24小时。全年工作天数为310天。不设置食堂及宿舍。</w:t>
      </w:r>
    </w:p>
    <w:p w14:paraId="071D8FBC">
      <w:pPr>
        <w:keepNext/>
        <w:keepLines/>
        <w:spacing w:line="500" w:lineRule="exact"/>
        <w:ind w:firstLine="0" w:firstLineChars="0"/>
        <w:jc w:val="left"/>
        <w:outlineLvl w:val="1"/>
        <w:rPr>
          <w:rFonts w:eastAsia="黑体" w:cs="Times New Roman"/>
          <w:bCs/>
          <w:snapToGrid w:val="0"/>
          <w:color w:val="auto"/>
          <w:kern w:val="0"/>
          <w:sz w:val="28"/>
          <w:szCs w:val="32"/>
          <w:highlight w:val="none"/>
        </w:rPr>
      </w:pPr>
      <w:bookmarkStart w:id="111" w:name="_Toc17509"/>
      <w:r>
        <w:rPr>
          <w:rFonts w:eastAsia="黑体" w:cs="Times New Roman"/>
          <w:bCs/>
          <w:snapToGrid w:val="0"/>
          <w:color w:val="auto"/>
          <w:kern w:val="0"/>
          <w:sz w:val="28"/>
          <w:szCs w:val="32"/>
          <w:highlight w:val="none"/>
        </w:rPr>
        <w:t>3.2公用及辅助工程</w:t>
      </w:r>
      <w:bookmarkEnd w:id="111"/>
    </w:p>
    <w:p w14:paraId="289D29A6">
      <w:pPr>
        <w:keepNext/>
        <w:keepLines/>
        <w:adjustRightInd/>
        <w:snapToGrid/>
        <w:spacing w:line="500" w:lineRule="exact"/>
        <w:ind w:firstLine="0" w:firstLineChars="0"/>
        <w:jc w:val="left"/>
        <w:outlineLvl w:val="2"/>
        <w:rPr>
          <w:rFonts w:eastAsia="黑体" w:cs="Times New Roman"/>
          <w:bCs/>
          <w:snapToGrid w:val="0"/>
          <w:color w:val="auto"/>
          <w:kern w:val="0"/>
          <w:szCs w:val="32"/>
          <w:highlight w:val="none"/>
        </w:rPr>
      </w:pPr>
      <w:bookmarkStart w:id="112" w:name="_Toc17033"/>
      <w:r>
        <w:rPr>
          <w:rFonts w:eastAsia="黑体" w:cs="Times New Roman"/>
          <w:bCs/>
          <w:snapToGrid w:val="0"/>
          <w:color w:val="auto"/>
          <w:kern w:val="0"/>
          <w:szCs w:val="32"/>
          <w:highlight w:val="none"/>
        </w:rPr>
        <w:t>3.2.1给水工程</w:t>
      </w:r>
      <w:bookmarkEnd w:id="112"/>
    </w:p>
    <w:p w14:paraId="671B0375">
      <w:pPr>
        <w:spacing w:line="500" w:lineRule="exact"/>
        <w:rPr>
          <w:rFonts w:cs="Times New Roman"/>
          <w:snapToGrid w:val="0"/>
          <w:color w:val="auto"/>
          <w:kern w:val="0"/>
          <w:highlight w:val="none"/>
        </w:rPr>
      </w:pPr>
      <w:bookmarkStart w:id="113" w:name="_Hlk480319058"/>
      <w:r>
        <w:rPr>
          <w:rFonts w:cs="Times New Roman"/>
          <w:snapToGrid w:val="0"/>
          <w:color w:val="auto"/>
          <w:kern w:val="0"/>
          <w:highlight w:val="none"/>
        </w:rPr>
        <w:t>本项目运营期用水由市政供水，用于生产及员工生活。</w:t>
      </w:r>
    </w:p>
    <w:p w14:paraId="56575B51">
      <w:pPr>
        <w:spacing w:line="500" w:lineRule="exact"/>
        <w:rPr>
          <w:rFonts w:cs="Times New Roman"/>
          <w:snapToGrid w:val="0"/>
          <w:color w:val="auto"/>
          <w:kern w:val="0"/>
          <w:highlight w:val="none"/>
        </w:rPr>
      </w:pPr>
      <w:r>
        <w:rPr>
          <w:rFonts w:cs="Times New Roman"/>
          <w:snapToGrid w:val="0"/>
          <w:color w:val="auto"/>
          <w:kern w:val="0"/>
          <w:highlight w:val="none"/>
        </w:rPr>
        <w:t>（1）生活用水</w:t>
      </w:r>
    </w:p>
    <w:p w14:paraId="1C97A8F2">
      <w:pPr>
        <w:spacing w:line="500" w:lineRule="exact"/>
        <w:rPr>
          <w:rFonts w:cs="Times New Roman"/>
          <w:snapToGrid w:val="0"/>
          <w:color w:val="auto"/>
          <w:kern w:val="0"/>
          <w:highlight w:val="none"/>
        </w:rPr>
      </w:pPr>
      <w:r>
        <w:rPr>
          <w:rFonts w:cs="Times New Roman"/>
          <w:snapToGrid w:val="0"/>
          <w:color w:val="auto"/>
          <w:kern w:val="0"/>
          <w:highlight w:val="none"/>
        </w:rPr>
        <w:t>本项目职工人数为</w:t>
      </w:r>
      <w:r>
        <w:rPr>
          <w:rFonts w:hint="eastAsia" w:cs="Times New Roman"/>
          <w:snapToGrid w:val="0"/>
          <w:color w:val="auto"/>
          <w:kern w:val="0"/>
          <w:highlight w:val="none"/>
          <w:lang w:val="en-US" w:eastAsia="zh-CN"/>
        </w:rPr>
        <w:t>30</w:t>
      </w:r>
      <w:r>
        <w:rPr>
          <w:rFonts w:cs="Times New Roman"/>
          <w:snapToGrid w:val="0"/>
          <w:color w:val="auto"/>
          <w:kern w:val="0"/>
          <w:highlight w:val="none"/>
        </w:rPr>
        <w:t>人，年工作3</w:t>
      </w:r>
      <w:r>
        <w:rPr>
          <w:rFonts w:hint="eastAsia" w:cs="Times New Roman"/>
          <w:snapToGrid w:val="0"/>
          <w:color w:val="auto"/>
          <w:kern w:val="0"/>
          <w:highlight w:val="none"/>
          <w:lang w:val="en-US" w:eastAsia="zh-CN"/>
        </w:rPr>
        <w:t>1</w:t>
      </w:r>
      <w:r>
        <w:rPr>
          <w:rFonts w:cs="Times New Roman"/>
          <w:snapToGrid w:val="0"/>
          <w:color w:val="auto"/>
          <w:kern w:val="0"/>
          <w:highlight w:val="none"/>
        </w:rPr>
        <w:t>0d，</w:t>
      </w:r>
      <w:r>
        <w:rPr>
          <w:rFonts w:cs="Times New Roman"/>
          <w:color w:val="auto"/>
          <w:highlight w:val="none"/>
        </w:rPr>
        <w:t>根据黑龙江省地方标准《用水定额》（DB23/T727-2021），生活用水以80L/d人计</w:t>
      </w:r>
      <w:r>
        <w:rPr>
          <w:rFonts w:cs="Times New Roman"/>
          <w:snapToGrid w:val="0"/>
          <w:color w:val="auto"/>
          <w:kern w:val="0"/>
          <w:highlight w:val="none"/>
        </w:rPr>
        <w:t>，则生活用水量为</w:t>
      </w:r>
      <w:r>
        <w:rPr>
          <w:rFonts w:hint="eastAsia" w:cs="Times New Roman"/>
          <w:snapToGrid w:val="0"/>
          <w:color w:val="auto"/>
          <w:kern w:val="0"/>
          <w:highlight w:val="none"/>
          <w:lang w:val="en-US" w:eastAsia="zh-CN"/>
        </w:rPr>
        <w:t>2.4</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/d，</w:t>
      </w:r>
      <w:r>
        <w:rPr>
          <w:rFonts w:hint="eastAsia" w:cs="Times New Roman"/>
          <w:snapToGrid w:val="0"/>
          <w:color w:val="auto"/>
          <w:kern w:val="0"/>
          <w:highlight w:val="none"/>
          <w:lang w:val="en-US" w:eastAsia="zh-CN"/>
        </w:rPr>
        <w:t>744</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/a。</w:t>
      </w:r>
    </w:p>
    <w:bookmarkEnd w:id="113"/>
    <w:p w14:paraId="353D4A04">
      <w:pPr>
        <w:spacing w:line="500" w:lineRule="exact"/>
        <w:rPr>
          <w:rFonts w:cs="Times New Roman"/>
          <w:color w:val="auto"/>
          <w:highlight w:val="none"/>
        </w:rPr>
      </w:pPr>
      <w:r>
        <w:rPr>
          <w:rFonts w:cs="Times New Roman"/>
          <w:color w:val="auto"/>
          <w:highlight w:val="none"/>
        </w:rPr>
        <w:t>（2）</w:t>
      </w:r>
      <w:r>
        <w:rPr>
          <w:rFonts w:hint="eastAsia" w:cs="Times New Roman"/>
          <w:color w:val="auto"/>
          <w:highlight w:val="none"/>
          <w:lang w:val="en-US" w:eastAsia="zh-CN"/>
        </w:rPr>
        <w:t>屠宰</w:t>
      </w:r>
      <w:r>
        <w:rPr>
          <w:rFonts w:cs="Times New Roman"/>
          <w:color w:val="auto"/>
          <w:highlight w:val="none"/>
        </w:rPr>
        <w:t>用水</w:t>
      </w:r>
    </w:p>
    <w:p w14:paraId="42A70DAC">
      <w:pPr>
        <w:spacing w:line="500" w:lineRule="exact"/>
        <w:rPr>
          <w:rFonts w:ascii="Times New Roman" w:hAnsi="Times New Roman" w:eastAsia="宋体" w:cs="Times New Roman"/>
          <w:snapToGrid w:val="0"/>
          <w:color w:val="auto"/>
          <w:kern w:val="0"/>
          <w:highlight w:val="none"/>
        </w:rPr>
      </w:pPr>
      <w:r>
        <w:rPr>
          <w:rFonts w:cs="Times New Roman"/>
          <w:color w:val="auto"/>
          <w:highlight w:val="none"/>
        </w:rPr>
        <w:t>屠宰废水指屠宰过程</w:t>
      </w:r>
      <w:r>
        <w:rPr>
          <w:rFonts w:cs="Times New Roman"/>
          <w:snapToGrid w:val="0"/>
          <w:color w:val="auto"/>
          <w:kern w:val="0"/>
          <w:highlight w:val="none"/>
        </w:rPr>
        <w:t>产生的废水，包括屠宰时进行的圈栏冲洗、胴体及内脏洗涤</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分割</w:t>
      </w:r>
      <w:r>
        <w:rPr>
          <w:rFonts w:cs="Times New Roman"/>
          <w:snapToGrid w:val="0"/>
          <w:color w:val="auto"/>
          <w:kern w:val="0"/>
          <w:highlight w:val="none"/>
        </w:rPr>
        <w:t>、车间冲洗</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冷库排酸水、检疫室排水</w:t>
      </w:r>
      <w:r>
        <w:rPr>
          <w:rFonts w:cs="Times New Roman"/>
          <w:snapToGrid w:val="0"/>
          <w:color w:val="auto"/>
          <w:kern w:val="0"/>
          <w:highlight w:val="none"/>
        </w:rPr>
        <w:t>等过程产生的废水，宏观上主要含有的污染物为血污、碎肉、</w:t>
      </w:r>
      <w:r>
        <w:rPr>
          <w:rFonts w:hint="eastAsia" w:cs="Times New Roman"/>
          <w:snapToGrid w:val="0"/>
          <w:color w:val="auto"/>
          <w:kern w:val="0"/>
          <w:highlight w:val="none"/>
          <w:lang w:val="en-US" w:eastAsia="zh-CN"/>
        </w:rPr>
        <w:t>畜</w:t>
      </w:r>
      <w:r>
        <w:rPr>
          <w:rFonts w:cs="Times New Roman"/>
          <w:snapToGrid w:val="0"/>
          <w:color w:val="auto"/>
          <w:kern w:val="0"/>
          <w:highlight w:val="none"/>
        </w:rPr>
        <w:t>毛、未消化的食物及尿液等，微观上主要含有的污染物为COD、BOD</w:t>
      </w:r>
      <w:r>
        <w:rPr>
          <w:rFonts w:cs="Times New Roman"/>
          <w:snapToGrid w:val="0"/>
          <w:color w:val="auto"/>
          <w:kern w:val="0"/>
          <w:highlight w:val="none"/>
          <w:vertAlign w:val="subscript"/>
        </w:rPr>
        <w:t>5</w:t>
      </w:r>
      <w:r>
        <w:rPr>
          <w:rFonts w:cs="Times New Roman"/>
          <w:snapToGrid w:val="0"/>
          <w:color w:val="auto"/>
          <w:kern w:val="0"/>
          <w:highlight w:val="none"/>
        </w:rPr>
        <w:t>、SS、氨氮、</w:t>
      </w:r>
      <w:r>
        <w:rPr>
          <w:rFonts w:ascii="Times New Roman" w:hAnsi="Times New Roman" w:eastAsia="宋体" w:cs="Times New Roman"/>
          <w:snapToGrid w:val="0"/>
          <w:color w:val="auto"/>
          <w:kern w:val="0"/>
          <w:highlight w:val="none"/>
        </w:rPr>
        <w:t>动植物油、总氮及总磷。</w:t>
      </w:r>
    </w:p>
    <w:p w14:paraId="3A09D125">
      <w:pPr>
        <w:spacing w:line="500" w:lineRule="exact"/>
        <w:rPr>
          <w:rFonts w:cs="Times New Roman"/>
          <w:snapToGrid w:val="0"/>
          <w:color w:val="auto"/>
          <w:kern w:val="0"/>
          <w:highlight w:val="none"/>
        </w:rPr>
      </w:pPr>
      <w:r>
        <w:rPr>
          <w:rFonts w:ascii="Times New Roman" w:hAnsi="Times New Roman" w:eastAsia="宋体" w:cs="Times New Roman"/>
          <w:snapToGrid w:val="0"/>
          <w:color w:val="auto"/>
          <w:kern w:val="0"/>
          <w:highlight w:val="none"/>
        </w:rPr>
        <w:t>本项目</w:t>
      </w:r>
      <w:r>
        <w:rPr>
          <w:rFonts w:hint="eastAsia" w:ascii="Times New Roman" w:hAnsi="Times New Roman" w:eastAsia="宋体" w:cs="Times New Roman"/>
          <w:snapToGrid w:val="0"/>
          <w:color w:val="auto"/>
          <w:kern w:val="0"/>
          <w:highlight w:val="none"/>
        </w:rPr>
        <w:t>屠宰量为肉牛</w:t>
      </w:r>
      <w:r>
        <w:rPr>
          <w:rFonts w:hint="eastAsia" w:cs="Times New Roman"/>
          <w:snapToGrid w:val="0"/>
          <w:color w:val="auto"/>
          <w:kern w:val="0"/>
          <w:highlight w:val="none"/>
          <w:lang w:val="en-US" w:eastAsia="zh-CN"/>
        </w:rPr>
        <w:t>100</w:t>
      </w:r>
      <w:r>
        <w:rPr>
          <w:rFonts w:hint="eastAsia" w:ascii="Times New Roman" w:hAnsi="Times New Roman" w:eastAsia="宋体" w:cs="Times New Roman"/>
          <w:snapToGrid w:val="0"/>
          <w:color w:val="auto"/>
          <w:kern w:val="0"/>
          <w:highlight w:val="none"/>
        </w:rPr>
        <w:t>头/d，肉羊</w:t>
      </w:r>
      <w:r>
        <w:rPr>
          <w:rFonts w:hint="eastAsia" w:cs="Times New Roman"/>
          <w:snapToGrid w:val="0"/>
          <w:color w:val="auto"/>
          <w:kern w:val="0"/>
          <w:highlight w:val="none"/>
          <w:lang w:val="en-US" w:eastAsia="zh-CN"/>
        </w:rPr>
        <w:t>500</w:t>
      </w:r>
      <w:r>
        <w:rPr>
          <w:rFonts w:hint="eastAsia" w:ascii="Times New Roman" w:hAnsi="Times New Roman" w:eastAsia="宋体" w:cs="Times New Roman"/>
          <w:snapToGrid w:val="0"/>
          <w:color w:val="auto"/>
          <w:kern w:val="0"/>
          <w:highlight w:val="none"/>
        </w:rPr>
        <w:t>只/d</w:t>
      </w:r>
      <w:r>
        <w:rPr>
          <w:rFonts w:hint="eastAsia" w:ascii="Times New Roman" w:hAnsi="Times New Roman" w:eastAsia="宋体" w:cs="Times New Roman"/>
          <w:snapToGrid w:val="0"/>
          <w:color w:val="auto"/>
          <w:kern w:val="0"/>
          <w:highlight w:val="none"/>
          <w:lang w:eastAsia="zh-CN"/>
        </w:rPr>
        <w:t>，</w:t>
      </w:r>
      <w:r>
        <w:rPr>
          <w:rFonts w:hint="eastAsia" w:ascii="Times New Roman" w:hAnsi="Times New Roman" w:eastAsia="宋体" w:cs="Times New Roman"/>
          <w:snapToGrid w:val="0"/>
          <w:color w:val="auto"/>
          <w:kern w:val="0"/>
          <w:highlight w:val="none"/>
        </w:rPr>
        <w:t>按设计3</w:t>
      </w:r>
      <w:r>
        <w:rPr>
          <w:rFonts w:hint="eastAsia" w:cs="Times New Roman"/>
          <w:snapToGrid w:val="0"/>
          <w:color w:val="auto"/>
          <w:kern w:val="0"/>
          <w:highlight w:val="none"/>
          <w:lang w:val="en-US" w:eastAsia="zh-CN"/>
        </w:rPr>
        <w:t>1</w:t>
      </w:r>
      <w:r>
        <w:rPr>
          <w:rFonts w:ascii="Times New Roman" w:hAnsi="Times New Roman" w:eastAsia="宋体" w:cs="Times New Roman"/>
          <w:snapToGrid w:val="0"/>
          <w:color w:val="auto"/>
          <w:kern w:val="0"/>
          <w:highlight w:val="none"/>
        </w:rPr>
        <w:t>0</w:t>
      </w:r>
      <w:r>
        <w:rPr>
          <w:rFonts w:hint="eastAsia" w:ascii="Times New Roman" w:hAnsi="Times New Roman" w:eastAsia="宋体" w:cs="Times New Roman"/>
          <w:snapToGrid w:val="0"/>
          <w:color w:val="auto"/>
          <w:kern w:val="0"/>
          <w:highlight w:val="none"/>
        </w:rPr>
        <w:t>天工作计算，</w:t>
      </w:r>
      <w:r>
        <w:rPr>
          <w:rFonts w:hint="eastAsia" w:cs="Times New Roman"/>
          <w:snapToGrid w:val="0"/>
          <w:color w:val="auto"/>
          <w:kern w:val="0"/>
          <w:highlight w:val="none"/>
          <w:lang w:eastAsia="zh-CN"/>
        </w:rPr>
        <w:t>年屠宰肉牛</w:t>
      </w:r>
      <w:r>
        <w:rPr>
          <w:rFonts w:hint="eastAsia" w:cs="Times New Roman"/>
          <w:snapToGrid w:val="0"/>
          <w:color w:val="auto"/>
          <w:kern w:val="0"/>
          <w:highlight w:val="none"/>
          <w:lang w:val="en-US" w:eastAsia="zh-CN"/>
        </w:rPr>
        <w:t>31000</w:t>
      </w:r>
      <w:r>
        <w:rPr>
          <w:rFonts w:hint="eastAsia" w:cs="Times New Roman"/>
          <w:snapToGrid w:val="0"/>
          <w:color w:val="auto"/>
          <w:kern w:val="0"/>
          <w:highlight w:val="none"/>
          <w:lang w:eastAsia="zh-CN"/>
        </w:rPr>
        <w:t>头、肉羊</w:t>
      </w:r>
      <w:r>
        <w:rPr>
          <w:rFonts w:hint="eastAsia" w:cs="Times New Roman"/>
          <w:snapToGrid w:val="0"/>
          <w:color w:val="auto"/>
          <w:kern w:val="0"/>
          <w:highlight w:val="none"/>
          <w:lang w:val="en-US" w:eastAsia="zh-CN"/>
        </w:rPr>
        <w:t>155</w:t>
      </w:r>
      <w:r>
        <w:rPr>
          <w:rFonts w:hint="eastAsia" w:cs="Times New Roman"/>
          <w:snapToGrid w:val="0"/>
          <w:color w:val="auto"/>
          <w:kern w:val="0"/>
          <w:highlight w:val="none"/>
          <w:lang w:eastAsia="zh-CN"/>
        </w:rPr>
        <w:t>000只</w:t>
      </w:r>
      <w:r>
        <w:rPr>
          <w:rFonts w:hint="eastAsia" w:ascii="Times New Roman" w:hAnsi="Times New Roman" w:eastAsia="宋体" w:cs="Times New Roman"/>
          <w:snapToGrid w:val="0"/>
          <w:color w:val="auto"/>
          <w:kern w:val="0"/>
          <w:highlight w:val="none"/>
          <w:lang w:eastAsia="zh-CN"/>
        </w:rPr>
        <w:t>。</w:t>
      </w:r>
      <w:r>
        <w:rPr>
          <w:rFonts w:cs="Times New Roman"/>
          <w:snapToGrid w:val="0"/>
          <w:color w:val="auto"/>
          <w:kern w:val="0"/>
          <w:highlight w:val="none"/>
        </w:rPr>
        <w:t>根据《135屠宰及肉类加工行业系数手册》中1351牲畜屠宰行业产污系数表可知，工业废水量为0.941吨/头牛，0.27吨/只羊，则本项目屠宰过程中排水量约为</w:t>
      </w:r>
      <w:r>
        <w:rPr>
          <w:rFonts w:hint="eastAsia" w:cs="Times New Roman"/>
          <w:snapToGrid w:val="0"/>
          <w:color w:val="auto"/>
          <w:kern w:val="0"/>
          <w:highlight w:val="none"/>
          <w:lang w:val="en-US" w:eastAsia="zh-CN"/>
        </w:rPr>
        <w:t>71021</w:t>
      </w:r>
      <w:r>
        <w:rPr>
          <w:rFonts w:cs="Times New Roman"/>
          <w:snapToGrid w:val="0"/>
          <w:color w:val="auto"/>
          <w:kern w:val="0"/>
          <w:highlight w:val="none"/>
        </w:rPr>
        <w:t>t/a（</w:t>
      </w:r>
      <w:r>
        <w:rPr>
          <w:rFonts w:hint="eastAsia" w:cs="Times New Roman"/>
          <w:snapToGrid w:val="0"/>
          <w:color w:val="auto"/>
          <w:kern w:val="0"/>
          <w:highlight w:val="none"/>
          <w:lang w:val="en-US" w:eastAsia="zh-CN"/>
        </w:rPr>
        <w:t>229.1</w:t>
      </w:r>
      <w:r>
        <w:rPr>
          <w:rFonts w:cs="Times New Roman"/>
          <w:snapToGrid w:val="0"/>
          <w:color w:val="auto"/>
          <w:kern w:val="0"/>
          <w:highlight w:val="none"/>
        </w:rPr>
        <w:t>t/d），排污系数按照0.8计，则项目运营期屠宰的用水量为</w:t>
      </w:r>
      <w:r>
        <w:rPr>
          <w:rFonts w:hint="eastAsia" w:cs="Times New Roman"/>
          <w:snapToGrid w:val="0"/>
          <w:color w:val="auto"/>
          <w:kern w:val="0"/>
          <w:highlight w:val="none"/>
          <w:lang w:val="en-US" w:eastAsia="zh-CN"/>
        </w:rPr>
        <w:t>88776.3</w:t>
      </w:r>
      <w:r>
        <w:rPr>
          <w:rFonts w:cs="Times New Roman"/>
          <w:snapToGrid w:val="0"/>
          <w:color w:val="auto"/>
          <w:kern w:val="0"/>
          <w:highlight w:val="none"/>
        </w:rPr>
        <w:t>t/a（</w:t>
      </w:r>
      <w:r>
        <w:rPr>
          <w:rFonts w:hint="eastAsia" w:cs="Times New Roman"/>
          <w:snapToGrid w:val="0"/>
          <w:color w:val="auto"/>
          <w:kern w:val="0"/>
          <w:highlight w:val="none"/>
          <w:lang w:val="en-US" w:eastAsia="zh-CN"/>
        </w:rPr>
        <w:t>286.375</w:t>
      </w:r>
      <w:r>
        <w:rPr>
          <w:rFonts w:cs="Times New Roman"/>
          <w:snapToGrid w:val="0"/>
          <w:color w:val="auto"/>
          <w:kern w:val="0"/>
          <w:highlight w:val="none"/>
        </w:rPr>
        <w:t>t/d）。</w:t>
      </w:r>
    </w:p>
    <w:p w14:paraId="03AAA1AB">
      <w:pPr>
        <w:numPr>
          <w:ilvl w:val="0"/>
          <w:numId w:val="0"/>
        </w:numPr>
        <w:spacing w:line="500" w:lineRule="exact"/>
        <w:ind w:leftChars="200"/>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（3）车辆冲洗用水</w:t>
      </w:r>
    </w:p>
    <w:p w14:paraId="0AC367BC">
      <w:pPr>
        <w:ind w:firstLine="480"/>
        <w:rPr>
          <w:rFonts w:hint="default"/>
          <w:color w:val="auto"/>
          <w:highlight w:val="none"/>
          <w:lang w:val="en-US" w:eastAsia="zh-CN"/>
        </w:rPr>
      </w:pPr>
      <w:r>
        <w:rPr>
          <w:rFonts w:hint="eastAsia"/>
          <w:color w:val="auto"/>
          <w:highlight w:val="none"/>
        </w:rPr>
        <w:t>运输车辆在运输过程中沾染牲畜排泄物，在完成牲畜装卸后需对车辆进行清洗，本项目日运输车辆约</w:t>
      </w:r>
      <w:r>
        <w:rPr>
          <w:rFonts w:hint="eastAsia"/>
          <w:color w:val="auto"/>
          <w:highlight w:val="none"/>
          <w:lang w:val="en-US" w:eastAsia="zh-CN"/>
        </w:rPr>
        <w:t>25</w:t>
      </w:r>
      <w:r>
        <w:rPr>
          <w:rFonts w:hint="eastAsia"/>
          <w:color w:val="auto"/>
          <w:highlight w:val="none"/>
        </w:rPr>
        <w:t>辆/d，每辆车冲洗用水量按200L/辆计，则运输车辆冲洗用水量为</w:t>
      </w:r>
      <w:r>
        <w:rPr>
          <w:rFonts w:hint="eastAsia"/>
          <w:color w:val="auto"/>
          <w:highlight w:val="none"/>
          <w:lang w:val="en-US" w:eastAsia="zh-CN"/>
        </w:rPr>
        <w:t>5</w:t>
      </w:r>
      <w:r>
        <w:rPr>
          <w:rFonts w:hint="eastAsia"/>
          <w:color w:val="auto"/>
          <w:highlight w:val="none"/>
        </w:rPr>
        <w:t>m</w:t>
      </w:r>
      <w:r>
        <w:rPr>
          <w:rFonts w:hint="eastAsia"/>
          <w:color w:val="auto"/>
          <w:highlight w:val="none"/>
          <w:vertAlign w:val="superscript"/>
        </w:rPr>
        <w:t>3</w:t>
      </w:r>
      <w:r>
        <w:rPr>
          <w:rFonts w:hint="eastAsia"/>
          <w:color w:val="auto"/>
          <w:highlight w:val="none"/>
        </w:rPr>
        <w:t>/d（</w:t>
      </w:r>
      <w:r>
        <w:rPr>
          <w:rFonts w:hint="eastAsia"/>
          <w:color w:val="auto"/>
          <w:highlight w:val="none"/>
          <w:lang w:val="en-US" w:eastAsia="zh-CN"/>
        </w:rPr>
        <w:t>1550</w:t>
      </w:r>
      <w:r>
        <w:rPr>
          <w:color w:val="auto"/>
          <w:highlight w:val="none"/>
        </w:rPr>
        <w:t>m</w:t>
      </w:r>
      <w:r>
        <w:rPr>
          <w:color w:val="auto"/>
          <w:highlight w:val="none"/>
          <w:vertAlign w:val="superscript"/>
        </w:rPr>
        <w:t>3</w:t>
      </w:r>
      <w:r>
        <w:rPr>
          <w:rFonts w:hint="eastAsia"/>
          <w:color w:val="auto"/>
          <w:highlight w:val="none"/>
        </w:rPr>
        <w:t>/a）。</w:t>
      </w:r>
    </w:p>
    <w:p w14:paraId="6489783F">
      <w:pPr>
        <w:spacing w:line="500" w:lineRule="exact"/>
        <w:rPr>
          <w:rFonts w:cs="Times New Roman"/>
          <w:snapToGrid w:val="0"/>
          <w:color w:val="auto"/>
          <w:kern w:val="0"/>
          <w:highlight w:val="none"/>
        </w:rPr>
      </w:pPr>
      <w:r>
        <w:rPr>
          <w:rFonts w:cs="Times New Roman"/>
          <w:snapToGrid w:val="0"/>
          <w:color w:val="auto"/>
          <w:kern w:val="0"/>
          <w:highlight w:val="none"/>
        </w:rPr>
        <w:t>综上，本项目运行后全年总用水量约为</w:t>
      </w:r>
      <w:r>
        <w:rPr>
          <w:rFonts w:hint="eastAsia" w:cs="Times New Roman"/>
          <w:snapToGrid w:val="0"/>
          <w:color w:val="auto"/>
          <w:kern w:val="0"/>
          <w:highlight w:val="none"/>
          <w:lang w:val="en-US" w:eastAsia="zh-CN"/>
        </w:rPr>
        <w:t>293.775</w:t>
      </w:r>
      <w:r>
        <w:rPr>
          <w:rFonts w:cs="Times New Roman"/>
          <w:snapToGrid w:val="0"/>
          <w:color w:val="auto"/>
          <w:kern w:val="0"/>
          <w:highlight w:val="none"/>
        </w:rPr>
        <w:t>t/d，</w:t>
      </w:r>
      <w:r>
        <w:rPr>
          <w:rFonts w:hint="eastAsia" w:cs="Times New Roman"/>
          <w:snapToGrid w:val="0"/>
          <w:color w:val="auto"/>
          <w:kern w:val="0"/>
          <w:highlight w:val="none"/>
          <w:lang w:val="en-US" w:eastAsia="zh-CN"/>
        </w:rPr>
        <w:t>91070.3</w:t>
      </w:r>
      <w:r>
        <w:rPr>
          <w:rFonts w:cs="Times New Roman"/>
          <w:snapToGrid w:val="0"/>
          <w:color w:val="auto"/>
          <w:kern w:val="0"/>
          <w:highlight w:val="none"/>
        </w:rPr>
        <w:t>t/a。用水情况详见下表。</w:t>
      </w:r>
    </w:p>
    <w:p w14:paraId="4EBA00EA">
      <w:pPr>
        <w:spacing w:line="240" w:lineRule="auto"/>
        <w:ind w:firstLine="482"/>
        <w:jc w:val="center"/>
        <w:rPr>
          <w:rFonts w:cs="Times New Roman"/>
          <w:b/>
          <w:bCs/>
          <w:snapToGrid w:val="0"/>
          <w:color w:val="auto"/>
          <w:kern w:val="0"/>
          <w:szCs w:val="24"/>
          <w:highlight w:val="none"/>
        </w:rPr>
      </w:pPr>
      <w:r>
        <w:rPr>
          <w:rFonts w:cs="Times New Roman"/>
          <w:b/>
          <w:bCs/>
          <w:snapToGrid w:val="0"/>
          <w:color w:val="auto"/>
          <w:kern w:val="0"/>
          <w:szCs w:val="24"/>
          <w:highlight w:val="none"/>
          <w:lang w:val="zh-CN"/>
        </w:rPr>
        <w:t>表3</w:t>
      </w:r>
      <w:r>
        <w:rPr>
          <w:rFonts w:hint="eastAsia" w:cs="Times New Roman"/>
          <w:b/>
          <w:bCs/>
          <w:snapToGrid w:val="0"/>
          <w:color w:val="auto"/>
          <w:kern w:val="0"/>
          <w:szCs w:val="24"/>
          <w:highlight w:val="none"/>
          <w:lang w:val="en-US" w:eastAsia="zh-CN"/>
        </w:rPr>
        <w:t>.</w:t>
      </w:r>
      <w:r>
        <w:rPr>
          <w:rFonts w:cs="Times New Roman"/>
          <w:b/>
          <w:bCs/>
          <w:snapToGrid w:val="0"/>
          <w:color w:val="auto"/>
          <w:kern w:val="0"/>
          <w:szCs w:val="24"/>
          <w:highlight w:val="none"/>
          <w:lang w:val="zh-CN"/>
        </w:rPr>
        <w:t>2-1</w:t>
      </w:r>
      <w:r>
        <w:rPr>
          <w:rFonts w:cs="Times New Roman"/>
          <w:b/>
          <w:bCs/>
          <w:snapToGrid w:val="0"/>
          <w:color w:val="auto"/>
          <w:kern w:val="0"/>
          <w:szCs w:val="24"/>
          <w:highlight w:val="none"/>
        </w:rPr>
        <w:t xml:space="preserve">  </w:t>
      </w:r>
      <w:r>
        <w:rPr>
          <w:rFonts w:cs="Times New Roman"/>
          <w:b/>
          <w:bCs/>
          <w:snapToGrid w:val="0"/>
          <w:color w:val="auto"/>
          <w:kern w:val="0"/>
          <w:szCs w:val="24"/>
          <w:highlight w:val="none"/>
          <w:lang w:val="zh-CN"/>
        </w:rPr>
        <w:t>项目用水情况一览表</w:t>
      </w:r>
    </w:p>
    <w:tbl>
      <w:tblPr>
        <w:tblStyle w:val="39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97"/>
        <w:gridCol w:w="1890"/>
        <w:gridCol w:w="1386"/>
        <w:gridCol w:w="1863"/>
        <w:gridCol w:w="1483"/>
      </w:tblGrid>
      <w:tr w14:paraId="6033DC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39" w:hRule="atLeast"/>
          <w:jc w:val="center"/>
        </w:trPr>
        <w:tc>
          <w:tcPr>
            <w:tcW w:w="1113" w:type="pct"/>
            <w:vAlign w:val="center"/>
          </w:tcPr>
          <w:p w14:paraId="4E1DEA7B">
            <w:pPr>
              <w:pStyle w:val="75"/>
              <w:rPr>
                <w:color w:val="auto"/>
                <w:highlight w:val="none"/>
                <w:lang w:val="zh-CN"/>
              </w:rPr>
            </w:pPr>
            <w:r>
              <w:rPr>
                <w:color w:val="auto"/>
                <w:highlight w:val="none"/>
                <w:lang w:val="zh-CN"/>
              </w:rPr>
              <w:t>项目</w:t>
            </w:r>
          </w:p>
        </w:tc>
        <w:tc>
          <w:tcPr>
            <w:tcW w:w="1109" w:type="pct"/>
            <w:vAlign w:val="center"/>
          </w:tcPr>
          <w:p w14:paraId="3DA33330">
            <w:pPr>
              <w:pStyle w:val="75"/>
              <w:rPr>
                <w:color w:val="auto"/>
                <w:highlight w:val="none"/>
                <w:lang w:val="zh-CN"/>
              </w:rPr>
            </w:pPr>
            <w:r>
              <w:rPr>
                <w:color w:val="auto"/>
                <w:highlight w:val="none"/>
                <w:lang w:val="zh-CN"/>
              </w:rPr>
              <w:t>员工生活用水</w:t>
            </w:r>
          </w:p>
        </w:tc>
        <w:tc>
          <w:tcPr>
            <w:tcW w:w="813" w:type="pct"/>
            <w:vAlign w:val="center"/>
          </w:tcPr>
          <w:p w14:paraId="6D71FA41">
            <w:pPr>
              <w:pStyle w:val="75"/>
              <w:rPr>
                <w:color w:val="auto"/>
                <w:highlight w:val="none"/>
                <w:lang w:val="zh-CN"/>
              </w:rPr>
            </w:pPr>
            <w:r>
              <w:rPr>
                <w:color w:val="auto"/>
                <w:highlight w:val="none"/>
                <w:lang w:val="zh-CN"/>
              </w:rPr>
              <w:t>屠宰用水</w:t>
            </w:r>
          </w:p>
        </w:tc>
        <w:tc>
          <w:tcPr>
            <w:tcW w:w="1093" w:type="pct"/>
            <w:vAlign w:val="center"/>
          </w:tcPr>
          <w:p w14:paraId="549E4F77">
            <w:pPr>
              <w:pStyle w:val="75"/>
              <w:rPr>
                <w:rFonts w:hint="default" w:eastAsia="宋体"/>
                <w:color w:val="auto"/>
                <w:highlight w:val="none"/>
                <w:lang w:val="en-US" w:eastAsia="zh-CN"/>
              </w:rPr>
            </w:pPr>
            <w:r>
              <w:rPr>
                <w:rFonts w:hint="eastAsia"/>
                <w:color w:val="auto"/>
                <w:highlight w:val="none"/>
                <w:lang w:val="en-US" w:eastAsia="zh-CN"/>
              </w:rPr>
              <w:t>车辆冲洗用水</w:t>
            </w:r>
          </w:p>
        </w:tc>
        <w:tc>
          <w:tcPr>
            <w:tcW w:w="870" w:type="pct"/>
            <w:vAlign w:val="center"/>
          </w:tcPr>
          <w:p w14:paraId="503012EF">
            <w:pPr>
              <w:pStyle w:val="75"/>
              <w:rPr>
                <w:color w:val="auto"/>
                <w:highlight w:val="none"/>
                <w:lang w:val="zh-CN"/>
              </w:rPr>
            </w:pPr>
            <w:r>
              <w:rPr>
                <w:color w:val="auto"/>
                <w:highlight w:val="none"/>
                <w:lang w:val="zh-CN"/>
              </w:rPr>
              <w:t>小计</w:t>
            </w:r>
          </w:p>
        </w:tc>
      </w:tr>
      <w:tr w14:paraId="6B0523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3" w:type="pct"/>
            <w:vAlign w:val="center"/>
          </w:tcPr>
          <w:p w14:paraId="2CE19161">
            <w:pPr>
              <w:pStyle w:val="75"/>
              <w:rPr>
                <w:color w:val="auto"/>
                <w:highlight w:val="none"/>
              </w:rPr>
            </w:pPr>
            <w:r>
              <w:rPr>
                <w:color w:val="auto"/>
                <w:highlight w:val="none"/>
                <w:lang w:val="zh-CN"/>
              </w:rPr>
              <w:t>日用水量</w:t>
            </w:r>
            <w:r>
              <w:rPr>
                <w:color w:val="auto"/>
                <w:highlight w:val="none"/>
              </w:rPr>
              <w:t>（t/d）</w:t>
            </w:r>
          </w:p>
        </w:tc>
        <w:tc>
          <w:tcPr>
            <w:tcW w:w="1109" w:type="pct"/>
            <w:vAlign w:val="center"/>
          </w:tcPr>
          <w:p w14:paraId="4B93B439">
            <w:pPr>
              <w:pStyle w:val="75"/>
              <w:rPr>
                <w:rFonts w:hint="default" w:eastAsia="宋体"/>
                <w:color w:val="auto"/>
                <w:highlight w:val="none"/>
                <w:lang w:val="en-US" w:eastAsia="zh-CN"/>
              </w:rPr>
            </w:pPr>
            <w:r>
              <w:rPr>
                <w:rFonts w:hint="eastAsia"/>
                <w:color w:val="auto"/>
                <w:highlight w:val="none"/>
                <w:lang w:val="en-US" w:eastAsia="zh-CN"/>
              </w:rPr>
              <w:t>2.4</w:t>
            </w:r>
          </w:p>
        </w:tc>
        <w:tc>
          <w:tcPr>
            <w:tcW w:w="813" w:type="pct"/>
            <w:vAlign w:val="center"/>
          </w:tcPr>
          <w:p w14:paraId="08B62D6C">
            <w:pPr>
              <w:pStyle w:val="75"/>
              <w:rPr>
                <w:rFonts w:hint="default" w:eastAsia="宋体"/>
                <w:color w:val="auto"/>
                <w:highlight w:val="none"/>
                <w:lang w:val="en-US" w:eastAsia="zh-CN"/>
              </w:rPr>
            </w:pPr>
            <w:r>
              <w:rPr>
                <w:rFonts w:hint="eastAsia"/>
                <w:color w:val="auto"/>
                <w:highlight w:val="none"/>
                <w:lang w:val="en-US" w:eastAsia="zh-CN"/>
              </w:rPr>
              <w:t>286.375</w:t>
            </w:r>
          </w:p>
        </w:tc>
        <w:tc>
          <w:tcPr>
            <w:tcW w:w="1093" w:type="pct"/>
            <w:vAlign w:val="center"/>
          </w:tcPr>
          <w:p w14:paraId="3D8C1931">
            <w:pPr>
              <w:pStyle w:val="75"/>
              <w:rPr>
                <w:rFonts w:hint="default" w:eastAsia="宋体"/>
                <w:color w:val="auto"/>
                <w:highlight w:val="none"/>
                <w:lang w:val="en-US" w:eastAsia="zh-CN"/>
              </w:rPr>
            </w:pPr>
            <w:r>
              <w:rPr>
                <w:rFonts w:hint="eastAsia"/>
                <w:color w:val="auto"/>
                <w:highlight w:val="none"/>
                <w:lang w:val="en-US" w:eastAsia="zh-CN"/>
              </w:rPr>
              <w:t>5.0</w:t>
            </w:r>
          </w:p>
        </w:tc>
        <w:tc>
          <w:tcPr>
            <w:tcW w:w="870" w:type="pct"/>
            <w:vAlign w:val="center"/>
          </w:tcPr>
          <w:p w14:paraId="512166DE">
            <w:pPr>
              <w:pStyle w:val="75"/>
              <w:rPr>
                <w:rFonts w:hint="default" w:eastAsia="宋体"/>
                <w:color w:val="auto"/>
                <w:highlight w:val="none"/>
                <w:lang w:val="en-US" w:eastAsia="zh-CN"/>
              </w:rPr>
            </w:pPr>
            <w:r>
              <w:rPr>
                <w:rFonts w:hint="eastAsia"/>
                <w:color w:val="auto"/>
                <w:highlight w:val="none"/>
                <w:lang w:val="en-US" w:eastAsia="zh-CN"/>
              </w:rPr>
              <w:t>293.775</w:t>
            </w:r>
          </w:p>
        </w:tc>
      </w:tr>
      <w:tr w14:paraId="0BFC6D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3" w:type="pct"/>
            <w:vAlign w:val="center"/>
          </w:tcPr>
          <w:p w14:paraId="12F2422E">
            <w:pPr>
              <w:pStyle w:val="75"/>
              <w:rPr>
                <w:color w:val="auto"/>
                <w:highlight w:val="none"/>
                <w:lang w:val="zh-CN"/>
              </w:rPr>
            </w:pPr>
            <w:r>
              <w:rPr>
                <w:color w:val="auto"/>
                <w:highlight w:val="none"/>
                <w:lang w:val="zh-CN"/>
              </w:rPr>
              <w:t>年用水量（t/a）</w:t>
            </w:r>
          </w:p>
        </w:tc>
        <w:tc>
          <w:tcPr>
            <w:tcW w:w="1109" w:type="pct"/>
            <w:vAlign w:val="center"/>
          </w:tcPr>
          <w:p w14:paraId="451C938C">
            <w:pPr>
              <w:pStyle w:val="75"/>
              <w:rPr>
                <w:rFonts w:hint="default" w:eastAsia="宋体"/>
                <w:color w:val="auto"/>
                <w:highlight w:val="none"/>
                <w:lang w:val="en-US" w:eastAsia="zh-CN"/>
              </w:rPr>
            </w:pPr>
            <w:r>
              <w:rPr>
                <w:rFonts w:hint="eastAsia"/>
                <w:color w:val="auto"/>
                <w:highlight w:val="none"/>
                <w:lang w:val="en-US" w:eastAsia="zh-CN"/>
              </w:rPr>
              <w:t>744</w:t>
            </w:r>
          </w:p>
        </w:tc>
        <w:tc>
          <w:tcPr>
            <w:tcW w:w="813" w:type="pct"/>
            <w:vAlign w:val="center"/>
          </w:tcPr>
          <w:p w14:paraId="235DCE55">
            <w:pPr>
              <w:pStyle w:val="75"/>
              <w:rPr>
                <w:rFonts w:hint="default" w:eastAsia="宋体"/>
                <w:color w:val="auto"/>
                <w:highlight w:val="none"/>
                <w:lang w:val="en-US" w:eastAsia="zh-CN"/>
              </w:rPr>
            </w:pPr>
            <w:r>
              <w:rPr>
                <w:rFonts w:hint="eastAsia"/>
                <w:color w:val="auto"/>
                <w:highlight w:val="none"/>
                <w:lang w:val="en-US" w:eastAsia="zh-CN"/>
              </w:rPr>
              <w:t>88776.3</w:t>
            </w:r>
          </w:p>
        </w:tc>
        <w:tc>
          <w:tcPr>
            <w:tcW w:w="1093" w:type="pct"/>
            <w:vAlign w:val="center"/>
          </w:tcPr>
          <w:p w14:paraId="773F1E3D">
            <w:pPr>
              <w:pStyle w:val="75"/>
              <w:rPr>
                <w:rFonts w:hint="default" w:eastAsia="宋体"/>
                <w:color w:val="auto"/>
                <w:highlight w:val="none"/>
                <w:lang w:val="en-US" w:eastAsia="zh-CN"/>
              </w:rPr>
            </w:pPr>
            <w:r>
              <w:rPr>
                <w:rFonts w:hint="eastAsia"/>
                <w:color w:val="auto"/>
                <w:highlight w:val="none"/>
                <w:lang w:val="en-US" w:eastAsia="zh-CN"/>
              </w:rPr>
              <w:t>1550</w:t>
            </w:r>
          </w:p>
        </w:tc>
        <w:tc>
          <w:tcPr>
            <w:tcW w:w="870" w:type="pct"/>
            <w:vAlign w:val="center"/>
          </w:tcPr>
          <w:p w14:paraId="3CDB7FE8">
            <w:pPr>
              <w:pStyle w:val="75"/>
              <w:rPr>
                <w:rFonts w:hint="default" w:eastAsia="宋体"/>
                <w:color w:val="auto"/>
                <w:highlight w:val="none"/>
                <w:lang w:val="en-US" w:eastAsia="zh-CN"/>
              </w:rPr>
            </w:pPr>
            <w:r>
              <w:rPr>
                <w:rFonts w:hint="eastAsia"/>
                <w:color w:val="auto"/>
                <w:highlight w:val="none"/>
                <w:lang w:val="en-US" w:eastAsia="zh-CN"/>
              </w:rPr>
              <w:t>91070.3</w:t>
            </w:r>
          </w:p>
        </w:tc>
      </w:tr>
    </w:tbl>
    <w:p w14:paraId="524285D5">
      <w:pPr>
        <w:keepNext/>
        <w:keepLines/>
        <w:adjustRightInd/>
        <w:snapToGrid/>
        <w:spacing w:line="500" w:lineRule="exact"/>
        <w:ind w:firstLine="0" w:firstLineChars="0"/>
        <w:jc w:val="left"/>
        <w:outlineLvl w:val="2"/>
        <w:rPr>
          <w:rFonts w:eastAsia="黑体" w:cs="Times New Roman"/>
          <w:bCs/>
          <w:snapToGrid w:val="0"/>
          <w:color w:val="auto"/>
          <w:kern w:val="0"/>
          <w:szCs w:val="32"/>
          <w:highlight w:val="none"/>
        </w:rPr>
      </w:pPr>
      <w:bookmarkStart w:id="114" w:name="_Toc14081"/>
      <w:r>
        <w:rPr>
          <w:rFonts w:eastAsia="黑体" w:cs="Times New Roman"/>
          <w:bCs/>
          <w:snapToGrid w:val="0"/>
          <w:color w:val="auto"/>
          <w:kern w:val="0"/>
          <w:szCs w:val="32"/>
          <w:highlight w:val="none"/>
        </w:rPr>
        <w:t>3.2.2排水工程</w:t>
      </w:r>
      <w:bookmarkEnd w:id="114"/>
    </w:p>
    <w:p w14:paraId="7F8796AB">
      <w:pPr>
        <w:spacing w:line="500" w:lineRule="exact"/>
        <w:rPr>
          <w:rFonts w:cs="Times New Roman"/>
          <w:snapToGrid w:val="0"/>
          <w:color w:val="auto"/>
          <w:kern w:val="0"/>
          <w:highlight w:val="none"/>
        </w:rPr>
      </w:pPr>
      <w:bookmarkStart w:id="115" w:name="_Hlk480325836"/>
      <w:r>
        <w:rPr>
          <w:rFonts w:cs="Times New Roman"/>
          <w:snapToGrid w:val="0"/>
          <w:color w:val="auto"/>
          <w:kern w:val="0"/>
          <w:highlight w:val="none"/>
        </w:rPr>
        <w:t>屠宰场废水主要包括</w:t>
      </w:r>
      <w:bookmarkStart w:id="116" w:name="_Hlk520450417"/>
      <w:r>
        <w:rPr>
          <w:rFonts w:cs="Times New Roman"/>
          <w:snapToGrid w:val="0"/>
          <w:color w:val="auto"/>
          <w:kern w:val="0"/>
          <w:highlight w:val="none"/>
        </w:rPr>
        <w:t>职工生活污水、生产废水。</w:t>
      </w:r>
    </w:p>
    <w:bookmarkEnd w:id="116"/>
    <w:p w14:paraId="1F798AA6">
      <w:pPr>
        <w:spacing w:line="500" w:lineRule="exact"/>
        <w:rPr>
          <w:rFonts w:cs="Times New Roman"/>
          <w:snapToGrid w:val="0"/>
          <w:color w:val="auto"/>
          <w:kern w:val="0"/>
          <w:highlight w:val="none"/>
        </w:rPr>
      </w:pPr>
      <w:r>
        <w:rPr>
          <w:rFonts w:cs="Times New Roman"/>
          <w:snapToGrid w:val="0"/>
          <w:color w:val="auto"/>
          <w:kern w:val="0"/>
          <w:highlight w:val="none"/>
        </w:rPr>
        <w:t>（1）</w:t>
      </w:r>
      <w:r>
        <w:rPr>
          <w:rFonts w:cs="Times New Roman"/>
          <w:snapToGrid w:val="0"/>
          <w:color w:val="auto"/>
          <w:highlight w:val="none"/>
        </w:rPr>
        <w:t>生活污水</w:t>
      </w:r>
    </w:p>
    <w:p w14:paraId="4CD1FBC6">
      <w:pPr>
        <w:spacing w:line="500" w:lineRule="exact"/>
        <w:rPr>
          <w:rFonts w:cs="Times New Roman"/>
          <w:snapToGrid w:val="0"/>
          <w:color w:val="auto"/>
          <w:kern w:val="0"/>
          <w:highlight w:val="none"/>
        </w:rPr>
      </w:pPr>
      <w:r>
        <w:rPr>
          <w:rFonts w:cs="Times New Roman"/>
          <w:snapToGrid w:val="0"/>
          <w:color w:val="auto"/>
          <w:kern w:val="0"/>
          <w:highlight w:val="none"/>
        </w:rPr>
        <w:t>本项目生活用水量为</w:t>
      </w:r>
      <w:r>
        <w:rPr>
          <w:rFonts w:hint="eastAsia" w:cs="Times New Roman"/>
          <w:snapToGrid w:val="0"/>
          <w:color w:val="auto"/>
          <w:kern w:val="0"/>
          <w:highlight w:val="none"/>
          <w:lang w:val="en-US" w:eastAsia="zh-CN"/>
        </w:rPr>
        <w:t>2.4</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/d，</w:t>
      </w:r>
      <w:r>
        <w:rPr>
          <w:rFonts w:hint="eastAsia" w:cs="Times New Roman"/>
          <w:snapToGrid w:val="0"/>
          <w:color w:val="auto"/>
          <w:kern w:val="0"/>
          <w:highlight w:val="none"/>
          <w:lang w:val="en-US" w:eastAsia="zh-CN"/>
        </w:rPr>
        <w:t>744</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/a。</w:t>
      </w:r>
      <w:r>
        <w:rPr>
          <w:rFonts w:cs="Times New Roman"/>
          <w:snapToGrid w:val="0"/>
          <w:color w:val="auto"/>
          <w:highlight w:val="none"/>
        </w:rPr>
        <w:t>排水量按用水量的80%计，则生活污水量为</w:t>
      </w:r>
      <w:r>
        <w:rPr>
          <w:rFonts w:hint="eastAsia" w:cs="Times New Roman"/>
          <w:snapToGrid w:val="0"/>
          <w:color w:val="auto"/>
          <w:highlight w:val="none"/>
          <w:lang w:val="en-US" w:eastAsia="zh-CN"/>
        </w:rPr>
        <w:t>1.92</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/d</w:t>
      </w:r>
      <w:r>
        <w:rPr>
          <w:rFonts w:cs="Times New Roman"/>
          <w:snapToGrid w:val="0"/>
          <w:color w:val="auto"/>
          <w:highlight w:val="none"/>
        </w:rPr>
        <w:t>，</w:t>
      </w:r>
      <w:r>
        <w:rPr>
          <w:rFonts w:hint="eastAsia" w:cs="Times New Roman"/>
          <w:snapToGrid w:val="0"/>
          <w:color w:val="auto"/>
          <w:highlight w:val="none"/>
          <w:lang w:val="en-US" w:eastAsia="zh-CN"/>
        </w:rPr>
        <w:t>595.2</w:t>
      </w:r>
      <w:r>
        <w:rPr>
          <w:rFonts w:cs="Times New Roman"/>
          <w:snapToGrid w:val="0"/>
          <w:color w:val="auto"/>
          <w:highlight w:val="none"/>
        </w:rPr>
        <w:t>t/a。</w:t>
      </w:r>
    </w:p>
    <w:p w14:paraId="478A699E">
      <w:pPr>
        <w:spacing w:line="500" w:lineRule="exact"/>
        <w:rPr>
          <w:rFonts w:cs="Times New Roman"/>
          <w:snapToGrid w:val="0"/>
          <w:color w:val="auto"/>
          <w:kern w:val="0"/>
          <w:highlight w:val="none"/>
        </w:rPr>
      </w:pPr>
      <w:r>
        <w:rPr>
          <w:rFonts w:cs="Times New Roman"/>
          <w:snapToGrid w:val="0"/>
          <w:color w:val="auto"/>
          <w:kern w:val="0"/>
          <w:highlight w:val="none"/>
        </w:rPr>
        <w:t>（2）生产废水</w:t>
      </w:r>
    </w:p>
    <w:p w14:paraId="1FD654A4">
      <w:pPr>
        <w:spacing w:line="500" w:lineRule="exact"/>
        <w:rPr>
          <w:rFonts w:ascii="Times New Roman" w:hAnsi="Times New Roman" w:eastAsia="宋体" w:cs="Times New Roman"/>
          <w:snapToGrid w:val="0"/>
          <w:color w:val="auto"/>
          <w:kern w:val="0"/>
          <w:highlight w:val="none"/>
        </w:rPr>
      </w:pPr>
      <w:bookmarkStart w:id="117" w:name="_Hlk479525300"/>
      <w:r>
        <w:rPr>
          <w:rFonts w:cs="Times New Roman"/>
          <w:color w:val="auto"/>
          <w:highlight w:val="none"/>
        </w:rPr>
        <w:t>屠宰废水</w:t>
      </w:r>
      <w:r>
        <w:rPr>
          <w:rFonts w:cs="Times New Roman"/>
          <w:snapToGrid w:val="0"/>
          <w:color w:val="auto"/>
          <w:kern w:val="0"/>
          <w:highlight w:val="none"/>
        </w:rPr>
        <w:t>包括屠宰时进行的</w:t>
      </w:r>
      <w:r>
        <w:rPr>
          <w:rFonts w:hint="eastAsia" w:cs="Times New Roman"/>
          <w:snapToGrid w:val="0"/>
          <w:color w:val="auto"/>
          <w:kern w:val="0"/>
          <w:highlight w:val="none"/>
          <w:lang w:val="en-US" w:eastAsia="zh-CN"/>
        </w:rPr>
        <w:t>待宰圈和隔离圈</w:t>
      </w:r>
      <w:r>
        <w:rPr>
          <w:rFonts w:cs="Times New Roman"/>
          <w:snapToGrid w:val="0"/>
          <w:color w:val="auto"/>
          <w:kern w:val="0"/>
          <w:highlight w:val="none"/>
        </w:rPr>
        <w:t>冲洗、</w:t>
      </w:r>
      <w:r>
        <w:rPr>
          <w:rFonts w:hint="eastAsia" w:cs="Times New Roman"/>
          <w:snapToGrid w:val="0"/>
          <w:color w:val="auto"/>
          <w:kern w:val="0"/>
          <w:highlight w:val="none"/>
        </w:rPr>
        <w:t>牛羊屠宰前喷淋冲洗、</w:t>
      </w:r>
      <w:r>
        <w:rPr>
          <w:rFonts w:cs="Times New Roman"/>
          <w:snapToGrid w:val="0"/>
          <w:color w:val="auto"/>
          <w:kern w:val="0"/>
          <w:highlight w:val="none"/>
        </w:rPr>
        <w:t>胴体及内脏洗涤、</w:t>
      </w:r>
      <w:r>
        <w:rPr>
          <w:rFonts w:hint="eastAsia" w:cs="Times New Roman"/>
          <w:snapToGrid w:val="0"/>
          <w:color w:val="auto"/>
          <w:kern w:val="0"/>
          <w:highlight w:val="none"/>
          <w:lang w:val="en-US" w:eastAsia="zh-CN"/>
        </w:rPr>
        <w:t>分割、</w:t>
      </w:r>
      <w:r>
        <w:rPr>
          <w:rFonts w:cs="Times New Roman"/>
          <w:snapToGrid w:val="0"/>
          <w:color w:val="auto"/>
          <w:kern w:val="0"/>
          <w:highlight w:val="none"/>
        </w:rPr>
        <w:t>车间冲洗</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冷库排酸水、检疫室排水</w:t>
      </w:r>
      <w:r>
        <w:rPr>
          <w:rFonts w:cs="Times New Roman"/>
          <w:snapToGrid w:val="0"/>
          <w:color w:val="auto"/>
          <w:kern w:val="0"/>
          <w:highlight w:val="none"/>
        </w:rPr>
        <w:t>等过程产生的废水，宏观上主要含有的污染物为血污、碎肉、</w:t>
      </w:r>
      <w:r>
        <w:rPr>
          <w:rFonts w:hint="eastAsia" w:cs="Times New Roman"/>
          <w:snapToGrid w:val="0"/>
          <w:color w:val="auto"/>
          <w:kern w:val="0"/>
          <w:highlight w:val="none"/>
          <w:lang w:val="en-US" w:eastAsia="zh-CN"/>
        </w:rPr>
        <w:t>畜</w:t>
      </w:r>
      <w:r>
        <w:rPr>
          <w:rFonts w:cs="Times New Roman"/>
          <w:snapToGrid w:val="0"/>
          <w:color w:val="auto"/>
          <w:kern w:val="0"/>
          <w:highlight w:val="none"/>
        </w:rPr>
        <w:t>毛、未消化的食物及尿液等，微观上主要含有的污染物为COD、BOD</w:t>
      </w:r>
      <w:r>
        <w:rPr>
          <w:rFonts w:cs="Times New Roman"/>
          <w:snapToGrid w:val="0"/>
          <w:color w:val="auto"/>
          <w:kern w:val="0"/>
          <w:highlight w:val="none"/>
          <w:vertAlign w:val="subscript"/>
        </w:rPr>
        <w:t>5</w:t>
      </w:r>
      <w:r>
        <w:rPr>
          <w:rFonts w:cs="Times New Roman"/>
          <w:snapToGrid w:val="0"/>
          <w:color w:val="auto"/>
          <w:kern w:val="0"/>
          <w:highlight w:val="none"/>
        </w:rPr>
        <w:t>、SS、氨氮、动植物油</w:t>
      </w:r>
      <w:r>
        <w:rPr>
          <w:rFonts w:ascii="Times New Roman" w:hAnsi="Times New Roman" w:eastAsia="宋体" w:cs="Times New Roman"/>
          <w:snapToGrid w:val="0"/>
          <w:color w:val="auto"/>
          <w:kern w:val="0"/>
          <w:highlight w:val="none"/>
        </w:rPr>
        <w:t>、总氮及总磷。</w:t>
      </w:r>
    </w:p>
    <w:p w14:paraId="775B7E14">
      <w:pPr>
        <w:spacing w:line="500" w:lineRule="exact"/>
        <w:rPr>
          <w:rFonts w:hint="default" w:eastAsia="宋体" w:cs="Times New Roman"/>
          <w:snapToGrid w:val="0"/>
          <w:color w:val="auto"/>
          <w:kern w:val="0"/>
          <w:highlight w:val="none"/>
          <w:lang w:val="en-US" w:eastAsia="zh-CN"/>
        </w:rPr>
      </w:pPr>
      <w:r>
        <w:rPr>
          <w:rFonts w:ascii="Times New Roman" w:hAnsi="Times New Roman" w:eastAsia="宋体" w:cs="Times New Roman"/>
          <w:snapToGrid w:val="0"/>
          <w:color w:val="auto"/>
          <w:kern w:val="0"/>
          <w:highlight w:val="none"/>
        </w:rPr>
        <w:t>本项目</w:t>
      </w:r>
      <w:r>
        <w:rPr>
          <w:rFonts w:hint="eastAsia" w:ascii="Times New Roman" w:hAnsi="Times New Roman" w:eastAsia="宋体" w:cs="Times New Roman"/>
          <w:snapToGrid w:val="0"/>
          <w:color w:val="auto"/>
          <w:kern w:val="0"/>
          <w:highlight w:val="none"/>
        </w:rPr>
        <w:t>屠宰量为肉牛</w:t>
      </w:r>
      <w:r>
        <w:rPr>
          <w:rFonts w:hint="eastAsia" w:cs="Times New Roman"/>
          <w:snapToGrid w:val="0"/>
          <w:color w:val="auto"/>
          <w:kern w:val="0"/>
          <w:highlight w:val="none"/>
          <w:lang w:val="en-US" w:eastAsia="zh-CN"/>
        </w:rPr>
        <w:t>100</w:t>
      </w:r>
      <w:r>
        <w:rPr>
          <w:rFonts w:hint="eastAsia" w:ascii="Times New Roman" w:hAnsi="Times New Roman" w:eastAsia="宋体" w:cs="Times New Roman"/>
          <w:snapToGrid w:val="0"/>
          <w:color w:val="auto"/>
          <w:kern w:val="0"/>
          <w:highlight w:val="none"/>
        </w:rPr>
        <w:t>头/d，肉羊</w:t>
      </w:r>
      <w:r>
        <w:rPr>
          <w:rFonts w:hint="eastAsia" w:cs="Times New Roman"/>
          <w:snapToGrid w:val="0"/>
          <w:color w:val="auto"/>
          <w:kern w:val="0"/>
          <w:highlight w:val="none"/>
          <w:lang w:val="en-US" w:eastAsia="zh-CN"/>
        </w:rPr>
        <w:t>500</w:t>
      </w:r>
      <w:r>
        <w:rPr>
          <w:rFonts w:hint="eastAsia" w:ascii="Times New Roman" w:hAnsi="Times New Roman" w:eastAsia="宋体" w:cs="Times New Roman"/>
          <w:snapToGrid w:val="0"/>
          <w:color w:val="auto"/>
          <w:kern w:val="0"/>
          <w:highlight w:val="none"/>
        </w:rPr>
        <w:t>只/d</w:t>
      </w:r>
      <w:r>
        <w:rPr>
          <w:rFonts w:hint="eastAsia" w:ascii="Times New Roman" w:hAnsi="Times New Roman" w:eastAsia="宋体" w:cs="Times New Roman"/>
          <w:snapToGrid w:val="0"/>
          <w:color w:val="auto"/>
          <w:kern w:val="0"/>
          <w:highlight w:val="none"/>
          <w:lang w:eastAsia="zh-CN"/>
        </w:rPr>
        <w:t>，</w:t>
      </w:r>
      <w:r>
        <w:rPr>
          <w:rFonts w:hint="eastAsia" w:ascii="Times New Roman" w:hAnsi="Times New Roman" w:eastAsia="宋体" w:cs="Times New Roman"/>
          <w:snapToGrid w:val="0"/>
          <w:color w:val="auto"/>
          <w:kern w:val="0"/>
          <w:highlight w:val="none"/>
        </w:rPr>
        <w:t>按设计3</w:t>
      </w:r>
      <w:r>
        <w:rPr>
          <w:rFonts w:hint="eastAsia" w:cs="Times New Roman"/>
          <w:snapToGrid w:val="0"/>
          <w:color w:val="auto"/>
          <w:kern w:val="0"/>
          <w:highlight w:val="none"/>
          <w:lang w:val="en-US" w:eastAsia="zh-CN"/>
        </w:rPr>
        <w:t>1</w:t>
      </w:r>
      <w:r>
        <w:rPr>
          <w:rFonts w:ascii="Times New Roman" w:hAnsi="Times New Roman" w:eastAsia="宋体" w:cs="Times New Roman"/>
          <w:snapToGrid w:val="0"/>
          <w:color w:val="auto"/>
          <w:kern w:val="0"/>
          <w:highlight w:val="none"/>
        </w:rPr>
        <w:t>0</w:t>
      </w:r>
      <w:r>
        <w:rPr>
          <w:rFonts w:hint="eastAsia" w:ascii="Times New Roman" w:hAnsi="Times New Roman" w:eastAsia="宋体" w:cs="Times New Roman"/>
          <w:snapToGrid w:val="0"/>
          <w:color w:val="auto"/>
          <w:kern w:val="0"/>
          <w:highlight w:val="none"/>
        </w:rPr>
        <w:t>天工作计算，</w:t>
      </w:r>
      <w:r>
        <w:rPr>
          <w:rFonts w:hint="eastAsia" w:cs="Times New Roman"/>
          <w:snapToGrid w:val="0"/>
          <w:color w:val="auto"/>
          <w:kern w:val="0"/>
          <w:highlight w:val="none"/>
          <w:lang w:eastAsia="zh-CN"/>
        </w:rPr>
        <w:t>年屠宰肉牛</w:t>
      </w:r>
      <w:r>
        <w:rPr>
          <w:rFonts w:hint="eastAsia" w:cs="Times New Roman"/>
          <w:snapToGrid w:val="0"/>
          <w:color w:val="auto"/>
          <w:kern w:val="0"/>
          <w:highlight w:val="none"/>
          <w:lang w:val="en-US" w:eastAsia="zh-CN"/>
        </w:rPr>
        <w:t>31000</w:t>
      </w:r>
      <w:r>
        <w:rPr>
          <w:rFonts w:hint="eastAsia" w:cs="Times New Roman"/>
          <w:snapToGrid w:val="0"/>
          <w:color w:val="auto"/>
          <w:kern w:val="0"/>
          <w:highlight w:val="none"/>
          <w:lang w:eastAsia="zh-CN"/>
        </w:rPr>
        <w:t>头、肉羊</w:t>
      </w:r>
      <w:r>
        <w:rPr>
          <w:rFonts w:hint="eastAsia" w:cs="Times New Roman"/>
          <w:snapToGrid w:val="0"/>
          <w:color w:val="auto"/>
          <w:kern w:val="0"/>
          <w:highlight w:val="none"/>
          <w:lang w:val="en-US" w:eastAsia="zh-CN"/>
        </w:rPr>
        <w:t>155</w:t>
      </w:r>
      <w:r>
        <w:rPr>
          <w:rFonts w:hint="eastAsia" w:cs="Times New Roman"/>
          <w:snapToGrid w:val="0"/>
          <w:color w:val="auto"/>
          <w:kern w:val="0"/>
          <w:highlight w:val="none"/>
          <w:lang w:eastAsia="zh-CN"/>
        </w:rPr>
        <w:t>000只</w:t>
      </w:r>
      <w:r>
        <w:rPr>
          <w:rFonts w:hint="eastAsia" w:ascii="Times New Roman" w:hAnsi="Times New Roman" w:eastAsia="宋体" w:cs="Times New Roman"/>
          <w:snapToGrid w:val="0"/>
          <w:color w:val="auto"/>
          <w:kern w:val="0"/>
          <w:highlight w:val="none"/>
          <w:lang w:eastAsia="zh-CN"/>
        </w:rPr>
        <w:t>。</w:t>
      </w:r>
      <w:r>
        <w:rPr>
          <w:rFonts w:cs="Times New Roman"/>
          <w:snapToGrid w:val="0"/>
          <w:color w:val="auto"/>
          <w:kern w:val="0"/>
          <w:highlight w:val="none"/>
        </w:rPr>
        <w:t>根据《135屠宰及肉类加工行业系数手册》中1351牲畜屠宰行业产污系数表可知，工业废水量为0.941吨/头牛，0.27吨/只羊，则本项目屠宰过程中排水量约为</w:t>
      </w:r>
      <w:r>
        <w:rPr>
          <w:rFonts w:hint="eastAsia" w:cs="Times New Roman"/>
          <w:snapToGrid w:val="0"/>
          <w:color w:val="auto"/>
          <w:kern w:val="0"/>
          <w:highlight w:val="none"/>
          <w:lang w:val="en-US" w:eastAsia="zh-CN"/>
        </w:rPr>
        <w:t>71021</w:t>
      </w:r>
      <w:r>
        <w:rPr>
          <w:rFonts w:cs="Times New Roman"/>
          <w:snapToGrid w:val="0"/>
          <w:color w:val="auto"/>
          <w:kern w:val="0"/>
          <w:highlight w:val="none"/>
        </w:rPr>
        <w:t>t/a（</w:t>
      </w:r>
      <w:r>
        <w:rPr>
          <w:rFonts w:hint="eastAsia" w:cs="Times New Roman"/>
          <w:snapToGrid w:val="0"/>
          <w:color w:val="auto"/>
          <w:kern w:val="0"/>
          <w:highlight w:val="none"/>
          <w:lang w:val="en-US" w:eastAsia="zh-CN"/>
        </w:rPr>
        <w:t>229.1</w:t>
      </w:r>
      <w:r>
        <w:rPr>
          <w:rFonts w:cs="Times New Roman"/>
          <w:snapToGrid w:val="0"/>
          <w:color w:val="auto"/>
          <w:kern w:val="0"/>
          <w:highlight w:val="none"/>
        </w:rPr>
        <w:t>t/d）。</w:t>
      </w:r>
      <w:r>
        <w:rPr>
          <w:rFonts w:hint="eastAsia" w:cs="Times New Roman"/>
          <w:snapToGrid w:val="0"/>
          <w:color w:val="auto"/>
          <w:kern w:val="0"/>
          <w:highlight w:val="none"/>
          <w:lang w:val="en-US" w:eastAsia="zh-CN"/>
        </w:rPr>
        <w:t>其中隔离圈废水和检疫室排水单独收集，经消毒后排入厂区内污水处理站处理。</w:t>
      </w:r>
    </w:p>
    <w:bookmarkEnd w:id="117"/>
    <w:p w14:paraId="1B1C824A">
      <w:pPr>
        <w:pStyle w:val="117"/>
        <w:adjustRightInd w:val="0"/>
        <w:snapToGrid w:val="0"/>
        <w:rPr>
          <w:rFonts w:hint="eastAsia" w:cs="Times New Roman"/>
          <w:snapToGrid w:val="0"/>
          <w:color w:val="auto"/>
          <w:highlight w:val="none"/>
          <w:lang w:val="en-US" w:eastAsia="zh-CN"/>
        </w:rPr>
      </w:pPr>
      <w:bookmarkStart w:id="118" w:name="_Hlk479525778"/>
      <w:r>
        <w:rPr>
          <w:rFonts w:hint="eastAsia" w:cs="Times New Roman"/>
          <w:snapToGrid w:val="0"/>
          <w:color w:val="auto"/>
          <w:highlight w:val="none"/>
          <w:lang w:eastAsia="zh-CN"/>
        </w:rPr>
        <w:t>（</w:t>
      </w:r>
      <w:r>
        <w:rPr>
          <w:rFonts w:hint="eastAsia" w:cs="Times New Roman"/>
          <w:snapToGrid w:val="0"/>
          <w:color w:val="auto"/>
          <w:highlight w:val="none"/>
          <w:lang w:val="en-US" w:eastAsia="zh-CN"/>
        </w:rPr>
        <w:t>3</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车辆冲洗废水</w:t>
      </w:r>
    </w:p>
    <w:p w14:paraId="1791448F">
      <w:pPr>
        <w:pStyle w:val="117"/>
        <w:adjustRightInd w:val="0"/>
        <w:snapToGrid w:val="0"/>
        <w:rPr>
          <w:rFonts w:hint="eastAsia" w:eastAsia="宋体" w:cs="Times New Roman"/>
          <w:snapToGrid w:val="0"/>
          <w:color w:val="auto"/>
          <w:highlight w:val="none"/>
          <w:lang w:val="en-US" w:eastAsia="zh-CN"/>
        </w:rPr>
      </w:pPr>
      <w:r>
        <w:rPr>
          <w:rFonts w:hint="eastAsia" w:cs="Times New Roman"/>
          <w:snapToGrid w:val="0"/>
          <w:color w:val="auto"/>
          <w:highlight w:val="none"/>
          <w:lang w:val="en-US" w:eastAsia="zh-CN"/>
        </w:rPr>
        <w:t>本项目冲洗车辆用水量为</w:t>
      </w:r>
      <w:r>
        <w:rPr>
          <w:rFonts w:hint="eastAsia"/>
          <w:color w:val="auto"/>
          <w:highlight w:val="none"/>
          <w:lang w:val="en-US" w:eastAsia="zh-CN"/>
        </w:rPr>
        <w:t>5</w:t>
      </w:r>
      <w:r>
        <w:rPr>
          <w:rFonts w:hint="eastAsia"/>
          <w:color w:val="auto"/>
          <w:highlight w:val="none"/>
        </w:rPr>
        <w:t>m</w:t>
      </w:r>
      <w:r>
        <w:rPr>
          <w:rFonts w:hint="eastAsia"/>
          <w:color w:val="auto"/>
          <w:highlight w:val="none"/>
          <w:vertAlign w:val="superscript"/>
        </w:rPr>
        <w:t>3</w:t>
      </w:r>
      <w:r>
        <w:rPr>
          <w:rFonts w:hint="eastAsia"/>
          <w:color w:val="auto"/>
          <w:highlight w:val="none"/>
        </w:rPr>
        <w:t>/d（</w:t>
      </w:r>
      <w:r>
        <w:rPr>
          <w:rFonts w:hint="eastAsia"/>
          <w:color w:val="auto"/>
          <w:highlight w:val="none"/>
          <w:lang w:val="en-US" w:eastAsia="zh-CN"/>
        </w:rPr>
        <w:t>1550</w:t>
      </w:r>
      <w:r>
        <w:rPr>
          <w:color w:val="auto"/>
          <w:highlight w:val="none"/>
        </w:rPr>
        <w:t>m</w:t>
      </w:r>
      <w:r>
        <w:rPr>
          <w:color w:val="auto"/>
          <w:highlight w:val="none"/>
          <w:vertAlign w:val="superscript"/>
        </w:rPr>
        <w:t>3</w:t>
      </w:r>
      <w:r>
        <w:rPr>
          <w:rFonts w:hint="eastAsia"/>
          <w:color w:val="auto"/>
          <w:highlight w:val="none"/>
        </w:rPr>
        <w:t>/a）</w:t>
      </w:r>
      <w:r>
        <w:rPr>
          <w:rFonts w:hint="eastAsia"/>
          <w:color w:val="auto"/>
          <w:highlight w:val="none"/>
          <w:lang w:eastAsia="zh-CN"/>
        </w:rPr>
        <w:t>，</w:t>
      </w:r>
      <w:r>
        <w:rPr>
          <w:rFonts w:cs="Times New Roman"/>
          <w:snapToGrid w:val="0"/>
          <w:color w:val="auto"/>
          <w:highlight w:val="none"/>
        </w:rPr>
        <w:t>排水量按用水量的80%计，则</w:t>
      </w:r>
      <w:r>
        <w:rPr>
          <w:rFonts w:hint="eastAsia" w:cs="Times New Roman"/>
          <w:snapToGrid w:val="0"/>
          <w:color w:val="auto"/>
          <w:highlight w:val="none"/>
          <w:lang w:val="en-US" w:eastAsia="zh-CN"/>
        </w:rPr>
        <w:t>车辆冲洗废水为4</w:t>
      </w:r>
      <w:r>
        <w:rPr>
          <w:rFonts w:hint="eastAsia"/>
          <w:color w:val="auto"/>
          <w:highlight w:val="none"/>
        </w:rPr>
        <w:t>m</w:t>
      </w:r>
      <w:r>
        <w:rPr>
          <w:rFonts w:hint="eastAsia"/>
          <w:color w:val="auto"/>
          <w:highlight w:val="none"/>
          <w:vertAlign w:val="superscript"/>
        </w:rPr>
        <w:t>3</w:t>
      </w:r>
      <w:r>
        <w:rPr>
          <w:rFonts w:hint="eastAsia"/>
          <w:color w:val="auto"/>
          <w:highlight w:val="none"/>
        </w:rPr>
        <w:t>/d（</w:t>
      </w:r>
      <w:r>
        <w:rPr>
          <w:rFonts w:hint="eastAsia"/>
          <w:color w:val="auto"/>
          <w:highlight w:val="none"/>
          <w:lang w:val="en-US" w:eastAsia="zh-CN"/>
        </w:rPr>
        <w:t>1240</w:t>
      </w:r>
      <w:r>
        <w:rPr>
          <w:color w:val="auto"/>
          <w:highlight w:val="none"/>
        </w:rPr>
        <w:t>m</w:t>
      </w:r>
      <w:r>
        <w:rPr>
          <w:color w:val="auto"/>
          <w:highlight w:val="none"/>
          <w:vertAlign w:val="superscript"/>
        </w:rPr>
        <w:t>3</w:t>
      </w:r>
      <w:r>
        <w:rPr>
          <w:rFonts w:hint="eastAsia"/>
          <w:color w:val="auto"/>
          <w:highlight w:val="none"/>
        </w:rPr>
        <w:t>/a）</w:t>
      </w:r>
      <w:r>
        <w:rPr>
          <w:rFonts w:hint="eastAsia"/>
          <w:color w:val="auto"/>
          <w:highlight w:val="none"/>
          <w:lang w:eastAsia="zh-CN"/>
        </w:rPr>
        <w:t>。</w:t>
      </w:r>
    </w:p>
    <w:p w14:paraId="054A6ABB">
      <w:pPr>
        <w:pStyle w:val="117"/>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snapToGrid w:val="0"/>
          <w:color w:val="auto"/>
          <w:highlight w:val="none"/>
        </w:rPr>
      </w:pPr>
      <w:r>
        <w:rPr>
          <w:rFonts w:cs="Times New Roman"/>
          <w:snapToGrid w:val="0"/>
          <w:color w:val="auto"/>
          <w:highlight w:val="none"/>
        </w:rPr>
        <w:t>综上，项目运行后，屠宰废水、生活污水</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车辆冲洗水废水</w:t>
      </w:r>
      <w:r>
        <w:rPr>
          <w:rFonts w:cs="Times New Roman"/>
          <w:snapToGrid w:val="0"/>
          <w:color w:val="auto"/>
          <w:highlight w:val="none"/>
        </w:rPr>
        <w:t>产生量为</w:t>
      </w:r>
      <w:r>
        <w:rPr>
          <w:rFonts w:hint="eastAsia" w:cs="Times New Roman"/>
          <w:snapToGrid w:val="0"/>
          <w:color w:val="auto"/>
          <w:highlight w:val="none"/>
          <w:lang w:val="en-US" w:eastAsia="zh-CN"/>
        </w:rPr>
        <w:t>72856.2</w:t>
      </w:r>
      <w:r>
        <w:rPr>
          <w:rFonts w:cs="Times New Roman"/>
          <w:snapToGrid w:val="0"/>
          <w:color w:val="auto"/>
          <w:highlight w:val="none"/>
        </w:rPr>
        <w:t>t/a，屠宰废水</w:t>
      </w:r>
      <w:r>
        <w:rPr>
          <w:rFonts w:hint="eastAsia" w:cs="Times New Roman"/>
          <w:snapToGrid w:val="0"/>
          <w:color w:val="auto"/>
          <w:highlight w:val="none"/>
          <w:lang w:val="en-US" w:eastAsia="zh-CN"/>
        </w:rPr>
        <w:t>、车辆冲洗水</w:t>
      </w:r>
      <w:r>
        <w:rPr>
          <w:rFonts w:cs="Times New Roman"/>
          <w:snapToGrid w:val="0"/>
          <w:color w:val="auto"/>
          <w:highlight w:val="none"/>
        </w:rPr>
        <w:t>排入厂区自建污水处理站处理，污水处理站采用</w:t>
      </w:r>
      <w:r>
        <w:rPr>
          <w:rFonts w:cs="Times New Roman"/>
          <w:bCs/>
          <w:color w:val="auto"/>
          <w:szCs w:val="24"/>
          <w:highlight w:val="none"/>
        </w:rPr>
        <w:t>“格栅+</w:t>
      </w:r>
      <w:r>
        <w:rPr>
          <w:rFonts w:hint="eastAsia" w:cs="Times New Roman"/>
          <w:bCs/>
          <w:color w:val="auto"/>
          <w:szCs w:val="24"/>
          <w:highlight w:val="none"/>
          <w:lang w:val="en-US" w:eastAsia="zh-CN"/>
        </w:rPr>
        <w:t>隔油池</w:t>
      </w:r>
      <w:r>
        <w:rPr>
          <w:rFonts w:cs="Times New Roman"/>
          <w:bCs/>
          <w:color w:val="auto"/>
          <w:szCs w:val="24"/>
          <w:highlight w:val="none"/>
        </w:rPr>
        <w:t>+</w:t>
      </w:r>
      <w:r>
        <w:rPr>
          <w:rFonts w:hint="eastAsia" w:cs="Times New Roman"/>
          <w:bCs/>
          <w:color w:val="auto"/>
          <w:szCs w:val="24"/>
          <w:highlight w:val="none"/>
          <w:lang w:val="en-US" w:eastAsia="zh-CN"/>
        </w:rPr>
        <w:t>调节池</w:t>
      </w:r>
      <w:r>
        <w:rPr>
          <w:rFonts w:cs="Times New Roman"/>
          <w:bCs/>
          <w:color w:val="auto"/>
          <w:szCs w:val="24"/>
          <w:highlight w:val="none"/>
        </w:rPr>
        <w:t>+气浮+水解酸化+</w:t>
      </w:r>
      <w:r>
        <w:rPr>
          <w:rFonts w:hint="eastAsia" w:cs="Times New Roman"/>
          <w:bCs/>
          <w:color w:val="auto"/>
          <w:szCs w:val="24"/>
          <w:highlight w:val="none"/>
          <w:lang w:val="en-US" w:eastAsia="zh-CN"/>
        </w:rPr>
        <w:t>反硝化缺氧+好氧</w:t>
      </w:r>
      <w:r>
        <w:rPr>
          <w:rFonts w:cs="Times New Roman"/>
          <w:bCs/>
          <w:color w:val="auto"/>
          <w:szCs w:val="24"/>
          <w:highlight w:val="none"/>
        </w:rPr>
        <w:t>+沉淀+消毒（</w:t>
      </w:r>
      <w:r>
        <w:rPr>
          <w:rFonts w:hint="eastAsia" w:cs="Times New Roman"/>
          <w:bCs/>
          <w:color w:val="auto"/>
          <w:szCs w:val="24"/>
          <w:highlight w:val="none"/>
          <w:lang w:val="en-US" w:eastAsia="zh-CN"/>
        </w:rPr>
        <w:t>次氯酸钠</w:t>
      </w:r>
      <w:r>
        <w:rPr>
          <w:rFonts w:cs="Times New Roman"/>
          <w:bCs/>
          <w:color w:val="auto"/>
          <w:szCs w:val="24"/>
          <w:highlight w:val="none"/>
        </w:rPr>
        <w:t>）”</w:t>
      </w:r>
      <w:r>
        <w:rPr>
          <w:rFonts w:cs="Times New Roman"/>
          <w:snapToGrid w:val="0"/>
          <w:color w:val="auto"/>
          <w:highlight w:val="none"/>
        </w:rPr>
        <w:t>工艺，</w:t>
      </w:r>
      <w:r>
        <w:rPr>
          <w:rFonts w:cs="Times New Roman"/>
          <w:snapToGrid w:val="0"/>
          <w:color w:val="auto"/>
          <w:highlight w:val="none"/>
          <w:lang w:val="en-GB"/>
        </w:rPr>
        <w:t>处理达到《肉类加工工业水污染物排放标准》（GB13457-92）中畜类屠宰加工三级标准后，</w:t>
      </w:r>
      <w:r>
        <w:rPr>
          <w:rFonts w:cs="Times New Roman"/>
          <w:snapToGrid w:val="0"/>
          <w:color w:val="auto"/>
          <w:highlight w:val="none"/>
        </w:rPr>
        <w:t>与生活污水</w:t>
      </w:r>
      <w:r>
        <w:rPr>
          <w:rFonts w:cs="Times New Roman"/>
          <w:snapToGrid w:val="0"/>
          <w:color w:val="auto"/>
          <w:highlight w:val="none"/>
          <w:lang w:val="en-GB"/>
        </w:rPr>
        <w:t>经市政污水管网排入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处理，达标后排入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r>
        <w:rPr>
          <w:rFonts w:cs="Times New Roman"/>
          <w:snapToGrid w:val="0"/>
          <w:color w:val="auto"/>
          <w:highlight w:val="none"/>
        </w:rPr>
        <w:t>项目排水情况见表3</w:t>
      </w:r>
      <w:r>
        <w:rPr>
          <w:rFonts w:hint="eastAsia" w:cs="Times New Roman"/>
          <w:snapToGrid w:val="0"/>
          <w:color w:val="auto"/>
          <w:highlight w:val="none"/>
          <w:lang w:val="en-US" w:eastAsia="zh-CN"/>
        </w:rPr>
        <w:t>.</w:t>
      </w:r>
      <w:r>
        <w:rPr>
          <w:rFonts w:cs="Times New Roman"/>
          <w:snapToGrid w:val="0"/>
          <w:color w:val="auto"/>
          <w:highlight w:val="none"/>
        </w:rPr>
        <w:t>2-2。项目水平衡图见图3</w:t>
      </w:r>
      <w:r>
        <w:rPr>
          <w:rFonts w:hint="eastAsia" w:cs="Times New Roman"/>
          <w:snapToGrid w:val="0"/>
          <w:color w:val="auto"/>
          <w:highlight w:val="none"/>
          <w:lang w:val="en-US" w:eastAsia="zh-CN"/>
        </w:rPr>
        <w:t>.</w:t>
      </w:r>
      <w:r>
        <w:rPr>
          <w:rFonts w:cs="Times New Roman"/>
          <w:snapToGrid w:val="0"/>
          <w:color w:val="auto"/>
          <w:highlight w:val="none"/>
        </w:rPr>
        <w:t>2-1。</w:t>
      </w:r>
    </w:p>
    <w:p w14:paraId="4A9DF2E2">
      <w:pPr>
        <w:keepNext w:val="0"/>
        <w:keepLines w:val="0"/>
        <w:pageBreakBefore w:val="0"/>
        <w:widowControl w:val="0"/>
        <w:kinsoku/>
        <w:wordWrap/>
        <w:overflowPunct/>
        <w:topLinePunct w:val="0"/>
        <w:autoSpaceDE/>
        <w:autoSpaceDN/>
        <w:bidi w:val="0"/>
        <w:adjustRightInd w:val="0"/>
        <w:snapToGrid w:val="0"/>
        <w:spacing w:line="520" w:lineRule="atLeast"/>
        <w:ind w:firstLine="482"/>
        <w:jc w:val="center"/>
        <w:textAlignment w:val="auto"/>
        <w:rPr>
          <w:rFonts w:cs="Times New Roman"/>
          <w:b/>
          <w:bCs/>
          <w:snapToGrid w:val="0"/>
          <w:color w:val="auto"/>
          <w:kern w:val="0"/>
          <w:szCs w:val="24"/>
          <w:highlight w:val="none"/>
          <w:lang w:val="zh-CN"/>
        </w:rPr>
      </w:pPr>
      <w:r>
        <w:rPr>
          <w:rFonts w:cs="Times New Roman"/>
          <w:b/>
          <w:bCs/>
          <w:snapToGrid w:val="0"/>
          <w:color w:val="auto"/>
          <w:kern w:val="0"/>
          <w:szCs w:val="24"/>
          <w:highlight w:val="none"/>
          <w:lang w:val="zh-CN"/>
        </w:rPr>
        <w:t>表3</w:t>
      </w:r>
      <w:r>
        <w:rPr>
          <w:rFonts w:hint="eastAsia" w:cs="Times New Roman"/>
          <w:b/>
          <w:bCs/>
          <w:snapToGrid w:val="0"/>
          <w:color w:val="auto"/>
          <w:kern w:val="0"/>
          <w:szCs w:val="24"/>
          <w:highlight w:val="none"/>
          <w:lang w:val="en-US" w:eastAsia="zh-CN"/>
        </w:rPr>
        <w:t>.</w:t>
      </w:r>
      <w:r>
        <w:rPr>
          <w:rFonts w:cs="Times New Roman"/>
          <w:b/>
          <w:bCs/>
          <w:snapToGrid w:val="0"/>
          <w:color w:val="auto"/>
          <w:kern w:val="0"/>
          <w:szCs w:val="24"/>
          <w:highlight w:val="none"/>
          <w:lang w:val="zh-CN"/>
        </w:rPr>
        <w:t>2-2</w:t>
      </w:r>
      <w:r>
        <w:rPr>
          <w:rFonts w:cs="Times New Roman"/>
          <w:b/>
          <w:bCs/>
          <w:snapToGrid w:val="0"/>
          <w:color w:val="auto"/>
          <w:kern w:val="0"/>
          <w:szCs w:val="24"/>
          <w:highlight w:val="none"/>
          <w:lang w:val="en-US"/>
        </w:rPr>
        <w:t xml:space="preserve">  </w:t>
      </w:r>
      <w:r>
        <w:rPr>
          <w:rFonts w:cs="Times New Roman"/>
          <w:b/>
          <w:bCs/>
          <w:snapToGrid w:val="0"/>
          <w:color w:val="auto"/>
          <w:kern w:val="0"/>
          <w:szCs w:val="24"/>
          <w:highlight w:val="none"/>
          <w:lang w:val="zh-CN"/>
        </w:rPr>
        <w:t>项目排水情况一览表</w:t>
      </w:r>
    </w:p>
    <w:tbl>
      <w:tblPr>
        <w:tblStyle w:val="39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08"/>
        <w:gridCol w:w="1478"/>
        <w:gridCol w:w="1541"/>
        <w:gridCol w:w="1860"/>
        <w:gridCol w:w="1732"/>
      </w:tblGrid>
      <w:tr w14:paraId="0552A1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1119" w:type="pct"/>
            <w:vAlign w:val="center"/>
          </w:tcPr>
          <w:p w14:paraId="139914C5">
            <w:pPr>
              <w:adjustRightInd/>
              <w:snapToGrid/>
              <w:spacing w:line="240" w:lineRule="auto"/>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项目</w:t>
            </w:r>
          </w:p>
        </w:tc>
        <w:tc>
          <w:tcPr>
            <w:tcW w:w="867" w:type="pct"/>
            <w:vAlign w:val="center"/>
          </w:tcPr>
          <w:p w14:paraId="79420DFC">
            <w:pPr>
              <w:adjustRightInd/>
              <w:snapToGrid/>
              <w:spacing w:line="240" w:lineRule="auto"/>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屠宰废水</w:t>
            </w:r>
          </w:p>
        </w:tc>
        <w:tc>
          <w:tcPr>
            <w:tcW w:w="904" w:type="pct"/>
            <w:vAlign w:val="center"/>
          </w:tcPr>
          <w:p w14:paraId="140B9FFA">
            <w:pPr>
              <w:adjustRightInd/>
              <w:snapToGrid/>
              <w:spacing w:line="240" w:lineRule="auto"/>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员工生活污水</w:t>
            </w:r>
          </w:p>
        </w:tc>
        <w:tc>
          <w:tcPr>
            <w:tcW w:w="1091" w:type="pct"/>
            <w:vAlign w:val="center"/>
          </w:tcPr>
          <w:p w14:paraId="21677B96">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车辆冲洗废水</w:t>
            </w:r>
          </w:p>
        </w:tc>
        <w:tc>
          <w:tcPr>
            <w:tcW w:w="1016" w:type="pct"/>
            <w:vAlign w:val="center"/>
          </w:tcPr>
          <w:p w14:paraId="51FD7A85">
            <w:pPr>
              <w:adjustRightInd/>
              <w:snapToGrid/>
              <w:spacing w:line="240" w:lineRule="auto"/>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小计</w:t>
            </w:r>
          </w:p>
        </w:tc>
      </w:tr>
      <w:tr w14:paraId="242DFD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119" w:type="pct"/>
            <w:vAlign w:val="center"/>
          </w:tcPr>
          <w:p w14:paraId="166EC3CF">
            <w:pPr>
              <w:adjustRightInd/>
              <w:snapToGrid/>
              <w:spacing w:line="240" w:lineRule="auto"/>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lang w:val="zh-CN"/>
              </w:rPr>
              <w:t>日废水量</w:t>
            </w:r>
            <w:r>
              <w:rPr>
                <w:rFonts w:cs="Times New Roman"/>
                <w:snapToGrid w:val="0"/>
                <w:color w:val="auto"/>
                <w:kern w:val="0"/>
                <w:sz w:val="21"/>
                <w:highlight w:val="none"/>
              </w:rPr>
              <w:t>（t/d）</w:t>
            </w:r>
          </w:p>
        </w:tc>
        <w:tc>
          <w:tcPr>
            <w:tcW w:w="867" w:type="pct"/>
            <w:vAlign w:val="center"/>
          </w:tcPr>
          <w:p w14:paraId="7DEEDDC6">
            <w:pPr>
              <w:pStyle w:val="73"/>
              <w:rPr>
                <w:rFonts w:hint="default" w:eastAsia="宋体" w:cs="Times New Roman"/>
                <w:snapToGrid w:val="0"/>
                <w:color w:val="auto"/>
                <w:kern w:val="0"/>
                <w:highlight w:val="none"/>
                <w:lang w:val="en-US" w:eastAsia="zh-CN"/>
              </w:rPr>
            </w:pPr>
            <w:r>
              <w:rPr>
                <w:rFonts w:hint="eastAsia" w:cs="Times New Roman"/>
                <w:snapToGrid w:val="0"/>
                <w:color w:val="auto"/>
                <w:kern w:val="0"/>
                <w:highlight w:val="none"/>
                <w:lang w:val="en-US" w:eastAsia="zh-CN"/>
              </w:rPr>
              <w:t>229.1</w:t>
            </w:r>
          </w:p>
        </w:tc>
        <w:tc>
          <w:tcPr>
            <w:tcW w:w="904" w:type="pct"/>
            <w:vAlign w:val="center"/>
          </w:tcPr>
          <w:p w14:paraId="4A9AB567">
            <w:pPr>
              <w:pStyle w:val="73"/>
              <w:rPr>
                <w:rFonts w:hint="default" w:eastAsia="宋体" w:cs="Times New Roman"/>
                <w:snapToGrid w:val="0"/>
                <w:color w:val="auto"/>
                <w:kern w:val="0"/>
                <w:highlight w:val="none"/>
                <w:lang w:val="en-US" w:eastAsia="zh-CN"/>
              </w:rPr>
            </w:pPr>
            <w:r>
              <w:rPr>
                <w:rFonts w:hint="eastAsia" w:cs="Times New Roman"/>
                <w:snapToGrid w:val="0"/>
                <w:color w:val="auto"/>
                <w:kern w:val="0"/>
                <w:highlight w:val="none"/>
                <w:lang w:val="en-US" w:eastAsia="zh-CN"/>
              </w:rPr>
              <w:t>1.92</w:t>
            </w:r>
          </w:p>
        </w:tc>
        <w:tc>
          <w:tcPr>
            <w:tcW w:w="1091" w:type="pct"/>
            <w:vAlign w:val="center"/>
          </w:tcPr>
          <w:p w14:paraId="512A5362">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4</w:t>
            </w:r>
          </w:p>
        </w:tc>
        <w:tc>
          <w:tcPr>
            <w:tcW w:w="1016" w:type="pct"/>
            <w:vAlign w:val="center"/>
          </w:tcPr>
          <w:p w14:paraId="177B5D2F">
            <w:pPr>
              <w:pStyle w:val="73"/>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235</w:t>
            </w:r>
          </w:p>
        </w:tc>
      </w:tr>
      <w:tr w14:paraId="602118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1119" w:type="pct"/>
            <w:vAlign w:val="center"/>
          </w:tcPr>
          <w:p w14:paraId="74986348">
            <w:pPr>
              <w:adjustRightInd/>
              <w:snapToGrid/>
              <w:spacing w:line="240" w:lineRule="auto"/>
              <w:ind w:firstLine="0" w:firstLineChars="0"/>
              <w:jc w:val="center"/>
              <w:rPr>
                <w:rFonts w:cs="Times New Roman"/>
                <w:snapToGrid w:val="0"/>
                <w:color w:val="auto"/>
                <w:kern w:val="0"/>
                <w:sz w:val="21"/>
                <w:highlight w:val="none"/>
                <w:lang w:val="zh-CN"/>
              </w:rPr>
            </w:pPr>
            <w:bookmarkStart w:id="119" w:name="_Hlk524520380"/>
            <w:r>
              <w:rPr>
                <w:rFonts w:cs="Times New Roman"/>
                <w:snapToGrid w:val="0"/>
                <w:color w:val="auto"/>
                <w:kern w:val="0"/>
                <w:sz w:val="21"/>
                <w:highlight w:val="none"/>
                <w:lang w:val="zh-CN"/>
              </w:rPr>
              <w:t>年废水量（t/a）</w:t>
            </w:r>
          </w:p>
        </w:tc>
        <w:tc>
          <w:tcPr>
            <w:tcW w:w="867" w:type="pct"/>
            <w:vAlign w:val="center"/>
          </w:tcPr>
          <w:p w14:paraId="3CE8015C">
            <w:pPr>
              <w:pStyle w:val="73"/>
              <w:rPr>
                <w:rFonts w:hint="default" w:eastAsia="等线" w:cs="Times New Roman"/>
                <w:snapToGrid w:val="0"/>
                <w:color w:val="auto"/>
                <w:kern w:val="0"/>
                <w:highlight w:val="none"/>
                <w:lang w:val="en-US" w:eastAsia="zh-CN"/>
              </w:rPr>
            </w:pPr>
            <w:r>
              <w:rPr>
                <w:rFonts w:hint="eastAsia" w:eastAsia="等线" w:cs="Times New Roman"/>
                <w:snapToGrid w:val="0"/>
                <w:color w:val="auto"/>
                <w:kern w:val="0"/>
                <w:highlight w:val="none"/>
                <w:lang w:val="en-US" w:eastAsia="zh-CN"/>
              </w:rPr>
              <w:t>71021</w:t>
            </w:r>
          </w:p>
        </w:tc>
        <w:tc>
          <w:tcPr>
            <w:tcW w:w="904" w:type="pct"/>
            <w:vAlign w:val="center"/>
          </w:tcPr>
          <w:p w14:paraId="2A86C924">
            <w:pPr>
              <w:pStyle w:val="73"/>
              <w:rPr>
                <w:rFonts w:hint="default" w:eastAsia="等线" w:cs="Times New Roman"/>
                <w:snapToGrid w:val="0"/>
                <w:color w:val="auto"/>
                <w:kern w:val="0"/>
                <w:highlight w:val="none"/>
                <w:lang w:val="en-US" w:eastAsia="zh-CN"/>
              </w:rPr>
            </w:pPr>
            <w:r>
              <w:rPr>
                <w:rFonts w:hint="eastAsia" w:eastAsia="等线" w:cs="Times New Roman"/>
                <w:snapToGrid w:val="0"/>
                <w:color w:val="auto"/>
                <w:kern w:val="0"/>
                <w:highlight w:val="none"/>
                <w:lang w:val="en-US" w:eastAsia="zh-CN"/>
              </w:rPr>
              <w:t>595.2</w:t>
            </w:r>
          </w:p>
        </w:tc>
        <w:tc>
          <w:tcPr>
            <w:tcW w:w="1091" w:type="pct"/>
            <w:vAlign w:val="center"/>
          </w:tcPr>
          <w:p w14:paraId="193EB5B7">
            <w:pPr>
              <w:pStyle w:val="73"/>
              <w:rPr>
                <w:rFonts w:hint="default" w:eastAsia="等线" w:cs="Times New Roman"/>
                <w:snapToGrid w:val="0"/>
                <w:color w:val="auto"/>
                <w:highlight w:val="none"/>
                <w:lang w:val="en-US" w:eastAsia="zh-CN"/>
              </w:rPr>
            </w:pPr>
            <w:r>
              <w:rPr>
                <w:rFonts w:hint="eastAsia" w:eastAsia="等线" w:cs="Times New Roman"/>
                <w:snapToGrid w:val="0"/>
                <w:color w:val="auto"/>
                <w:highlight w:val="none"/>
                <w:lang w:val="en-US" w:eastAsia="zh-CN"/>
              </w:rPr>
              <w:t>1240</w:t>
            </w:r>
          </w:p>
        </w:tc>
        <w:tc>
          <w:tcPr>
            <w:tcW w:w="1016" w:type="pct"/>
            <w:shd w:val="clear" w:color="auto" w:fill="auto"/>
            <w:vAlign w:val="center"/>
          </w:tcPr>
          <w:p w14:paraId="7C5A03EC">
            <w:pPr>
              <w:pStyle w:val="73"/>
              <w:rPr>
                <w:rFonts w:hint="default" w:cs="Times New Roman"/>
                <w:snapToGrid w:val="0"/>
                <w:color w:val="auto"/>
                <w:highlight w:val="none"/>
                <w:lang w:val="en-US" w:eastAsia="zh-CN"/>
              </w:rPr>
            </w:pPr>
            <w:r>
              <w:rPr>
                <w:rFonts w:hint="eastAsia" w:cs="Times New Roman"/>
                <w:snapToGrid w:val="0"/>
                <w:color w:val="auto"/>
                <w:highlight w:val="none"/>
                <w:lang w:val="en-US" w:eastAsia="zh-CN"/>
              </w:rPr>
              <w:t>72856.2</w:t>
            </w:r>
          </w:p>
        </w:tc>
      </w:tr>
      <w:bookmarkEnd w:id="115"/>
      <w:bookmarkEnd w:id="118"/>
      <w:bookmarkEnd w:id="119"/>
    </w:tbl>
    <w:p w14:paraId="3AC213CF">
      <w:pPr>
        <w:keepNext w:val="0"/>
        <w:keepLines w:val="0"/>
        <w:pageBreakBefore w:val="0"/>
        <w:widowControl w:val="0"/>
        <w:kinsoku/>
        <w:wordWrap/>
        <w:overflowPunct/>
        <w:topLinePunct w:val="0"/>
        <w:autoSpaceDE/>
        <w:autoSpaceDN/>
        <w:bidi w:val="0"/>
        <w:spacing w:line="240" w:lineRule="auto"/>
        <w:ind w:left="0" w:firstLine="0" w:firstLineChars="0"/>
        <w:jc w:val="both"/>
        <w:textAlignment w:val="auto"/>
        <w:rPr>
          <w:rFonts w:cs="Times New Roman"/>
          <w:b/>
          <w:bCs/>
          <w:snapToGrid w:val="0"/>
          <w:color w:val="auto"/>
          <w:kern w:val="0"/>
          <w:sz w:val="21"/>
          <w:szCs w:val="21"/>
          <w:highlight w:val="none"/>
          <w:lang w:val="zh-CN"/>
        </w:rPr>
      </w:pPr>
      <w:bookmarkStart w:id="120" w:name="_Toc182022288"/>
      <w:bookmarkStart w:id="121" w:name="_Toc113078929"/>
      <w:bookmarkStart w:id="122" w:name="_Toc118087007"/>
      <w:bookmarkStart w:id="123" w:name="_Toc112420358"/>
    </w:p>
    <w:p w14:paraId="201AACF7">
      <w:pPr>
        <w:keepNext w:val="0"/>
        <w:keepLines w:val="0"/>
        <w:pageBreakBefore w:val="0"/>
        <w:widowControl w:val="0"/>
        <w:kinsoku/>
        <w:wordWrap/>
        <w:overflowPunct/>
        <w:topLinePunct w:val="0"/>
        <w:autoSpaceDE/>
        <w:autoSpaceDN/>
        <w:bidi w:val="0"/>
        <w:spacing w:line="240" w:lineRule="auto"/>
        <w:ind w:left="0" w:firstLine="0" w:firstLineChars="0"/>
        <w:jc w:val="center"/>
        <w:textAlignment w:val="auto"/>
        <w:rPr>
          <w:rFonts w:cs="Times New Roman"/>
          <w:b/>
          <w:bCs/>
          <w:snapToGrid w:val="0"/>
          <w:color w:val="auto"/>
          <w:kern w:val="0"/>
          <w:sz w:val="21"/>
          <w:szCs w:val="21"/>
          <w:highlight w:val="none"/>
          <w:lang w:val="zh-CN"/>
        </w:rPr>
      </w:pPr>
      <w:r>
        <w:rPr>
          <w:color w:val="auto"/>
          <w:highlight w:val="none"/>
        </w:rPr>
        <w:drawing>
          <wp:inline distT="0" distB="0" distL="114300" distR="114300">
            <wp:extent cx="5272405" cy="3339465"/>
            <wp:effectExtent l="0" t="0" r="4445" b="13335"/>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
                    <pic:cNvPicPr>
                      <a:picLocks noChangeAspect="1"/>
                    </pic:cNvPicPr>
                  </pic:nvPicPr>
                  <pic:blipFill>
                    <a:blip r:embed="rId30"/>
                    <a:stretch>
                      <a:fillRect/>
                    </a:stretch>
                  </pic:blipFill>
                  <pic:spPr>
                    <a:xfrm>
                      <a:off x="0" y="0"/>
                      <a:ext cx="5272405" cy="3339465"/>
                    </a:xfrm>
                    <a:prstGeom prst="rect">
                      <a:avLst/>
                    </a:prstGeom>
                    <a:noFill/>
                    <a:ln>
                      <a:noFill/>
                    </a:ln>
                  </pic:spPr>
                </pic:pic>
              </a:graphicData>
            </a:graphic>
          </wp:inline>
        </w:drawing>
      </w:r>
    </w:p>
    <w:p w14:paraId="37EF9A70">
      <w:pPr>
        <w:keepNext w:val="0"/>
        <w:keepLines w:val="0"/>
        <w:pageBreakBefore w:val="0"/>
        <w:widowControl w:val="0"/>
        <w:kinsoku/>
        <w:wordWrap/>
        <w:overflowPunct/>
        <w:topLinePunct w:val="0"/>
        <w:autoSpaceDE/>
        <w:autoSpaceDN/>
        <w:bidi w:val="0"/>
        <w:spacing w:line="240" w:lineRule="auto"/>
        <w:ind w:left="0" w:firstLine="0" w:firstLineChars="0"/>
        <w:jc w:val="both"/>
        <w:textAlignment w:val="auto"/>
        <w:rPr>
          <w:rFonts w:cs="Times New Roman"/>
          <w:b/>
          <w:bCs/>
          <w:snapToGrid w:val="0"/>
          <w:color w:val="auto"/>
          <w:kern w:val="0"/>
          <w:sz w:val="21"/>
          <w:szCs w:val="21"/>
          <w:highlight w:val="none"/>
          <w:lang w:val="zh-CN"/>
        </w:rPr>
      </w:pPr>
    </w:p>
    <w:p w14:paraId="1095147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cs="Times New Roman"/>
          <w:snapToGrid w:val="0"/>
          <w:color w:val="auto"/>
          <w:kern w:val="0"/>
          <w:highlight w:val="none"/>
        </w:rPr>
      </w:pPr>
      <w:r>
        <w:rPr>
          <w:rFonts w:cs="Times New Roman"/>
          <w:b/>
          <w:bCs/>
          <w:snapToGrid w:val="0"/>
          <w:color w:val="auto"/>
          <w:kern w:val="0"/>
          <w:sz w:val="21"/>
          <w:szCs w:val="21"/>
          <w:highlight w:val="none"/>
          <w:lang w:val="zh-CN"/>
        </w:rPr>
        <w:t>图</w:t>
      </w:r>
      <w:r>
        <w:rPr>
          <w:rFonts w:hint="eastAsia" w:cs="Times New Roman"/>
          <w:b/>
          <w:bCs/>
          <w:snapToGrid w:val="0"/>
          <w:color w:val="auto"/>
          <w:kern w:val="0"/>
          <w:sz w:val="21"/>
          <w:szCs w:val="21"/>
          <w:highlight w:val="none"/>
          <w:lang w:val="en-US" w:eastAsia="zh-CN"/>
        </w:rPr>
        <w:t>3.</w:t>
      </w:r>
      <w:r>
        <w:rPr>
          <w:rFonts w:cs="Times New Roman"/>
          <w:b/>
          <w:bCs/>
          <w:snapToGrid w:val="0"/>
          <w:color w:val="auto"/>
          <w:kern w:val="0"/>
          <w:sz w:val="21"/>
          <w:szCs w:val="21"/>
          <w:highlight w:val="none"/>
          <w:lang w:val="zh-CN"/>
        </w:rPr>
        <w:t>2-1</w:t>
      </w:r>
      <w:r>
        <w:rPr>
          <w:rFonts w:cs="Times New Roman"/>
          <w:b/>
          <w:bCs/>
          <w:snapToGrid w:val="0"/>
          <w:color w:val="auto"/>
          <w:kern w:val="0"/>
          <w:sz w:val="21"/>
          <w:szCs w:val="21"/>
          <w:highlight w:val="none"/>
        </w:rPr>
        <w:t xml:space="preserve">  </w:t>
      </w:r>
      <w:r>
        <w:rPr>
          <w:rFonts w:cs="Times New Roman"/>
          <w:b/>
          <w:bCs/>
          <w:snapToGrid w:val="0"/>
          <w:color w:val="auto"/>
          <w:kern w:val="0"/>
          <w:sz w:val="21"/>
          <w:szCs w:val="21"/>
          <w:highlight w:val="none"/>
          <w:lang w:val="zh-CN"/>
        </w:rPr>
        <w:t>水平衡图（单位：t/d）</w:t>
      </w:r>
    </w:p>
    <w:p w14:paraId="76EEF47D">
      <w:pPr>
        <w:keepNext w:val="0"/>
        <w:keepLines w:val="0"/>
        <w:pageBreakBefore w:val="0"/>
        <w:widowControl w:val="0"/>
        <w:kinsoku/>
        <w:wordWrap/>
        <w:overflowPunct/>
        <w:topLinePunct w:val="0"/>
        <w:autoSpaceDE/>
        <w:autoSpaceDN/>
        <w:bidi w:val="0"/>
        <w:spacing w:line="240" w:lineRule="auto"/>
        <w:ind w:left="0" w:firstLine="0" w:firstLineChars="0"/>
        <w:textAlignment w:val="auto"/>
        <w:rPr>
          <w:rFonts w:cs="Times New Roman"/>
          <w:b/>
          <w:bCs/>
          <w:snapToGrid w:val="0"/>
          <w:color w:val="auto"/>
          <w:kern w:val="0"/>
          <w:sz w:val="21"/>
          <w:szCs w:val="21"/>
          <w:highlight w:val="none"/>
          <w:lang w:val="zh-CN"/>
        </w:rPr>
      </w:pPr>
    </w:p>
    <w:p w14:paraId="1A14C009">
      <w:pPr>
        <w:pStyle w:val="4"/>
        <w:spacing w:after="156"/>
        <w:rPr>
          <w:rFonts w:cs="Times New Roman"/>
          <w:color w:val="auto"/>
          <w:highlight w:val="none"/>
        </w:rPr>
      </w:pPr>
      <w:bookmarkStart w:id="124" w:name="_Toc15395"/>
      <w:r>
        <w:rPr>
          <w:rFonts w:cs="Times New Roman"/>
          <w:color w:val="auto"/>
          <w:highlight w:val="none"/>
        </w:rPr>
        <w:t>3.2.3供电工程</w:t>
      </w:r>
      <w:bookmarkEnd w:id="120"/>
      <w:bookmarkEnd w:id="121"/>
      <w:bookmarkEnd w:id="122"/>
      <w:bookmarkEnd w:id="123"/>
      <w:bookmarkEnd w:id="124"/>
    </w:p>
    <w:p w14:paraId="33B63DAA">
      <w:pPr>
        <w:rPr>
          <w:rFonts w:cs="Times New Roman"/>
          <w:snapToGrid w:val="0"/>
          <w:color w:val="auto"/>
          <w:kern w:val="0"/>
          <w:highlight w:val="none"/>
        </w:rPr>
      </w:pPr>
      <w:r>
        <w:rPr>
          <w:rFonts w:cs="Times New Roman"/>
          <w:snapToGrid w:val="0"/>
          <w:color w:val="auto"/>
          <w:kern w:val="0"/>
          <w:highlight w:val="none"/>
        </w:rPr>
        <w:t>本项目运营期供电由市政供电电网提供。</w:t>
      </w:r>
    </w:p>
    <w:p w14:paraId="2591AC38">
      <w:pPr>
        <w:pStyle w:val="4"/>
        <w:spacing w:after="156"/>
        <w:rPr>
          <w:rFonts w:cs="Times New Roman"/>
          <w:color w:val="auto"/>
          <w:highlight w:val="none"/>
        </w:rPr>
      </w:pPr>
      <w:bookmarkStart w:id="125" w:name="_Toc14224"/>
      <w:r>
        <w:rPr>
          <w:rFonts w:cs="Times New Roman"/>
          <w:color w:val="auto"/>
          <w:highlight w:val="none"/>
        </w:rPr>
        <w:t>3.2.4供热工程</w:t>
      </w:r>
      <w:bookmarkEnd w:id="125"/>
    </w:p>
    <w:p w14:paraId="0DD35936">
      <w:pPr>
        <w:pStyle w:val="447"/>
        <w:adjustRightInd w:val="0"/>
        <w:snapToGrid w:val="0"/>
        <w:ind w:firstLine="480"/>
        <w:rPr>
          <w:rFonts w:hint="default" w:ascii="Times New Roman" w:hAnsi="Times New Roman" w:eastAsia="宋体" w:cs="Times New Roman"/>
          <w:color w:val="auto"/>
          <w:highlight w:val="none"/>
          <w:lang w:val="en-US" w:eastAsia="zh-CN"/>
        </w:rPr>
      </w:pPr>
      <w:r>
        <w:rPr>
          <w:rFonts w:ascii="Times New Roman" w:hAnsi="Times New Roman" w:cs="Times New Roman"/>
          <w:color w:val="auto"/>
          <w:highlight w:val="none"/>
        </w:rPr>
        <w:t>本项目</w:t>
      </w:r>
      <w:r>
        <w:rPr>
          <w:rFonts w:hint="eastAsia" w:ascii="Times New Roman" w:hAnsi="Times New Roman" w:cs="Times New Roman"/>
          <w:color w:val="auto"/>
          <w:highlight w:val="none"/>
          <w:lang w:val="en-US" w:eastAsia="zh-CN"/>
        </w:rPr>
        <w:t>生产无需用热，</w:t>
      </w:r>
      <w:r>
        <w:rPr>
          <w:rFonts w:hint="eastAsia" w:cs="Times New Roman"/>
          <w:color w:val="auto"/>
          <w:szCs w:val="24"/>
          <w:highlight w:val="none"/>
          <w:lang w:val="en-US" w:eastAsia="zh-CN"/>
        </w:rPr>
        <w:t>职工淋浴洗漱期间使用热水来</w:t>
      </w:r>
      <w:r>
        <w:rPr>
          <w:rFonts w:hint="default" w:ascii="Times New Roman" w:hAnsi="Times New Roman" w:cs="Times New Roman"/>
          <w:color w:val="auto"/>
          <w:szCs w:val="24"/>
          <w:highlight w:val="none"/>
          <w:lang w:val="en-US" w:eastAsia="zh-CN"/>
        </w:rPr>
        <w:t>自30kw电锅炉，无废气污染物产生。</w:t>
      </w:r>
      <w:r>
        <w:rPr>
          <w:rFonts w:hint="default" w:ascii="Times New Roman" w:hAnsi="Times New Roman" w:cs="Times New Roman"/>
          <w:color w:val="auto"/>
          <w:highlight w:val="none"/>
          <w:lang w:val="en-US" w:eastAsia="zh-CN"/>
        </w:rPr>
        <w:t>冬季取暖依托市政热网。</w:t>
      </w:r>
    </w:p>
    <w:p w14:paraId="772B23E3">
      <w:pPr>
        <w:pStyle w:val="4"/>
        <w:spacing w:after="156"/>
        <w:rPr>
          <w:rFonts w:cs="Times New Roman"/>
          <w:color w:val="auto"/>
          <w:highlight w:val="none"/>
        </w:rPr>
      </w:pPr>
      <w:bookmarkStart w:id="126" w:name="_Toc19842"/>
      <w:r>
        <w:rPr>
          <w:rFonts w:cs="Times New Roman"/>
          <w:color w:val="auto"/>
          <w:highlight w:val="none"/>
        </w:rPr>
        <w:t>3.2.5制冷工程</w:t>
      </w:r>
      <w:bookmarkEnd w:id="126"/>
    </w:p>
    <w:p w14:paraId="242D6AB8">
      <w:pPr>
        <w:pStyle w:val="447"/>
        <w:adjustRightInd w:val="0"/>
        <w:snapToGrid w:val="0"/>
        <w:ind w:firstLine="48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采用风冷的方式控制冷却排酸间、冷藏库及速冻库的温度，风冷机的制冷剂为R410A。排酸库温度控制在0℃~4℃，冷藏库温度控制在-18℃左右，速冻库温度控制在-35℃左右。</w:t>
      </w:r>
    </w:p>
    <w:p w14:paraId="795729AA">
      <w:pPr>
        <w:pStyle w:val="4"/>
        <w:spacing w:after="156"/>
        <w:rPr>
          <w:rFonts w:hint="default" w:cs="Times New Roman"/>
          <w:color w:val="auto"/>
          <w:highlight w:val="none"/>
          <w:lang w:val="en-US"/>
        </w:rPr>
      </w:pPr>
      <w:bookmarkStart w:id="127" w:name="_Toc14577"/>
      <w:r>
        <w:rPr>
          <w:rFonts w:cs="Times New Roman"/>
          <w:color w:val="auto"/>
          <w:highlight w:val="none"/>
        </w:rPr>
        <w:t>3.2.</w:t>
      </w:r>
      <w:r>
        <w:rPr>
          <w:rFonts w:hint="eastAsia" w:cs="Times New Roman"/>
          <w:color w:val="auto"/>
          <w:highlight w:val="none"/>
          <w:lang w:val="en-US" w:eastAsia="zh-CN"/>
        </w:rPr>
        <w:t>6车辆及人员消毒方式</w:t>
      </w:r>
      <w:bookmarkEnd w:id="127"/>
    </w:p>
    <w:p w14:paraId="1882FBF7">
      <w:pPr>
        <w:pStyle w:val="117"/>
        <w:adjustRightInd w:val="0"/>
        <w:snapToGrid w:val="0"/>
        <w:spacing w:line="360" w:lineRule="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牛羊运输车辆是病原输入的主要风险点，其消毒流程应尤为严格。车辆采用三级消毒体系分别位于场外前置消毒点、厂区入口消毒通道、卸畜台/待宰圈入口对车辆周身进行360°无死角喷雾消毒。人员是活动的潜在传播源，需在关键节点进行消毒。分别在连接生活区（脏区）与生产区（净区），应强制更换专用工作服、水鞋、帽子。深度足以浸没鞋底，内放塑料踏垫，防止消毒液沉淀。对于进入核心区域（如分割间）的人员，可设置短时人体雾化消毒，但需确保安全无害。</w:t>
      </w:r>
    </w:p>
    <w:p w14:paraId="15676602">
      <w:pPr>
        <w:keepNext/>
        <w:keepLines/>
        <w:ind w:firstLine="0" w:firstLineChars="0"/>
        <w:jc w:val="left"/>
        <w:outlineLvl w:val="1"/>
        <w:rPr>
          <w:rFonts w:eastAsia="黑体" w:cs="Times New Roman"/>
          <w:bCs/>
          <w:snapToGrid w:val="0"/>
          <w:color w:val="auto"/>
          <w:kern w:val="0"/>
          <w:sz w:val="28"/>
          <w:szCs w:val="32"/>
          <w:highlight w:val="none"/>
        </w:rPr>
      </w:pPr>
      <w:bookmarkStart w:id="128" w:name="_Toc23809"/>
      <w:r>
        <w:rPr>
          <w:rFonts w:eastAsia="黑体" w:cs="Times New Roman"/>
          <w:bCs/>
          <w:snapToGrid w:val="0"/>
          <w:color w:val="auto"/>
          <w:kern w:val="0"/>
          <w:sz w:val="28"/>
          <w:szCs w:val="32"/>
          <w:highlight w:val="none"/>
        </w:rPr>
        <w:t>3.3项目生产工艺及产污环节</w:t>
      </w:r>
      <w:bookmarkEnd w:id="128"/>
    </w:p>
    <w:p w14:paraId="5831EA20">
      <w:pPr>
        <w:pStyle w:val="4"/>
        <w:spacing w:after="156"/>
        <w:rPr>
          <w:rFonts w:cs="Times New Roman"/>
          <w:b/>
          <w:color w:val="auto"/>
          <w:spacing w:val="16"/>
          <w:szCs w:val="24"/>
          <w:highlight w:val="none"/>
        </w:rPr>
      </w:pPr>
      <w:bookmarkStart w:id="129" w:name="_Toc13093"/>
      <w:r>
        <w:rPr>
          <w:rFonts w:cs="Times New Roman"/>
          <w:color w:val="auto"/>
          <w:highlight w:val="none"/>
        </w:rPr>
        <w:t>3.3.1牛、羊屠宰加工工艺流程</w:t>
      </w:r>
      <w:bookmarkEnd w:id="129"/>
      <w:bookmarkStart w:id="130" w:name="_Toc480447664"/>
      <w:bookmarkStart w:id="131" w:name="_Toc277178428"/>
      <w:bookmarkStart w:id="132" w:name="_Toc255202294"/>
    </w:p>
    <w:p w14:paraId="0BF1DE85">
      <w:pPr>
        <w:pStyle w:val="117"/>
        <w:adjustRightInd w:val="0"/>
        <w:snapToGrid w:val="0"/>
        <w:spacing w:line="240" w:lineRule="auto"/>
        <w:ind w:firstLine="0" w:firstLineChars="0"/>
        <w:jc w:val="center"/>
        <w:rPr>
          <w:rFonts w:cs="Times New Roman"/>
          <w:snapToGrid w:val="0"/>
          <w:color w:val="auto"/>
          <w:highlight w:val="none"/>
        </w:rPr>
      </w:pPr>
      <w:r>
        <w:rPr>
          <w:color w:val="auto"/>
          <w:highlight w:val="none"/>
        </w:rPr>
        <w:drawing>
          <wp:inline distT="0" distB="0" distL="114300" distR="114300">
            <wp:extent cx="5229225" cy="6838950"/>
            <wp:effectExtent l="0" t="0" r="9525" b="0"/>
            <wp:docPr id="1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
                    <pic:cNvPicPr>
                      <a:picLocks noChangeAspect="1"/>
                    </pic:cNvPicPr>
                  </pic:nvPicPr>
                  <pic:blipFill>
                    <a:blip r:embed="rId31"/>
                    <a:stretch>
                      <a:fillRect/>
                    </a:stretch>
                  </pic:blipFill>
                  <pic:spPr>
                    <a:xfrm>
                      <a:off x="0" y="0"/>
                      <a:ext cx="5229225" cy="6838950"/>
                    </a:xfrm>
                    <a:prstGeom prst="rect">
                      <a:avLst/>
                    </a:prstGeom>
                    <a:noFill/>
                    <a:ln>
                      <a:noFill/>
                    </a:ln>
                  </pic:spPr>
                </pic:pic>
              </a:graphicData>
            </a:graphic>
          </wp:inline>
        </w:drawing>
      </w:r>
    </w:p>
    <w:p w14:paraId="6EB72AA3">
      <w:pPr>
        <w:pStyle w:val="66"/>
        <w:spacing w:line="240" w:lineRule="auto"/>
        <w:rPr>
          <w:rFonts w:cs="Times New Roman"/>
          <w:b/>
          <w:bCs/>
          <w:color w:val="auto"/>
          <w:spacing w:val="16"/>
          <w:szCs w:val="24"/>
          <w:highlight w:val="none"/>
        </w:rPr>
      </w:pPr>
      <w:r>
        <w:rPr>
          <w:rFonts w:eastAsia="宋体" w:cs="Times New Roman"/>
          <w:b/>
          <w:bCs/>
          <w:snapToGrid w:val="0"/>
          <w:color w:val="auto"/>
          <w:sz w:val="21"/>
          <w:szCs w:val="21"/>
          <w:highlight w:val="none"/>
        </w:rPr>
        <w:t>图3</w:t>
      </w:r>
      <w:r>
        <w:rPr>
          <w:rFonts w:hint="eastAsia" w:eastAsia="宋体" w:cs="Times New Roman"/>
          <w:b/>
          <w:bCs/>
          <w:snapToGrid w:val="0"/>
          <w:color w:val="auto"/>
          <w:sz w:val="21"/>
          <w:szCs w:val="21"/>
          <w:highlight w:val="none"/>
          <w:lang w:val="en-US" w:eastAsia="zh-CN"/>
        </w:rPr>
        <w:t>.</w:t>
      </w:r>
      <w:r>
        <w:rPr>
          <w:rFonts w:eastAsia="宋体" w:cs="Times New Roman"/>
          <w:b/>
          <w:bCs/>
          <w:snapToGrid w:val="0"/>
          <w:color w:val="auto"/>
          <w:sz w:val="21"/>
          <w:szCs w:val="21"/>
          <w:highlight w:val="none"/>
        </w:rPr>
        <w:t>3-1</w:t>
      </w:r>
      <w:r>
        <w:rPr>
          <w:rFonts w:eastAsia="宋体" w:cs="Times New Roman"/>
          <w:b/>
          <w:bCs/>
          <w:snapToGrid w:val="0"/>
          <w:color w:val="auto"/>
          <w:sz w:val="21"/>
          <w:szCs w:val="21"/>
          <w:highlight w:val="none"/>
          <w:lang w:val="en-US"/>
        </w:rPr>
        <w:t xml:space="preserve">  牛、羊屠宰工艺流程及排污节点图</w:t>
      </w:r>
    </w:p>
    <w:p w14:paraId="05F97E3C">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1、待宰牛圈管理</w:t>
      </w:r>
    </w:p>
    <w:p w14:paraId="49A97592">
      <w:pPr>
        <w:spacing w:line="480" w:lineRule="exact"/>
        <w:ind w:firstLine="544"/>
        <w:rPr>
          <w:rFonts w:hint="default" w:eastAsia="宋体" w:cs="Times New Roman"/>
          <w:color w:val="auto"/>
          <w:spacing w:val="16"/>
          <w:szCs w:val="24"/>
          <w:highlight w:val="none"/>
          <w:lang w:val="en-US" w:eastAsia="zh-CN"/>
        </w:rPr>
      </w:pPr>
      <w:r>
        <w:rPr>
          <w:rFonts w:cs="Times New Roman"/>
          <w:color w:val="auto"/>
          <w:spacing w:val="16"/>
          <w:szCs w:val="24"/>
          <w:highlight w:val="none"/>
        </w:rPr>
        <w:t>宰前处理：育肥牛羊在屠宰前一天被运到屠宰厂，存放在待宰圈内，必须保证牛羊有充分的休息时间，使活牛、羊保持安静的状态，防止代谢机能旺盛，同时宰前需要至少断食</w:t>
      </w:r>
      <w:r>
        <w:rPr>
          <w:rFonts w:hint="eastAsia" w:cs="Times New Roman"/>
          <w:color w:val="auto"/>
          <w:spacing w:val="16"/>
          <w:szCs w:val="24"/>
          <w:highlight w:val="none"/>
          <w:lang w:val="en-US" w:eastAsia="zh-CN"/>
        </w:rPr>
        <w:t>断水</w:t>
      </w:r>
      <w:r>
        <w:rPr>
          <w:rFonts w:cs="Times New Roman"/>
          <w:color w:val="auto"/>
          <w:spacing w:val="16"/>
          <w:szCs w:val="24"/>
          <w:highlight w:val="none"/>
        </w:rPr>
        <w:t>12小时，以利于宰后达到尸僵并降低pH值，从而抑制微生物的繁殖，防止胴体被污染。该阶段主要污染物为粪便和臭气。</w:t>
      </w:r>
      <w:r>
        <w:rPr>
          <w:rFonts w:hint="eastAsia" w:cs="Times New Roman"/>
          <w:color w:val="auto"/>
          <w:spacing w:val="16"/>
          <w:szCs w:val="24"/>
          <w:highlight w:val="none"/>
          <w:lang w:val="en-US" w:eastAsia="zh-CN"/>
        </w:rPr>
        <w:t>此环节产生污染物主要为牛羊嚎叫噪声、恶臭。</w:t>
      </w:r>
    </w:p>
    <w:p w14:paraId="60E01DD5">
      <w:pPr>
        <w:spacing w:line="480" w:lineRule="exact"/>
        <w:ind w:firstLine="544"/>
        <w:rPr>
          <w:rFonts w:hint="default" w:eastAsia="宋体" w:cs="Times New Roman"/>
          <w:color w:val="auto"/>
          <w:spacing w:val="16"/>
          <w:szCs w:val="24"/>
          <w:highlight w:val="none"/>
          <w:lang w:val="en-US" w:eastAsia="zh-CN"/>
        </w:rPr>
      </w:pPr>
      <w:r>
        <w:rPr>
          <w:rFonts w:cs="Times New Roman"/>
          <w:color w:val="auto"/>
          <w:spacing w:val="16"/>
          <w:szCs w:val="24"/>
          <w:highlight w:val="none"/>
        </w:rPr>
        <w:t>宰前检查：宰前检查的目的是通过检疫、检测，以控制各种疾病的传入和扩散，减少污染，维护产品质量。它包括以下三个环节：进厂检疫、候宰检疫、宰前检疫。</w:t>
      </w:r>
      <w:r>
        <w:rPr>
          <w:rFonts w:hint="eastAsia" w:cs="Times New Roman"/>
          <w:color w:val="auto"/>
          <w:spacing w:val="16"/>
          <w:szCs w:val="24"/>
          <w:highlight w:val="none"/>
          <w:lang w:val="en-US" w:eastAsia="zh-CN"/>
        </w:rPr>
        <w:t>由驻场兽医对急宰胴体和内脏进行</w:t>
      </w:r>
      <w:r>
        <w:rPr>
          <w:rFonts w:hint="default" w:cs="Times New Roman"/>
          <w:color w:val="auto"/>
          <w:spacing w:val="16"/>
          <w:szCs w:val="24"/>
          <w:highlight w:val="none"/>
          <w:lang w:val="en-US" w:eastAsia="zh-CN"/>
        </w:rPr>
        <w:t>全面、细致的检查，重点关注伤病部位及其周围组织有无病变、感染和扩散。</w:t>
      </w:r>
      <w:r>
        <w:rPr>
          <w:rFonts w:hint="eastAsia" w:cs="Times New Roman"/>
          <w:color w:val="auto"/>
          <w:spacing w:val="16"/>
          <w:szCs w:val="24"/>
          <w:highlight w:val="none"/>
          <w:lang w:val="en-US" w:eastAsia="zh-CN"/>
        </w:rPr>
        <w:t>并根据检疫结果做出判断。</w:t>
      </w:r>
      <w:r>
        <w:rPr>
          <w:rFonts w:cs="Times New Roman"/>
          <w:color w:val="auto"/>
          <w:spacing w:val="16"/>
          <w:szCs w:val="24"/>
          <w:highlight w:val="none"/>
        </w:rPr>
        <w:t>患一般传染病和普通疾病的生牲畜送急宰间迅速宰杀；疑似病牲畜送隔离间观察：确认患有国家规定病害的活牲畜、病死牲畜和死因不明的牲畜</w:t>
      </w:r>
      <w:r>
        <w:rPr>
          <w:rFonts w:hint="eastAsia" w:cs="Times New Roman"/>
          <w:color w:val="auto"/>
          <w:spacing w:val="16"/>
          <w:szCs w:val="24"/>
          <w:highlight w:val="none"/>
          <w:lang w:val="en-US" w:eastAsia="zh-CN"/>
        </w:rPr>
        <w:t>由双鸭山百奥迈斯生物科技有限公司</w:t>
      </w:r>
      <w:r>
        <w:rPr>
          <w:rFonts w:cs="Times New Roman"/>
          <w:color w:val="auto"/>
          <w:spacing w:val="16"/>
          <w:szCs w:val="24"/>
          <w:highlight w:val="none"/>
        </w:rPr>
        <w:t>进行无害化处理。急宰间生牲畜宰杀后按规定可食用的送屠宰车间处理，不可食用的</w:t>
      </w:r>
      <w:r>
        <w:rPr>
          <w:rFonts w:hint="eastAsia" w:cs="Times New Roman"/>
          <w:color w:val="auto"/>
          <w:spacing w:val="16"/>
          <w:szCs w:val="24"/>
          <w:highlight w:val="none"/>
          <w:lang w:val="en-US" w:eastAsia="zh-CN"/>
        </w:rPr>
        <w:t>由双鸭山百奥迈斯生物科技有限公司</w:t>
      </w:r>
      <w:r>
        <w:rPr>
          <w:rFonts w:cs="Times New Roman"/>
          <w:color w:val="auto"/>
          <w:spacing w:val="16"/>
          <w:szCs w:val="24"/>
          <w:highlight w:val="none"/>
        </w:rPr>
        <w:t>进行无害化处理</w:t>
      </w:r>
      <w:r>
        <w:rPr>
          <w:rFonts w:cs="Times New Roman"/>
          <w:color w:val="auto"/>
          <w:spacing w:val="16"/>
          <w:szCs w:val="24"/>
          <w:highlight w:val="none"/>
        </w:rPr>
        <w:t>。</w:t>
      </w:r>
      <w:r>
        <w:rPr>
          <w:rFonts w:hint="eastAsia" w:cs="Times New Roman"/>
          <w:color w:val="auto"/>
          <w:spacing w:val="16"/>
          <w:szCs w:val="24"/>
          <w:highlight w:val="none"/>
          <w:lang w:val="en-US" w:eastAsia="zh-CN"/>
        </w:rPr>
        <w:t>此环节主要产生的污染物为固体废物。</w:t>
      </w:r>
    </w:p>
    <w:p w14:paraId="2536D9DB">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2、冲淋</w:t>
      </w:r>
    </w:p>
    <w:p w14:paraId="5557E10B">
      <w:pPr>
        <w:spacing w:line="480" w:lineRule="exact"/>
        <w:ind w:firstLine="544"/>
        <w:rPr>
          <w:rFonts w:hint="default" w:eastAsia="宋体" w:cs="Times New Roman"/>
          <w:color w:val="auto"/>
          <w:spacing w:val="16"/>
          <w:szCs w:val="24"/>
          <w:highlight w:val="none"/>
          <w:lang w:val="en-US" w:eastAsia="zh-CN"/>
        </w:rPr>
      </w:pPr>
      <w:r>
        <w:rPr>
          <w:rFonts w:cs="Times New Roman"/>
          <w:color w:val="auto"/>
          <w:spacing w:val="16"/>
          <w:szCs w:val="24"/>
          <w:highlight w:val="none"/>
        </w:rPr>
        <w:t>待宰牛</w:t>
      </w:r>
      <w:r>
        <w:rPr>
          <w:rFonts w:hint="eastAsia" w:cs="Times New Roman"/>
          <w:color w:val="auto"/>
          <w:spacing w:val="16"/>
          <w:szCs w:val="24"/>
          <w:highlight w:val="none"/>
          <w:lang w:eastAsia="zh-CN"/>
        </w:rPr>
        <w:t>、</w:t>
      </w:r>
      <w:r>
        <w:rPr>
          <w:rFonts w:hint="eastAsia" w:cs="Times New Roman"/>
          <w:color w:val="auto"/>
          <w:spacing w:val="16"/>
          <w:szCs w:val="24"/>
          <w:highlight w:val="none"/>
          <w:lang w:val="en-US" w:eastAsia="zh-CN"/>
        </w:rPr>
        <w:t>羊</w:t>
      </w:r>
      <w:r>
        <w:rPr>
          <w:rFonts w:cs="Times New Roman"/>
          <w:color w:val="auto"/>
          <w:spacing w:val="16"/>
          <w:szCs w:val="24"/>
          <w:highlight w:val="none"/>
        </w:rPr>
        <w:t>进入屠宰车间后，首先进行称重、喷淋冲洗，宰前对畜体进行冲洗，可去掉体表污染物和细菌，以防在以后的解体分割过程中被污染且冲洗后的畜体易于导电，有利于麻电击晕。</w:t>
      </w:r>
      <w:r>
        <w:rPr>
          <w:rFonts w:hint="eastAsia" w:cs="Times New Roman"/>
          <w:color w:val="auto"/>
          <w:spacing w:val="16"/>
          <w:szCs w:val="24"/>
          <w:highlight w:val="none"/>
          <w:lang w:val="en-US" w:eastAsia="zh-CN"/>
        </w:rPr>
        <w:t>此环节主要产生的污染物为废水。</w:t>
      </w:r>
    </w:p>
    <w:p w14:paraId="4C533E43">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3、刺杀放血</w:t>
      </w:r>
    </w:p>
    <w:p w14:paraId="003D8A9B">
      <w:pPr>
        <w:spacing w:line="480" w:lineRule="exact"/>
        <w:ind w:firstLine="544"/>
        <w:rPr>
          <w:rFonts w:hint="default" w:eastAsia="宋体" w:cs="Times New Roman"/>
          <w:color w:val="auto"/>
          <w:spacing w:val="16"/>
          <w:szCs w:val="24"/>
          <w:highlight w:val="none"/>
          <w:lang w:val="en-US" w:eastAsia="zh-CN"/>
        </w:rPr>
      </w:pPr>
      <w:r>
        <w:rPr>
          <w:rFonts w:cs="Times New Roman"/>
          <w:color w:val="auto"/>
          <w:spacing w:val="16"/>
          <w:szCs w:val="24"/>
          <w:highlight w:val="none"/>
        </w:rPr>
        <w:t>经过冲淋后的活体牛</w:t>
      </w:r>
      <w:r>
        <w:rPr>
          <w:rFonts w:hint="eastAsia" w:cs="Times New Roman"/>
          <w:color w:val="auto"/>
          <w:spacing w:val="16"/>
          <w:szCs w:val="24"/>
          <w:highlight w:val="none"/>
          <w:lang w:eastAsia="zh-CN"/>
        </w:rPr>
        <w:t>、</w:t>
      </w:r>
      <w:r>
        <w:rPr>
          <w:rFonts w:hint="eastAsia" w:cs="Times New Roman"/>
          <w:color w:val="auto"/>
          <w:spacing w:val="16"/>
          <w:szCs w:val="24"/>
          <w:highlight w:val="none"/>
          <w:lang w:val="en-US" w:eastAsia="zh-CN"/>
        </w:rPr>
        <w:t>羊</w:t>
      </w:r>
      <w:r>
        <w:rPr>
          <w:rFonts w:cs="Times New Roman"/>
          <w:color w:val="auto"/>
          <w:spacing w:val="16"/>
          <w:szCs w:val="24"/>
          <w:highlight w:val="none"/>
        </w:rPr>
        <w:t>由牵牛机牵入击晕箱内进行麻电，在箱内用麻电器将 (电压120V，电流1.0A)对牛进行5～10秒的麻电，使牛</w:t>
      </w:r>
      <w:r>
        <w:rPr>
          <w:rFonts w:hint="eastAsia" w:cs="Times New Roman"/>
          <w:color w:val="auto"/>
          <w:spacing w:val="16"/>
          <w:szCs w:val="24"/>
          <w:highlight w:val="none"/>
          <w:lang w:eastAsia="zh-CN"/>
        </w:rPr>
        <w:t>、</w:t>
      </w:r>
      <w:r>
        <w:rPr>
          <w:rFonts w:hint="eastAsia" w:cs="Times New Roman"/>
          <w:color w:val="auto"/>
          <w:spacing w:val="16"/>
          <w:szCs w:val="24"/>
          <w:highlight w:val="none"/>
          <w:lang w:val="en-US" w:eastAsia="zh-CN"/>
        </w:rPr>
        <w:t>羊</w:t>
      </w:r>
      <w:r>
        <w:rPr>
          <w:rFonts w:cs="Times New Roman"/>
          <w:color w:val="auto"/>
          <w:spacing w:val="16"/>
          <w:szCs w:val="24"/>
          <w:highlight w:val="none"/>
        </w:rPr>
        <w:t>昏倒，在致晕后提升到放血轨道上采用放血输送机刺杀放血，在放血自动输送线上主要完成的工序：上挂、刺杀、沥血等，沥血时间一般为8min</w:t>
      </w:r>
      <w:r>
        <w:rPr>
          <w:rFonts w:hint="eastAsia" w:cs="Times New Roman"/>
          <w:color w:val="auto"/>
          <w:spacing w:val="16"/>
          <w:szCs w:val="24"/>
          <w:highlight w:val="none"/>
          <w:lang w:eastAsia="zh-CN"/>
        </w:rPr>
        <w:t>，</w:t>
      </w:r>
      <w:r>
        <w:rPr>
          <w:rFonts w:hint="eastAsia" w:cs="Times New Roman"/>
          <w:color w:val="auto"/>
          <w:spacing w:val="16"/>
          <w:szCs w:val="24"/>
          <w:highlight w:val="none"/>
          <w:lang w:val="en-US" w:eastAsia="zh-CN"/>
        </w:rPr>
        <w:t>牛、羊血由输送线下方配套的不锈钢</w:t>
      </w:r>
      <w:r>
        <w:rPr>
          <w:rFonts w:cs="Times New Roman"/>
          <w:color w:val="auto"/>
          <w:spacing w:val="16"/>
          <w:szCs w:val="24"/>
          <w:highlight w:val="none"/>
        </w:rPr>
        <w:t>沥</w:t>
      </w:r>
      <w:r>
        <w:rPr>
          <w:rFonts w:hint="eastAsia" w:cs="Times New Roman"/>
          <w:color w:val="auto"/>
          <w:spacing w:val="16"/>
          <w:szCs w:val="24"/>
          <w:highlight w:val="none"/>
          <w:lang w:val="en-US" w:eastAsia="zh-CN"/>
        </w:rPr>
        <w:t>血槽收集，作为产品外售。</w:t>
      </w:r>
      <w:r>
        <w:rPr>
          <w:rFonts w:hint="eastAsia" w:cs="Times New Roman"/>
          <w:color w:val="auto"/>
          <w:spacing w:val="16"/>
          <w:szCs w:val="24"/>
          <w:highlight w:val="none"/>
          <w:lang w:val="en-US" w:eastAsia="zh-CN"/>
        </w:rPr>
        <w:t>此环节主要产生的污染物为牛羊嚎叫噪声。</w:t>
      </w:r>
    </w:p>
    <w:p w14:paraId="1CCBBE07">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4、去头、剥皮</w:t>
      </w:r>
    </w:p>
    <w:p w14:paraId="4D086971">
      <w:pPr>
        <w:spacing w:line="480" w:lineRule="exact"/>
        <w:ind w:firstLine="544"/>
        <w:rPr>
          <w:rFonts w:cs="Times New Roman"/>
          <w:color w:val="auto"/>
          <w:spacing w:val="16"/>
          <w:szCs w:val="24"/>
          <w:highlight w:val="none"/>
        </w:rPr>
      </w:pPr>
      <w:r>
        <w:rPr>
          <w:rFonts w:cs="Times New Roman"/>
          <w:color w:val="auto"/>
          <w:spacing w:val="16"/>
          <w:szCs w:val="24"/>
          <w:highlight w:val="none"/>
        </w:rPr>
        <w:t>放血后的工序依次进行剥头皮、编号、去头、剥前小腿皮、去前蹄、剥后小腿皮、去后蹄、剥臀皮、尾皮、剥胸皮、颈皮、扯皮。</w:t>
      </w:r>
      <w:r>
        <w:rPr>
          <w:rFonts w:hint="eastAsia" w:cs="Times New Roman"/>
          <w:color w:val="auto"/>
          <w:spacing w:val="16"/>
          <w:szCs w:val="24"/>
          <w:highlight w:val="none"/>
          <w:lang w:val="en-US" w:eastAsia="zh-CN"/>
        </w:rPr>
        <w:t>此环节主要产生的污染物为设备噪声。</w:t>
      </w:r>
    </w:p>
    <w:p w14:paraId="52659370">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5、胴体加工</w:t>
      </w:r>
    </w:p>
    <w:p w14:paraId="1B319D76">
      <w:pPr>
        <w:spacing w:line="480" w:lineRule="exact"/>
        <w:ind w:firstLine="544"/>
        <w:rPr>
          <w:rFonts w:cs="Times New Roman"/>
          <w:color w:val="auto"/>
          <w:spacing w:val="16"/>
          <w:szCs w:val="24"/>
          <w:highlight w:val="none"/>
        </w:rPr>
      </w:pPr>
      <w:r>
        <w:rPr>
          <w:rFonts w:cs="Times New Roman"/>
          <w:color w:val="auto"/>
          <w:spacing w:val="16"/>
          <w:szCs w:val="24"/>
          <w:highlight w:val="none"/>
        </w:rPr>
        <w:t>开膛取内脏是较为关键的工序，要求腹部开口平滑居中，且不能伤及内脏，以保证内脏的完整性。用利刃沿牛</w:t>
      </w:r>
      <w:r>
        <w:rPr>
          <w:rFonts w:hint="eastAsia" w:cs="Times New Roman"/>
          <w:color w:val="auto"/>
          <w:spacing w:val="16"/>
          <w:szCs w:val="24"/>
          <w:highlight w:val="none"/>
          <w:lang w:eastAsia="zh-CN"/>
        </w:rPr>
        <w:t>、</w:t>
      </w:r>
      <w:r>
        <w:rPr>
          <w:rFonts w:hint="eastAsia" w:cs="Times New Roman"/>
          <w:color w:val="auto"/>
          <w:spacing w:val="16"/>
          <w:szCs w:val="24"/>
          <w:highlight w:val="none"/>
          <w:lang w:val="en-US" w:eastAsia="zh-CN"/>
        </w:rPr>
        <w:t>羊</w:t>
      </w:r>
      <w:r>
        <w:rPr>
          <w:rFonts w:cs="Times New Roman"/>
          <w:color w:val="auto"/>
          <w:spacing w:val="16"/>
          <w:szCs w:val="24"/>
          <w:highlight w:val="none"/>
        </w:rPr>
        <w:t>正中间由头至尾部划开，将牛</w:t>
      </w:r>
      <w:r>
        <w:rPr>
          <w:rFonts w:hint="eastAsia" w:cs="Times New Roman"/>
          <w:color w:val="auto"/>
          <w:spacing w:val="16"/>
          <w:szCs w:val="24"/>
          <w:highlight w:val="none"/>
          <w:lang w:eastAsia="zh-CN"/>
        </w:rPr>
        <w:t>、</w:t>
      </w:r>
      <w:r>
        <w:rPr>
          <w:rFonts w:hint="eastAsia" w:cs="Times New Roman"/>
          <w:color w:val="auto"/>
          <w:spacing w:val="16"/>
          <w:szCs w:val="24"/>
          <w:highlight w:val="none"/>
          <w:lang w:val="en-US" w:eastAsia="zh-CN"/>
        </w:rPr>
        <w:t>羊</w:t>
      </w:r>
      <w:r>
        <w:rPr>
          <w:rFonts w:cs="Times New Roman"/>
          <w:color w:val="auto"/>
          <w:spacing w:val="16"/>
          <w:szCs w:val="24"/>
          <w:highlight w:val="none"/>
        </w:rPr>
        <w:t>体内的红白内脏全部取出。胴体进行修整，修整后进入轨道电子秤进行胴体的称重。根据称重的结果进行分级盖章。</w:t>
      </w:r>
      <w:r>
        <w:rPr>
          <w:rFonts w:hint="eastAsia" w:cs="Times New Roman"/>
          <w:color w:val="auto"/>
          <w:spacing w:val="16"/>
          <w:szCs w:val="24"/>
          <w:highlight w:val="none"/>
          <w:lang w:val="en-US" w:eastAsia="zh-CN"/>
        </w:rPr>
        <w:t>红</w:t>
      </w:r>
      <w:r>
        <w:rPr>
          <w:rFonts w:hint="eastAsia" w:ascii="Times New Roman" w:hAnsi="Times New Roman" w:eastAsia="宋体" w:cs="Times New Roman"/>
          <w:color w:val="auto"/>
          <w:spacing w:val="16"/>
          <w:szCs w:val="24"/>
          <w:highlight w:val="none"/>
          <w:lang w:val="en-US" w:eastAsia="zh-CN"/>
        </w:rPr>
        <w:t>白内脏</w:t>
      </w:r>
      <w:r>
        <w:rPr>
          <w:rFonts w:ascii="Times New Roman" w:hAnsi="Times New Roman" w:eastAsia="宋体" w:cs="Times New Roman"/>
          <w:color w:val="auto"/>
          <w:spacing w:val="16"/>
          <w:szCs w:val="24"/>
          <w:highlight w:val="none"/>
        </w:rPr>
        <w:t>严格检疫，分类处置；合格者增值，不合格者无害化</w:t>
      </w:r>
      <w:r>
        <w:rPr>
          <w:rFonts w:hint="eastAsia" w:ascii="Times New Roman" w:hAnsi="Times New Roman" w:eastAsia="宋体" w:cs="Times New Roman"/>
          <w:color w:val="auto"/>
          <w:spacing w:val="16"/>
          <w:szCs w:val="24"/>
          <w:highlight w:val="none"/>
          <w:lang w:eastAsia="zh-CN"/>
        </w:rPr>
        <w:t>。</w:t>
      </w:r>
      <w:r>
        <w:rPr>
          <w:rFonts w:hint="eastAsia" w:cs="Times New Roman"/>
          <w:color w:val="auto"/>
          <w:spacing w:val="16"/>
          <w:szCs w:val="24"/>
          <w:highlight w:val="none"/>
          <w:lang w:val="en-US" w:eastAsia="zh-CN"/>
        </w:rPr>
        <w:t>此环节主要产生的污染物为设备噪声及固体废物。</w:t>
      </w:r>
    </w:p>
    <w:p w14:paraId="05282146">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6、同步卫检</w:t>
      </w:r>
    </w:p>
    <w:p w14:paraId="6A9D18F7">
      <w:pPr>
        <w:spacing w:line="480" w:lineRule="exact"/>
        <w:ind w:firstLine="544"/>
        <w:rPr>
          <w:rFonts w:cs="Times New Roman"/>
          <w:color w:val="auto"/>
          <w:spacing w:val="16"/>
          <w:szCs w:val="24"/>
          <w:highlight w:val="none"/>
        </w:rPr>
      </w:pPr>
      <w:r>
        <w:rPr>
          <w:rFonts w:cs="Times New Roman"/>
          <w:color w:val="auto"/>
          <w:spacing w:val="16"/>
          <w:szCs w:val="24"/>
          <w:highlight w:val="none"/>
        </w:rPr>
        <w:t>胴体、白内脏、红内脏通过同步卫检线输送到检验区采样检验。检验不合格的可疑病胴体，通过道岔进入可疑病胴体轨道，进行复检，确定有病的胴体进入病体轨道线，取下有病胴体放入封闭的车内拉出屠宰车间处理。检验不合格的白内脏，从同步卫检线的托盘内取出，放入封闭的车内拉出屠宰车间处理；检验不合格的红内脏，从同步卫检线的挂钩上取下来，放入封闭的车内拉出屠宰车间处理。同步卫检线上的红内脏挂钩和白内脏托盘自动通过冷-热-冷水的清洗和消毒。</w:t>
      </w:r>
      <w:r>
        <w:rPr>
          <w:rFonts w:hint="eastAsia" w:cs="Times New Roman"/>
          <w:color w:val="auto"/>
          <w:spacing w:val="16"/>
          <w:szCs w:val="24"/>
          <w:highlight w:val="none"/>
          <w:lang w:val="en-US" w:eastAsia="zh-CN"/>
        </w:rPr>
        <w:t>此环节主要产生的污染物为设备噪声及废水。</w:t>
      </w:r>
    </w:p>
    <w:p w14:paraId="74903713">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7、副产品加工</w:t>
      </w:r>
    </w:p>
    <w:p w14:paraId="5D93A559">
      <w:pPr>
        <w:spacing w:line="480" w:lineRule="exact"/>
        <w:ind w:firstLine="544"/>
        <w:rPr>
          <w:rFonts w:cs="Times New Roman"/>
          <w:color w:val="auto"/>
          <w:spacing w:val="16"/>
          <w:szCs w:val="24"/>
          <w:highlight w:val="none"/>
        </w:rPr>
      </w:pPr>
      <w:r>
        <w:rPr>
          <w:rFonts w:cs="Times New Roman"/>
          <w:color w:val="auto"/>
          <w:spacing w:val="16"/>
          <w:szCs w:val="24"/>
          <w:highlight w:val="none"/>
        </w:rPr>
        <w:t>合格的白内脏通过白内脏滑槽进入白内脏加工间，牛肚有洗牛肚机进行</w:t>
      </w:r>
      <w:r>
        <w:rPr>
          <w:rFonts w:hint="eastAsia" w:cs="Times New Roman"/>
          <w:color w:val="auto"/>
          <w:spacing w:val="16"/>
          <w:szCs w:val="24"/>
          <w:highlight w:val="none"/>
          <w:lang w:val="en-US" w:eastAsia="zh-CN"/>
        </w:rPr>
        <w:t>冲</w:t>
      </w:r>
      <w:r>
        <w:rPr>
          <w:rFonts w:cs="Times New Roman"/>
          <w:color w:val="auto"/>
          <w:spacing w:val="16"/>
          <w:szCs w:val="24"/>
          <w:highlight w:val="none"/>
        </w:rPr>
        <w:t>洗。将清洗后的肠、肚整理包装入冷藏库或保鲜库，分类存放，待售。</w:t>
      </w:r>
    </w:p>
    <w:p w14:paraId="5422F7B3">
      <w:pPr>
        <w:spacing w:line="480" w:lineRule="exact"/>
        <w:ind w:firstLine="544"/>
        <w:rPr>
          <w:rFonts w:cs="Times New Roman"/>
          <w:color w:val="auto"/>
          <w:spacing w:val="16"/>
          <w:szCs w:val="24"/>
          <w:highlight w:val="none"/>
        </w:rPr>
      </w:pPr>
      <w:r>
        <w:rPr>
          <w:rFonts w:cs="Times New Roman"/>
          <w:color w:val="auto"/>
          <w:spacing w:val="16"/>
          <w:szCs w:val="24"/>
          <w:highlight w:val="none"/>
        </w:rPr>
        <w:t>合格的红内脏通过红内脏滑槽进入红内脏加工间，将心、肝、肺清洗后，整理包装入冷藏库或保鲜库，分类存放，待售。</w:t>
      </w:r>
      <w:r>
        <w:rPr>
          <w:rFonts w:hint="eastAsia" w:cs="Times New Roman"/>
          <w:color w:val="auto"/>
          <w:spacing w:val="16"/>
          <w:szCs w:val="24"/>
          <w:highlight w:val="none"/>
          <w:lang w:val="en-US" w:eastAsia="zh-CN"/>
        </w:rPr>
        <w:t>此环节主要产生的污染物为制冷设备噪声。</w:t>
      </w:r>
    </w:p>
    <w:p w14:paraId="43B4E790">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8、胴体排酸</w:t>
      </w:r>
    </w:p>
    <w:p w14:paraId="45AB76E8">
      <w:pPr>
        <w:spacing w:line="480" w:lineRule="exact"/>
        <w:ind w:firstLine="544"/>
        <w:rPr>
          <w:rFonts w:cs="Times New Roman"/>
          <w:color w:val="auto"/>
          <w:spacing w:val="16"/>
          <w:szCs w:val="24"/>
          <w:highlight w:val="none"/>
        </w:rPr>
      </w:pPr>
      <w:r>
        <w:rPr>
          <w:rFonts w:cs="Times New Roman"/>
          <w:color w:val="auto"/>
          <w:spacing w:val="16"/>
          <w:szCs w:val="24"/>
          <w:highlight w:val="none"/>
        </w:rPr>
        <w:t>将修割、冲洗后的胴体，</w:t>
      </w:r>
      <w:r>
        <w:rPr>
          <w:rFonts w:hint="eastAsia" w:cs="Times New Roman"/>
          <w:color w:val="auto"/>
          <w:spacing w:val="16"/>
          <w:szCs w:val="24"/>
          <w:highlight w:val="none"/>
          <w:lang w:val="en-US" w:eastAsia="zh-CN"/>
        </w:rPr>
        <w:t>少</w:t>
      </w:r>
      <w:r>
        <w:rPr>
          <w:rFonts w:cs="Times New Roman"/>
          <w:color w:val="auto"/>
          <w:spacing w:val="16"/>
          <w:szCs w:val="24"/>
          <w:highlight w:val="none"/>
        </w:rPr>
        <w:t>部分直接在当地鲜销，</w:t>
      </w:r>
      <w:r>
        <w:rPr>
          <w:rFonts w:hint="eastAsia" w:cs="Times New Roman"/>
          <w:color w:val="auto"/>
          <w:spacing w:val="16"/>
          <w:szCs w:val="24"/>
          <w:highlight w:val="none"/>
          <w:lang w:val="en-US" w:eastAsia="zh-CN"/>
        </w:rPr>
        <w:t>大</w:t>
      </w:r>
      <w:r>
        <w:rPr>
          <w:rFonts w:cs="Times New Roman"/>
          <w:color w:val="auto"/>
          <w:spacing w:val="16"/>
          <w:szCs w:val="24"/>
          <w:highlight w:val="none"/>
        </w:rPr>
        <w:t>部分</w:t>
      </w:r>
      <w:r>
        <w:rPr>
          <w:rFonts w:hint="eastAsia" w:cs="Times New Roman"/>
          <w:color w:val="auto"/>
          <w:spacing w:val="16"/>
          <w:szCs w:val="24"/>
          <w:highlight w:val="none"/>
          <w:lang w:val="en-US" w:eastAsia="zh-CN"/>
        </w:rPr>
        <w:t>牛胴体</w:t>
      </w:r>
      <w:r>
        <w:rPr>
          <w:rFonts w:cs="Times New Roman"/>
          <w:color w:val="auto"/>
          <w:spacing w:val="16"/>
          <w:szCs w:val="24"/>
          <w:highlight w:val="none"/>
        </w:rPr>
        <w:t>进排酸间进行“排酸”，这是牛肉冷分割工艺的一重要环节</w:t>
      </w:r>
      <w:r>
        <w:rPr>
          <w:rFonts w:hint="eastAsia" w:cs="Times New Roman"/>
          <w:color w:val="auto"/>
          <w:spacing w:val="16"/>
          <w:szCs w:val="24"/>
          <w:highlight w:val="none"/>
          <w:lang w:eastAsia="zh-CN"/>
        </w:rPr>
        <w:t>，</w:t>
      </w:r>
      <w:r>
        <w:rPr>
          <w:i w:val="0"/>
          <w:iCs w:val="0"/>
          <w:color w:val="auto"/>
          <w:sz w:val="24"/>
          <w:highlight w:val="none"/>
        </w:rPr>
        <w:t>排酸的目的主要是利用牛肉中所含的各种分解酶的作用，使游离氨基酸、游离脂肪酸、次黄嘌呤核苷酸等与风味有关的成分在肌肉中蓄积，从而改进牛肉的质量，使牛肉色泽变好，风味变佳，柔软细嫩。</w:t>
      </w:r>
      <w:r>
        <w:rPr>
          <w:rFonts w:cs="Times New Roman"/>
          <w:color w:val="auto"/>
          <w:spacing w:val="16"/>
          <w:szCs w:val="24"/>
          <w:highlight w:val="none"/>
        </w:rPr>
        <w:t>排酸间的温度为0～4℃，排酸时间为48～72小时</w:t>
      </w:r>
      <w:r>
        <w:rPr>
          <w:rFonts w:hint="eastAsia" w:cs="Times New Roman"/>
          <w:color w:val="auto"/>
          <w:spacing w:val="16"/>
          <w:szCs w:val="24"/>
          <w:highlight w:val="none"/>
          <w:lang w:eastAsia="zh-CN"/>
        </w:rPr>
        <w:t>，</w:t>
      </w:r>
      <w:r>
        <w:rPr>
          <w:rFonts w:cs="Times New Roman"/>
          <w:color w:val="auto"/>
          <w:spacing w:val="16"/>
          <w:szCs w:val="24"/>
          <w:highlight w:val="none"/>
        </w:rPr>
        <w:t>使大多数微生物的生长繁殖受到抑制，肉毒梭菌和金黄色葡萄球菌等不再分泌毒素，肉中的酶发生作用，将部分蛋白质分解成氨基酸，同时排空血液及占体重18-20%的体液。</w:t>
      </w:r>
      <w:r>
        <w:rPr>
          <w:rFonts w:hint="eastAsia" w:cs="Times New Roman"/>
          <w:color w:val="auto"/>
          <w:spacing w:val="16"/>
          <w:szCs w:val="24"/>
          <w:highlight w:val="none"/>
          <w:lang w:val="en-US" w:eastAsia="zh-CN"/>
        </w:rPr>
        <w:t>此环节主要产生的污染物为排酸废水。</w:t>
      </w:r>
    </w:p>
    <w:p w14:paraId="20A7036C">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9、剔骨分割</w:t>
      </w:r>
    </w:p>
    <w:p w14:paraId="4B1C2E66">
      <w:pPr>
        <w:spacing w:line="480" w:lineRule="exact"/>
        <w:ind w:firstLine="544"/>
        <w:rPr>
          <w:rFonts w:cs="Times New Roman"/>
          <w:color w:val="auto"/>
          <w:spacing w:val="16"/>
          <w:szCs w:val="24"/>
          <w:highlight w:val="none"/>
        </w:rPr>
      </w:pPr>
      <w:r>
        <w:rPr>
          <w:rFonts w:cs="Times New Roman"/>
          <w:color w:val="auto"/>
          <w:spacing w:val="16"/>
          <w:szCs w:val="24"/>
          <w:highlight w:val="none"/>
        </w:rPr>
        <w:t>排酸后的胴体进入分割车间，通过机械设备将胴体分割成四分体后，进行人工剔骨，并按要求分割成部位肉。</w:t>
      </w:r>
      <w:r>
        <w:rPr>
          <w:rFonts w:hint="eastAsia" w:cs="Times New Roman"/>
          <w:color w:val="auto"/>
          <w:spacing w:val="16"/>
          <w:szCs w:val="24"/>
          <w:highlight w:val="none"/>
          <w:lang w:val="en-US" w:eastAsia="zh-CN"/>
        </w:rPr>
        <w:t>此环节主要产生的污染物为设备噪声。</w:t>
      </w:r>
    </w:p>
    <w:p w14:paraId="10AABF36">
      <w:pPr>
        <w:spacing w:line="480" w:lineRule="exact"/>
        <w:ind w:firstLine="546"/>
        <w:rPr>
          <w:rFonts w:cs="Times New Roman"/>
          <w:b/>
          <w:bCs/>
          <w:color w:val="auto"/>
          <w:spacing w:val="16"/>
          <w:szCs w:val="24"/>
          <w:highlight w:val="none"/>
        </w:rPr>
      </w:pPr>
      <w:r>
        <w:rPr>
          <w:rFonts w:cs="Times New Roman"/>
          <w:b/>
          <w:bCs/>
          <w:color w:val="auto"/>
          <w:spacing w:val="16"/>
          <w:szCs w:val="24"/>
          <w:highlight w:val="none"/>
        </w:rPr>
        <w:t>10、包装冷藏</w:t>
      </w:r>
    </w:p>
    <w:p w14:paraId="6B845E87">
      <w:pPr>
        <w:spacing w:line="480" w:lineRule="exact"/>
        <w:ind w:firstLine="544"/>
        <w:rPr>
          <w:rFonts w:cs="Times New Roman"/>
          <w:color w:val="auto"/>
          <w:spacing w:val="16"/>
          <w:szCs w:val="24"/>
          <w:highlight w:val="none"/>
        </w:rPr>
      </w:pPr>
      <w:r>
        <w:rPr>
          <w:rFonts w:cs="Times New Roman"/>
          <w:color w:val="auto"/>
          <w:spacing w:val="16"/>
          <w:szCs w:val="24"/>
          <w:highlight w:val="none"/>
        </w:rPr>
        <w:t>将分割好的肉分别存放，经称量，包装，整形入盘后进入到速冻库（-35℃）速冻后到成品冷藏库（-18℃）冷藏，待售。</w:t>
      </w:r>
      <w:r>
        <w:rPr>
          <w:rFonts w:hint="eastAsia" w:cs="Times New Roman"/>
          <w:color w:val="auto"/>
          <w:spacing w:val="16"/>
          <w:szCs w:val="24"/>
          <w:highlight w:val="none"/>
          <w:lang w:val="en-US" w:eastAsia="zh-CN"/>
        </w:rPr>
        <w:t>此环节主要产生的污染物为制冷设备噪声。</w:t>
      </w:r>
    </w:p>
    <w:p w14:paraId="37D24F3D">
      <w:pPr>
        <w:pStyle w:val="4"/>
        <w:spacing w:after="156"/>
        <w:rPr>
          <w:rFonts w:eastAsia="宋体" w:cs="Times New Roman"/>
          <w:b/>
          <w:bCs/>
          <w:snapToGrid w:val="0"/>
          <w:color w:val="auto"/>
          <w:szCs w:val="24"/>
          <w:highlight w:val="none"/>
          <w:lang w:val="en-US"/>
        </w:rPr>
      </w:pPr>
      <w:bookmarkStart w:id="133" w:name="_Toc18798"/>
      <w:r>
        <w:rPr>
          <w:rFonts w:cs="Times New Roman"/>
          <w:snapToGrid w:val="0"/>
          <w:color w:val="auto"/>
          <w:highlight w:val="none"/>
        </w:rPr>
        <w:t>3.3.2物料平衡</w:t>
      </w:r>
      <w:bookmarkEnd w:id="133"/>
    </w:p>
    <w:p w14:paraId="5028647A">
      <w:pPr>
        <w:pStyle w:val="66"/>
        <w:spacing w:line="240" w:lineRule="auto"/>
        <w:rPr>
          <w:rFonts w:eastAsia="宋体" w:cs="Times New Roman"/>
          <w:b/>
          <w:bCs/>
          <w:snapToGrid w:val="0"/>
          <w:color w:val="auto"/>
          <w:szCs w:val="24"/>
          <w:highlight w:val="none"/>
          <w:lang w:val="en-US"/>
        </w:rPr>
      </w:pPr>
      <w:r>
        <w:rPr>
          <w:rFonts w:eastAsia="宋体" w:cs="Times New Roman"/>
          <w:b/>
          <w:bCs/>
          <w:snapToGrid w:val="0"/>
          <w:color w:val="auto"/>
          <w:szCs w:val="24"/>
          <w:highlight w:val="none"/>
        </w:rPr>
        <w:t>表</w:t>
      </w:r>
      <w:r>
        <w:rPr>
          <w:rFonts w:eastAsia="宋体" w:cs="Times New Roman"/>
          <w:b/>
          <w:bCs/>
          <w:snapToGrid w:val="0"/>
          <w:color w:val="auto"/>
          <w:szCs w:val="24"/>
          <w:highlight w:val="none"/>
          <w:lang w:val="en-US"/>
        </w:rPr>
        <w:t>3</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 xml:space="preserve">3-1  </w:t>
      </w:r>
      <w:r>
        <w:rPr>
          <w:rFonts w:eastAsia="宋体" w:cs="Times New Roman"/>
          <w:b/>
          <w:bCs/>
          <w:snapToGrid w:val="0"/>
          <w:color w:val="auto"/>
          <w:szCs w:val="24"/>
          <w:highlight w:val="none"/>
        </w:rPr>
        <w:t>牛、羊屠宰物料平衡表</w:t>
      </w:r>
    </w:p>
    <w:tbl>
      <w:tblPr>
        <w:tblStyle w:val="47"/>
        <w:tblW w:w="8177" w:type="dxa"/>
        <w:tblInd w:w="91"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autofit"/>
        <w:tblCellMar>
          <w:top w:w="0" w:type="dxa"/>
          <w:left w:w="108" w:type="dxa"/>
          <w:bottom w:w="0" w:type="dxa"/>
          <w:right w:w="108" w:type="dxa"/>
        </w:tblCellMar>
      </w:tblPr>
      <w:tblGrid>
        <w:gridCol w:w="1231"/>
        <w:gridCol w:w="1846"/>
        <w:gridCol w:w="1740"/>
        <w:gridCol w:w="1590"/>
        <w:gridCol w:w="1770"/>
      </w:tblGrid>
      <w:tr w14:paraId="36A35FB4">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3077" w:type="dxa"/>
            <w:gridSpan w:val="2"/>
            <w:tcBorders>
              <w:tl2br w:val="nil"/>
              <w:tr2bl w:val="nil"/>
            </w:tcBorders>
            <w:shd w:val="clear" w:color="auto" w:fill="auto"/>
            <w:vAlign w:val="center"/>
          </w:tcPr>
          <w:p w14:paraId="3A93AFB5">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项目</w:t>
            </w:r>
          </w:p>
        </w:tc>
        <w:tc>
          <w:tcPr>
            <w:tcW w:w="1740" w:type="dxa"/>
            <w:tcBorders>
              <w:tl2br w:val="nil"/>
              <w:tr2bl w:val="nil"/>
            </w:tcBorders>
            <w:shd w:val="clear" w:color="auto" w:fill="auto"/>
            <w:vAlign w:val="center"/>
          </w:tcPr>
          <w:p w14:paraId="17F5F171">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投入量(t/a)</w:t>
            </w:r>
          </w:p>
        </w:tc>
        <w:tc>
          <w:tcPr>
            <w:tcW w:w="1590" w:type="dxa"/>
            <w:tcBorders>
              <w:tl2br w:val="nil"/>
              <w:tr2bl w:val="nil"/>
            </w:tcBorders>
            <w:shd w:val="clear" w:color="auto" w:fill="auto"/>
            <w:vAlign w:val="center"/>
          </w:tcPr>
          <w:p w14:paraId="5AD34C4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产出量(t/a)</w:t>
            </w:r>
          </w:p>
        </w:tc>
        <w:tc>
          <w:tcPr>
            <w:tcW w:w="1770" w:type="dxa"/>
            <w:tcBorders>
              <w:tl2br w:val="nil"/>
              <w:tr2bl w:val="nil"/>
            </w:tcBorders>
            <w:shd w:val="clear" w:color="auto" w:fill="auto"/>
            <w:vAlign w:val="center"/>
          </w:tcPr>
          <w:p w14:paraId="237712A1">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百分比(%)</w:t>
            </w:r>
          </w:p>
        </w:tc>
      </w:tr>
      <w:tr w14:paraId="6A60AFE9">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tcBorders>
              <w:tl2br w:val="nil"/>
              <w:tr2bl w:val="nil"/>
            </w:tcBorders>
            <w:shd w:val="clear" w:color="auto" w:fill="auto"/>
            <w:vAlign w:val="center"/>
          </w:tcPr>
          <w:p w14:paraId="471BDD3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原料</w:t>
            </w:r>
          </w:p>
        </w:tc>
        <w:tc>
          <w:tcPr>
            <w:tcW w:w="1846" w:type="dxa"/>
            <w:tcBorders>
              <w:tl2br w:val="nil"/>
              <w:tr2bl w:val="nil"/>
            </w:tcBorders>
            <w:shd w:val="clear" w:color="auto" w:fill="auto"/>
            <w:vAlign w:val="center"/>
          </w:tcPr>
          <w:p w14:paraId="3558A7C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牛、羊</w:t>
            </w:r>
          </w:p>
        </w:tc>
        <w:tc>
          <w:tcPr>
            <w:tcW w:w="1740" w:type="dxa"/>
            <w:tcBorders>
              <w:tl2br w:val="nil"/>
              <w:tr2bl w:val="nil"/>
            </w:tcBorders>
            <w:shd w:val="clear" w:color="auto" w:fill="auto"/>
            <w:vAlign w:val="center"/>
          </w:tcPr>
          <w:p w14:paraId="13143AED">
            <w:pPr>
              <w:widowControl/>
              <w:spacing w:line="360" w:lineRule="exact"/>
              <w:ind w:firstLine="0" w:firstLineChars="0"/>
              <w:jc w:val="center"/>
              <w:textAlignment w:val="center"/>
              <w:rPr>
                <w:rFonts w:hint="default"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bidi="ar"/>
              </w:rPr>
              <w:t>23250</w:t>
            </w:r>
          </w:p>
        </w:tc>
        <w:tc>
          <w:tcPr>
            <w:tcW w:w="1590" w:type="dxa"/>
            <w:tcBorders>
              <w:tl2br w:val="nil"/>
              <w:tr2bl w:val="nil"/>
            </w:tcBorders>
            <w:shd w:val="clear" w:color="auto" w:fill="auto"/>
            <w:vAlign w:val="center"/>
          </w:tcPr>
          <w:p w14:paraId="7AB3D017">
            <w:pPr>
              <w:widowControl/>
              <w:spacing w:line="360" w:lineRule="exact"/>
              <w:ind w:firstLine="0" w:firstLineChars="0"/>
              <w:jc w:val="center"/>
              <w:textAlignment w:val="center"/>
              <w:rPr>
                <w:rFonts w:ascii="Times New Roman" w:hAnsi="Times New Roman" w:eastAsia="宋体" w:cs="Times New Roman"/>
                <w:color w:val="auto"/>
                <w:kern w:val="0"/>
                <w:sz w:val="21"/>
                <w:szCs w:val="21"/>
                <w:highlight w:val="none"/>
                <w:lang w:bidi="ar"/>
              </w:rPr>
            </w:pPr>
            <w:r>
              <w:rPr>
                <w:rFonts w:ascii="Times New Roman" w:hAnsi="Times New Roman" w:eastAsia="宋体" w:cs="Times New Roman"/>
                <w:color w:val="auto"/>
                <w:kern w:val="0"/>
                <w:sz w:val="21"/>
                <w:szCs w:val="21"/>
                <w:highlight w:val="none"/>
                <w:lang w:bidi="ar"/>
              </w:rPr>
              <w:t>—</w:t>
            </w:r>
          </w:p>
        </w:tc>
        <w:tc>
          <w:tcPr>
            <w:tcW w:w="1770" w:type="dxa"/>
            <w:tcBorders>
              <w:tl2br w:val="nil"/>
              <w:tr2bl w:val="nil"/>
            </w:tcBorders>
            <w:shd w:val="clear" w:color="auto" w:fill="auto"/>
            <w:vAlign w:val="center"/>
          </w:tcPr>
          <w:p w14:paraId="20E5411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100</w:t>
            </w:r>
          </w:p>
        </w:tc>
      </w:tr>
      <w:tr w14:paraId="71708062">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tcBorders>
              <w:tl2br w:val="nil"/>
              <w:tr2bl w:val="nil"/>
            </w:tcBorders>
            <w:shd w:val="clear" w:color="auto" w:fill="auto"/>
            <w:vAlign w:val="center"/>
          </w:tcPr>
          <w:p w14:paraId="2DC76D97">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产品</w:t>
            </w:r>
          </w:p>
        </w:tc>
        <w:tc>
          <w:tcPr>
            <w:tcW w:w="1846" w:type="dxa"/>
            <w:tcBorders>
              <w:tl2br w:val="nil"/>
              <w:tr2bl w:val="nil"/>
            </w:tcBorders>
            <w:shd w:val="clear" w:color="auto" w:fill="auto"/>
            <w:vAlign w:val="center"/>
          </w:tcPr>
          <w:p w14:paraId="4C4B5649">
            <w:pPr>
              <w:widowControl/>
              <w:spacing w:line="360" w:lineRule="exact"/>
              <w:ind w:firstLine="0" w:firstLineChars="0"/>
              <w:jc w:val="center"/>
              <w:textAlignment w:val="center"/>
              <w:rPr>
                <w:rFonts w:ascii="Times New Roman" w:hAnsi="Times New Roman" w:eastAsia="宋体" w:cs="Times New Roman"/>
                <w:snapToGrid w:val="0"/>
                <w:color w:val="auto"/>
                <w:kern w:val="2"/>
                <w:sz w:val="24"/>
                <w:szCs w:val="22"/>
                <w:highlight w:val="none"/>
                <w:lang w:val="en-US" w:eastAsia="zh-CN" w:bidi="ar-SA"/>
              </w:rPr>
            </w:pPr>
            <w:r>
              <w:rPr>
                <w:rFonts w:cs="Times New Roman"/>
                <w:snapToGrid w:val="0"/>
                <w:color w:val="auto"/>
                <w:kern w:val="0"/>
                <w:sz w:val="21"/>
                <w:szCs w:val="21"/>
                <w:highlight w:val="none"/>
                <w:lang w:bidi="ar"/>
              </w:rPr>
              <w:t>牛、羊肉</w:t>
            </w:r>
          </w:p>
        </w:tc>
        <w:tc>
          <w:tcPr>
            <w:tcW w:w="1740" w:type="dxa"/>
            <w:tcBorders>
              <w:tl2br w:val="nil"/>
              <w:tr2bl w:val="nil"/>
            </w:tcBorders>
            <w:shd w:val="clear" w:color="auto" w:fill="auto"/>
            <w:vAlign w:val="center"/>
          </w:tcPr>
          <w:p w14:paraId="0E96248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013A5BF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12950</w:t>
            </w:r>
          </w:p>
        </w:tc>
        <w:tc>
          <w:tcPr>
            <w:tcW w:w="1770" w:type="dxa"/>
            <w:tcBorders>
              <w:tl2br w:val="nil"/>
              <w:tr2bl w:val="nil"/>
            </w:tcBorders>
            <w:shd w:val="clear" w:color="auto" w:fill="auto"/>
            <w:vAlign w:val="center"/>
          </w:tcPr>
          <w:p w14:paraId="195B5B9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55.7 </w:t>
            </w:r>
          </w:p>
        </w:tc>
      </w:tr>
      <w:tr w14:paraId="6EE3D3F3">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restart"/>
            <w:tcBorders>
              <w:tl2br w:val="nil"/>
              <w:tr2bl w:val="nil"/>
            </w:tcBorders>
            <w:shd w:val="clear" w:color="auto" w:fill="auto"/>
            <w:vAlign w:val="center"/>
          </w:tcPr>
          <w:p w14:paraId="28E6C21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副产品</w:t>
            </w:r>
          </w:p>
        </w:tc>
        <w:tc>
          <w:tcPr>
            <w:tcW w:w="1846" w:type="dxa"/>
            <w:tcBorders>
              <w:tl2br w:val="nil"/>
              <w:tr2bl w:val="nil"/>
            </w:tcBorders>
            <w:shd w:val="clear" w:color="auto" w:fill="auto"/>
            <w:vAlign w:val="center"/>
          </w:tcPr>
          <w:p w14:paraId="54CB9D03">
            <w:pPr>
              <w:widowControl/>
              <w:spacing w:line="360" w:lineRule="exact"/>
              <w:ind w:firstLine="0" w:firstLineChars="0"/>
              <w:jc w:val="center"/>
              <w:textAlignment w:val="center"/>
              <w:rPr>
                <w:rFonts w:ascii="Times New Roman" w:hAnsi="Times New Roman" w:eastAsia="宋体" w:cs="Times New Roman"/>
                <w:snapToGrid w:val="0"/>
                <w:color w:val="auto"/>
                <w:kern w:val="2"/>
                <w:sz w:val="24"/>
                <w:szCs w:val="22"/>
                <w:highlight w:val="none"/>
                <w:lang w:val="en-US" w:eastAsia="zh-CN" w:bidi="ar-SA"/>
              </w:rPr>
            </w:pPr>
            <w:r>
              <w:rPr>
                <w:rFonts w:cs="Times New Roman"/>
                <w:snapToGrid w:val="0"/>
                <w:color w:val="auto"/>
                <w:kern w:val="0"/>
                <w:sz w:val="21"/>
                <w:szCs w:val="21"/>
                <w:highlight w:val="none"/>
                <w:lang w:bidi="ar"/>
              </w:rPr>
              <w:t>内脏</w:t>
            </w:r>
          </w:p>
        </w:tc>
        <w:tc>
          <w:tcPr>
            <w:tcW w:w="1740" w:type="dxa"/>
            <w:tcBorders>
              <w:tl2br w:val="nil"/>
              <w:tr2bl w:val="nil"/>
            </w:tcBorders>
            <w:shd w:val="clear" w:color="auto" w:fill="auto"/>
            <w:vAlign w:val="center"/>
          </w:tcPr>
          <w:p w14:paraId="2AE3E3F4">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01AA712B">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2750</w:t>
            </w:r>
          </w:p>
        </w:tc>
        <w:tc>
          <w:tcPr>
            <w:tcW w:w="1770" w:type="dxa"/>
            <w:tcBorders>
              <w:tl2br w:val="nil"/>
              <w:tr2bl w:val="nil"/>
            </w:tcBorders>
            <w:shd w:val="clear" w:color="auto" w:fill="auto"/>
            <w:vAlign w:val="center"/>
          </w:tcPr>
          <w:p w14:paraId="64DCC82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11.8 </w:t>
            </w:r>
          </w:p>
        </w:tc>
      </w:tr>
      <w:tr w14:paraId="38BA9CD8">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236D91F4">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7CF25C28">
            <w:pPr>
              <w:widowControl/>
              <w:spacing w:line="360" w:lineRule="exact"/>
              <w:ind w:firstLine="0" w:firstLineChars="0"/>
              <w:jc w:val="center"/>
              <w:textAlignment w:val="center"/>
              <w:rPr>
                <w:rFonts w:ascii="Times New Roman" w:hAnsi="Times New Roman" w:eastAsia="宋体" w:cs="Times New Roman"/>
                <w:snapToGrid w:val="0"/>
                <w:color w:val="auto"/>
                <w:kern w:val="2"/>
                <w:sz w:val="24"/>
                <w:szCs w:val="22"/>
                <w:highlight w:val="none"/>
                <w:lang w:val="en-US" w:eastAsia="zh-CN" w:bidi="ar-SA"/>
              </w:rPr>
            </w:pPr>
            <w:r>
              <w:rPr>
                <w:rFonts w:cs="Times New Roman"/>
                <w:snapToGrid w:val="0"/>
                <w:color w:val="auto"/>
                <w:kern w:val="0"/>
                <w:sz w:val="21"/>
                <w:szCs w:val="21"/>
                <w:highlight w:val="none"/>
                <w:lang w:bidi="ar"/>
              </w:rPr>
              <w:t>头、蹄</w:t>
            </w:r>
          </w:p>
        </w:tc>
        <w:tc>
          <w:tcPr>
            <w:tcW w:w="1740" w:type="dxa"/>
            <w:tcBorders>
              <w:tl2br w:val="nil"/>
              <w:tr2bl w:val="nil"/>
            </w:tcBorders>
            <w:shd w:val="clear" w:color="auto" w:fill="auto"/>
            <w:vAlign w:val="center"/>
          </w:tcPr>
          <w:p w14:paraId="0C35E659">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7233E12E">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1400</w:t>
            </w:r>
          </w:p>
        </w:tc>
        <w:tc>
          <w:tcPr>
            <w:tcW w:w="1770" w:type="dxa"/>
            <w:tcBorders>
              <w:tl2br w:val="nil"/>
              <w:tr2bl w:val="nil"/>
            </w:tcBorders>
            <w:shd w:val="clear" w:color="auto" w:fill="auto"/>
            <w:vAlign w:val="center"/>
          </w:tcPr>
          <w:p w14:paraId="3DB99924">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6.0 </w:t>
            </w:r>
          </w:p>
        </w:tc>
      </w:tr>
      <w:tr w14:paraId="4D90F334">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59D7263E">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235B5DC1">
            <w:pPr>
              <w:widowControl/>
              <w:spacing w:line="360" w:lineRule="exact"/>
              <w:ind w:firstLine="0" w:firstLineChars="0"/>
              <w:jc w:val="center"/>
              <w:textAlignment w:val="center"/>
              <w:rPr>
                <w:rFonts w:ascii="Times New Roman" w:hAnsi="Times New Roman" w:eastAsia="宋体" w:cs="Times New Roman"/>
                <w:snapToGrid w:val="0"/>
                <w:color w:val="auto"/>
                <w:kern w:val="2"/>
                <w:sz w:val="24"/>
                <w:szCs w:val="22"/>
                <w:highlight w:val="none"/>
                <w:lang w:val="en-US" w:eastAsia="zh-CN" w:bidi="ar-SA"/>
              </w:rPr>
            </w:pPr>
            <w:r>
              <w:rPr>
                <w:rFonts w:cs="Times New Roman"/>
                <w:snapToGrid w:val="0"/>
                <w:color w:val="auto"/>
                <w:kern w:val="0"/>
                <w:sz w:val="21"/>
                <w:szCs w:val="21"/>
                <w:highlight w:val="none"/>
                <w:lang w:bidi="ar"/>
              </w:rPr>
              <w:t>牛、羊血</w:t>
            </w:r>
          </w:p>
        </w:tc>
        <w:tc>
          <w:tcPr>
            <w:tcW w:w="1740" w:type="dxa"/>
            <w:tcBorders>
              <w:tl2br w:val="nil"/>
              <w:tr2bl w:val="nil"/>
            </w:tcBorders>
            <w:shd w:val="clear" w:color="auto" w:fill="auto"/>
            <w:vAlign w:val="center"/>
          </w:tcPr>
          <w:p w14:paraId="0ACE941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3C83103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1075</w:t>
            </w:r>
          </w:p>
        </w:tc>
        <w:tc>
          <w:tcPr>
            <w:tcW w:w="1770" w:type="dxa"/>
            <w:tcBorders>
              <w:tl2br w:val="nil"/>
              <w:tr2bl w:val="nil"/>
            </w:tcBorders>
            <w:shd w:val="clear" w:color="auto" w:fill="auto"/>
            <w:vAlign w:val="center"/>
          </w:tcPr>
          <w:p w14:paraId="57DD358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4.6 </w:t>
            </w:r>
          </w:p>
        </w:tc>
      </w:tr>
      <w:tr w14:paraId="787FE623">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7CBF9078">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0F01B927">
            <w:pPr>
              <w:widowControl/>
              <w:spacing w:line="360" w:lineRule="exact"/>
              <w:ind w:firstLine="0" w:firstLineChars="0"/>
              <w:jc w:val="center"/>
              <w:textAlignment w:val="center"/>
              <w:rPr>
                <w:rFonts w:ascii="Times New Roman" w:hAnsi="Times New Roman" w:eastAsia="宋体" w:cs="Times New Roman"/>
                <w:snapToGrid w:val="0"/>
                <w:color w:val="auto"/>
                <w:kern w:val="2"/>
                <w:sz w:val="24"/>
                <w:szCs w:val="22"/>
                <w:highlight w:val="none"/>
                <w:lang w:val="en-US" w:eastAsia="zh-CN" w:bidi="ar-SA"/>
              </w:rPr>
            </w:pPr>
            <w:r>
              <w:rPr>
                <w:rFonts w:cs="Times New Roman"/>
                <w:snapToGrid w:val="0"/>
                <w:color w:val="auto"/>
                <w:kern w:val="0"/>
                <w:sz w:val="21"/>
                <w:szCs w:val="21"/>
                <w:highlight w:val="none"/>
                <w:lang w:bidi="ar"/>
              </w:rPr>
              <w:t>牛、羊皮</w:t>
            </w:r>
          </w:p>
        </w:tc>
        <w:tc>
          <w:tcPr>
            <w:tcW w:w="1740" w:type="dxa"/>
            <w:tcBorders>
              <w:tl2br w:val="nil"/>
              <w:tr2bl w:val="nil"/>
            </w:tcBorders>
            <w:shd w:val="clear" w:color="auto" w:fill="auto"/>
            <w:vAlign w:val="center"/>
          </w:tcPr>
          <w:p w14:paraId="2C72505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1C6EE9B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1100</w:t>
            </w:r>
          </w:p>
        </w:tc>
        <w:tc>
          <w:tcPr>
            <w:tcW w:w="1770" w:type="dxa"/>
            <w:tcBorders>
              <w:tl2br w:val="nil"/>
              <w:tr2bl w:val="nil"/>
            </w:tcBorders>
            <w:shd w:val="clear" w:color="auto" w:fill="auto"/>
            <w:vAlign w:val="center"/>
          </w:tcPr>
          <w:p w14:paraId="7F499D0C">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4.7 </w:t>
            </w:r>
          </w:p>
        </w:tc>
      </w:tr>
      <w:tr w14:paraId="4A8803A8">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3E88AA9B">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58CD0AF5">
            <w:pPr>
              <w:widowControl/>
              <w:spacing w:line="360" w:lineRule="exact"/>
              <w:ind w:firstLine="0" w:firstLineChars="0"/>
              <w:jc w:val="center"/>
              <w:textAlignment w:val="center"/>
              <w:rPr>
                <w:rFonts w:hint="default" w:ascii="Times New Roman" w:hAnsi="Times New Roman" w:eastAsia="宋体" w:cs="Times New Roman"/>
                <w:snapToGrid w:val="0"/>
                <w:color w:val="auto"/>
                <w:kern w:val="0"/>
                <w:sz w:val="21"/>
                <w:szCs w:val="21"/>
                <w:highlight w:val="none"/>
                <w:lang w:val="en-US" w:eastAsia="zh-CN" w:bidi="ar"/>
              </w:rPr>
            </w:pPr>
            <w:r>
              <w:rPr>
                <w:rFonts w:hint="eastAsia" w:cs="Times New Roman"/>
                <w:snapToGrid w:val="0"/>
                <w:color w:val="auto"/>
                <w:kern w:val="0"/>
                <w:sz w:val="21"/>
                <w:szCs w:val="21"/>
                <w:highlight w:val="none"/>
                <w:lang w:val="en-US" w:eastAsia="zh-CN" w:bidi="ar"/>
              </w:rPr>
              <w:t>骨骼</w:t>
            </w:r>
          </w:p>
        </w:tc>
        <w:tc>
          <w:tcPr>
            <w:tcW w:w="1740" w:type="dxa"/>
            <w:tcBorders>
              <w:tl2br w:val="nil"/>
              <w:tr2bl w:val="nil"/>
            </w:tcBorders>
            <w:shd w:val="clear" w:color="auto" w:fill="auto"/>
            <w:vAlign w:val="center"/>
          </w:tcPr>
          <w:p w14:paraId="588E1407">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602F47C8">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2225</w:t>
            </w:r>
          </w:p>
        </w:tc>
        <w:tc>
          <w:tcPr>
            <w:tcW w:w="1770" w:type="dxa"/>
            <w:tcBorders>
              <w:tl2br w:val="nil"/>
              <w:tr2bl w:val="nil"/>
            </w:tcBorders>
            <w:shd w:val="clear" w:color="auto" w:fill="auto"/>
            <w:vAlign w:val="center"/>
          </w:tcPr>
          <w:p w14:paraId="21DFBF75">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9.6 </w:t>
            </w:r>
          </w:p>
        </w:tc>
      </w:tr>
      <w:tr w14:paraId="11F92C12">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32111F93">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7C21A9E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小计</w:t>
            </w:r>
          </w:p>
        </w:tc>
        <w:tc>
          <w:tcPr>
            <w:tcW w:w="1740" w:type="dxa"/>
            <w:tcBorders>
              <w:tl2br w:val="nil"/>
              <w:tr2bl w:val="nil"/>
            </w:tcBorders>
            <w:shd w:val="clear" w:color="auto" w:fill="auto"/>
            <w:vAlign w:val="center"/>
          </w:tcPr>
          <w:p w14:paraId="7F0A9750">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130C0480">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21500</w:t>
            </w:r>
          </w:p>
        </w:tc>
        <w:tc>
          <w:tcPr>
            <w:tcW w:w="1770" w:type="dxa"/>
            <w:tcBorders>
              <w:tl2br w:val="nil"/>
              <w:tr2bl w:val="nil"/>
            </w:tcBorders>
            <w:shd w:val="clear" w:color="auto" w:fill="auto"/>
            <w:vAlign w:val="center"/>
          </w:tcPr>
          <w:p w14:paraId="677A42A6">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 xml:space="preserve">92.5 </w:t>
            </w:r>
          </w:p>
        </w:tc>
      </w:tr>
      <w:tr w14:paraId="313B5595">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restart"/>
            <w:tcBorders>
              <w:tl2br w:val="nil"/>
              <w:tr2bl w:val="nil"/>
            </w:tcBorders>
            <w:shd w:val="clear" w:color="auto" w:fill="auto"/>
            <w:vAlign w:val="center"/>
          </w:tcPr>
          <w:p w14:paraId="6369A2E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废物</w:t>
            </w:r>
          </w:p>
        </w:tc>
        <w:tc>
          <w:tcPr>
            <w:tcW w:w="1846" w:type="dxa"/>
            <w:tcBorders>
              <w:tl2br w:val="nil"/>
              <w:tr2bl w:val="nil"/>
            </w:tcBorders>
            <w:shd w:val="clear" w:color="auto" w:fill="auto"/>
            <w:vAlign w:val="center"/>
          </w:tcPr>
          <w:p w14:paraId="6BC926BB">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粪便</w:t>
            </w:r>
          </w:p>
        </w:tc>
        <w:tc>
          <w:tcPr>
            <w:tcW w:w="1740" w:type="dxa"/>
            <w:tcBorders>
              <w:tl2br w:val="nil"/>
              <w:tr2bl w:val="nil"/>
            </w:tcBorders>
            <w:shd w:val="clear" w:color="auto" w:fill="auto"/>
            <w:vAlign w:val="center"/>
          </w:tcPr>
          <w:p w14:paraId="2A9F5F05">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12EFF302">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650</w:t>
            </w:r>
          </w:p>
        </w:tc>
        <w:tc>
          <w:tcPr>
            <w:tcW w:w="1770" w:type="dxa"/>
            <w:tcBorders>
              <w:tl2br w:val="nil"/>
              <w:tr2bl w:val="nil"/>
            </w:tcBorders>
            <w:shd w:val="clear" w:color="auto" w:fill="auto"/>
            <w:vAlign w:val="center"/>
          </w:tcPr>
          <w:p w14:paraId="46B6F19D">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2.8 </w:t>
            </w:r>
          </w:p>
        </w:tc>
      </w:tr>
      <w:tr w14:paraId="7635EB2E">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48923527">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37C95AB2">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胃容物及肠内物</w:t>
            </w:r>
          </w:p>
        </w:tc>
        <w:tc>
          <w:tcPr>
            <w:tcW w:w="1740" w:type="dxa"/>
            <w:tcBorders>
              <w:tl2br w:val="nil"/>
              <w:tr2bl w:val="nil"/>
            </w:tcBorders>
            <w:shd w:val="clear" w:color="auto" w:fill="auto"/>
            <w:vAlign w:val="center"/>
          </w:tcPr>
          <w:p w14:paraId="280993A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5F9A395A">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595</w:t>
            </w:r>
          </w:p>
        </w:tc>
        <w:tc>
          <w:tcPr>
            <w:tcW w:w="1770" w:type="dxa"/>
            <w:tcBorders>
              <w:tl2br w:val="nil"/>
              <w:tr2bl w:val="nil"/>
            </w:tcBorders>
            <w:shd w:val="clear" w:color="auto" w:fill="auto"/>
            <w:vAlign w:val="center"/>
          </w:tcPr>
          <w:p w14:paraId="07774F0E">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2.6 </w:t>
            </w:r>
          </w:p>
        </w:tc>
      </w:tr>
      <w:tr w14:paraId="1F0C6FDD">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15E5A077">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07107F2A">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边角料</w:t>
            </w:r>
          </w:p>
        </w:tc>
        <w:tc>
          <w:tcPr>
            <w:tcW w:w="1740" w:type="dxa"/>
            <w:tcBorders>
              <w:tl2br w:val="nil"/>
              <w:tr2bl w:val="nil"/>
            </w:tcBorders>
            <w:shd w:val="clear" w:color="auto" w:fill="auto"/>
            <w:vAlign w:val="center"/>
          </w:tcPr>
          <w:p w14:paraId="5720F1FD">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7B6987D5">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225</w:t>
            </w:r>
          </w:p>
        </w:tc>
        <w:tc>
          <w:tcPr>
            <w:tcW w:w="1770" w:type="dxa"/>
            <w:tcBorders>
              <w:tl2br w:val="nil"/>
              <w:tr2bl w:val="nil"/>
            </w:tcBorders>
            <w:shd w:val="clear" w:color="auto" w:fill="auto"/>
            <w:vAlign w:val="center"/>
          </w:tcPr>
          <w:p w14:paraId="53748C76">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1.0 </w:t>
            </w:r>
          </w:p>
        </w:tc>
      </w:tr>
      <w:tr w14:paraId="181F9735">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474A7D59">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5126F47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病死牛、羊</w:t>
            </w:r>
          </w:p>
        </w:tc>
        <w:tc>
          <w:tcPr>
            <w:tcW w:w="1740" w:type="dxa"/>
            <w:tcBorders>
              <w:tl2br w:val="nil"/>
              <w:tr2bl w:val="nil"/>
            </w:tcBorders>
            <w:shd w:val="clear" w:color="auto" w:fill="auto"/>
            <w:vAlign w:val="center"/>
          </w:tcPr>
          <w:p w14:paraId="78F0D39F">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5DF71441">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150</w:t>
            </w:r>
          </w:p>
        </w:tc>
        <w:tc>
          <w:tcPr>
            <w:tcW w:w="1770" w:type="dxa"/>
            <w:tcBorders>
              <w:tl2br w:val="nil"/>
              <w:tr2bl w:val="nil"/>
            </w:tcBorders>
            <w:shd w:val="clear" w:color="auto" w:fill="auto"/>
            <w:vAlign w:val="center"/>
          </w:tcPr>
          <w:p w14:paraId="6A0F31A2">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0.6 </w:t>
            </w:r>
          </w:p>
        </w:tc>
      </w:tr>
      <w:tr w14:paraId="58EEF028">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09971385">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0787DAB5">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检疫不合格品</w:t>
            </w:r>
          </w:p>
        </w:tc>
        <w:tc>
          <w:tcPr>
            <w:tcW w:w="1740" w:type="dxa"/>
            <w:tcBorders>
              <w:tl2br w:val="nil"/>
              <w:tr2bl w:val="nil"/>
            </w:tcBorders>
            <w:shd w:val="clear" w:color="auto" w:fill="auto"/>
            <w:vAlign w:val="center"/>
          </w:tcPr>
          <w:p w14:paraId="03087823">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w:t>
            </w:r>
          </w:p>
        </w:tc>
        <w:tc>
          <w:tcPr>
            <w:tcW w:w="1590" w:type="dxa"/>
            <w:tcBorders>
              <w:tl2br w:val="nil"/>
              <w:tr2bl w:val="nil"/>
            </w:tcBorders>
            <w:shd w:val="clear" w:color="auto" w:fill="auto"/>
            <w:vAlign w:val="center"/>
          </w:tcPr>
          <w:p w14:paraId="5054800F">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130</w:t>
            </w:r>
          </w:p>
        </w:tc>
        <w:tc>
          <w:tcPr>
            <w:tcW w:w="1770" w:type="dxa"/>
            <w:tcBorders>
              <w:tl2br w:val="nil"/>
              <w:tr2bl w:val="nil"/>
            </w:tcBorders>
            <w:shd w:val="clear" w:color="auto" w:fill="auto"/>
            <w:vAlign w:val="center"/>
          </w:tcPr>
          <w:p w14:paraId="017037B9">
            <w:pPr>
              <w:widowControl/>
              <w:spacing w:line="360" w:lineRule="exact"/>
              <w:ind w:firstLine="0" w:firstLineChars="0"/>
              <w:jc w:val="center"/>
              <w:textAlignment w:val="center"/>
              <w:rPr>
                <w:rFonts w:hint="eastAsia"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0.6 </w:t>
            </w:r>
          </w:p>
        </w:tc>
      </w:tr>
      <w:tr w14:paraId="1B529CE9">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83" w:hRule="atLeast"/>
        </w:trPr>
        <w:tc>
          <w:tcPr>
            <w:tcW w:w="1231" w:type="dxa"/>
            <w:vMerge w:val="continue"/>
            <w:tcBorders>
              <w:tl2br w:val="nil"/>
              <w:tr2bl w:val="nil"/>
            </w:tcBorders>
            <w:shd w:val="clear" w:color="auto" w:fill="auto"/>
            <w:vAlign w:val="center"/>
          </w:tcPr>
          <w:p w14:paraId="5BCB7469">
            <w:pPr>
              <w:widowControl/>
              <w:spacing w:line="360" w:lineRule="exact"/>
              <w:ind w:firstLine="0" w:firstLineChars="0"/>
              <w:jc w:val="center"/>
              <w:rPr>
                <w:rFonts w:cs="Times New Roman"/>
                <w:color w:val="auto"/>
                <w:sz w:val="21"/>
                <w:szCs w:val="21"/>
                <w:highlight w:val="none"/>
              </w:rPr>
            </w:pPr>
          </w:p>
        </w:tc>
        <w:tc>
          <w:tcPr>
            <w:tcW w:w="1846" w:type="dxa"/>
            <w:tcBorders>
              <w:tl2br w:val="nil"/>
              <w:tr2bl w:val="nil"/>
            </w:tcBorders>
            <w:shd w:val="clear" w:color="auto" w:fill="auto"/>
            <w:vAlign w:val="center"/>
          </w:tcPr>
          <w:p w14:paraId="4AC6EB3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小计</w:t>
            </w:r>
          </w:p>
        </w:tc>
        <w:tc>
          <w:tcPr>
            <w:tcW w:w="1740" w:type="dxa"/>
            <w:tcBorders>
              <w:tl2br w:val="nil"/>
              <w:tr2bl w:val="nil"/>
            </w:tcBorders>
            <w:shd w:val="clear" w:color="auto" w:fill="auto"/>
            <w:vAlign w:val="center"/>
          </w:tcPr>
          <w:p w14:paraId="2440165F">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w:t>
            </w:r>
          </w:p>
        </w:tc>
        <w:tc>
          <w:tcPr>
            <w:tcW w:w="1590" w:type="dxa"/>
            <w:tcBorders>
              <w:tl2br w:val="nil"/>
              <w:tr2bl w:val="nil"/>
            </w:tcBorders>
            <w:shd w:val="clear" w:color="auto" w:fill="auto"/>
            <w:vAlign w:val="center"/>
          </w:tcPr>
          <w:p w14:paraId="581057B3">
            <w:pPr>
              <w:widowControl/>
              <w:spacing w:line="360" w:lineRule="exact"/>
              <w:ind w:firstLine="0" w:firstLineChars="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1750</w:t>
            </w:r>
          </w:p>
        </w:tc>
        <w:tc>
          <w:tcPr>
            <w:tcW w:w="1770" w:type="dxa"/>
            <w:tcBorders>
              <w:tl2br w:val="nil"/>
              <w:tr2bl w:val="nil"/>
            </w:tcBorders>
            <w:shd w:val="clear" w:color="auto" w:fill="auto"/>
            <w:vAlign w:val="center"/>
          </w:tcPr>
          <w:p w14:paraId="47C1E7D3">
            <w:pPr>
              <w:widowControl/>
              <w:spacing w:line="360" w:lineRule="exact"/>
              <w:ind w:firstLine="0" w:firstLineChars="0"/>
              <w:jc w:val="center"/>
              <w:textAlignment w:val="center"/>
              <w:rPr>
                <w:rFonts w:hint="default" w:cs="Times New Roman"/>
                <w:color w:val="auto"/>
                <w:kern w:val="0"/>
                <w:sz w:val="21"/>
                <w:szCs w:val="21"/>
                <w:highlight w:val="none"/>
                <w:lang w:val="en-US" w:eastAsia="zh-CN" w:bidi="ar"/>
              </w:rPr>
            </w:pPr>
            <w:r>
              <w:rPr>
                <w:rFonts w:hint="default" w:cs="Times New Roman"/>
                <w:color w:val="auto"/>
                <w:kern w:val="0"/>
                <w:sz w:val="21"/>
                <w:szCs w:val="21"/>
                <w:highlight w:val="none"/>
                <w:lang w:val="en-US" w:eastAsia="zh-CN" w:bidi="ar"/>
              </w:rPr>
              <w:t xml:space="preserve">7.5 </w:t>
            </w:r>
          </w:p>
        </w:tc>
      </w:tr>
    </w:tbl>
    <w:p w14:paraId="74A711F4">
      <w:pPr>
        <w:ind w:firstLine="0" w:firstLineChars="0"/>
        <w:rPr>
          <w:rFonts w:cs="Times New Roman"/>
          <w:b/>
          <w:bCs/>
          <w:color w:val="auto"/>
          <w:highlight w:val="none"/>
        </w:rPr>
      </w:pPr>
      <w:r>
        <w:rPr>
          <w:rFonts w:cs="Times New Roman"/>
          <w:b/>
          <w:bCs/>
          <w:color w:val="auto"/>
          <w:highlight w:val="none"/>
        </w:rPr>
        <w:t>注：牛的活屠重为500kg/头，羊的活屠重为 50kg/只。</w:t>
      </w:r>
    </w:p>
    <w:p w14:paraId="07F09F24">
      <w:pPr>
        <w:keepNext/>
        <w:keepLines/>
        <w:adjustRightInd/>
        <w:snapToGrid/>
        <w:spacing w:line="500" w:lineRule="exact"/>
        <w:ind w:firstLine="0" w:firstLineChars="0"/>
        <w:jc w:val="left"/>
        <w:outlineLvl w:val="2"/>
        <w:rPr>
          <w:rFonts w:hint="default" w:eastAsia="黑体" w:cs="Times New Roman"/>
          <w:bCs/>
          <w:snapToGrid w:val="0"/>
          <w:color w:val="auto"/>
          <w:kern w:val="0"/>
          <w:szCs w:val="32"/>
          <w:highlight w:val="none"/>
          <w:lang w:val="en-US" w:eastAsia="zh-CN"/>
        </w:rPr>
      </w:pPr>
      <w:bookmarkStart w:id="134" w:name="_Toc23911"/>
      <w:r>
        <w:rPr>
          <w:rFonts w:hint="eastAsia" w:eastAsia="黑体" w:cs="Times New Roman"/>
          <w:bCs/>
          <w:snapToGrid w:val="0"/>
          <w:color w:val="auto"/>
          <w:kern w:val="0"/>
          <w:szCs w:val="32"/>
          <w:highlight w:val="none"/>
          <w:lang w:val="en-US" w:eastAsia="zh-CN"/>
        </w:rPr>
        <w:t>3.3.3牲畜及屠体检疫</w:t>
      </w:r>
      <w:bookmarkEnd w:id="134"/>
    </w:p>
    <w:p w14:paraId="73E613A2">
      <w:pPr>
        <w:pStyle w:val="5"/>
        <w:bidi w:val="0"/>
        <w:rPr>
          <w:rFonts w:hint="default"/>
          <w:color w:val="auto"/>
          <w:highlight w:val="none"/>
          <w:lang w:val="en-US" w:eastAsia="zh-CN"/>
        </w:rPr>
      </w:pPr>
      <w:r>
        <w:rPr>
          <w:rFonts w:hint="eastAsia"/>
          <w:color w:val="auto"/>
          <w:highlight w:val="none"/>
          <w:lang w:val="en-US" w:eastAsia="zh-CN"/>
        </w:rPr>
        <w:t>3.3.3.1进场检查</w:t>
      </w:r>
    </w:p>
    <w:p w14:paraId="14112E6A">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屠畜进场待宰时先有要进行询问和索证（三证：产地检疫证或运输检疫证、车辆消毒证、非疫区证明和牧户的饲养日志的用药和饲养的相关记录）。验证由</w:t>
      </w:r>
      <w:r>
        <w:rPr>
          <w:rFonts w:hint="eastAsia" w:cs="Times New Roman"/>
          <w:snapToGrid w:val="0"/>
          <w:color w:val="auto"/>
          <w:kern w:val="0"/>
          <w:highlight w:val="none"/>
          <w:lang w:val="en-US" w:eastAsia="zh-CN"/>
        </w:rPr>
        <w:t>屠宰场</w:t>
      </w:r>
      <w:r>
        <w:rPr>
          <w:rFonts w:cs="Times New Roman"/>
          <w:snapToGrid w:val="0"/>
          <w:color w:val="auto"/>
          <w:kern w:val="0"/>
          <w:highlight w:val="none"/>
        </w:rPr>
        <w:t>和当地农牧部门派驻的检疫员同时进行，如果无证或是证照不全的，</w:t>
      </w:r>
      <w:r>
        <w:rPr>
          <w:rFonts w:hint="eastAsia" w:cs="Times New Roman"/>
          <w:snapToGrid w:val="0"/>
          <w:color w:val="auto"/>
          <w:kern w:val="0"/>
          <w:highlight w:val="none"/>
          <w:lang w:val="en-US" w:eastAsia="zh-CN"/>
        </w:rPr>
        <w:t>由</w:t>
      </w:r>
      <w:r>
        <w:rPr>
          <w:rFonts w:cs="Times New Roman"/>
          <w:snapToGrid w:val="0"/>
          <w:color w:val="auto"/>
          <w:kern w:val="0"/>
          <w:highlight w:val="none"/>
        </w:rPr>
        <w:t>驻场员进行补检出证，</w:t>
      </w:r>
      <w:r>
        <w:rPr>
          <w:rFonts w:hint="eastAsia" w:cs="Times New Roman"/>
          <w:snapToGrid w:val="0"/>
          <w:color w:val="auto"/>
          <w:kern w:val="0"/>
          <w:highlight w:val="none"/>
          <w:lang w:val="en-US" w:eastAsia="zh-CN"/>
        </w:rPr>
        <w:t>屠宰场</w:t>
      </w:r>
      <w:r>
        <w:rPr>
          <w:rFonts w:cs="Times New Roman"/>
          <w:snapToGrid w:val="0"/>
          <w:color w:val="auto"/>
          <w:kern w:val="0"/>
          <w:highlight w:val="none"/>
        </w:rPr>
        <w:t>留存证件。</w:t>
      </w:r>
    </w:p>
    <w:p w14:paraId="6F538521">
      <w:pPr>
        <w:pStyle w:val="5"/>
        <w:bidi w:val="0"/>
        <w:rPr>
          <w:rFonts w:hint="eastAsia"/>
          <w:color w:val="auto"/>
          <w:highlight w:val="none"/>
          <w:lang w:val="en-US" w:eastAsia="zh-CN"/>
        </w:rPr>
      </w:pPr>
      <w:r>
        <w:rPr>
          <w:rFonts w:hint="eastAsia"/>
          <w:color w:val="auto"/>
          <w:highlight w:val="none"/>
          <w:lang w:val="en-US" w:eastAsia="zh-CN"/>
        </w:rPr>
        <w:t>3.3.3.2宰前检疫</w:t>
      </w:r>
    </w:p>
    <w:p w14:paraId="4FC5924E">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群体检查：屠畜进场经过验证后，观察其体表外表形态和精神状况。</w:t>
      </w:r>
    </w:p>
    <w:p w14:paraId="719C04B4">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个体检查：逐只（头）进行测温，看其精神、行动、听叫声、呼吸作是否正常。检查皮肤上是否由隆起肿块等。</w:t>
      </w:r>
    </w:p>
    <w:p w14:paraId="524C11FB">
      <w:pPr>
        <w:adjustRightInd/>
        <w:snapToGrid/>
        <w:spacing w:line="500" w:lineRule="exact"/>
        <w:rPr>
          <w:rFonts w:hint="eastAsia" w:cs="Times New Roman"/>
          <w:b/>
          <w:bCs/>
          <w:snapToGrid w:val="0"/>
          <w:color w:val="auto"/>
          <w:kern w:val="0"/>
          <w:highlight w:val="none"/>
          <w:lang w:val="en-US" w:eastAsia="zh-CN"/>
        </w:rPr>
      </w:pPr>
      <w:r>
        <w:rPr>
          <w:rFonts w:hint="eastAsia" w:cs="Times New Roman"/>
          <w:b/>
          <w:bCs/>
          <w:snapToGrid w:val="0"/>
          <w:color w:val="auto"/>
          <w:kern w:val="0"/>
          <w:highlight w:val="none"/>
          <w:lang w:val="en-US" w:eastAsia="zh-CN"/>
        </w:rPr>
        <w:t>1、牛宰前检疫要点</w:t>
      </w:r>
    </w:p>
    <w:p w14:paraId="2F5F154F">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牛宰前主要是看牛结核、口蹄疫等。</w:t>
      </w:r>
    </w:p>
    <w:p w14:paraId="18ABDC04">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（1）群体检查时要注意牛的精神外貌，运动姿态，呼吸和咳嗽、鼻镜、反、触检体表淋巴结的查看。对精神委顿。站立不稳、横卧于地，呻吟等有痛苦表现异常的牛，均应进行近一步的检查。</w:t>
      </w:r>
    </w:p>
    <w:p w14:paraId="3F60B183">
      <w:pPr>
        <w:adjustRightInd/>
        <w:snapToGrid/>
        <w:spacing w:line="500" w:lineRule="exact"/>
        <w:rPr>
          <w:rFonts w:hint="default" w:cs="Times New Roman"/>
          <w:snapToGrid w:val="0"/>
          <w:color w:val="auto"/>
          <w:kern w:val="0"/>
          <w:highlight w:val="none"/>
          <w:lang w:val="en-US" w:eastAsia="zh-CN"/>
        </w:rPr>
      </w:pPr>
      <w:r>
        <w:rPr>
          <w:rFonts w:hint="eastAsia" w:cs="Times New Roman"/>
          <w:snapToGrid w:val="0"/>
          <w:color w:val="auto"/>
          <w:kern w:val="0"/>
          <w:highlight w:val="none"/>
          <w:lang w:val="en-US" w:eastAsia="zh-CN"/>
        </w:rPr>
        <w:t>（2）逐斗测量体温，对检查多种急性传染病有很重要的意义。有很多传染病体温相对升高。</w:t>
      </w:r>
      <w:r>
        <w:rPr>
          <w:rFonts w:hint="eastAsia" w:cs="Times New Roman"/>
          <w:snapToGrid w:val="0"/>
          <w:color w:val="auto"/>
          <w:kern w:val="0"/>
          <w:highlight w:val="none"/>
          <w:lang w:val="en-US" w:eastAsia="zh-CN"/>
        </w:rPr>
        <w:br w:type="textWrapping"/>
      </w:r>
      <w:r>
        <w:rPr>
          <w:rFonts w:hint="eastAsia" w:cs="Times New Roman"/>
          <w:b/>
          <w:bCs/>
          <w:snapToGrid w:val="0"/>
          <w:color w:val="auto"/>
          <w:kern w:val="0"/>
          <w:highlight w:val="none"/>
          <w:lang w:val="en-US" w:eastAsia="zh-CN"/>
        </w:rPr>
        <w:t xml:space="preserve">    2、羊宰前检疫要点</w:t>
      </w:r>
    </w:p>
    <w:p w14:paraId="179890F3">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（1）羊宰前检疫主要是发现口蹄疫病，其他症状前不是很明显。</w:t>
      </w:r>
    </w:p>
    <w:p w14:paraId="74C57FEA">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（2）大群检疫时应注意羊站立状态呼吸和咳嗽、反刍情况。如有异常，应做进步的检查。</w:t>
      </w:r>
    </w:p>
    <w:p w14:paraId="701566AA">
      <w:pPr>
        <w:adjustRightInd/>
        <w:snapToGrid/>
        <w:spacing w:line="500" w:lineRule="exact"/>
        <w:rPr>
          <w:rFonts w:hint="eastAsia" w:cs="Times New Roman"/>
          <w:snapToGrid w:val="0"/>
          <w:color w:val="auto"/>
          <w:kern w:val="0"/>
          <w:highlight w:val="none"/>
          <w:lang w:val="en-US" w:eastAsia="zh-CN"/>
        </w:rPr>
      </w:pPr>
      <w:r>
        <w:rPr>
          <w:rFonts w:hint="eastAsia" w:cs="Times New Roman"/>
          <w:snapToGrid w:val="0"/>
          <w:color w:val="auto"/>
          <w:kern w:val="0"/>
          <w:highlight w:val="none"/>
          <w:lang w:val="en-US" w:eastAsia="zh-CN"/>
        </w:rPr>
        <w:t>（3）羊个体检查要注意检测体温、呼吸、外表体态。</w:t>
      </w:r>
    </w:p>
    <w:p w14:paraId="0F5069C7">
      <w:pPr>
        <w:adjustRightInd/>
        <w:snapToGrid/>
        <w:spacing w:line="500" w:lineRule="exact"/>
        <w:rPr>
          <w:rFonts w:hint="eastAsia"/>
          <w:color w:val="auto"/>
          <w:highlight w:val="none"/>
          <w:lang w:val="en-US" w:eastAsia="zh-CN"/>
        </w:rPr>
      </w:pPr>
      <w:r>
        <w:rPr>
          <w:rFonts w:hint="eastAsia" w:cs="Times New Roman"/>
          <w:snapToGrid w:val="0"/>
          <w:color w:val="auto"/>
          <w:kern w:val="0"/>
          <w:highlight w:val="none"/>
          <w:lang w:val="en-US" w:eastAsia="zh-CN"/>
        </w:rPr>
        <w:t>经过宰前检疫的屠畜，在确认健康的屠畜，公司方宰前检疫人员可以开具健康准宰证明进入车间待宰。如发现可疑症状，但没有办法确认是恶性传染病的屠畜，要拒收，并立即要求牧户尽快运出厂区外。死畜不能够进入车间，如疑似传染病的死畜，应立即做销毁处理。宰前检疫员应立即上报。</w:t>
      </w:r>
    </w:p>
    <w:p w14:paraId="78D626C0">
      <w:pPr>
        <w:bidi w:val="0"/>
        <w:ind w:left="0" w:leftChars="0" w:firstLine="0" w:firstLineChars="0"/>
        <w:rPr>
          <w:rFonts w:hint="eastAsia"/>
          <w:color w:val="auto"/>
          <w:highlight w:val="none"/>
          <w:lang w:val="en-US" w:eastAsia="zh-CN"/>
        </w:rPr>
      </w:pPr>
      <w:r>
        <w:rPr>
          <w:rStyle w:val="72"/>
          <w:rFonts w:hint="eastAsia"/>
          <w:color w:val="auto"/>
          <w:highlight w:val="none"/>
          <w:lang w:val="en-US" w:eastAsia="zh-CN"/>
        </w:rPr>
        <w:t>3.3.3.3宰后检验：（牛、羊）</w:t>
      </w:r>
    </w:p>
    <w:p w14:paraId="57E861A9">
      <w:pPr>
        <w:bidi w:val="0"/>
        <w:rPr>
          <w:rFonts w:hint="eastAsia"/>
          <w:b/>
          <w:bCs/>
          <w:color w:val="auto"/>
          <w:highlight w:val="none"/>
          <w:lang w:val="en-US" w:eastAsia="zh-CN"/>
        </w:rPr>
      </w:pPr>
      <w:r>
        <w:rPr>
          <w:rFonts w:hint="eastAsia"/>
          <w:b/>
          <w:bCs/>
          <w:color w:val="auto"/>
          <w:highlight w:val="none"/>
          <w:lang w:val="en-US" w:eastAsia="zh-CN"/>
        </w:rPr>
        <w:t>1、方法</w:t>
      </w:r>
    </w:p>
    <w:p w14:paraId="5C1EE53B">
      <w:pPr>
        <w:bidi w:val="0"/>
        <w:rPr>
          <w:rFonts w:hint="eastAsia"/>
          <w:color w:val="auto"/>
          <w:highlight w:val="none"/>
          <w:lang w:val="en-US" w:eastAsia="zh-CN"/>
        </w:rPr>
      </w:pPr>
      <w:r>
        <w:rPr>
          <w:rFonts w:hint="eastAsia"/>
          <w:color w:val="auto"/>
          <w:highlight w:val="none"/>
          <w:lang w:val="en-US" w:eastAsia="zh-CN"/>
        </w:rPr>
        <w:t>为了便于检验工作的进行以及检验结果与被检屠肉尸和内脏相附，在加工过程中，其头、肉尸和内脏进行编号进行同步检验。</w:t>
      </w:r>
    </w:p>
    <w:p w14:paraId="31ECB63F">
      <w:pPr>
        <w:bidi w:val="0"/>
        <w:rPr>
          <w:rFonts w:hint="eastAsia"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（1）感官检验：</w:t>
      </w:r>
    </w:p>
    <w:p w14:paraId="34B07793">
      <w:pPr>
        <w:bidi w:val="0"/>
        <w:rPr>
          <w:rFonts w:hint="eastAsia"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视检：观察肉体、内脏的暴露部位的色泽、大小、形状等由无异常，必要时进行剖检脏器、淋巴结、以及肌肉、骨骼的变化等。还有初步观察肉体的水分含量。</w:t>
      </w:r>
    </w:p>
    <w:p w14:paraId="21C20AC4">
      <w:pPr>
        <w:bidi w:val="0"/>
        <w:rPr>
          <w:color w:val="auto"/>
          <w:highlight w:val="none"/>
        </w:rPr>
      </w:pPr>
      <w:r>
        <w:rPr>
          <w:rFonts w:hint="eastAsia" w:ascii="Times New Roman" w:hAnsi="Times New Roman" w:eastAsia="宋体"/>
          <w:color w:val="auto"/>
          <w:highlight w:val="none"/>
          <w:lang w:val="en-US" w:eastAsia="zh-CN"/>
        </w:rPr>
        <w:t>触检：在判定组织的硬度变化时，要用手触摸检验。可以感触脏器的变化和有无病灶，</w:t>
      </w:r>
      <w:r>
        <w:rPr>
          <w:color w:val="auto"/>
          <w:highlight w:val="none"/>
        </w:rPr>
        <w:t>必要时进行</w:t>
      </w:r>
      <w:r>
        <w:rPr>
          <w:rFonts w:hint="eastAsia"/>
          <w:color w:val="auto"/>
          <w:highlight w:val="none"/>
          <w:lang w:val="en-US" w:eastAsia="zh-CN"/>
        </w:rPr>
        <w:t>剖检</w:t>
      </w:r>
      <w:r>
        <w:rPr>
          <w:color w:val="auto"/>
          <w:highlight w:val="none"/>
        </w:rPr>
        <w:t>”</w:t>
      </w:r>
      <w:r>
        <w:rPr>
          <w:rFonts w:hint="eastAsia"/>
          <w:color w:val="auto"/>
          <w:highlight w:val="none"/>
          <w:lang w:eastAsia="zh-CN"/>
        </w:rPr>
        <w:t>。</w:t>
      </w:r>
    </w:p>
    <w:p w14:paraId="7BBDF680">
      <w:pPr>
        <w:bidi w:val="0"/>
        <w:rPr>
          <w:color w:val="auto"/>
          <w:highlight w:val="none"/>
        </w:rPr>
      </w:pPr>
      <w:r>
        <w:rPr>
          <w:color w:val="auto"/>
          <w:highlight w:val="none"/>
        </w:rPr>
        <w:t>嗅觉：有的肉体外观上发生轻微色泽变化，如灰色、淡绿色等，可能是肉的酸性发酵和已经开始腐败的征象，或者是有的屠畜在宰前就有尿毒症、某些药物治疗者，在宰后肉体上发出的特色气味，所以在必要时要进行嗅检。</w:t>
      </w:r>
    </w:p>
    <w:p w14:paraId="400E1F7A">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rPr>
        <w:t>化验室检验：</w:t>
      </w:r>
    </w:p>
    <w:p w14:paraId="5067372D">
      <w:pPr>
        <w:bidi w:val="0"/>
        <w:rPr>
          <w:rFonts w:hint="default"/>
          <w:color w:val="auto"/>
          <w:highlight w:val="none"/>
          <w:lang w:val="en-US" w:eastAsia="zh-CN"/>
        </w:rPr>
      </w:pPr>
      <w:r>
        <w:rPr>
          <w:rFonts w:hint="eastAsia"/>
          <w:color w:val="auto"/>
          <w:highlight w:val="none"/>
          <w:lang w:val="en-US" w:eastAsia="zh-CN"/>
        </w:rPr>
        <w:t>本项目化验室主要用于寄生虫检疫，取生牛、羊左右隔膜肌肉，制成压片，检验肌纤维组织，放在显微镜下观察是否有悬毛虫与住肉孢子虫。</w:t>
      </w:r>
    </w:p>
    <w:p w14:paraId="574D0481">
      <w:pPr>
        <w:bidi w:val="0"/>
        <w:rPr>
          <w:rFonts w:hint="eastAsia" w:ascii="Times New Roman" w:hAnsi="Times New Roman" w:eastAsia="宋体"/>
          <w:b/>
          <w:bCs/>
          <w:color w:val="auto"/>
          <w:highlight w:val="none"/>
          <w:lang w:val="en-US" w:eastAsia="zh-CN"/>
        </w:rPr>
      </w:pPr>
      <w:r>
        <w:rPr>
          <w:rFonts w:hint="eastAsia" w:ascii="Times New Roman" w:hAnsi="Times New Roman" w:eastAsia="宋体"/>
          <w:b/>
          <w:bCs/>
          <w:color w:val="auto"/>
          <w:highlight w:val="none"/>
          <w:lang w:val="en-US" w:eastAsia="zh-CN"/>
        </w:rPr>
        <w:t>2、宰后检验步骤和要点</w:t>
      </w:r>
    </w:p>
    <w:p w14:paraId="68EB1BEF">
      <w:pPr>
        <w:keepNext w:val="0"/>
        <w:keepLines w:val="0"/>
        <w:pageBreakBefore w:val="0"/>
        <w:widowControl w:val="0"/>
        <w:numPr>
          <w:ilvl w:val="0"/>
          <w:numId w:val="0"/>
        </w:numPr>
        <w:kinsoku/>
        <w:wordWrap/>
        <w:overflowPunct/>
        <w:topLinePunct w:val="0"/>
        <w:autoSpaceDE/>
        <w:autoSpaceDN/>
        <w:bidi w:val="0"/>
        <w:adjustRightInd w:val="0"/>
        <w:snapToGrid w:val="0"/>
        <w:ind w:leftChars="0" w:firstLine="480" w:firstLineChars="200"/>
        <w:jc w:val="left"/>
        <w:textAlignment w:val="auto"/>
        <w:rPr>
          <w:color w:val="auto"/>
          <w:highlight w:val="none"/>
        </w:rPr>
      </w:pPr>
      <w:r>
        <w:rPr>
          <w:color w:val="auto"/>
          <w:highlight w:val="none"/>
        </w:rPr>
        <w:t>（1）头部检验：</w:t>
      </w:r>
    </w:p>
    <w:p w14:paraId="6E35E122">
      <w:pPr>
        <w:keepNext w:val="0"/>
        <w:keepLines w:val="0"/>
        <w:pageBreakBefore w:val="0"/>
        <w:widowControl w:val="0"/>
        <w:numPr>
          <w:ilvl w:val="0"/>
          <w:numId w:val="0"/>
        </w:numPr>
        <w:kinsoku/>
        <w:wordWrap/>
        <w:overflowPunct/>
        <w:topLinePunct w:val="0"/>
        <w:autoSpaceDE/>
        <w:autoSpaceDN/>
        <w:bidi w:val="0"/>
        <w:adjustRightInd w:val="0"/>
        <w:snapToGrid w:val="0"/>
        <w:ind w:leftChars="0" w:firstLine="480" w:firstLineChars="200"/>
        <w:jc w:val="left"/>
        <w:textAlignment w:val="auto"/>
        <w:rPr>
          <w:rFonts w:hint="eastAsia" w:ascii="Times New Roman" w:hAnsi="Times New Roman" w:eastAsia="宋体"/>
          <w:color w:val="auto"/>
          <w:highlight w:val="none"/>
          <w:lang w:val="en-US" w:eastAsia="zh-CN"/>
        </w:rPr>
      </w:pPr>
      <w:r>
        <w:rPr>
          <w:rFonts w:ascii="Times New Roman" w:hAnsi="Times New Roman" w:eastAsia="宋体"/>
          <w:color w:val="auto"/>
          <w:highlight w:val="none"/>
        </w:rPr>
        <w:t>A、观看牛头的外观有无肿胀和骨骼的突出，判定是否有放线菌病变。还要观察牛舌的形状和硬度。</w:t>
      </w:r>
    </w:p>
    <w:p w14:paraId="194A6B79">
      <w:pPr>
        <w:keepNext w:val="0"/>
        <w:keepLines w:val="0"/>
        <w:pageBreakBefore w:val="0"/>
        <w:widowControl w:val="0"/>
        <w:numPr>
          <w:ilvl w:val="0"/>
          <w:numId w:val="0"/>
        </w:numPr>
        <w:kinsoku/>
        <w:wordWrap/>
        <w:overflowPunct/>
        <w:topLinePunct w:val="0"/>
        <w:autoSpaceDE/>
        <w:autoSpaceDN/>
        <w:bidi w:val="0"/>
        <w:adjustRightInd w:val="0"/>
        <w:snapToGrid w:val="0"/>
        <w:ind w:leftChars="0" w:firstLine="480" w:firstLineChars="200"/>
        <w:jc w:val="left"/>
        <w:textAlignment w:val="auto"/>
        <w:rPr>
          <w:rFonts w:ascii="Times New Roman" w:hAnsi="Times New Roman" w:eastAsia="宋体"/>
          <w:color w:val="auto"/>
          <w:highlight w:val="none"/>
        </w:rPr>
      </w:pPr>
      <w:r>
        <w:rPr>
          <w:rFonts w:hint="eastAsia" w:ascii="Times New Roman" w:hAnsi="Times New Roman" w:eastAsia="宋体"/>
          <w:color w:val="auto"/>
          <w:highlight w:val="none"/>
          <w:lang w:val="en-US" w:eastAsia="zh-CN"/>
        </w:rPr>
        <w:t>B、</w:t>
      </w:r>
      <w:r>
        <w:rPr>
          <w:rFonts w:ascii="Times New Roman" w:hAnsi="Times New Roman" w:eastAsia="宋体"/>
          <w:color w:val="auto"/>
          <w:highlight w:val="none"/>
        </w:rPr>
        <w:t>淋巴结检验：剖检颌下淋巴结和咽后淋巴结，检查有无结核病变和炭疽。</w:t>
      </w:r>
    </w:p>
    <w:p w14:paraId="0531AF61">
      <w:pPr>
        <w:keepNext w:val="0"/>
        <w:keepLines w:val="0"/>
        <w:pageBreakBefore w:val="0"/>
        <w:widowControl w:val="0"/>
        <w:numPr>
          <w:ilvl w:val="0"/>
          <w:numId w:val="0"/>
        </w:numPr>
        <w:kinsoku/>
        <w:wordWrap/>
        <w:overflowPunct/>
        <w:topLinePunct w:val="0"/>
        <w:autoSpaceDE/>
        <w:autoSpaceDN/>
        <w:bidi w:val="0"/>
        <w:adjustRightInd w:val="0"/>
        <w:snapToGrid w:val="0"/>
        <w:ind w:leftChars="0" w:firstLine="480" w:firstLineChars="200"/>
        <w:jc w:val="left"/>
        <w:textAlignment w:val="auto"/>
        <w:rPr>
          <w:rFonts w:ascii="Times New Roman" w:hAnsi="Times New Roman" w:eastAsia="宋体"/>
          <w:color w:val="auto"/>
          <w:highlight w:val="none"/>
        </w:rPr>
      </w:pPr>
      <w:r>
        <w:rPr>
          <w:rFonts w:ascii="Times New Roman" w:hAnsi="Times New Roman" w:eastAsia="宋体"/>
          <w:color w:val="auto"/>
          <w:highlight w:val="none"/>
        </w:rPr>
        <w:t>C、肌肉检验：内外咬肌的剖检，通过同检验查看是否有囊虫。注：羊一般不进行头部检验。</w:t>
      </w:r>
    </w:p>
    <w:p w14:paraId="770C13FC">
      <w:pPr>
        <w:keepNext w:val="0"/>
        <w:keepLines w:val="0"/>
        <w:pageBreakBefore w:val="0"/>
        <w:widowControl w:val="0"/>
        <w:numPr>
          <w:ilvl w:val="0"/>
          <w:numId w:val="0"/>
        </w:numPr>
        <w:kinsoku/>
        <w:wordWrap/>
        <w:overflowPunct/>
        <w:topLinePunct w:val="0"/>
        <w:autoSpaceDE/>
        <w:autoSpaceDN/>
        <w:bidi w:val="0"/>
        <w:adjustRightInd w:val="0"/>
        <w:snapToGrid w:val="0"/>
        <w:ind w:leftChars="0" w:firstLine="480" w:firstLineChars="200"/>
        <w:jc w:val="left"/>
        <w:textAlignment w:val="auto"/>
        <w:rPr>
          <w:rFonts w:ascii="Times New Roman" w:hAnsi="Times New Roman" w:eastAsia="宋体"/>
          <w:color w:val="auto"/>
          <w:highlight w:val="none"/>
        </w:rPr>
      </w:pPr>
      <w:r>
        <w:rPr>
          <w:rFonts w:hint="eastAsia" w:ascii="Times New Roman" w:hAnsi="Times New Roman" w:eastAsia="宋体"/>
          <w:color w:val="auto"/>
          <w:highlight w:val="none"/>
          <w:lang w:eastAsia="zh-CN"/>
        </w:rPr>
        <w:t>（</w:t>
      </w:r>
      <w:r>
        <w:rPr>
          <w:rFonts w:hint="eastAsia" w:ascii="Times New Roman" w:hAnsi="Times New Roman" w:eastAsia="宋体"/>
          <w:color w:val="auto"/>
          <w:highlight w:val="none"/>
          <w:lang w:val="en-US" w:eastAsia="zh-CN"/>
        </w:rPr>
        <w:t>2</w:t>
      </w:r>
      <w:r>
        <w:rPr>
          <w:rFonts w:hint="eastAsia" w:ascii="Times New Roman" w:hAnsi="Times New Roman" w:eastAsia="宋体"/>
          <w:color w:val="auto"/>
          <w:highlight w:val="none"/>
          <w:lang w:eastAsia="zh-CN"/>
        </w:rPr>
        <w:t>）</w:t>
      </w:r>
      <w:r>
        <w:rPr>
          <w:rFonts w:ascii="Times New Roman" w:hAnsi="Times New Roman" w:eastAsia="宋体"/>
          <w:color w:val="auto"/>
          <w:highlight w:val="none"/>
        </w:rPr>
        <w:t>内脏检验：</w:t>
      </w:r>
    </w:p>
    <w:p w14:paraId="29ACD46B">
      <w:pPr>
        <w:keepNext w:val="0"/>
        <w:keepLines w:val="0"/>
        <w:pageBreakBefore w:val="0"/>
        <w:widowControl w:val="0"/>
        <w:numPr>
          <w:ilvl w:val="0"/>
          <w:numId w:val="9"/>
        </w:numPr>
        <w:kinsoku/>
        <w:wordWrap/>
        <w:overflowPunct/>
        <w:topLinePunct w:val="0"/>
        <w:autoSpaceDE/>
        <w:autoSpaceDN/>
        <w:bidi w:val="0"/>
        <w:adjustRightInd w:val="0"/>
        <w:snapToGrid w:val="0"/>
        <w:ind w:leftChars="0" w:firstLine="480" w:firstLineChars="200"/>
        <w:jc w:val="left"/>
        <w:textAlignment w:val="auto"/>
        <w:rPr>
          <w:rFonts w:ascii="Times New Roman" w:hAnsi="Times New Roman" w:eastAsia="宋体"/>
          <w:color w:val="auto"/>
          <w:highlight w:val="none"/>
        </w:rPr>
      </w:pPr>
      <w:r>
        <w:rPr>
          <w:rFonts w:ascii="Times New Roman" w:hAnsi="Times New Roman" w:eastAsia="宋体"/>
          <w:color w:val="auto"/>
          <w:highlight w:val="none"/>
        </w:rPr>
        <w:t>胃肠检验：先检胃肠的外形，浆膜有无充血、出血现象，然后剖检肠系膜淋巴结。牛、羊的炭疽，其淋巴结肿大。</w:t>
      </w:r>
    </w:p>
    <w:p w14:paraId="2C492458">
      <w:pPr>
        <w:keepNext w:val="0"/>
        <w:keepLines w:val="0"/>
        <w:pageBreakBefore w:val="0"/>
        <w:widowControl w:val="0"/>
        <w:numPr>
          <w:ilvl w:val="0"/>
          <w:numId w:val="9"/>
        </w:numPr>
        <w:kinsoku/>
        <w:wordWrap/>
        <w:overflowPunct/>
        <w:topLinePunct w:val="0"/>
        <w:autoSpaceDE/>
        <w:autoSpaceDN/>
        <w:bidi w:val="0"/>
        <w:adjustRightInd w:val="0"/>
        <w:snapToGrid w:val="0"/>
        <w:ind w:leftChars="0" w:firstLine="480" w:firstLineChars="200"/>
        <w:jc w:val="left"/>
        <w:textAlignment w:val="auto"/>
        <w:rPr>
          <w:color w:val="auto"/>
          <w:highlight w:val="none"/>
        </w:rPr>
      </w:pPr>
      <w:r>
        <w:rPr>
          <w:rFonts w:ascii="Times New Roman" w:hAnsi="Times New Roman" w:eastAsia="宋体"/>
          <w:color w:val="auto"/>
          <w:highlight w:val="none"/>
        </w:rPr>
        <w:t>脾脏检验：检验时观察去形状大</w:t>
      </w:r>
      <w:r>
        <w:rPr>
          <w:color w:val="auto"/>
          <w:highlight w:val="none"/>
        </w:rPr>
        <w:t>小色泽，必要时剖检脾髓，牛、羊炭疽发生炭疽时脾脏肿大，触之易破裂，脾髓呈暗黑色。</w:t>
      </w:r>
    </w:p>
    <w:p w14:paraId="0CE01029">
      <w:pPr>
        <w:numPr>
          <w:ilvl w:val="0"/>
          <w:numId w:val="9"/>
        </w:numPr>
        <w:bidi w:val="0"/>
        <w:ind w:left="0" w:leftChars="0" w:firstLine="480" w:firstLineChars="200"/>
        <w:rPr>
          <w:color w:val="auto"/>
          <w:highlight w:val="none"/>
        </w:rPr>
      </w:pPr>
      <w:r>
        <w:rPr>
          <w:color w:val="auto"/>
          <w:highlight w:val="none"/>
        </w:rPr>
        <w:t>肺脏检验：先观察表面有无充血，出血及化脓等病变，其次是触检，感觉肺部有结节或块装物时，再切开肺实质及气管进行检验，如有异常还要切开支气管及纵隔淋巴结检验。如：牛结核、牛肺疫、肺丝虫，在肺部有的变化外，淋巴结也有相应的变化。</w:t>
      </w:r>
    </w:p>
    <w:p w14:paraId="02A31CA2">
      <w:pPr>
        <w:numPr>
          <w:ilvl w:val="0"/>
          <w:numId w:val="9"/>
        </w:numPr>
        <w:bidi w:val="0"/>
        <w:ind w:left="0" w:leftChars="0" w:firstLine="480" w:firstLineChars="200"/>
        <w:rPr>
          <w:color w:val="auto"/>
          <w:highlight w:val="none"/>
        </w:rPr>
      </w:pPr>
      <w:r>
        <w:rPr>
          <w:color w:val="auto"/>
          <w:highlight w:val="none"/>
        </w:rPr>
        <w:t>心脏检验：先检查心包是否正常，切开心包观察心囊液的形状，然后检查心机有无囊虫和出血想象，并沿动脉切开心室检验房室瓣及心膜，一般急性传染病，常常引起心包、心实质、外膜的出血</w:t>
      </w:r>
      <w:r>
        <w:rPr>
          <w:rFonts w:hint="eastAsia"/>
          <w:color w:val="auto"/>
          <w:highlight w:val="none"/>
          <w:lang w:eastAsia="zh-CN"/>
        </w:rPr>
        <w:t>。</w:t>
      </w:r>
    </w:p>
    <w:p w14:paraId="2648345A">
      <w:pPr>
        <w:numPr>
          <w:ilvl w:val="0"/>
          <w:numId w:val="9"/>
        </w:numPr>
        <w:bidi w:val="0"/>
        <w:ind w:left="0" w:leftChars="0" w:firstLine="480" w:firstLineChars="200"/>
        <w:rPr>
          <w:color w:val="auto"/>
          <w:highlight w:val="none"/>
        </w:rPr>
      </w:pPr>
      <w:r>
        <w:rPr>
          <w:color w:val="auto"/>
          <w:highlight w:val="none"/>
        </w:rPr>
        <w:t>肝脏检验：先观察外表，形状、大小、色泽等有无异常，然后用手触摸其弹性，再剖检肝门淋巴结肝管及肝实质，必要时剖检胆囊，牛羊在胆管寄生大量的肝片吸虫等，引起胆管炎、肝硬变等变化。</w:t>
      </w:r>
    </w:p>
    <w:p w14:paraId="4F4840CD">
      <w:pPr>
        <w:numPr>
          <w:ilvl w:val="0"/>
          <w:numId w:val="0"/>
        </w:numPr>
        <w:bidi w:val="0"/>
        <w:ind w:leftChars="200"/>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color w:val="auto"/>
          <w:highlight w:val="none"/>
        </w:rPr>
        <w:t>胴体检验：</w:t>
      </w:r>
    </w:p>
    <w:p w14:paraId="2B34C52E">
      <w:pPr>
        <w:numPr>
          <w:ilvl w:val="0"/>
          <w:numId w:val="0"/>
        </w:numPr>
        <w:bidi w:val="0"/>
        <w:ind w:leftChars="200"/>
        <w:rPr>
          <w:rFonts w:ascii="Times New Roman" w:hAnsi="Times New Roman" w:eastAsia="宋体"/>
          <w:color w:val="auto"/>
          <w:highlight w:val="none"/>
        </w:rPr>
      </w:pPr>
      <w:r>
        <w:rPr>
          <w:rFonts w:ascii="Times New Roman" w:hAnsi="Times New Roman" w:eastAsia="宋体"/>
          <w:color w:val="auto"/>
          <w:highlight w:val="none"/>
        </w:rPr>
        <w:t>A、外观检验：观察体表、脂肪、肌肉、胸膜、腹膜等有无异常。观察胸膜、</w:t>
      </w:r>
    </w:p>
    <w:p w14:paraId="1D21F5C9">
      <w:pPr>
        <w:numPr>
          <w:ilvl w:val="0"/>
          <w:numId w:val="0"/>
        </w:numPr>
        <w:bidi w:val="0"/>
        <w:rPr>
          <w:rFonts w:ascii="Times New Roman" w:hAnsi="Times New Roman" w:eastAsia="宋体"/>
          <w:color w:val="auto"/>
          <w:highlight w:val="none"/>
        </w:rPr>
      </w:pPr>
      <w:r>
        <w:rPr>
          <w:rFonts w:ascii="Times New Roman" w:hAnsi="Times New Roman" w:eastAsia="宋体"/>
          <w:color w:val="auto"/>
          <w:highlight w:val="none"/>
        </w:rPr>
        <w:t>腹膜是否有出血点和胸膜上的炎症出现、胴体表面颜色是否正常（黄脂、黄疸）。</w:t>
      </w:r>
    </w:p>
    <w:p w14:paraId="05EF1539">
      <w:pPr>
        <w:numPr>
          <w:ilvl w:val="0"/>
          <w:numId w:val="0"/>
        </w:numPr>
        <w:bidi w:val="0"/>
        <w:rPr>
          <w:color w:val="auto"/>
          <w:highlight w:val="none"/>
        </w:rPr>
      </w:pPr>
      <w:r>
        <w:rPr>
          <w:rFonts w:ascii="Times New Roman" w:hAnsi="Times New Roman" w:eastAsia="宋体"/>
          <w:color w:val="auto"/>
          <w:highlight w:val="none"/>
        </w:rPr>
        <w:t>判定疾病的程度和处理方法。</w:t>
      </w:r>
    </w:p>
    <w:p w14:paraId="6C619649">
      <w:pPr>
        <w:keepNext w:val="0"/>
        <w:keepLines w:val="0"/>
        <w:pageBreakBefore w:val="0"/>
        <w:widowControl w:val="0"/>
        <w:numPr>
          <w:ilvl w:val="0"/>
          <w:numId w:val="10"/>
        </w:numPr>
        <w:kinsoku/>
        <w:wordWrap/>
        <w:overflowPunct/>
        <w:topLinePunct w:val="0"/>
        <w:autoSpaceDE/>
        <w:autoSpaceDN/>
        <w:bidi w:val="0"/>
        <w:adjustRightInd w:val="0"/>
        <w:snapToGrid w:val="0"/>
        <w:ind w:firstLine="480" w:firstLineChars="200"/>
        <w:textAlignment w:val="auto"/>
        <w:rPr>
          <w:color w:val="auto"/>
          <w:highlight w:val="none"/>
        </w:rPr>
      </w:pPr>
      <w:r>
        <w:rPr>
          <w:color w:val="auto"/>
          <w:highlight w:val="none"/>
        </w:rPr>
        <w:t>腰肌检验：腰肌是囊虫和旋毛虫常寄生的部位，常采取的检验方法</w:t>
      </w:r>
      <w:r>
        <w:rPr>
          <w:rFonts w:hint="eastAsia"/>
          <w:color w:val="auto"/>
          <w:highlight w:val="none"/>
          <w:lang w:val="en-US" w:eastAsia="zh-CN"/>
        </w:rPr>
        <w:t>是</w:t>
      </w:r>
      <w:r>
        <w:rPr>
          <w:color w:val="auto"/>
          <w:highlight w:val="none"/>
        </w:rPr>
        <w:t>剖检，但是为了保证启续产品的完整性，在没有疑是的情况下不采取剖检腰肌。必要时可以剖检肩胛外侧肌，还要注意耻骨肌、肋间肌及腹壁肌，进行判定。</w:t>
      </w:r>
    </w:p>
    <w:p w14:paraId="1A07011E">
      <w:pPr>
        <w:numPr>
          <w:ilvl w:val="0"/>
          <w:numId w:val="10"/>
        </w:numPr>
        <w:bidi w:val="0"/>
        <w:ind w:left="0" w:leftChars="0" w:firstLine="480" w:firstLineChars="200"/>
        <w:rPr>
          <w:rFonts w:hint="eastAsia" w:ascii="Times New Roman" w:hAnsi="Times New Roman" w:eastAsia="宋体"/>
          <w:b/>
          <w:bCs/>
          <w:color w:val="auto"/>
          <w:highlight w:val="none"/>
          <w:lang w:val="en-US" w:eastAsia="zh-CN"/>
        </w:rPr>
      </w:pPr>
      <w:r>
        <w:rPr>
          <w:color w:val="auto"/>
          <w:highlight w:val="none"/>
        </w:rPr>
        <w:t>复检：经过检验的牛二分体（羊胴体）经冲洗后，由复检人员进行全面的检验，检查时要由腔里到外表的检验，有无病变的漏检，冲洗不干净等现象的出现。根据情况进行处理。</w:t>
      </w:r>
    </w:p>
    <w:p w14:paraId="43BAD8F7">
      <w:pPr>
        <w:numPr>
          <w:ilvl w:val="0"/>
          <w:numId w:val="0"/>
        </w:numPr>
        <w:bidi w:val="0"/>
        <w:ind w:leftChars="200"/>
        <w:rPr>
          <w:rFonts w:hint="eastAsia"/>
          <w:color w:val="auto"/>
          <w:highlight w:val="none"/>
          <w:lang w:val="en-US" w:eastAsia="zh-CN"/>
        </w:rPr>
      </w:pPr>
      <w:r>
        <w:rPr>
          <w:rFonts w:hint="eastAsia" w:ascii="Times New Roman" w:hAnsi="Times New Roman" w:eastAsia="宋体"/>
          <w:b/>
          <w:bCs/>
          <w:color w:val="auto"/>
          <w:highlight w:val="none"/>
          <w:lang w:val="en-US" w:eastAsia="zh-CN"/>
        </w:rPr>
        <w:t>3、宰后检验后的处理：</w:t>
      </w:r>
    </w:p>
    <w:p w14:paraId="7418252F">
      <w:pPr>
        <w:bidi w:val="0"/>
        <w:rPr>
          <w:color w:val="auto"/>
          <w:highlight w:val="none"/>
        </w:rPr>
      </w:pPr>
      <w:r>
        <w:rPr>
          <w:rFonts w:hint="eastAsia"/>
          <w:color w:val="auto"/>
          <w:highlight w:val="none"/>
          <w:lang w:val="en-US" w:eastAsia="zh-CN"/>
        </w:rPr>
        <w:t>（1）牛二分体（羊胴体）经复</w:t>
      </w:r>
      <w:r>
        <w:rPr>
          <w:color w:val="auto"/>
          <w:highlight w:val="none"/>
        </w:rPr>
        <w:t>检合格后，入到排酸库内经过24小时排酸。经过排酸后进行分割产品的加工。</w:t>
      </w:r>
    </w:p>
    <w:p w14:paraId="20E3E9F7">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rPr>
        <w:t>经过宰后检验不合格的或时有病变的胴体，要经过病畜通道及时的运往车间外，</w:t>
      </w:r>
      <w:r>
        <w:rPr>
          <w:rFonts w:hint="eastAsia"/>
          <w:color w:val="auto"/>
          <w:highlight w:val="none"/>
          <w:lang w:val="en-US" w:eastAsia="zh-CN"/>
        </w:rPr>
        <w:t>委托双鸭山百奥迈斯生物科技有限公司</w:t>
      </w:r>
      <w:r>
        <w:rPr>
          <w:color w:val="auto"/>
          <w:highlight w:val="none"/>
        </w:rPr>
        <w:t>处理。</w:t>
      </w:r>
    </w:p>
    <w:p w14:paraId="4DCBCC17">
      <w:pPr>
        <w:adjustRightInd/>
        <w:snapToGrid/>
        <w:spacing w:line="500" w:lineRule="exact"/>
        <w:rPr>
          <w:rFonts w:ascii="Times New Roman" w:hAnsi="Times New Roman" w:eastAsia="宋体"/>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color w:val="auto"/>
          <w:highlight w:val="none"/>
        </w:rPr>
        <w:t>内脏处理</w:t>
      </w:r>
      <w:r>
        <w:rPr>
          <w:rFonts w:ascii="Times New Roman" w:hAnsi="Times New Roman" w:eastAsia="宋体"/>
          <w:color w:val="auto"/>
          <w:highlight w:val="none"/>
        </w:rPr>
        <w:t>：现场发现有病变的器官，直接转入不漏水的容器中盛放，</w:t>
      </w:r>
      <w:r>
        <w:rPr>
          <w:rFonts w:hint="eastAsia"/>
          <w:color w:val="auto"/>
          <w:highlight w:val="none"/>
          <w:lang w:val="en-US" w:eastAsia="zh-CN"/>
        </w:rPr>
        <w:t>委托双鸭山百奥迈斯生物科技有限公司</w:t>
      </w:r>
      <w:r>
        <w:rPr>
          <w:color w:val="auto"/>
          <w:highlight w:val="none"/>
        </w:rPr>
        <w:t>处理</w:t>
      </w:r>
      <w:r>
        <w:rPr>
          <w:rFonts w:ascii="Times New Roman" w:hAnsi="Times New Roman" w:eastAsia="宋体"/>
          <w:color w:val="auto"/>
          <w:highlight w:val="none"/>
        </w:rPr>
        <w:t>（头部也相同）。</w:t>
      </w:r>
    </w:p>
    <w:p w14:paraId="34716F23">
      <w:pPr>
        <w:adjustRightInd/>
        <w:snapToGrid/>
        <w:spacing w:line="500" w:lineRule="exact"/>
        <w:rPr>
          <w:rFonts w:hint="default" w:ascii="Times New Roman" w:hAnsi="Times New Roman" w:eastAsia="宋体"/>
          <w:color w:val="auto"/>
          <w:highlight w:val="none"/>
          <w:lang w:val="en-US" w:eastAsia="zh-CN"/>
        </w:rPr>
      </w:pPr>
      <w:r>
        <w:rPr>
          <w:rFonts w:hint="eastAsia" w:ascii="Times New Roman" w:hAnsi="Times New Roman" w:eastAsia="宋体"/>
          <w:color w:val="auto"/>
          <w:highlight w:val="none"/>
          <w:lang w:val="en-US" w:eastAsia="zh-CN"/>
        </w:rPr>
        <w:t>项目检验检疫主要是委托专业公司驻点 ，以视检为主，仅寄生虫检疫需制成载玻片以显微镜检疫，项目检验不涉及药品使用。</w:t>
      </w:r>
    </w:p>
    <w:p w14:paraId="7CAB7E8A">
      <w:pPr>
        <w:keepNext/>
        <w:keepLines/>
        <w:spacing w:line="500" w:lineRule="exact"/>
        <w:ind w:firstLine="0" w:firstLineChars="0"/>
        <w:jc w:val="left"/>
        <w:outlineLvl w:val="1"/>
        <w:rPr>
          <w:rFonts w:hint="eastAsia" w:eastAsia="黑体" w:cs="Times New Roman"/>
          <w:bCs/>
          <w:snapToGrid w:val="0"/>
          <w:color w:val="auto"/>
          <w:kern w:val="0"/>
          <w:sz w:val="28"/>
          <w:szCs w:val="32"/>
          <w:highlight w:val="none"/>
          <w:lang w:val="en-US" w:eastAsia="zh-CN"/>
        </w:rPr>
      </w:pPr>
      <w:bookmarkStart w:id="135" w:name="_Toc31277"/>
      <w:r>
        <w:rPr>
          <w:rFonts w:eastAsia="黑体" w:cs="Times New Roman"/>
          <w:bCs/>
          <w:snapToGrid w:val="0"/>
          <w:color w:val="auto"/>
          <w:kern w:val="0"/>
          <w:sz w:val="28"/>
          <w:szCs w:val="32"/>
          <w:highlight w:val="none"/>
        </w:rPr>
        <w:t>3.4工程污染源强分析</w:t>
      </w:r>
      <w:bookmarkEnd w:id="130"/>
      <w:bookmarkEnd w:id="131"/>
      <w:bookmarkEnd w:id="132"/>
      <w:bookmarkEnd w:id="135"/>
    </w:p>
    <w:p w14:paraId="1424C1CE">
      <w:pPr>
        <w:keepNext/>
        <w:keepLines/>
        <w:adjustRightInd/>
        <w:snapToGrid/>
        <w:spacing w:line="500" w:lineRule="exact"/>
        <w:ind w:firstLine="0" w:firstLineChars="0"/>
        <w:jc w:val="left"/>
        <w:outlineLvl w:val="2"/>
        <w:rPr>
          <w:rFonts w:eastAsia="黑体" w:cs="Times New Roman"/>
          <w:bCs/>
          <w:snapToGrid w:val="0"/>
          <w:color w:val="auto"/>
          <w:kern w:val="0"/>
          <w:szCs w:val="32"/>
          <w:highlight w:val="none"/>
        </w:rPr>
      </w:pPr>
      <w:bookmarkStart w:id="136" w:name="_Toc16956"/>
      <w:r>
        <w:rPr>
          <w:rFonts w:eastAsia="黑体" w:cs="Times New Roman"/>
          <w:bCs/>
          <w:snapToGrid w:val="0"/>
          <w:color w:val="auto"/>
          <w:kern w:val="0"/>
          <w:szCs w:val="32"/>
          <w:highlight w:val="none"/>
        </w:rPr>
        <w:t>3.4.1施工期污染源及源强分析</w:t>
      </w:r>
      <w:bookmarkEnd w:id="136"/>
    </w:p>
    <w:p w14:paraId="547C5EB5">
      <w:pPr>
        <w:pStyle w:val="5"/>
        <w:rPr>
          <w:color w:val="auto"/>
          <w:highlight w:val="none"/>
        </w:rPr>
      </w:pPr>
      <w:r>
        <w:rPr>
          <w:color w:val="auto"/>
          <w:highlight w:val="none"/>
        </w:rPr>
        <w:t>3.4.1.1废水</w:t>
      </w:r>
    </w:p>
    <w:p w14:paraId="4FA0FA34">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项目施工期产生的废水主要为生活污水及施工废水。</w:t>
      </w:r>
    </w:p>
    <w:p w14:paraId="12B42841">
      <w:pPr>
        <w:adjustRightInd/>
        <w:snapToGrid/>
        <w:spacing w:line="500" w:lineRule="exact"/>
        <w:ind w:firstLine="482"/>
        <w:rPr>
          <w:rFonts w:cs="Times New Roman"/>
          <w:b/>
          <w:bCs/>
          <w:color w:val="auto"/>
          <w:highlight w:val="none"/>
        </w:rPr>
      </w:pPr>
      <w:r>
        <w:rPr>
          <w:rFonts w:cs="Times New Roman"/>
          <w:b/>
          <w:bCs/>
          <w:color w:val="auto"/>
          <w:highlight w:val="none"/>
        </w:rPr>
        <w:t>1、</w:t>
      </w:r>
      <w:r>
        <w:rPr>
          <w:rFonts w:cs="Times New Roman"/>
          <w:b/>
          <w:bCs/>
          <w:snapToGrid w:val="0"/>
          <w:color w:val="auto"/>
          <w:kern w:val="0"/>
          <w:highlight w:val="none"/>
        </w:rPr>
        <w:t>生活污水</w:t>
      </w:r>
    </w:p>
    <w:p w14:paraId="0DE98591">
      <w:pPr>
        <w:adjustRightInd/>
        <w:snapToGrid/>
        <w:spacing w:line="500" w:lineRule="exact"/>
        <w:rPr>
          <w:rFonts w:cs="Times New Roman"/>
          <w:b/>
          <w:bCs/>
          <w:color w:val="auto"/>
          <w:szCs w:val="24"/>
          <w:highlight w:val="none"/>
          <w:lang w:val="zh-CN"/>
        </w:rPr>
      </w:pPr>
      <w:r>
        <w:rPr>
          <w:rFonts w:cs="Times New Roman"/>
          <w:color w:val="auto"/>
          <w:highlight w:val="none"/>
        </w:rPr>
        <w:t>根据本工程各施工量估算，现场需各类建筑工人、施工人员每天约</w:t>
      </w:r>
      <w:r>
        <w:rPr>
          <w:rFonts w:hint="eastAsia" w:cs="Times New Roman"/>
          <w:color w:val="auto"/>
          <w:highlight w:val="none"/>
          <w:lang w:val="en-US" w:eastAsia="zh-CN"/>
        </w:rPr>
        <w:t>1</w:t>
      </w:r>
      <w:r>
        <w:rPr>
          <w:rFonts w:cs="Times New Roman"/>
          <w:color w:val="auto"/>
          <w:highlight w:val="none"/>
        </w:rPr>
        <w:t>0人左右，</w:t>
      </w:r>
      <w:r>
        <w:rPr>
          <w:rFonts w:cs="Times New Roman"/>
          <w:snapToGrid w:val="0"/>
          <w:color w:val="auto"/>
          <w:kern w:val="0"/>
          <w:highlight w:val="none"/>
        </w:rPr>
        <w:t>施工人员人均用水量按30L/人·天计，排污系数按用水量的80%计，则施工期共计生活污水排放量为0.24m</w:t>
      </w:r>
      <w:r>
        <w:rPr>
          <w:rFonts w:cs="Times New Roman"/>
          <w:snapToGrid w:val="0"/>
          <w:color w:val="auto"/>
          <w:kern w:val="0"/>
          <w:highlight w:val="none"/>
          <w:vertAlign w:val="superscript"/>
        </w:rPr>
        <w:t>3</w:t>
      </w:r>
      <w:r>
        <w:rPr>
          <w:rFonts w:cs="Times New Roman"/>
          <w:snapToGrid w:val="0"/>
          <w:color w:val="auto"/>
          <w:kern w:val="0"/>
          <w:highlight w:val="none"/>
        </w:rPr>
        <w:t>/d，排入防渗旱厕。</w:t>
      </w:r>
    </w:p>
    <w:p w14:paraId="42326842">
      <w:pPr>
        <w:adjustRightInd/>
        <w:snapToGrid/>
        <w:spacing w:line="500" w:lineRule="exact"/>
        <w:ind w:firstLine="0" w:firstLineChars="0"/>
        <w:jc w:val="center"/>
        <w:rPr>
          <w:rFonts w:cs="Times New Roman"/>
          <w:b/>
          <w:bCs/>
          <w:color w:val="auto"/>
          <w:szCs w:val="24"/>
          <w:highlight w:val="none"/>
          <w:lang w:val="zh-CN"/>
        </w:rPr>
      </w:pPr>
      <w:r>
        <w:rPr>
          <w:rFonts w:cs="Times New Roman"/>
          <w:b/>
          <w:bCs/>
          <w:color w:val="auto"/>
          <w:szCs w:val="24"/>
          <w:highlight w:val="none"/>
          <w:lang w:val="zh-CN"/>
        </w:rPr>
        <w:t>表3</w:t>
      </w:r>
      <w:r>
        <w:rPr>
          <w:rFonts w:hint="eastAsia" w:cs="Times New Roman"/>
          <w:b/>
          <w:bCs/>
          <w:color w:val="auto"/>
          <w:szCs w:val="24"/>
          <w:highlight w:val="none"/>
          <w:lang w:val="en-US" w:eastAsia="zh-CN"/>
        </w:rPr>
        <w:t>.</w:t>
      </w:r>
      <w:r>
        <w:rPr>
          <w:rFonts w:cs="Times New Roman"/>
          <w:b/>
          <w:bCs/>
          <w:color w:val="auto"/>
          <w:szCs w:val="24"/>
          <w:highlight w:val="none"/>
          <w:lang w:val="zh-CN"/>
        </w:rPr>
        <w:t>4-1</w:t>
      </w:r>
      <w:r>
        <w:rPr>
          <w:rFonts w:cs="Times New Roman"/>
          <w:b/>
          <w:bCs/>
          <w:color w:val="auto"/>
          <w:szCs w:val="24"/>
          <w:highlight w:val="none"/>
        </w:rPr>
        <w:t xml:space="preserve">  </w:t>
      </w:r>
      <w:r>
        <w:rPr>
          <w:rFonts w:cs="Times New Roman"/>
          <w:b/>
          <w:bCs/>
          <w:color w:val="auto"/>
          <w:szCs w:val="24"/>
          <w:highlight w:val="none"/>
          <w:lang w:val="zh-CN"/>
        </w:rPr>
        <w:t>施工期生活污水排放情况表</w:t>
      </w:r>
    </w:p>
    <w:tbl>
      <w:tblPr>
        <w:tblStyle w:val="398"/>
        <w:tblW w:w="4974"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061"/>
        <w:gridCol w:w="2956"/>
        <w:gridCol w:w="1728"/>
        <w:gridCol w:w="1733"/>
      </w:tblGrid>
      <w:tr w14:paraId="5992A0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215" w:type="pct"/>
            <w:vAlign w:val="center"/>
          </w:tcPr>
          <w:p w14:paraId="1F3DD6D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废水量（</w:t>
            </w:r>
            <w:r>
              <w:rPr>
                <w:rFonts w:cs="Times New Roman"/>
                <w:snapToGrid w:val="0"/>
                <w:color w:val="auto"/>
                <w:kern w:val="0"/>
                <w:sz w:val="21"/>
                <w:szCs w:val="21"/>
                <w:highlight w:val="none"/>
              </w:rPr>
              <w:t>m</w:t>
            </w:r>
            <w:r>
              <w:rPr>
                <w:rFonts w:cs="Times New Roman"/>
                <w:snapToGrid w:val="0"/>
                <w:color w:val="auto"/>
                <w:kern w:val="0"/>
                <w:sz w:val="21"/>
                <w:szCs w:val="21"/>
                <w:highlight w:val="none"/>
                <w:vertAlign w:val="superscript"/>
              </w:rPr>
              <w:t>3</w:t>
            </w:r>
            <w:r>
              <w:rPr>
                <w:rFonts w:cs="Times New Roman"/>
                <w:snapToGrid w:val="0"/>
                <w:color w:val="auto"/>
                <w:kern w:val="0"/>
                <w:sz w:val="21"/>
                <w:highlight w:val="none"/>
                <w:lang w:val="zh-CN"/>
              </w:rPr>
              <w:t>/d）</w:t>
            </w:r>
          </w:p>
        </w:tc>
        <w:tc>
          <w:tcPr>
            <w:tcW w:w="1743" w:type="pct"/>
            <w:vAlign w:val="center"/>
          </w:tcPr>
          <w:p w14:paraId="608E98A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水质</w:t>
            </w:r>
          </w:p>
        </w:tc>
        <w:tc>
          <w:tcPr>
            <w:tcW w:w="1019" w:type="pct"/>
            <w:vAlign w:val="center"/>
          </w:tcPr>
          <w:p w14:paraId="6DDA1C6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CODcr</w:t>
            </w:r>
          </w:p>
        </w:tc>
        <w:tc>
          <w:tcPr>
            <w:tcW w:w="1021" w:type="pct"/>
            <w:vAlign w:val="center"/>
          </w:tcPr>
          <w:p w14:paraId="0E86961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氨氮</w:t>
            </w:r>
          </w:p>
        </w:tc>
      </w:tr>
      <w:tr w14:paraId="665F37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215" w:type="pct"/>
            <w:vMerge w:val="restart"/>
            <w:vAlign w:val="center"/>
          </w:tcPr>
          <w:p w14:paraId="33B49D3A">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0.24</w:t>
            </w:r>
          </w:p>
        </w:tc>
        <w:tc>
          <w:tcPr>
            <w:tcW w:w="1743" w:type="pct"/>
            <w:vAlign w:val="center"/>
          </w:tcPr>
          <w:p w14:paraId="78D7517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产生浓度（mg/L）</w:t>
            </w:r>
          </w:p>
        </w:tc>
        <w:tc>
          <w:tcPr>
            <w:tcW w:w="1019" w:type="pct"/>
            <w:vAlign w:val="center"/>
          </w:tcPr>
          <w:p w14:paraId="3C32450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300</w:t>
            </w:r>
          </w:p>
        </w:tc>
        <w:tc>
          <w:tcPr>
            <w:tcW w:w="1021" w:type="pct"/>
            <w:vAlign w:val="center"/>
          </w:tcPr>
          <w:p w14:paraId="408F780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30</w:t>
            </w:r>
          </w:p>
        </w:tc>
      </w:tr>
      <w:tr w14:paraId="539D6E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215" w:type="pct"/>
            <w:vMerge w:val="continue"/>
            <w:vAlign w:val="center"/>
          </w:tcPr>
          <w:p w14:paraId="39D28597">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743" w:type="pct"/>
            <w:vAlign w:val="center"/>
          </w:tcPr>
          <w:p w14:paraId="1CA69848">
            <w:pPr>
              <w:adjustRightInd/>
              <w:snapToGrid/>
              <w:spacing w:line="360" w:lineRule="exact"/>
              <w:ind w:firstLine="0" w:firstLineChars="0"/>
              <w:jc w:val="center"/>
              <w:rPr>
                <w:rFonts w:cs="Times New Roman"/>
                <w:b/>
                <w:snapToGrid w:val="0"/>
                <w:color w:val="auto"/>
                <w:kern w:val="0"/>
                <w:sz w:val="21"/>
                <w:highlight w:val="none"/>
                <w:lang w:val="zh-CN"/>
              </w:rPr>
            </w:pPr>
            <w:r>
              <w:rPr>
                <w:rFonts w:cs="Times New Roman"/>
                <w:snapToGrid w:val="0"/>
                <w:color w:val="auto"/>
                <w:kern w:val="0"/>
                <w:sz w:val="21"/>
                <w:highlight w:val="none"/>
                <w:lang w:val="zh-CN"/>
              </w:rPr>
              <w:t>产生量（kg/d）</w:t>
            </w:r>
          </w:p>
        </w:tc>
        <w:tc>
          <w:tcPr>
            <w:tcW w:w="1019" w:type="pct"/>
            <w:vAlign w:val="center"/>
          </w:tcPr>
          <w:p w14:paraId="3B43A2AB">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0.072</w:t>
            </w:r>
          </w:p>
        </w:tc>
        <w:tc>
          <w:tcPr>
            <w:tcW w:w="1021" w:type="pct"/>
            <w:vAlign w:val="center"/>
          </w:tcPr>
          <w:p w14:paraId="39B04A9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rPr>
              <w:t>0.0072</w:t>
            </w:r>
          </w:p>
        </w:tc>
      </w:tr>
    </w:tbl>
    <w:p w14:paraId="26EE1A97">
      <w:pPr>
        <w:adjustRightInd/>
        <w:snapToGrid/>
        <w:spacing w:line="500" w:lineRule="exact"/>
        <w:ind w:firstLine="482"/>
        <w:rPr>
          <w:rFonts w:cs="Times New Roman"/>
          <w:b/>
          <w:bCs/>
          <w:color w:val="auto"/>
          <w:highlight w:val="none"/>
        </w:rPr>
      </w:pPr>
      <w:r>
        <w:rPr>
          <w:rFonts w:cs="Times New Roman"/>
          <w:b/>
          <w:bCs/>
          <w:color w:val="auto"/>
          <w:highlight w:val="none"/>
        </w:rPr>
        <w:t>2、施工废水</w:t>
      </w:r>
    </w:p>
    <w:p w14:paraId="09BA6D3B">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工地施工废水为场地清洁水等，含有大量的泥沙、灰浆的物质等，以悬浮物含量高、有机负荷低为特点，经验表明，施工废水经初步沉淀后均可以回用于施工场地洒水等，可以做到全部回用不外排。因此，应设置废水沉淀池处理，沉淀池处理后用于洒水降尘和施工回用水。采取上述措施后，项目施工期间基本无废水排放，因此，不会对水体造成影响。</w:t>
      </w:r>
    </w:p>
    <w:p w14:paraId="760BD2A3">
      <w:pPr>
        <w:pStyle w:val="5"/>
        <w:rPr>
          <w:color w:val="auto"/>
          <w:highlight w:val="none"/>
        </w:rPr>
      </w:pPr>
      <w:r>
        <w:rPr>
          <w:color w:val="auto"/>
          <w:highlight w:val="none"/>
        </w:rPr>
        <w:t>3.4.1.2废气</w:t>
      </w:r>
    </w:p>
    <w:p w14:paraId="377A52B0">
      <w:pPr>
        <w:adjustRightInd/>
        <w:snapToGrid/>
        <w:spacing w:line="500" w:lineRule="exact"/>
        <w:rPr>
          <w:rFonts w:cs="Times New Roman"/>
          <w:snapToGrid w:val="0"/>
          <w:color w:val="auto"/>
          <w:kern w:val="0"/>
          <w:szCs w:val="20"/>
          <w:highlight w:val="none"/>
        </w:rPr>
      </w:pPr>
      <w:r>
        <w:rPr>
          <w:rFonts w:cs="Times New Roman"/>
          <w:snapToGrid w:val="0"/>
          <w:color w:val="auto"/>
          <w:kern w:val="0"/>
          <w:highlight w:val="none"/>
        </w:rPr>
        <w:t>施工期大气污染物主要为施工机械、运输车辆尾气，施工环节产生的扬尘。施工期扬尘主要产生于土方开挖和回填以及车辆行使等作业环节。根据类比调查，施工作业场地近地面扬尘浓度可达1.5mg/m</w:t>
      </w:r>
      <w:r>
        <w:rPr>
          <w:rFonts w:cs="Times New Roman"/>
          <w:snapToGrid w:val="0"/>
          <w:color w:val="auto"/>
          <w:kern w:val="0"/>
          <w:highlight w:val="none"/>
          <w:vertAlign w:val="superscript"/>
        </w:rPr>
        <w:t>3</w:t>
      </w:r>
      <w:r>
        <w:rPr>
          <w:rFonts w:cs="Times New Roman"/>
          <w:snapToGrid w:val="0"/>
          <w:color w:val="auto"/>
          <w:kern w:val="0"/>
          <w:highlight w:val="none"/>
        </w:rPr>
        <w:t>～30mg/m</w:t>
      </w:r>
      <w:r>
        <w:rPr>
          <w:rFonts w:cs="Times New Roman"/>
          <w:snapToGrid w:val="0"/>
          <w:color w:val="auto"/>
          <w:kern w:val="0"/>
          <w:highlight w:val="none"/>
          <w:vertAlign w:val="superscript"/>
        </w:rPr>
        <w:t>3</w:t>
      </w:r>
      <w:r>
        <w:rPr>
          <w:rFonts w:cs="Times New Roman"/>
          <w:snapToGrid w:val="0"/>
          <w:color w:val="auto"/>
          <w:kern w:val="0"/>
          <w:highlight w:val="none"/>
        </w:rPr>
        <w:t>，将对项目周边产生一定的不利影响。考虑到施工期产生扬尘颗粒粒径较大，受自然沉降作用明显。由于施工机械数量少且较分散，施工期不长，其污染程度相对较轻</w:t>
      </w:r>
      <w:r>
        <w:rPr>
          <w:rFonts w:cs="Times New Roman"/>
          <w:snapToGrid w:val="0"/>
          <w:color w:val="auto"/>
          <w:kern w:val="0"/>
          <w:szCs w:val="20"/>
          <w:highlight w:val="none"/>
        </w:rPr>
        <w:t>。</w:t>
      </w:r>
    </w:p>
    <w:p w14:paraId="75BD4109">
      <w:pPr>
        <w:adjustRightInd/>
        <w:snapToGrid/>
        <w:spacing w:line="500" w:lineRule="exact"/>
        <w:rPr>
          <w:rFonts w:cs="Times New Roman"/>
          <w:snapToGrid w:val="0"/>
          <w:color w:val="auto"/>
          <w:kern w:val="0"/>
          <w:szCs w:val="21"/>
          <w:highlight w:val="none"/>
        </w:rPr>
      </w:pPr>
      <w:r>
        <w:rPr>
          <w:rFonts w:cs="Times New Roman"/>
          <w:snapToGrid w:val="0"/>
          <w:color w:val="auto"/>
          <w:kern w:val="0"/>
          <w:highlight w:val="none"/>
        </w:rPr>
        <w:t>根据有关资料显示，施工现场扬尘的另一个主要来源是车辆运输造成的，约占扬尘总量的60%。扬尘量的大小与天气干燥程度、道路路况、车辆行驶速度、风速大小等有关。一般情况下，在自然风作用下道路扬尘影响范围在100m以内，在大风天气，扬尘量及影响范围将有所扩大。对于施工中的挖方、填方作业及施工场地，采用洒水降尘的湿法作业抑制扬尘，以降低对大气环境影响。</w:t>
      </w:r>
    </w:p>
    <w:p w14:paraId="223C5B12">
      <w:pPr>
        <w:pStyle w:val="5"/>
        <w:rPr>
          <w:color w:val="auto"/>
          <w:highlight w:val="none"/>
        </w:rPr>
      </w:pPr>
      <w:r>
        <w:rPr>
          <w:color w:val="auto"/>
          <w:highlight w:val="none"/>
        </w:rPr>
        <w:t>3.4.1.3噪声</w:t>
      </w:r>
    </w:p>
    <w:p w14:paraId="2F2DE2B8">
      <w:pPr>
        <w:spacing w:line="500" w:lineRule="exact"/>
        <w:rPr>
          <w:rFonts w:cs="Times New Roman"/>
          <w:snapToGrid w:val="0"/>
          <w:color w:val="auto"/>
          <w:kern w:val="0"/>
          <w:highlight w:val="none"/>
        </w:rPr>
      </w:pPr>
      <w:r>
        <w:rPr>
          <w:rFonts w:cs="Times New Roman"/>
          <w:snapToGrid w:val="0"/>
          <w:color w:val="auto"/>
          <w:kern w:val="0"/>
          <w:highlight w:val="none"/>
        </w:rPr>
        <w:t>施工过程噪声的影响主要有：起重机、装载机、汽车等产生的噪声，噪声值一般在71~101（A）之间。</w:t>
      </w:r>
    </w:p>
    <w:p w14:paraId="352DC44F">
      <w:pPr>
        <w:spacing w:line="500" w:lineRule="exact"/>
        <w:rPr>
          <w:rFonts w:cs="Times New Roman"/>
          <w:snapToGrid w:val="0"/>
          <w:color w:val="auto"/>
          <w:kern w:val="0"/>
          <w:highlight w:val="none"/>
        </w:rPr>
      </w:pPr>
      <w:r>
        <w:rPr>
          <w:rFonts w:cs="Times New Roman"/>
          <w:snapToGrid w:val="0"/>
          <w:color w:val="auto"/>
          <w:kern w:val="0"/>
          <w:highlight w:val="none"/>
        </w:rPr>
        <w:t>根据有关资料，噪声状况见下表。</w:t>
      </w:r>
    </w:p>
    <w:p w14:paraId="163FDC62">
      <w:pPr>
        <w:adjustRightInd/>
        <w:snapToGrid/>
        <w:spacing w:line="500" w:lineRule="exact"/>
        <w:ind w:firstLine="0" w:firstLineChars="0"/>
        <w:jc w:val="center"/>
        <w:rPr>
          <w:rFonts w:cs="Times New Roman"/>
          <w:b/>
          <w:bCs/>
          <w:color w:val="auto"/>
          <w:szCs w:val="24"/>
          <w:highlight w:val="none"/>
          <w:lang w:val="zh-CN"/>
        </w:rPr>
      </w:pPr>
      <w:r>
        <w:rPr>
          <w:rFonts w:cs="Times New Roman"/>
          <w:b/>
          <w:bCs/>
          <w:color w:val="auto"/>
          <w:szCs w:val="24"/>
          <w:highlight w:val="none"/>
          <w:lang w:val="zh-CN"/>
        </w:rPr>
        <w:t>表3</w:t>
      </w:r>
      <w:r>
        <w:rPr>
          <w:rFonts w:hint="eastAsia" w:cs="Times New Roman"/>
          <w:b/>
          <w:bCs/>
          <w:color w:val="auto"/>
          <w:szCs w:val="24"/>
          <w:highlight w:val="none"/>
          <w:lang w:val="en-US" w:eastAsia="zh-CN"/>
        </w:rPr>
        <w:t>.</w:t>
      </w:r>
      <w:r>
        <w:rPr>
          <w:rFonts w:cs="Times New Roman"/>
          <w:b/>
          <w:bCs/>
          <w:color w:val="auto"/>
          <w:szCs w:val="24"/>
          <w:highlight w:val="none"/>
          <w:lang w:val="zh-CN"/>
        </w:rPr>
        <w:t>4-2  设备及车辆噪声状况  单位：dB（A）</w:t>
      </w:r>
    </w:p>
    <w:tbl>
      <w:tblPr>
        <w:tblStyle w:val="47"/>
        <w:tblW w:w="84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38"/>
        <w:gridCol w:w="4241"/>
      </w:tblGrid>
      <w:tr w14:paraId="4F8AEC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1" w:hRule="atLeast"/>
          <w:tblHeader/>
          <w:jc w:val="center"/>
        </w:trPr>
        <w:tc>
          <w:tcPr>
            <w:tcW w:w="2499" w:type="pct"/>
            <w:vAlign w:val="center"/>
          </w:tcPr>
          <w:p w14:paraId="4D726FB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设备名称</w:t>
            </w:r>
          </w:p>
        </w:tc>
        <w:tc>
          <w:tcPr>
            <w:tcW w:w="2500" w:type="pct"/>
            <w:vAlign w:val="center"/>
          </w:tcPr>
          <w:p w14:paraId="3C93016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设备噪声级</w:t>
            </w:r>
          </w:p>
        </w:tc>
      </w:tr>
      <w:tr w14:paraId="24F1FF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499" w:type="pct"/>
            <w:vAlign w:val="center"/>
          </w:tcPr>
          <w:p w14:paraId="0BF56C8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起重机</w:t>
            </w:r>
          </w:p>
        </w:tc>
        <w:tc>
          <w:tcPr>
            <w:tcW w:w="2500" w:type="pct"/>
            <w:vAlign w:val="center"/>
          </w:tcPr>
          <w:p w14:paraId="4471DB6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87-92</w:t>
            </w:r>
          </w:p>
        </w:tc>
      </w:tr>
      <w:tr w14:paraId="32A989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499" w:type="pct"/>
            <w:vAlign w:val="center"/>
          </w:tcPr>
          <w:p w14:paraId="3A77CBE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装载机</w:t>
            </w:r>
          </w:p>
        </w:tc>
        <w:tc>
          <w:tcPr>
            <w:tcW w:w="2500" w:type="pct"/>
            <w:vAlign w:val="center"/>
          </w:tcPr>
          <w:p w14:paraId="3FD7FB9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76-86</w:t>
            </w:r>
          </w:p>
        </w:tc>
      </w:tr>
      <w:tr w14:paraId="436EB8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499" w:type="pct"/>
            <w:vAlign w:val="center"/>
          </w:tcPr>
          <w:p w14:paraId="786B3E5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挖掘机</w:t>
            </w:r>
          </w:p>
        </w:tc>
        <w:tc>
          <w:tcPr>
            <w:tcW w:w="2500" w:type="pct"/>
            <w:vAlign w:val="center"/>
          </w:tcPr>
          <w:p w14:paraId="7774212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85-101</w:t>
            </w:r>
          </w:p>
        </w:tc>
      </w:tr>
      <w:tr w14:paraId="278DD9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499" w:type="pct"/>
            <w:vAlign w:val="center"/>
          </w:tcPr>
          <w:p w14:paraId="28CA7E7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运输平台</w:t>
            </w:r>
          </w:p>
        </w:tc>
        <w:tc>
          <w:tcPr>
            <w:tcW w:w="2500" w:type="pct"/>
            <w:vAlign w:val="center"/>
          </w:tcPr>
          <w:p w14:paraId="60001DD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72-78</w:t>
            </w:r>
          </w:p>
        </w:tc>
      </w:tr>
      <w:tr w14:paraId="0C41B0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499" w:type="pct"/>
            <w:vAlign w:val="center"/>
          </w:tcPr>
          <w:p w14:paraId="5FED139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中型载重汽车</w:t>
            </w:r>
          </w:p>
        </w:tc>
        <w:tc>
          <w:tcPr>
            <w:tcW w:w="2500" w:type="pct"/>
            <w:vAlign w:val="center"/>
          </w:tcPr>
          <w:p w14:paraId="7CFE9BD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79-85</w:t>
            </w:r>
          </w:p>
        </w:tc>
      </w:tr>
      <w:tr w14:paraId="4EB7B5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499" w:type="pct"/>
            <w:vAlign w:val="center"/>
          </w:tcPr>
          <w:p w14:paraId="7391CAC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轻型载重汽车</w:t>
            </w:r>
          </w:p>
        </w:tc>
        <w:tc>
          <w:tcPr>
            <w:tcW w:w="2500" w:type="pct"/>
            <w:vAlign w:val="center"/>
          </w:tcPr>
          <w:p w14:paraId="35036DF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76-85</w:t>
            </w:r>
          </w:p>
        </w:tc>
      </w:tr>
    </w:tbl>
    <w:p w14:paraId="69FAE652">
      <w:pPr>
        <w:pStyle w:val="5"/>
        <w:rPr>
          <w:color w:val="auto"/>
          <w:highlight w:val="none"/>
        </w:rPr>
      </w:pPr>
      <w:r>
        <w:rPr>
          <w:color w:val="auto"/>
          <w:highlight w:val="none"/>
        </w:rPr>
        <w:t>3.4.1.4固体废物</w:t>
      </w:r>
    </w:p>
    <w:p w14:paraId="780E4DB4">
      <w:pPr>
        <w:spacing w:line="500" w:lineRule="exact"/>
        <w:rPr>
          <w:rFonts w:cs="Times New Roman"/>
          <w:snapToGrid w:val="0"/>
          <w:color w:val="auto"/>
          <w:kern w:val="0"/>
          <w:szCs w:val="20"/>
          <w:highlight w:val="none"/>
        </w:rPr>
      </w:pPr>
      <w:r>
        <w:rPr>
          <w:rFonts w:cs="Times New Roman"/>
          <w:snapToGrid w:val="0"/>
          <w:color w:val="auto"/>
          <w:kern w:val="0"/>
          <w:szCs w:val="20"/>
          <w:highlight w:val="none"/>
        </w:rPr>
        <w:t>施工期的固废主要为生活垃圾和建筑垃圾，如不妥善处理不仅会严重破坏自然景观，还将会产生二次污染。</w:t>
      </w:r>
    </w:p>
    <w:p w14:paraId="2D1E2FDD">
      <w:pPr>
        <w:spacing w:line="500" w:lineRule="exact"/>
        <w:rPr>
          <w:rFonts w:cs="Times New Roman"/>
          <w:snapToGrid w:val="0"/>
          <w:color w:val="auto"/>
          <w:kern w:val="0"/>
          <w:szCs w:val="20"/>
          <w:highlight w:val="none"/>
        </w:rPr>
      </w:pPr>
      <w:r>
        <w:rPr>
          <w:rFonts w:cs="Times New Roman"/>
          <w:snapToGrid w:val="0"/>
          <w:color w:val="auto"/>
          <w:kern w:val="0"/>
          <w:szCs w:val="20"/>
          <w:highlight w:val="none"/>
        </w:rPr>
        <w:t>施工人员约10人，工地生活垃圾按0.2kg/人·d 计，产生量为2kg/d，收集后统一由环卫部门清运处置，可满足环保要求。</w:t>
      </w:r>
    </w:p>
    <w:p w14:paraId="0DE36B97">
      <w:pPr>
        <w:spacing w:line="500" w:lineRule="exact"/>
        <w:rPr>
          <w:rFonts w:cs="Times New Roman"/>
          <w:snapToGrid w:val="0"/>
          <w:color w:val="auto"/>
          <w:kern w:val="0"/>
          <w:szCs w:val="20"/>
          <w:highlight w:val="none"/>
        </w:rPr>
      </w:pPr>
      <w:r>
        <w:rPr>
          <w:rFonts w:cs="Times New Roman"/>
          <w:snapToGrid w:val="0"/>
          <w:color w:val="auto"/>
          <w:kern w:val="0"/>
          <w:szCs w:val="20"/>
          <w:highlight w:val="none"/>
        </w:rPr>
        <w:t>工程建设进行施工时，要进行平整场地和开挖基础，并要进行基础处理、因此，将出现一定数量的建筑垃圾。建筑垃圾的产生量与施工水平、管理水平、建筑类型有直接的联系，每平方米建筑面积将产生0.5～1.0kg左右的建筑垃圾，本评价取每平方米建筑面积产生0.5kg建筑垃圾计算，则整个施工期间该项目将产生约1.78t建筑垃圾。</w:t>
      </w:r>
    </w:p>
    <w:p w14:paraId="1562FB10">
      <w:pPr>
        <w:pStyle w:val="5"/>
        <w:rPr>
          <w:color w:val="auto"/>
          <w:highlight w:val="none"/>
        </w:rPr>
      </w:pPr>
      <w:r>
        <w:rPr>
          <w:color w:val="auto"/>
          <w:highlight w:val="none"/>
        </w:rPr>
        <w:t>3.4.1.5生态环境</w:t>
      </w:r>
    </w:p>
    <w:p w14:paraId="1D5668E7">
      <w:pPr>
        <w:spacing w:line="500" w:lineRule="exact"/>
        <w:rPr>
          <w:rFonts w:cs="Times New Roman"/>
          <w:snapToGrid w:val="0"/>
          <w:color w:val="auto"/>
          <w:kern w:val="0"/>
          <w:szCs w:val="20"/>
          <w:highlight w:val="none"/>
        </w:rPr>
      </w:pPr>
      <w:r>
        <w:rPr>
          <w:rFonts w:cs="Times New Roman"/>
          <w:snapToGrid w:val="0"/>
          <w:color w:val="auto"/>
          <w:kern w:val="0"/>
          <w:szCs w:val="20"/>
          <w:highlight w:val="none"/>
        </w:rPr>
        <w:t>本项目施工期生态环境影响主要为水土流失，影响水土流失的因素较多，主要包括降雨、土壤、植被、地形地貌等自然因素以及工程施工等人为因素。本项目施工造成的水土流失主要为施工过程中，将进行一定量的开挖，致使地表土壤裸露，造成水土流失。如果遇上降雨天气，造成的水土流失量是很大的。</w:t>
      </w:r>
    </w:p>
    <w:p w14:paraId="32B7AE75">
      <w:pPr>
        <w:pStyle w:val="4"/>
        <w:spacing w:after="156"/>
        <w:rPr>
          <w:rFonts w:cs="Times New Roman"/>
          <w:color w:val="auto"/>
          <w:highlight w:val="none"/>
        </w:rPr>
      </w:pPr>
      <w:bookmarkStart w:id="137" w:name="_Toc21914"/>
      <w:r>
        <w:rPr>
          <w:rFonts w:cs="Times New Roman"/>
          <w:color w:val="auto"/>
          <w:highlight w:val="none"/>
        </w:rPr>
        <w:t>3.4.2运营期污染源及源强分析</w:t>
      </w:r>
      <w:bookmarkEnd w:id="137"/>
    </w:p>
    <w:p w14:paraId="15B8856E">
      <w:pPr>
        <w:pStyle w:val="5"/>
        <w:rPr>
          <w:color w:val="auto"/>
          <w:highlight w:val="none"/>
        </w:rPr>
      </w:pPr>
      <w:r>
        <w:rPr>
          <w:color w:val="auto"/>
          <w:highlight w:val="none"/>
        </w:rPr>
        <w:t>3.4.2.1废气</w:t>
      </w:r>
    </w:p>
    <w:p w14:paraId="5A3EA42A">
      <w:pPr>
        <w:pStyle w:val="117"/>
        <w:adjustRightInd w:val="0"/>
        <w:snapToGrid w:val="0"/>
        <w:ind w:firstLine="528"/>
        <w:rPr>
          <w:rFonts w:cs="Times New Roman"/>
          <w:snapToGrid w:val="0"/>
          <w:color w:val="auto"/>
          <w:highlight w:val="none"/>
        </w:rPr>
      </w:pPr>
      <w:r>
        <w:rPr>
          <w:rFonts w:cs="Times New Roman"/>
          <w:color w:val="auto"/>
          <w:spacing w:val="12"/>
          <w:szCs w:val="24"/>
          <w:highlight w:val="none"/>
        </w:rPr>
        <w:t>本项目废气污染源分有组织排放点源及无组织排放面源两种，其中点源主要为屠宰车间、</w:t>
      </w:r>
      <w:r>
        <w:rPr>
          <w:rFonts w:hint="eastAsia" w:cs="Times New Roman"/>
          <w:color w:val="auto"/>
          <w:spacing w:val="12"/>
          <w:szCs w:val="24"/>
          <w:highlight w:val="none"/>
          <w:lang w:val="en-US" w:eastAsia="zh-CN"/>
        </w:rPr>
        <w:t>急宰间、隔离间及固体废物暂存间恶臭</w:t>
      </w:r>
      <w:r>
        <w:rPr>
          <w:rFonts w:cs="Times New Roman"/>
          <w:color w:val="auto"/>
          <w:spacing w:val="12"/>
          <w:szCs w:val="24"/>
          <w:highlight w:val="none"/>
        </w:rPr>
        <w:t>、污水处理站恶臭</w:t>
      </w:r>
      <w:r>
        <w:rPr>
          <w:rFonts w:hint="eastAsia" w:cs="Times New Roman"/>
          <w:color w:val="auto"/>
          <w:spacing w:val="12"/>
          <w:szCs w:val="24"/>
          <w:highlight w:val="none"/>
          <w:lang w:eastAsia="zh-CN"/>
        </w:rPr>
        <w:t>。</w:t>
      </w:r>
      <w:r>
        <w:rPr>
          <w:rFonts w:cs="Times New Roman"/>
          <w:color w:val="auto"/>
          <w:spacing w:val="12"/>
          <w:szCs w:val="24"/>
          <w:highlight w:val="none"/>
        </w:rPr>
        <w:t>无组织排放面源包括屠宰车间恶臭、待宰圈恶臭、污水处理站恶臭、</w:t>
      </w:r>
      <w:r>
        <w:rPr>
          <w:rFonts w:hint="eastAsia" w:cs="Times New Roman"/>
          <w:color w:val="auto"/>
          <w:spacing w:val="12"/>
          <w:szCs w:val="24"/>
          <w:highlight w:val="none"/>
          <w:lang w:val="en-US" w:eastAsia="zh-CN"/>
        </w:rPr>
        <w:t>急宰间、隔离间</w:t>
      </w:r>
      <w:r>
        <w:rPr>
          <w:rFonts w:cs="Times New Roman"/>
          <w:color w:val="auto"/>
          <w:spacing w:val="12"/>
          <w:szCs w:val="24"/>
          <w:highlight w:val="none"/>
        </w:rPr>
        <w:t>及固废暂存间恶臭。</w:t>
      </w:r>
    </w:p>
    <w:p w14:paraId="49149B76">
      <w:pPr>
        <w:pStyle w:val="117"/>
        <w:adjustRightInd w:val="0"/>
        <w:snapToGrid w:val="0"/>
        <w:ind w:firstLine="482"/>
        <w:rPr>
          <w:rFonts w:cs="Times New Roman"/>
          <w:b/>
          <w:bCs/>
          <w:snapToGrid w:val="0"/>
          <w:color w:val="auto"/>
          <w:highlight w:val="none"/>
          <w:lang w:val="zh-CN"/>
        </w:rPr>
      </w:pPr>
      <w:r>
        <w:rPr>
          <w:rFonts w:cs="Times New Roman"/>
          <w:b/>
          <w:bCs/>
          <w:snapToGrid w:val="0"/>
          <w:color w:val="auto"/>
          <w:highlight w:val="none"/>
          <w:lang w:val="zh-CN"/>
        </w:rPr>
        <w:t>1、正常工况</w:t>
      </w:r>
    </w:p>
    <w:p w14:paraId="70A9F240">
      <w:pPr>
        <w:pStyle w:val="117"/>
        <w:adjustRightInd w:val="0"/>
        <w:snapToGrid w:val="0"/>
        <w:rPr>
          <w:rFonts w:hint="eastAsia" w:eastAsia="宋体" w:cs="Times New Roman"/>
          <w:snapToGrid w:val="0"/>
          <w:color w:val="auto"/>
          <w:highlight w:val="none"/>
          <w:lang w:val="en-US" w:eastAsia="zh-CN"/>
        </w:rPr>
      </w:pPr>
      <w:r>
        <w:rPr>
          <w:rFonts w:cs="Times New Roman"/>
          <w:snapToGrid w:val="0"/>
          <w:color w:val="auto"/>
          <w:highlight w:val="none"/>
          <w:lang w:val="zh-CN"/>
        </w:rPr>
        <w:t>（1）</w:t>
      </w:r>
      <w:r>
        <w:rPr>
          <w:rFonts w:cs="Times New Roman"/>
          <w:color w:val="auto"/>
          <w:spacing w:val="12"/>
          <w:szCs w:val="24"/>
          <w:highlight w:val="none"/>
        </w:rPr>
        <w:t>屠宰车间、</w:t>
      </w:r>
      <w:r>
        <w:rPr>
          <w:rFonts w:hint="eastAsia" w:cs="Times New Roman"/>
          <w:color w:val="auto"/>
          <w:spacing w:val="12"/>
          <w:szCs w:val="24"/>
          <w:highlight w:val="none"/>
          <w:lang w:val="en-US" w:eastAsia="zh-CN"/>
        </w:rPr>
        <w:t>急宰间、隔离间及固体废物暂存间</w:t>
      </w:r>
    </w:p>
    <w:p w14:paraId="6757B0C9">
      <w:pPr>
        <w:pStyle w:val="117"/>
        <w:adjustRightInd w:val="0"/>
        <w:snapToGrid w:val="0"/>
        <w:rPr>
          <w:rFonts w:cs="Times New Roman"/>
          <w:snapToGrid w:val="0"/>
          <w:color w:val="auto"/>
          <w:highlight w:val="none"/>
        </w:rPr>
      </w:pPr>
      <w:r>
        <w:rPr>
          <w:rFonts w:cs="Times New Roman"/>
          <w:snapToGrid w:val="0"/>
          <w:color w:val="auto"/>
          <w:highlight w:val="none"/>
          <w:lang w:val="zh-CN"/>
        </w:rPr>
        <w:t>屠宰车间</w:t>
      </w:r>
      <w:r>
        <w:rPr>
          <w:rFonts w:hint="eastAsia" w:cs="Times New Roman"/>
          <w:snapToGrid w:val="0"/>
          <w:color w:val="auto"/>
          <w:highlight w:val="none"/>
          <w:lang w:val="zh-CN"/>
        </w:rPr>
        <w:t>、</w:t>
      </w:r>
      <w:r>
        <w:rPr>
          <w:rFonts w:hint="eastAsia" w:cs="Times New Roman"/>
          <w:snapToGrid w:val="0"/>
          <w:color w:val="auto"/>
          <w:highlight w:val="none"/>
          <w:lang w:val="en-US" w:eastAsia="zh-CN"/>
        </w:rPr>
        <w:t>急宰间、固体废物暂存间</w:t>
      </w:r>
      <w:r>
        <w:rPr>
          <w:rFonts w:cs="Times New Roman"/>
          <w:snapToGrid w:val="0"/>
          <w:color w:val="auto"/>
          <w:highlight w:val="none"/>
          <w:lang w:val="zh-CN"/>
        </w:rPr>
        <w:t>内湿度较高，屠宰后牲畜的湿皮、血、肠肚、粪尿等产生的臭气混杂在一起，形成刺鼻的腥臭味。</w:t>
      </w:r>
    </w:p>
    <w:p w14:paraId="45AFB9F3">
      <w:pPr>
        <w:pStyle w:val="117"/>
        <w:adjustRightInd w:val="0"/>
        <w:snapToGrid w:val="0"/>
        <w:rPr>
          <w:rFonts w:hint="default" w:ascii="Times New Roman" w:hAnsi="Times New Roman" w:cs="Times New Roman"/>
          <w:snapToGrid w:val="0"/>
          <w:color w:val="auto"/>
          <w:highlight w:val="none"/>
          <w:lang w:val="zh-CN"/>
        </w:rPr>
      </w:pPr>
      <w:r>
        <w:rPr>
          <w:rFonts w:hint="eastAsia" w:cs="Times New Roman"/>
          <w:snapToGrid w:val="0"/>
          <w:color w:val="auto"/>
          <w:highlight w:val="none"/>
          <w:lang w:val="en-US" w:eastAsia="zh-CN"/>
        </w:rPr>
        <w:t>隔离间</w:t>
      </w:r>
      <w:r>
        <w:rPr>
          <w:rFonts w:cs="Times New Roman"/>
          <w:snapToGrid w:val="0"/>
          <w:color w:val="auto"/>
          <w:highlight w:val="none"/>
          <w:lang w:val="zh-CN"/>
        </w:rPr>
        <w:t>是为牛、羊提供观察</w:t>
      </w:r>
      <w:r>
        <w:rPr>
          <w:rFonts w:hint="eastAsia" w:cs="Times New Roman"/>
          <w:snapToGrid w:val="0"/>
          <w:color w:val="auto"/>
          <w:highlight w:val="none"/>
          <w:lang w:val="en-US" w:eastAsia="zh-CN"/>
        </w:rPr>
        <w:t>隔离</w:t>
      </w:r>
      <w:r>
        <w:rPr>
          <w:rFonts w:cs="Times New Roman"/>
          <w:snapToGrid w:val="0"/>
          <w:color w:val="auto"/>
          <w:highlight w:val="none"/>
          <w:lang w:val="zh-CN"/>
        </w:rPr>
        <w:t>的场所，恶臭主要来自畜禽尿液，主要会产生氨、硫化氢等恶臭气体，若未及时清除或清除后不能及时处理，将会使臭味成倍增加，并会孳生大量蚊蝇，影响</w:t>
      </w:r>
      <w:r>
        <w:rPr>
          <w:rFonts w:hint="default" w:ascii="Times New Roman" w:hAnsi="Times New Roman" w:cs="Times New Roman"/>
          <w:snapToGrid w:val="0"/>
          <w:color w:val="auto"/>
          <w:highlight w:val="none"/>
          <w:lang w:val="zh-CN"/>
        </w:rPr>
        <w:t>环境卫生。</w:t>
      </w:r>
    </w:p>
    <w:p w14:paraId="79427187">
      <w:pPr>
        <w:pStyle w:val="117"/>
        <w:adjustRightInd w:val="0"/>
        <w:snapToGrid w:val="0"/>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参考《环评中屠宰项目污染源强的确定》（李易，辽宁省环境科学研究院，沈阳110031）中恶臭气体源强的确定，氨和硫化氢的嗅域资料见表3-4-</w:t>
      </w:r>
      <w:r>
        <w:rPr>
          <w:rFonts w:hint="eastAsia" w:cs="Times New Roman" w:eastAsiaTheme="minorEastAsia"/>
          <w:color w:val="auto"/>
          <w:spacing w:val="0"/>
          <w:w w:val="100"/>
          <w:position w:val="0"/>
          <w:sz w:val="24"/>
          <w:szCs w:val="24"/>
          <w:highlight w:val="none"/>
          <w:lang w:val="en-US" w:eastAsia="zh-CN"/>
        </w:rPr>
        <w:t>4</w:t>
      </w:r>
      <w:r>
        <w:rPr>
          <w:rFonts w:hint="default" w:ascii="Times New Roman" w:hAnsi="Times New Roman" w:cs="Times New Roman" w:eastAsiaTheme="minorEastAsia"/>
          <w:color w:val="auto"/>
          <w:spacing w:val="0"/>
          <w:w w:val="100"/>
          <w:position w:val="0"/>
          <w:sz w:val="24"/>
          <w:szCs w:val="24"/>
          <w:highlight w:val="none"/>
          <w:lang w:eastAsia="zh-CN"/>
        </w:rPr>
        <w:t>，屠宰场恶臭污染源源强可根据两个表格的对应关系，找出臭味强度的大小，来确定污染源的浓度。</w:t>
      </w:r>
    </w:p>
    <w:p w14:paraId="1F923EFA">
      <w:pPr>
        <w:keepNext w:val="0"/>
        <w:keepLines w:val="0"/>
        <w:pageBreakBefore w:val="0"/>
        <w:widowControl/>
        <w:kinsoku w:val="0"/>
        <w:wordWrap/>
        <w:overflowPunct/>
        <w:topLinePunct w:val="0"/>
        <w:autoSpaceDE w:val="0"/>
        <w:autoSpaceDN w:val="0"/>
        <w:bidi w:val="0"/>
        <w:adjustRightInd w:val="0"/>
        <w:snapToGrid w:val="0"/>
        <w:spacing w:line="360" w:lineRule="auto"/>
        <w:ind w:left="3009"/>
        <w:textAlignment w:val="baseline"/>
        <w:rPr>
          <w:rFonts w:hint="default" w:ascii="Times New Roman" w:hAnsi="Times New Roman" w:cs="Times New Roman" w:eastAsiaTheme="minorEastAsia"/>
          <w:b/>
          <w:bCs/>
          <w:color w:val="auto"/>
          <w:spacing w:val="0"/>
          <w:w w:val="100"/>
          <w:position w:val="0"/>
          <w:sz w:val="24"/>
          <w:szCs w:val="24"/>
          <w:highlight w:val="none"/>
        </w:rPr>
      </w:pPr>
      <w:r>
        <w:rPr>
          <w:rFonts w:hint="default" w:ascii="Times New Roman" w:hAnsi="Times New Roman" w:cs="Times New Roman" w:eastAsiaTheme="minorEastAsia"/>
          <w:b/>
          <w:bCs/>
          <w:color w:val="auto"/>
          <w:spacing w:val="0"/>
          <w:w w:val="100"/>
          <w:position w:val="0"/>
          <w:sz w:val="24"/>
          <w:szCs w:val="24"/>
          <w:highlight w:val="none"/>
        </w:rPr>
        <w:t>表3</w:t>
      </w:r>
      <w:r>
        <w:rPr>
          <w:rFonts w:hint="eastAsia" w:cs="Times New Roman" w:eastAsiaTheme="minorEastAsia"/>
          <w:b/>
          <w:bCs/>
          <w:color w:val="auto"/>
          <w:spacing w:val="0"/>
          <w:w w:val="100"/>
          <w:position w:val="0"/>
          <w:sz w:val="24"/>
          <w:szCs w:val="24"/>
          <w:highlight w:val="none"/>
          <w:lang w:val="en-US" w:eastAsia="zh-CN"/>
        </w:rPr>
        <w:t xml:space="preserve">.4-3 </w:t>
      </w:r>
      <w:r>
        <w:rPr>
          <w:rFonts w:hint="default" w:ascii="Times New Roman" w:hAnsi="Times New Roman" w:cs="Times New Roman" w:eastAsiaTheme="minorEastAsia"/>
          <w:b/>
          <w:bCs/>
          <w:color w:val="auto"/>
          <w:spacing w:val="0"/>
          <w:w w:val="100"/>
          <w:position w:val="0"/>
          <w:sz w:val="24"/>
          <w:szCs w:val="24"/>
          <w:highlight w:val="none"/>
        </w:rPr>
        <w:t>臭气强度分级表</w:t>
      </w:r>
    </w:p>
    <w:tbl>
      <w:tblPr>
        <w:tblStyle w:val="482"/>
        <w:tblW w:w="8542" w:type="dxa"/>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692"/>
        <w:gridCol w:w="3851"/>
        <w:gridCol w:w="691"/>
        <w:gridCol w:w="3308"/>
      </w:tblGrid>
      <w:tr w14:paraId="4AA2CB7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692" w:type="dxa"/>
            <w:tcBorders>
              <w:tl2br w:val="nil"/>
              <w:tr2bl w:val="nil"/>
            </w:tcBorders>
            <w:vAlign w:val="center"/>
          </w:tcPr>
          <w:p w14:paraId="2D07434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强度等级</w:t>
            </w:r>
          </w:p>
        </w:tc>
        <w:tc>
          <w:tcPr>
            <w:tcW w:w="3851" w:type="dxa"/>
            <w:tcBorders>
              <w:tl2br w:val="nil"/>
              <w:tr2bl w:val="nil"/>
            </w:tcBorders>
            <w:vAlign w:val="center"/>
          </w:tcPr>
          <w:p w14:paraId="0AAA159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嗅觉判别标准</w:t>
            </w:r>
          </w:p>
        </w:tc>
        <w:tc>
          <w:tcPr>
            <w:tcW w:w="691" w:type="dxa"/>
            <w:tcBorders>
              <w:tl2br w:val="nil"/>
              <w:tr2bl w:val="nil"/>
            </w:tcBorders>
            <w:vAlign w:val="center"/>
          </w:tcPr>
          <w:p w14:paraId="1D578F0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强度等级</w:t>
            </w:r>
          </w:p>
        </w:tc>
        <w:tc>
          <w:tcPr>
            <w:tcW w:w="3308" w:type="dxa"/>
            <w:tcBorders>
              <w:tl2br w:val="nil"/>
              <w:tr2bl w:val="nil"/>
            </w:tcBorders>
            <w:vAlign w:val="center"/>
          </w:tcPr>
          <w:p w14:paraId="7662C9D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嗅觉判别标准</w:t>
            </w:r>
          </w:p>
        </w:tc>
      </w:tr>
      <w:tr w14:paraId="2D6E7CC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692" w:type="dxa"/>
            <w:tcBorders>
              <w:tl2br w:val="nil"/>
              <w:tr2bl w:val="nil"/>
            </w:tcBorders>
            <w:vAlign w:val="center"/>
          </w:tcPr>
          <w:p w14:paraId="37A249A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w:t>
            </w:r>
          </w:p>
        </w:tc>
        <w:tc>
          <w:tcPr>
            <w:tcW w:w="3851" w:type="dxa"/>
            <w:tcBorders>
              <w:tl2br w:val="nil"/>
              <w:tr2bl w:val="nil"/>
            </w:tcBorders>
            <w:vAlign w:val="center"/>
          </w:tcPr>
          <w:p w14:paraId="23C3897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无臭</w:t>
            </w:r>
          </w:p>
        </w:tc>
        <w:tc>
          <w:tcPr>
            <w:tcW w:w="691" w:type="dxa"/>
            <w:tcBorders>
              <w:tl2br w:val="nil"/>
              <w:tr2bl w:val="nil"/>
            </w:tcBorders>
            <w:vAlign w:val="center"/>
          </w:tcPr>
          <w:p w14:paraId="7C1A233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3</w:t>
            </w:r>
          </w:p>
        </w:tc>
        <w:tc>
          <w:tcPr>
            <w:tcW w:w="3308" w:type="dxa"/>
            <w:tcBorders>
              <w:tl2br w:val="nil"/>
              <w:tr2bl w:val="nil"/>
            </w:tcBorders>
            <w:vAlign w:val="center"/>
          </w:tcPr>
          <w:p w14:paraId="50DE05F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明显感到臭味（可嗅出臭气种类）</w:t>
            </w:r>
          </w:p>
        </w:tc>
      </w:tr>
      <w:tr w14:paraId="1C7E9D5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692" w:type="dxa"/>
            <w:tcBorders>
              <w:tl2br w:val="nil"/>
              <w:tr2bl w:val="nil"/>
            </w:tcBorders>
            <w:vAlign w:val="center"/>
          </w:tcPr>
          <w:p w14:paraId="7E8D3DF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1</w:t>
            </w:r>
          </w:p>
        </w:tc>
        <w:tc>
          <w:tcPr>
            <w:tcW w:w="3851" w:type="dxa"/>
            <w:tcBorders>
              <w:tl2br w:val="nil"/>
              <w:tr2bl w:val="nil"/>
            </w:tcBorders>
            <w:vAlign w:val="center"/>
          </w:tcPr>
          <w:p w14:paraId="3216EC8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勉强可以感到轻微臭味（检知阈值浓度）</w:t>
            </w:r>
          </w:p>
        </w:tc>
        <w:tc>
          <w:tcPr>
            <w:tcW w:w="691" w:type="dxa"/>
            <w:tcBorders>
              <w:tl2br w:val="nil"/>
              <w:tr2bl w:val="nil"/>
            </w:tcBorders>
            <w:vAlign w:val="center"/>
          </w:tcPr>
          <w:p w14:paraId="294D6C9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4</w:t>
            </w:r>
          </w:p>
        </w:tc>
        <w:tc>
          <w:tcPr>
            <w:tcW w:w="3308" w:type="dxa"/>
            <w:tcBorders>
              <w:tl2br w:val="nil"/>
              <w:tr2bl w:val="nil"/>
            </w:tcBorders>
            <w:vAlign w:val="center"/>
          </w:tcPr>
          <w:p w14:paraId="04B23D8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强烈臭味</w:t>
            </w:r>
          </w:p>
        </w:tc>
      </w:tr>
      <w:tr w14:paraId="342993F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692" w:type="dxa"/>
            <w:tcBorders>
              <w:tl2br w:val="nil"/>
              <w:tr2bl w:val="nil"/>
            </w:tcBorders>
            <w:vAlign w:val="center"/>
          </w:tcPr>
          <w:p w14:paraId="5E1F3A4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2</w:t>
            </w:r>
          </w:p>
        </w:tc>
        <w:tc>
          <w:tcPr>
            <w:tcW w:w="3851" w:type="dxa"/>
            <w:tcBorders>
              <w:tl2br w:val="nil"/>
              <w:tr2bl w:val="nil"/>
            </w:tcBorders>
            <w:vAlign w:val="center"/>
          </w:tcPr>
          <w:p w14:paraId="68136BC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容易感到轻微臭味（认知阈值浓度）</w:t>
            </w:r>
          </w:p>
        </w:tc>
        <w:tc>
          <w:tcPr>
            <w:tcW w:w="691" w:type="dxa"/>
            <w:tcBorders>
              <w:tl2br w:val="nil"/>
              <w:tr2bl w:val="nil"/>
            </w:tcBorders>
            <w:vAlign w:val="center"/>
          </w:tcPr>
          <w:p w14:paraId="153F180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5</w:t>
            </w:r>
          </w:p>
        </w:tc>
        <w:tc>
          <w:tcPr>
            <w:tcW w:w="3308" w:type="dxa"/>
            <w:tcBorders>
              <w:tl2br w:val="nil"/>
              <w:tr2bl w:val="nil"/>
            </w:tcBorders>
            <w:vAlign w:val="center"/>
          </w:tcPr>
          <w:p w14:paraId="49A1779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无法忍受的强烈臭味</w:t>
            </w:r>
          </w:p>
        </w:tc>
      </w:tr>
    </w:tbl>
    <w:p w14:paraId="08D62CD2">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default" w:ascii="Times New Roman" w:hAnsi="Times New Roman" w:cs="Times New Roman" w:eastAsiaTheme="minorEastAsia"/>
          <w:b/>
          <w:bCs/>
          <w:color w:val="auto"/>
          <w:spacing w:val="0"/>
          <w:w w:val="100"/>
          <w:position w:val="0"/>
          <w:sz w:val="24"/>
          <w:szCs w:val="24"/>
          <w:highlight w:val="none"/>
        </w:rPr>
      </w:pPr>
    </w:p>
    <w:p w14:paraId="6C6CC11B">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default" w:ascii="Times New Roman" w:hAnsi="Times New Roman" w:cs="Times New Roman" w:eastAsiaTheme="minorEastAsia"/>
          <w:b/>
          <w:bCs/>
          <w:color w:val="auto"/>
          <w:spacing w:val="0"/>
          <w:w w:val="100"/>
          <w:position w:val="0"/>
          <w:sz w:val="24"/>
          <w:szCs w:val="24"/>
          <w:highlight w:val="none"/>
        </w:rPr>
      </w:pPr>
      <w:r>
        <w:rPr>
          <w:rFonts w:hint="default" w:ascii="Times New Roman" w:hAnsi="Times New Roman" w:cs="Times New Roman" w:eastAsiaTheme="minorEastAsia"/>
          <w:b/>
          <w:bCs/>
          <w:color w:val="auto"/>
          <w:spacing w:val="0"/>
          <w:w w:val="100"/>
          <w:position w:val="0"/>
          <w:sz w:val="24"/>
          <w:szCs w:val="24"/>
          <w:highlight w:val="none"/>
        </w:rPr>
        <w:t>表3</w:t>
      </w:r>
      <w:r>
        <w:rPr>
          <w:rFonts w:hint="eastAsia" w:cs="Times New Roman" w:eastAsiaTheme="minorEastAsia"/>
          <w:b/>
          <w:bCs/>
          <w:color w:val="auto"/>
          <w:spacing w:val="0"/>
          <w:w w:val="100"/>
          <w:position w:val="0"/>
          <w:sz w:val="24"/>
          <w:szCs w:val="24"/>
          <w:highlight w:val="none"/>
          <w:lang w:val="en-US" w:eastAsia="zh-CN"/>
        </w:rPr>
        <w:t xml:space="preserve">.4-4 </w:t>
      </w:r>
      <w:r>
        <w:rPr>
          <w:rFonts w:hint="default" w:ascii="Times New Roman" w:hAnsi="Times New Roman" w:cs="Times New Roman" w:eastAsiaTheme="minorEastAsia"/>
          <w:b/>
          <w:bCs/>
          <w:color w:val="auto"/>
          <w:spacing w:val="0"/>
          <w:w w:val="100"/>
          <w:position w:val="0"/>
          <w:sz w:val="24"/>
          <w:szCs w:val="24"/>
          <w:highlight w:val="none"/>
        </w:rPr>
        <w:t>恶臭物质浓度与臭气强度的关系</w:t>
      </w:r>
    </w:p>
    <w:tbl>
      <w:tblPr>
        <w:tblStyle w:val="482"/>
        <w:tblW w:w="8528" w:type="dxa"/>
        <w:tblInd w:w="11"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fixed"/>
        <w:tblCellMar>
          <w:top w:w="0" w:type="dxa"/>
          <w:left w:w="0" w:type="dxa"/>
          <w:bottom w:w="0" w:type="dxa"/>
          <w:right w:w="0" w:type="dxa"/>
        </w:tblCellMar>
      </w:tblPr>
      <w:tblGrid>
        <w:gridCol w:w="1215"/>
        <w:gridCol w:w="1484"/>
        <w:gridCol w:w="1565"/>
        <w:gridCol w:w="1119"/>
        <w:gridCol w:w="1378"/>
        <w:gridCol w:w="1767"/>
      </w:tblGrid>
      <w:tr w14:paraId="2586B1E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97" w:hRule="atLeast"/>
        </w:trPr>
        <w:tc>
          <w:tcPr>
            <w:tcW w:w="1215" w:type="dxa"/>
            <w:tcBorders>
              <w:tl2br w:val="nil"/>
              <w:tr2bl w:val="nil"/>
            </w:tcBorders>
            <w:vAlign w:val="center"/>
          </w:tcPr>
          <w:p w14:paraId="1C0B63B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臭气强度</w:t>
            </w:r>
          </w:p>
        </w:tc>
        <w:tc>
          <w:tcPr>
            <w:tcW w:w="1484" w:type="dxa"/>
            <w:tcBorders>
              <w:tl2br w:val="nil"/>
              <w:tr2bl w:val="nil"/>
            </w:tcBorders>
            <w:vAlign w:val="center"/>
          </w:tcPr>
          <w:p w14:paraId="1DA136C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氨，mg/m</w:t>
            </w:r>
            <w:r>
              <w:rPr>
                <w:rFonts w:hint="default" w:ascii="Times New Roman" w:hAnsi="Times New Roman" w:eastAsia="宋体" w:cs="Times New Roman"/>
                <w:snapToGrid w:val="0"/>
                <w:color w:val="auto"/>
                <w:kern w:val="0"/>
                <w:sz w:val="21"/>
                <w:highlight w:val="none"/>
                <w:vertAlign w:val="superscript"/>
                <w:lang w:val="zh-CN"/>
              </w:rPr>
              <w:t>3</w:t>
            </w:r>
          </w:p>
        </w:tc>
        <w:tc>
          <w:tcPr>
            <w:tcW w:w="1565" w:type="dxa"/>
            <w:tcBorders>
              <w:tl2br w:val="nil"/>
              <w:tr2bl w:val="nil"/>
            </w:tcBorders>
            <w:vAlign w:val="center"/>
          </w:tcPr>
          <w:p w14:paraId="1722B9A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硫化氢，mg/m</w:t>
            </w:r>
            <w:r>
              <w:rPr>
                <w:rFonts w:hint="default" w:ascii="Times New Roman" w:hAnsi="Times New Roman" w:eastAsia="宋体" w:cs="Times New Roman"/>
                <w:snapToGrid w:val="0"/>
                <w:color w:val="auto"/>
                <w:kern w:val="0"/>
                <w:sz w:val="21"/>
                <w:highlight w:val="none"/>
                <w:vertAlign w:val="superscript"/>
                <w:lang w:val="zh-CN"/>
              </w:rPr>
              <w:t>3</w:t>
            </w:r>
          </w:p>
        </w:tc>
        <w:tc>
          <w:tcPr>
            <w:tcW w:w="1119" w:type="dxa"/>
            <w:tcBorders>
              <w:tl2br w:val="nil"/>
              <w:tr2bl w:val="nil"/>
            </w:tcBorders>
            <w:vAlign w:val="center"/>
          </w:tcPr>
          <w:p w14:paraId="10C5072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臭气强度</w:t>
            </w:r>
          </w:p>
        </w:tc>
        <w:tc>
          <w:tcPr>
            <w:tcW w:w="1378" w:type="dxa"/>
            <w:tcBorders>
              <w:tl2br w:val="nil"/>
              <w:tr2bl w:val="nil"/>
            </w:tcBorders>
            <w:vAlign w:val="center"/>
          </w:tcPr>
          <w:p w14:paraId="7E07319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氨，mg/m</w:t>
            </w:r>
            <w:r>
              <w:rPr>
                <w:rFonts w:hint="default" w:ascii="Times New Roman" w:hAnsi="Times New Roman" w:eastAsia="宋体" w:cs="Times New Roman"/>
                <w:snapToGrid w:val="0"/>
                <w:color w:val="auto"/>
                <w:kern w:val="0"/>
                <w:sz w:val="21"/>
                <w:highlight w:val="none"/>
                <w:vertAlign w:val="superscript"/>
                <w:lang w:val="zh-CN"/>
              </w:rPr>
              <w:t>3</w:t>
            </w:r>
          </w:p>
        </w:tc>
        <w:tc>
          <w:tcPr>
            <w:tcW w:w="1767" w:type="dxa"/>
            <w:tcBorders>
              <w:tl2br w:val="nil"/>
              <w:tr2bl w:val="nil"/>
            </w:tcBorders>
            <w:vAlign w:val="center"/>
          </w:tcPr>
          <w:p w14:paraId="572E834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硫化氢，mg/m</w:t>
            </w:r>
            <w:r>
              <w:rPr>
                <w:rFonts w:hint="default" w:ascii="Times New Roman" w:hAnsi="Times New Roman" w:eastAsia="宋体" w:cs="Times New Roman"/>
                <w:snapToGrid w:val="0"/>
                <w:color w:val="auto"/>
                <w:kern w:val="0"/>
                <w:sz w:val="21"/>
                <w:highlight w:val="none"/>
                <w:vertAlign w:val="superscript"/>
                <w:lang w:val="zh-CN"/>
              </w:rPr>
              <w:t>3</w:t>
            </w:r>
          </w:p>
        </w:tc>
      </w:tr>
      <w:tr w14:paraId="4538DB0E">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97" w:hRule="atLeast"/>
        </w:trPr>
        <w:tc>
          <w:tcPr>
            <w:tcW w:w="1215" w:type="dxa"/>
            <w:tcBorders>
              <w:tl2br w:val="nil"/>
              <w:tr2bl w:val="nil"/>
            </w:tcBorders>
            <w:vAlign w:val="center"/>
          </w:tcPr>
          <w:p w14:paraId="671A8EA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1</w:t>
            </w:r>
          </w:p>
        </w:tc>
        <w:tc>
          <w:tcPr>
            <w:tcW w:w="1484" w:type="dxa"/>
            <w:tcBorders>
              <w:tl2br w:val="nil"/>
              <w:tr2bl w:val="nil"/>
            </w:tcBorders>
            <w:vAlign w:val="center"/>
          </w:tcPr>
          <w:p w14:paraId="548E062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0.1</w:t>
            </w:r>
          </w:p>
        </w:tc>
        <w:tc>
          <w:tcPr>
            <w:tcW w:w="1565" w:type="dxa"/>
            <w:tcBorders>
              <w:tl2br w:val="nil"/>
              <w:tr2bl w:val="nil"/>
            </w:tcBorders>
            <w:vAlign w:val="center"/>
          </w:tcPr>
          <w:p w14:paraId="59342D9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0.0005</w:t>
            </w:r>
          </w:p>
        </w:tc>
        <w:tc>
          <w:tcPr>
            <w:tcW w:w="1119" w:type="dxa"/>
            <w:tcBorders>
              <w:tl2br w:val="nil"/>
              <w:tr2bl w:val="nil"/>
            </w:tcBorders>
            <w:vAlign w:val="center"/>
          </w:tcPr>
          <w:p w14:paraId="7902CE6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3.5</w:t>
            </w:r>
          </w:p>
        </w:tc>
        <w:tc>
          <w:tcPr>
            <w:tcW w:w="1378" w:type="dxa"/>
            <w:tcBorders>
              <w:tl2br w:val="nil"/>
              <w:tr2bl w:val="nil"/>
            </w:tcBorders>
            <w:vAlign w:val="center"/>
          </w:tcPr>
          <w:p w14:paraId="5289FD9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5</w:t>
            </w:r>
          </w:p>
        </w:tc>
        <w:tc>
          <w:tcPr>
            <w:tcW w:w="1767" w:type="dxa"/>
            <w:tcBorders>
              <w:tl2br w:val="nil"/>
              <w:tr2bl w:val="nil"/>
            </w:tcBorders>
            <w:vAlign w:val="center"/>
          </w:tcPr>
          <w:p w14:paraId="61118E6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0.2</w:t>
            </w:r>
          </w:p>
        </w:tc>
      </w:tr>
      <w:tr w14:paraId="4D420D1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97" w:hRule="atLeast"/>
        </w:trPr>
        <w:tc>
          <w:tcPr>
            <w:tcW w:w="1215" w:type="dxa"/>
            <w:tcBorders>
              <w:tl2br w:val="nil"/>
              <w:tr2bl w:val="nil"/>
            </w:tcBorders>
            <w:vAlign w:val="center"/>
          </w:tcPr>
          <w:p w14:paraId="4EB1ADC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2</w:t>
            </w:r>
          </w:p>
        </w:tc>
        <w:tc>
          <w:tcPr>
            <w:tcW w:w="1484" w:type="dxa"/>
            <w:tcBorders>
              <w:tl2br w:val="nil"/>
              <w:tr2bl w:val="nil"/>
            </w:tcBorders>
            <w:vAlign w:val="center"/>
          </w:tcPr>
          <w:p w14:paraId="76AB165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0.5</w:t>
            </w:r>
          </w:p>
        </w:tc>
        <w:tc>
          <w:tcPr>
            <w:tcW w:w="1565" w:type="dxa"/>
            <w:tcBorders>
              <w:tl2br w:val="nil"/>
              <w:tr2bl w:val="nil"/>
            </w:tcBorders>
            <w:vAlign w:val="center"/>
          </w:tcPr>
          <w:p w14:paraId="3BFED3D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0.006</w:t>
            </w:r>
          </w:p>
        </w:tc>
        <w:tc>
          <w:tcPr>
            <w:tcW w:w="1119" w:type="dxa"/>
            <w:tcBorders>
              <w:tl2br w:val="nil"/>
              <w:tr2bl w:val="nil"/>
            </w:tcBorders>
            <w:vAlign w:val="center"/>
          </w:tcPr>
          <w:p w14:paraId="48DE965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4</w:t>
            </w:r>
          </w:p>
        </w:tc>
        <w:tc>
          <w:tcPr>
            <w:tcW w:w="1378" w:type="dxa"/>
            <w:tcBorders>
              <w:tl2br w:val="nil"/>
              <w:tr2bl w:val="nil"/>
            </w:tcBorders>
            <w:vAlign w:val="center"/>
          </w:tcPr>
          <w:p w14:paraId="6A7734F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10</w:t>
            </w:r>
          </w:p>
        </w:tc>
        <w:tc>
          <w:tcPr>
            <w:tcW w:w="1767" w:type="dxa"/>
            <w:tcBorders>
              <w:tl2br w:val="nil"/>
              <w:tr2bl w:val="nil"/>
            </w:tcBorders>
            <w:vAlign w:val="center"/>
          </w:tcPr>
          <w:p w14:paraId="1C7A29E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0.7</w:t>
            </w:r>
          </w:p>
        </w:tc>
      </w:tr>
      <w:tr w14:paraId="269A8AD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PrEx>
        <w:trPr>
          <w:trHeight w:val="397" w:hRule="atLeast"/>
        </w:trPr>
        <w:tc>
          <w:tcPr>
            <w:tcW w:w="1215" w:type="dxa"/>
            <w:tcBorders>
              <w:tl2br w:val="nil"/>
              <w:tr2bl w:val="nil"/>
            </w:tcBorders>
            <w:vAlign w:val="center"/>
          </w:tcPr>
          <w:p w14:paraId="44B1348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2.5</w:t>
            </w:r>
          </w:p>
        </w:tc>
        <w:tc>
          <w:tcPr>
            <w:tcW w:w="1484" w:type="dxa"/>
            <w:tcBorders>
              <w:tl2br w:val="nil"/>
              <w:tr2bl w:val="nil"/>
            </w:tcBorders>
            <w:vAlign w:val="center"/>
          </w:tcPr>
          <w:p w14:paraId="40AC9B2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1.0</w:t>
            </w:r>
          </w:p>
        </w:tc>
        <w:tc>
          <w:tcPr>
            <w:tcW w:w="1565" w:type="dxa"/>
            <w:tcBorders>
              <w:tl2br w:val="nil"/>
              <w:tr2bl w:val="nil"/>
            </w:tcBorders>
            <w:vAlign w:val="center"/>
          </w:tcPr>
          <w:p w14:paraId="6568274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0.02</w:t>
            </w:r>
          </w:p>
        </w:tc>
        <w:tc>
          <w:tcPr>
            <w:tcW w:w="1119" w:type="dxa"/>
            <w:vMerge w:val="restart"/>
            <w:tcBorders>
              <w:tl2br w:val="nil"/>
              <w:tr2bl w:val="nil"/>
            </w:tcBorders>
            <w:vAlign w:val="center"/>
          </w:tcPr>
          <w:p w14:paraId="039C8A3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5</w:t>
            </w:r>
          </w:p>
          <w:p w14:paraId="456C7B1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臭气特征</w:t>
            </w:r>
          </w:p>
        </w:tc>
        <w:tc>
          <w:tcPr>
            <w:tcW w:w="1378" w:type="dxa"/>
            <w:vMerge w:val="restart"/>
            <w:tcBorders>
              <w:tl2br w:val="nil"/>
              <w:tr2bl w:val="nil"/>
            </w:tcBorders>
            <w:vAlign w:val="center"/>
          </w:tcPr>
          <w:p w14:paraId="3EA4F98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40</w:t>
            </w:r>
          </w:p>
          <w:p w14:paraId="74180D3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刺激臭</w:t>
            </w:r>
          </w:p>
        </w:tc>
        <w:tc>
          <w:tcPr>
            <w:tcW w:w="1767" w:type="dxa"/>
            <w:vMerge w:val="restart"/>
            <w:tcBorders>
              <w:tl2br w:val="nil"/>
              <w:tr2bl w:val="nil"/>
            </w:tcBorders>
            <w:vAlign w:val="center"/>
          </w:tcPr>
          <w:p w14:paraId="7E0A359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8</w:t>
            </w:r>
          </w:p>
          <w:p w14:paraId="30B1F8E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臭蛋味</w:t>
            </w:r>
          </w:p>
        </w:tc>
      </w:tr>
      <w:tr w14:paraId="6894EBC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97" w:hRule="atLeast"/>
        </w:trPr>
        <w:tc>
          <w:tcPr>
            <w:tcW w:w="1215" w:type="dxa"/>
            <w:tcBorders>
              <w:tl2br w:val="nil"/>
              <w:tr2bl w:val="nil"/>
            </w:tcBorders>
            <w:vAlign w:val="center"/>
          </w:tcPr>
          <w:p w14:paraId="4F266C4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3</w:t>
            </w:r>
          </w:p>
        </w:tc>
        <w:tc>
          <w:tcPr>
            <w:tcW w:w="1484" w:type="dxa"/>
            <w:tcBorders>
              <w:tl2br w:val="nil"/>
              <w:tr2bl w:val="nil"/>
            </w:tcBorders>
            <w:vAlign w:val="center"/>
          </w:tcPr>
          <w:p w14:paraId="24494AE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2</w:t>
            </w:r>
          </w:p>
        </w:tc>
        <w:tc>
          <w:tcPr>
            <w:tcW w:w="1565" w:type="dxa"/>
            <w:tcBorders>
              <w:tl2br w:val="nil"/>
              <w:tr2bl w:val="nil"/>
            </w:tcBorders>
            <w:vAlign w:val="center"/>
          </w:tcPr>
          <w:p w14:paraId="417D880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r>
              <w:rPr>
                <w:rFonts w:hint="default" w:ascii="Times New Roman" w:hAnsi="Times New Roman" w:eastAsia="宋体" w:cs="Times New Roman"/>
                <w:snapToGrid w:val="0"/>
                <w:color w:val="auto"/>
                <w:kern w:val="0"/>
                <w:sz w:val="21"/>
                <w:highlight w:val="none"/>
                <w:lang w:val="zh-CN"/>
              </w:rPr>
              <w:t>0.06</w:t>
            </w:r>
          </w:p>
        </w:tc>
        <w:tc>
          <w:tcPr>
            <w:tcW w:w="1119" w:type="dxa"/>
            <w:vMerge w:val="continue"/>
            <w:tcBorders>
              <w:tl2br w:val="nil"/>
              <w:tr2bl w:val="nil"/>
            </w:tcBorders>
            <w:vAlign w:val="center"/>
          </w:tcPr>
          <w:p w14:paraId="7B02FDE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p>
        </w:tc>
        <w:tc>
          <w:tcPr>
            <w:tcW w:w="1378" w:type="dxa"/>
            <w:vMerge w:val="continue"/>
            <w:tcBorders>
              <w:tl2br w:val="nil"/>
              <w:tr2bl w:val="nil"/>
            </w:tcBorders>
            <w:vAlign w:val="center"/>
          </w:tcPr>
          <w:p w14:paraId="7AA35EB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p>
        </w:tc>
        <w:tc>
          <w:tcPr>
            <w:tcW w:w="1767" w:type="dxa"/>
            <w:vMerge w:val="continue"/>
            <w:tcBorders>
              <w:tl2br w:val="nil"/>
              <w:tr2bl w:val="nil"/>
            </w:tcBorders>
            <w:vAlign w:val="center"/>
          </w:tcPr>
          <w:p w14:paraId="37951AF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zh-CN"/>
              </w:rPr>
            </w:pPr>
          </w:p>
        </w:tc>
      </w:tr>
    </w:tbl>
    <w:p w14:paraId="22AD0FA1">
      <w:pPr>
        <w:pStyle w:val="117"/>
        <w:keepNext w:val="0"/>
        <w:keepLines w:val="0"/>
        <w:pageBreakBefore w:val="0"/>
        <w:wordWrap/>
        <w:overflowPunct/>
        <w:topLinePunct w:val="0"/>
        <w:bidi w:val="0"/>
        <w:adjustRightInd w:val="0"/>
        <w:snapToGrid w:val="0"/>
        <w:spacing w:line="520" w:lineRule="atLeast"/>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本项目</w:t>
      </w:r>
      <w:r>
        <w:rPr>
          <w:rFonts w:cs="Times New Roman"/>
          <w:snapToGrid w:val="0"/>
          <w:color w:val="auto"/>
          <w:highlight w:val="none"/>
          <w:lang w:val="zh-CN"/>
        </w:rPr>
        <w:t>屠宰车间</w:t>
      </w:r>
      <w:r>
        <w:rPr>
          <w:rFonts w:hint="eastAsia" w:cs="Times New Roman"/>
          <w:snapToGrid w:val="0"/>
          <w:color w:val="auto"/>
          <w:highlight w:val="none"/>
          <w:lang w:val="zh-CN"/>
        </w:rPr>
        <w:t>、</w:t>
      </w:r>
      <w:r>
        <w:rPr>
          <w:rFonts w:hint="eastAsia" w:cs="Times New Roman"/>
          <w:snapToGrid w:val="0"/>
          <w:color w:val="auto"/>
          <w:highlight w:val="none"/>
          <w:lang w:val="en-US" w:eastAsia="zh-CN"/>
        </w:rPr>
        <w:t>急宰间、隔离间、固体废物暂存间运行</w:t>
      </w:r>
      <w:r>
        <w:rPr>
          <w:rFonts w:hint="default" w:ascii="Times New Roman" w:hAnsi="Times New Roman" w:cs="Times New Roman" w:eastAsiaTheme="minorEastAsia"/>
          <w:color w:val="auto"/>
          <w:spacing w:val="0"/>
          <w:w w:val="100"/>
          <w:position w:val="0"/>
          <w:sz w:val="24"/>
          <w:szCs w:val="24"/>
          <w:highlight w:val="none"/>
          <w:lang w:val="en-US" w:eastAsia="zh-CN"/>
        </w:rPr>
        <w:t>时</w:t>
      </w:r>
      <w:r>
        <w:rPr>
          <w:rFonts w:hint="default" w:ascii="Times New Roman" w:hAnsi="Times New Roman" w:cs="Times New Roman" w:eastAsiaTheme="minorEastAsia"/>
          <w:color w:val="auto"/>
          <w:spacing w:val="0"/>
          <w:w w:val="100"/>
          <w:position w:val="0"/>
          <w:sz w:val="24"/>
          <w:szCs w:val="24"/>
          <w:highlight w:val="none"/>
          <w:lang w:eastAsia="zh-CN"/>
        </w:rPr>
        <w:t>废物</w:t>
      </w:r>
      <w:r>
        <w:rPr>
          <w:rFonts w:hint="default" w:ascii="Times New Roman" w:hAnsi="Times New Roman" w:cs="Times New Roman" w:eastAsiaTheme="minorEastAsia"/>
          <w:color w:val="auto"/>
          <w:spacing w:val="0"/>
          <w:w w:val="100"/>
          <w:position w:val="0"/>
          <w:sz w:val="24"/>
          <w:szCs w:val="24"/>
          <w:highlight w:val="none"/>
          <w:lang w:val="en-US" w:eastAsia="zh-CN"/>
        </w:rPr>
        <w:t>气味较轻</w:t>
      </w:r>
      <w:r>
        <w:rPr>
          <w:rFonts w:hint="default" w:ascii="Times New Roman" w:hAnsi="Times New Roman" w:cs="Times New Roman" w:eastAsiaTheme="minorEastAsia"/>
          <w:color w:val="auto"/>
          <w:spacing w:val="0"/>
          <w:w w:val="100"/>
          <w:position w:val="0"/>
          <w:sz w:val="24"/>
          <w:szCs w:val="24"/>
          <w:highlight w:val="none"/>
          <w:lang w:eastAsia="zh-CN"/>
        </w:rPr>
        <w:t>，因此本评价参考恶臭强度等级为</w:t>
      </w:r>
      <w:r>
        <w:rPr>
          <w:rFonts w:hint="default" w:ascii="Times New Roman" w:hAnsi="Times New Roman" w:cs="Times New Roman" w:eastAsiaTheme="minorEastAsia"/>
          <w:color w:val="auto"/>
          <w:spacing w:val="0"/>
          <w:w w:val="100"/>
          <w:position w:val="0"/>
          <w:sz w:val="24"/>
          <w:szCs w:val="24"/>
          <w:highlight w:val="none"/>
          <w:lang w:val="en-US" w:eastAsia="zh-CN"/>
        </w:rPr>
        <w:t>2</w:t>
      </w:r>
      <w:r>
        <w:rPr>
          <w:rFonts w:hint="default" w:ascii="Times New Roman" w:hAnsi="Times New Roman" w:cs="Times New Roman" w:eastAsiaTheme="minorEastAsia"/>
          <w:color w:val="auto"/>
          <w:spacing w:val="0"/>
          <w:w w:val="100"/>
          <w:position w:val="0"/>
          <w:sz w:val="24"/>
          <w:szCs w:val="24"/>
          <w:highlight w:val="none"/>
          <w:lang w:eastAsia="zh-CN"/>
        </w:rPr>
        <w:t>进行取值，氨浓度为</w:t>
      </w:r>
      <w:r>
        <w:rPr>
          <w:rFonts w:hint="default" w:ascii="Times New Roman" w:hAnsi="Times New Roman" w:cs="Times New Roman" w:eastAsiaTheme="minorEastAsia"/>
          <w:color w:val="auto"/>
          <w:spacing w:val="0"/>
          <w:w w:val="100"/>
          <w:position w:val="0"/>
          <w:sz w:val="24"/>
          <w:szCs w:val="24"/>
          <w:highlight w:val="none"/>
          <w:lang w:val="en-US" w:eastAsia="zh-CN"/>
        </w:rPr>
        <w:t>0.5</w:t>
      </w:r>
      <w:r>
        <w:rPr>
          <w:rFonts w:hint="default" w:ascii="Times New Roman" w:hAnsi="Times New Roman" w:cs="Times New Roman" w:eastAsiaTheme="minorEastAsia"/>
          <w:color w:val="auto"/>
          <w:spacing w:val="0"/>
          <w:w w:val="100"/>
          <w:position w:val="0"/>
          <w:sz w:val="24"/>
          <w:szCs w:val="24"/>
          <w:highlight w:val="none"/>
          <w:lang w:eastAsia="zh-CN"/>
        </w:rPr>
        <w:t>mg/m</w:t>
      </w:r>
      <w:r>
        <w:rPr>
          <w:rFonts w:hint="default" w:ascii="Times New Roman" w:hAnsi="Times New Roman" w:cs="Times New Roman" w:eastAsiaTheme="minorEastAsia"/>
          <w:color w:val="auto"/>
          <w:spacing w:val="0"/>
          <w:w w:val="100"/>
          <w:position w:val="0"/>
          <w:sz w:val="24"/>
          <w:szCs w:val="24"/>
          <w:highlight w:val="none"/>
          <w:vertAlign w:val="superscript"/>
          <w:lang w:eastAsia="zh-CN"/>
        </w:rPr>
        <w:t>3</w:t>
      </w:r>
      <w:r>
        <w:rPr>
          <w:rFonts w:hint="default" w:ascii="Times New Roman" w:hAnsi="Times New Roman" w:cs="Times New Roman" w:eastAsiaTheme="minorEastAsia"/>
          <w:color w:val="auto"/>
          <w:spacing w:val="0"/>
          <w:w w:val="100"/>
          <w:position w:val="0"/>
          <w:sz w:val="24"/>
          <w:szCs w:val="24"/>
          <w:highlight w:val="none"/>
          <w:lang w:eastAsia="zh-CN"/>
        </w:rPr>
        <w:t>，硫化氢浓度为</w:t>
      </w:r>
      <w:r>
        <w:rPr>
          <w:rFonts w:hint="default" w:ascii="Times New Roman" w:hAnsi="Times New Roman" w:cs="Times New Roman" w:eastAsiaTheme="minorEastAsia"/>
          <w:color w:val="auto"/>
          <w:spacing w:val="0"/>
          <w:w w:val="100"/>
          <w:position w:val="0"/>
          <w:sz w:val="24"/>
          <w:szCs w:val="24"/>
          <w:highlight w:val="none"/>
          <w:lang w:val="en-US" w:eastAsia="zh-CN"/>
        </w:rPr>
        <w:t>0.006</w:t>
      </w:r>
      <w:r>
        <w:rPr>
          <w:rFonts w:hint="default" w:ascii="Times New Roman" w:hAnsi="Times New Roman" w:cs="Times New Roman" w:eastAsiaTheme="minorEastAsia"/>
          <w:color w:val="auto"/>
          <w:spacing w:val="0"/>
          <w:w w:val="100"/>
          <w:position w:val="0"/>
          <w:sz w:val="24"/>
          <w:szCs w:val="24"/>
          <w:highlight w:val="none"/>
          <w:lang w:eastAsia="zh-CN"/>
        </w:rPr>
        <w:t>mg/m</w:t>
      </w:r>
      <w:r>
        <w:rPr>
          <w:rFonts w:hint="default" w:ascii="Times New Roman" w:hAnsi="Times New Roman" w:cs="Times New Roman" w:eastAsiaTheme="minorEastAsia"/>
          <w:color w:val="auto"/>
          <w:spacing w:val="0"/>
          <w:w w:val="100"/>
          <w:position w:val="0"/>
          <w:sz w:val="24"/>
          <w:szCs w:val="24"/>
          <w:highlight w:val="none"/>
          <w:vertAlign w:val="superscript"/>
          <w:lang w:eastAsia="zh-CN"/>
        </w:rPr>
        <w:t>3</w:t>
      </w:r>
      <w:r>
        <w:rPr>
          <w:rFonts w:hint="default" w:ascii="Times New Roman" w:hAnsi="Times New Roman" w:cs="Times New Roman" w:eastAsiaTheme="minorEastAsia"/>
          <w:color w:val="auto"/>
          <w:spacing w:val="0"/>
          <w:w w:val="100"/>
          <w:position w:val="0"/>
          <w:sz w:val="24"/>
          <w:szCs w:val="24"/>
          <w:highlight w:val="none"/>
          <w:lang w:eastAsia="zh-CN"/>
        </w:rPr>
        <w:t>，同时参照表</w:t>
      </w:r>
      <w:r>
        <w:rPr>
          <w:rFonts w:hint="eastAsia" w:cs="Times New Roman" w:eastAsiaTheme="minorEastAsia"/>
          <w:color w:val="auto"/>
          <w:spacing w:val="0"/>
          <w:w w:val="100"/>
          <w:position w:val="0"/>
          <w:sz w:val="24"/>
          <w:szCs w:val="24"/>
          <w:highlight w:val="none"/>
          <w:lang w:val="en-US" w:eastAsia="zh-CN"/>
        </w:rPr>
        <w:t>3-4-6</w:t>
      </w:r>
      <w:r>
        <w:rPr>
          <w:rFonts w:hint="default" w:ascii="Times New Roman" w:hAnsi="Times New Roman" w:cs="Times New Roman" w:eastAsiaTheme="minorEastAsia"/>
          <w:color w:val="auto"/>
          <w:spacing w:val="0"/>
          <w:w w:val="100"/>
          <w:position w:val="0"/>
          <w:sz w:val="24"/>
          <w:szCs w:val="24"/>
          <w:highlight w:val="none"/>
          <w:lang w:eastAsia="zh-CN"/>
        </w:rPr>
        <w:t>，臭气浓度取值为</w:t>
      </w:r>
      <w:r>
        <w:rPr>
          <w:rFonts w:hint="eastAsia" w:ascii="Times New Roman" w:hAnsi="Times New Roman" w:cs="Times New Roman" w:eastAsiaTheme="minorEastAsia"/>
          <w:color w:val="auto"/>
          <w:spacing w:val="0"/>
          <w:w w:val="100"/>
          <w:position w:val="0"/>
          <w:sz w:val="24"/>
          <w:szCs w:val="24"/>
          <w:highlight w:val="none"/>
          <w:lang w:val="en-US" w:eastAsia="zh-CN"/>
        </w:rPr>
        <w:t>78</w:t>
      </w:r>
      <w:r>
        <w:rPr>
          <w:rFonts w:hint="default" w:ascii="Times New Roman" w:hAnsi="Times New Roman" w:cs="Times New Roman" w:eastAsiaTheme="minorEastAsia"/>
          <w:color w:val="auto"/>
          <w:spacing w:val="0"/>
          <w:w w:val="100"/>
          <w:position w:val="0"/>
          <w:sz w:val="24"/>
          <w:szCs w:val="24"/>
          <w:highlight w:val="none"/>
          <w:lang w:eastAsia="zh-CN"/>
        </w:rPr>
        <w:t>（无量纲）。根据《牛羊屠宰与分割车间设计规范》（GB51225-2017），屠宰车间可采用机械通风，新风系统应设过滤装置。本项目换风次数参考《牛羊屠宰与分割车间设计规范》（GB51225-2017）推荐换风次数（20次/h）和《洁净室工程》中十万级无尘车间的换风次数（10～15次/h）取15次/h。</w:t>
      </w:r>
    </w:p>
    <w:p w14:paraId="059E270A">
      <w:pPr>
        <w:pStyle w:val="8"/>
        <w:keepNext w:val="0"/>
        <w:keepLines w:val="0"/>
        <w:pageBreakBefore w:val="0"/>
        <w:widowControl/>
        <w:kinsoku w:val="0"/>
        <w:wordWrap/>
        <w:overflowPunct/>
        <w:topLinePunct w:val="0"/>
        <w:autoSpaceDE w:val="0"/>
        <w:autoSpaceDN w:val="0"/>
        <w:bidi w:val="0"/>
        <w:adjustRightInd w:val="0"/>
        <w:snapToGrid w:val="0"/>
        <w:spacing w:line="520" w:lineRule="atLeast"/>
        <w:ind w:right="25"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针对</w:t>
      </w:r>
      <w:r>
        <w:rPr>
          <w:rFonts w:hint="eastAsia" w:ascii="Times New Roman" w:hAnsi="Times New Roman" w:cs="Times New Roman" w:eastAsiaTheme="minorEastAsia"/>
          <w:color w:val="auto"/>
          <w:spacing w:val="0"/>
          <w:w w:val="100"/>
          <w:position w:val="0"/>
          <w:sz w:val="24"/>
          <w:szCs w:val="24"/>
          <w:highlight w:val="none"/>
          <w:lang w:val="en-US" w:eastAsia="zh-CN"/>
        </w:rPr>
        <w:t>以上污染源</w:t>
      </w:r>
      <w:r>
        <w:rPr>
          <w:rFonts w:hint="default" w:ascii="Times New Roman" w:hAnsi="Times New Roman" w:cs="Times New Roman" w:eastAsiaTheme="minorEastAsia"/>
          <w:color w:val="auto"/>
          <w:spacing w:val="0"/>
          <w:w w:val="100"/>
          <w:position w:val="0"/>
          <w:sz w:val="24"/>
          <w:szCs w:val="24"/>
          <w:highlight w:val="none"/>
          <w:lang w:eastAsia="zh-CN"/>
        </w:rPr>
        <w:t>产生的恶臭，采取的治理措施是：</w:t>
      </w:r>
    </w:p>
    <w:p w14:paraId="48C27839">
      <w:pPr>
        <w:pStyle w:val="8"/>
        <w:keepNext w:val="0"/>
        <w:keepLines w:val="0"/>
        <w:pageBreakBefore w:val="0"/>
        <w:widowControl/>
        <w:numPr>
          <w:ilvl w:val="0"/>
          <w:numId w:val="11"/>
        </w:numPr>
        <w:kinsoku w:val="0"/>
        <w:wordWrap/>
        <w:overflowPunct/>
        <w:topLinePunct w:val="0"/>
        <w:autoSpaceDE w:val="0"/>
        <w:autoSpaceDN w:val="0"/>
        <w:bidi w:val="0"/>
        <w:adjustRightInd w:val="0"/>
        <w:snapToGrid w:val="0"/>
        <w:spacing w:line="520" w:lineRule="atLeast"/>
        <w:ind w:right="25"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清理白内脏产生的胃内容物在白脏间</w:t>
      </w:r>
      <w:r>
        <w:rPr>
          <w:rFonts w:hint="eastAsia" w:cs="Times New Roman" w:eastAsiaTheme="minorEastAsia"/>
          <w:color w:val="auto"/>
          <w:spacing w:val="0"/>
          <w:w w:val="100"/>
          <w:position w:val="0"/>
          <w:sz w:val="24"/>
          <w:szCs w:val="24"/>
          <w:highlight w:val="none"/>
          <w:lang w:val="en-US" w:eastAsia="zh-CN"/>
        </w:rPr>
        <w:t>通过正压</w:t>
      </w:r>
      <w:r>
        <w:rPr>
          <w:rFonts w:hint="default" w:ascii="Times New Roman" w:hAnsi="Times New Roman" w:cs="Times New Roman" w:eastAsiaTheme="minorEastAsia"/>
          <w:color w:val="auto"/>
          <w:spacing w:val="0"/>
          <w:w w:val="100"/>
          <w:position w:val="0"/>
          <w:sz w:val="24"/>
          <w:szCs w:val="24"/>
          <w:highlight w:val="none"/>
          <w:lang w:eastAsia="zh-CN"/>
        </w:rPr>
        <w:t>密封输送到</w:t>
      </w:r>
      <w:r>
        <w:rPr>
          <w:rFonts w:hint="eastAsia" w:ascii="Times New Roman" w:hAnsi="Times New Roman" w:cs="Times New Roman" w:eastAsiaTheme="minorEastAsia"/>
          <w:color w:val="auto"/>
          <w:spacing w:val="0"/>
          <w:w w:val="100"/>
          <w:position w:val="0"/>
          <w:sz w:val="24"/>
          <w:szCs w:val="24"/>
          <w:highlight w:val="none"/>
          <w:lang w:val="en-US" w:eastAsia="zh-CN"/>
        </w:rPr>
        <w:t>内脏</w:t>
      </w:r>
      <w:r>
        <w:rPr>
          <w:rFonts w:hint="default" w:ascii="Times New Roman" w:hAnsi="Times New Roman" w:cs="Times New Roman" w:eastAsiaTheme="minorEastAsia"/>
          <w:color w:val="auto"/>
          <w:spacing w:val="0"/>
          <w:w w:val="100"/>
          <w:position w:val="0"/>
          <w:sz w:val="24"/>
          <w:szCs w:val="24"/>
          <w:highlight w:val="none"/>
          <w:lang w:eastAsia="zh-CN"/>
        </w:rPr>
        <w:t>收集池</w:t>
      </w:r>
      <w:r>
        <w:rPr>
          <w:rFonts w:hint="eastAsia" w:ascii="Times New Roman" w:hAnsi="Times New Roman" w:cs="Times New Roman" w:eastAsiaTheme="minorEastAsia"/>
          <w:color w:val="auto"/>
          <w:spacing w:val="0"/>
          <w:w w:val="100"/>
          <w:position w:val="0"/>
          <w:sz w:val="24"/>
          <w:szCs w:val="24"/>
          <w:highlight w:val="none"/>
          <w:lang w:val="en-US" w:eastAsia="zh-CN"/>
        </w:rPr>
        <w:t>内，</w:t>
      </w:r>
      <w:r>
        <w:rPr>
          <w:rFonts w:hint="default" w:ascii="Times New Roman" w:hAnsi="Times New Roman" w:cs="Times New Roman" w:eastAsiaTheme="minorEastAsia"/>
          <w:color w:val="auto"/>
          <w:spacing w:val="0"/>
          <w:w w:val="100"/>
          <w:position w:val="0"/>
          <w:sz w:val="24"/>
          <w:szCs w:val="24"/>
          <w:highlight w:val="none"/>
          <w:lang w:eastAsia="zh-CN"/>
        </w:rPr>
        <w:t>在</w:t>
      </w:r>
      <w:r>
        <w:rPr>
          <w:rFonts w:hint="eastAsia" w:ascii="Times New Roman" w:hAnsi="Times New Roman" w:cs="Times New Roman" w:eastAsiaTheme="minorEastAsia"/>
          <w:color w:val="auto"/>
          <w:spacing w:val="0"/>
          <w:w w:val="100"/>
          <w:position w:val="0"/>
          <w:sz w:val="24"/>
          <w:szCs w:val="24"/>
          <w:highlight w:val="none"/>
          <w:lang w:val="en-US" w:eastAsia="zh-CN"/>
        </w:rPr>
        <w:t>内脏收集池</w:t>
      </w:r>
      <w:r>
        <w:rPr>
          <w:rFonts w:hint="default" w:ascii="Times New Roman" w:hAnsi="Times New Roman" w:cs="Times New Roman" w:eastAsiaTheme="minorEastAsia"/>
          <w:color w:val="auto"/>
          <w:spacing w:val="0"/>
          <w:w w:val="100"/>
          <w:position w:val="0"/>
          <w:sz w:val="24"/>
          <w:szCs w:val="24"/>
          <w:highlight w:val="none"/>
          <w:lang w:eastAsia="zh-CN"/>
        </w:rPr>
        <w:t>顶部增设带活性炭吸附装置的排气阀，确保尾风可控释放，同时吸附恶臭气体</w:t>
      </w:r>
      <w:r>
        <w:rPr>
          <w:rFonts w:hint="eastAsia" w:ascii="Times New Roman" w:hAnsi="Times New Roman" w:cs="Times New Roman" w:eastAsiaTheme="minorEastAsia"/>
          <w:color w:val="auto"/>
          <w:spacing w:val="0"/>
          <w:w w:val="100"/>
          <w:position w:val="0"/>
          <w:sz w:val="24"/>
          <w:szCs w:val="24"/>
          <w:highlight w:val="none"/>
          <w:lang w:val="en-US" w:eastAsia="zh-CN"/>
        </w:rPr>
        <w:t>通过排气筒DA001排放。</w:t>
      </w:r>
    </w:p>
    <w:p w14:paraId="718FEE66">
      <w:pPr>
        <w:pStyle w:val="8"/>
        <w:keepNext w:val="0"/>
        <w:keepLines w:val="0"/>
        <w:pageBreakBefore w:val="0"/>
        <w:widowControl/>
        <w:kinsoku w:val="0"/>
        <w:wordWrap/>
        <w:overflowPunct/>
        <w:topLinePunct w:val="0"/>
        <w:autoSpaceDE w:val="0"/>
        <w:autoSpaceDN w:val="0"/>
        <w:bidi w:val="0"/>
        <w:adjustRightInd w:val="0"/>
        <w:snapToGrid w:val="0"/>
        <w:spacing w:line="520" w:lineRule="atLeast"/>
        <w:ind w:right="25"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2）屠宰车间及时清理淋巴组织、碎肉等，屠宰车间地面设计一点坡度，以便于清洗地面及排水，当日屠宰牛立即清洗车间地面。</w:t>
      </w:r>
    </w:p>
    <w:p w14:paraId="792539A3">
      <w:pPr>
        <w:pStyle w:val="8"/>
        <w:keepNext w:val="0"/>
        <w:keepLines w:val="0"/>
        <w:pageBreakBefore w:val="0"/>
        <w:widowControl/>
        <w:kinsoku w:val="0"/>
        <w:wordWrap/>
        <w:overflowPunct/>
        <w:topLinePunct w:val="0"/>
        <w:autoSpaceDE w:val="0"/>
        <w:autoSpaceDN w:val="0"/>
        <w:bidi w:val="0"/>
        <w:adjustRightInd w:val="0"/>
        <w:snapToGrid w:val="0"/>
        <w:spacing w:line="520" w:lineRule="atLeast"/>
        <w:ind w:right="25"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3）胴体清洗工序产生的骨渣、血渍等直接吸入密闭容器内，不落地。</w:t>
      </w:r>
    </w:p>
    <w:p w14:paraId="2EB614A7">
      <w:pPr>
        <w:pStyle w:val="8"/>
        <w:keepNext w:val="0"/>
        <w:keepLines w:val="0"/>
        <w:pageBreakBefore w:val="0"/>
        <w:widowControl/>
        <w:kinsoku w:val="0"/>
        <w:wordWrap/>
        <w:overflowPunct/>
        <w:topLinePunct w:val="0"/>
        <w:autoSpaceDE w:val="0"/>
        <w:autoSpaceDN w:val="0"/>
        <w:bidi w:val="0"/>
        <w:adjustRightInd w:val="0"/>
        <w:snapToGrid w:val="0"/>
        <w:spacing w:after="0" w:line="520" w:lineRule="atLeast"/>
        <w:ind w:right="23"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4）可采用机械通风或者自然和机械联合通风，</w:t>
      </w:r>
      <w:r>
        <w:rPr>
          <w:rFonts w:cs="Times New Roman"/>
          <w:color w:val="auto"/>
          <w:highlight w:val="none"/>
        </w:rPr>
        <w:t>屠宰车间产生的废气</w:t>
      </w:r>
      <w:r>
        <w:rPr>
          <w:rFonts w:hint="eastAsia" w:cs="Times New Roman"/>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color w:val="auto"/>
          <w:highlight w:val="none"/>
          <w:lang w:eastAsia="zh-CN"/>
        </w:rPr>
        <w:t>集中收集后</w:t>
      </w:r>
      <w:r>
        <w:rPr>
          <w:rFonts w:cs="Times New Roman"/>
          <w:color w:val="auto"/>
          <w:highlight w:val="none"/>
        </w:rPr>
        <w:t>（收集率约90%左右），通过</w:t>
      </w:r>
      <w:r>
        <w:rPr>
          <w:rFonts w:hint="eastAsia" w:cs="Times New Roman"/>
          <w:color w:val="auto"/>
          <w:highlight w:val="none"/>
          <w:lang w:val="en-US" w:eastAsia="zh-CN"/>
        </w:rPr>
        <w:t>冷凝除湿器+</w:t>
      </w:r>
      <w:r>
        <w:rPr>
          <w:rFonts w:cs="Times New Roman"/>
          <w:color w:val="auto"/>
          <w:highlight w:val="none"/>
        </w:rPr>
        <w:t>活性炭净化装置（</w:t>
      </w:r>
      <w:r>
        <w:rPr>
          <w:rFonts w:hint="eastAsia" w:cs="Times New Roman"/>
          <w:color w:val="auto"/>
          <w:highlight w:val="none"/>
          <w:lang w:eastAsia="zh-CN"/>
        </w:rPr>
        <w:t>净化效率80%</w:t>
      </w:r>
      <w:r>
        <w:rPr>
          <w:rFonts w:cs="Times New Roman"/>
          <w:color w:val="auto"/>
          <w:highlight w:val="none"/>
        </w:rPr>
        <w:t>）处理后，经15m高的排气筒DA001排放；</w:t>
      </w:r>
      <w:r>
        <w:rPr>
          <w:rFonts w:hint="eastAsia" w:cs="Times New Roman"/>
          <w:color w:val="auto"/>
          <w:highlight w:val="none"/>
          <w:lang w:val="en-US" w:eastAsia="zh-CN"/>
        </w:rPr>
        <w:t>急宰间、隔离间及固体废物暂存间</w:t>
      </w:r>
      <w:r>
        <w:rPr>
          <w:rFonts w:cs="Times New Roman"/>
          <w:color w:val="auto"/>
          <w:highlight w:val="none"/>
        </w:rPr>
        <w:t>废气</w:t>
      </w:r>
      <w:r>
        <w:rPr>
          <w:rFonts w:hint="eastAsia" w:cs="Times New Roman"/>
          <w:color w:val="auto"/>
          <w:highlight w:val="none"/>
          <w:lang w:eastAsia="zh-CN"/>
        </w:rPr>
        <w:t>采用微负压集中收集后</w:t>
      </w:r>
      <w:r>
        <w:rPr>
          <w:rFonts w:cs="Times New Roman"/>
          <w:color w:val="auto"/>
          <w:highlight w:val="none"/>
        </w:rPr>
        <w:t>（收集率约90%左右），通过一套活性炭净化装置（</w:t>
      </w:r>
      <w:r>
        <w:rPr>
          <w:rFonts w:hint="eastAsia" w:cs="Times New Roman"/>
          <w:color w:val="auto"/>
          <w:highlight w:val="none"/>
          <w:lang w:eastAsia="zh-CN"/>
        </w:rPr>
        <w:t>净化效率80%</w:t>
      </w:r>
      <w:r>
        <w:rPr>
          <w:rFonts w:cs="Times New Roman"/>
          <w:color w:val="auto"/>
          <w:highlight w:val="none"/>
        </w:rPr>
        <w:t>），净化后的废气</w:t>
      </w:r>
      <w:r>
        <w:rPr>
          <w:rFonts w:hint="eastAsia" w:cs="Times New Roman"/>
          <w:color w:val="auto"/>
          <w:highlight w:val="none"/>
          <w:lang w:val="en-US" w:eastAsia="zh-CN"/>
        </w:rPr>
        <w:t>与屠宰车间废气一同</w:t>
      </w:r>
      <w:r>
        <w:rPr>
          <w:rFonts w:cs="Times New Roman"/>
          <w:color w:val="auto"/>
          <w:highlight w:val="none"/>
        </w:rPr>
        <w:t>通过15m排气筒DA00</w:t>
      </w:r>
      <w:r>
        <w:rPr>
          <w:rFonts w:hint="eastAsia" w:cs="Times New Roman"/>
          <w:color w:val="auto"/>
          <w:highlight w:val="none"/>
          <w:lang w:val="en-US" w:eastAsia="zh-CN"/>
        </w:rPr>
        <w:t>1</w:t>
      </w:r>
      <w:r>
        <w:rPr>
          <w:rFonts w:cs="Times New Roman"/>
          <w:color w:val="auto"/>
          <w:highlight w:val="none"/>
        </w:rPr>
        <w:t>排放</w:t>
      </w:r>
      <w:r>
        <w:rPr>
          <w:rFonts w:hint="default" w:ascii="Times New Roman" w:hAnsi="Times New Roman" w:cs="Times New Roman" w:eastAsiaTheme="minorEastAsia"/>
          <w:color w:val="auto"/>
          <w:spacing w:val="0"/>
          <w:w w:val="100"/>
          <w:position w:val="0"/>
          <w:sz w:val="24"/>
          <w:szCs w:val="24"/>
          <w:highlight w:val="none"/>
          <w:lang w:eastAsia="zh-CN"/>
        </w:rPr>
        <w:t>。屠宰间及时清理，定期对车间地面冲洗、消毒、喷洒除臭剂。</w:t>
      </w:r>
    </w:p>
    <w:p w14:paraId="259C0495">
      <w:pPr>
        <w:pStyle w:val="8"/>
        <w:keepNext w:val="0"/>
        <w:keepLines w:val="0"/>
        <w:pageBreakBefore w:val="0"/>
        <w:widowControl/>
        <w:kinsoku w:val="0"/>
        <w:wordWrap/>
        <w:overflowPunct/>
        <w:topLinePunct w:val="0"/>
        <w:autoSpaceDE w:val="0"/>
        <w:autoSpaceDN w:val="0"/>
        <w:bidi w:val="0"/>
        <w:adjustRightInd w:val="0"/>
        <w:snapToGrid w:val="0"/>
        <w:spacing w:after="0" w:line="520" w:lineRule="atLeast"/>
        <w:ind w:right="23"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val="en-US" w:eastAsia="zh-CN"/>
        </w:rPr>
      </w:pPr>
      <w:r>
        <w:rPr>
          <w:rFonts w:hint="default" w:ascii="Times New Roman" w:hAnsi="Times New Roman" w:cs="Times New Roman" w:eastAsiaTheme="minorEastAsia"/>
          <w:color w:val="auto"/>
          <w:spacing w:val="0"/>
          <w:w w:val="100"/>
          <w:position w:val="0"/>
          <w:sz w:val="24"/>
          <w:szCs w:val="24"/>
          <w:highlight w:val="none"/>
          <w:lang w:val="en-US" w:eastAsia="zh-CN"/>
        </w:rPr>
        <w:t>换气量采用公式：</w:t>
      </w:r>
    </w:p>
    <w:p w14:paraId="4771F027">
      <w:pPr>
        <w:pStyle w:val="8"/>
        <w:keepNext w:val="0"/>
        <w:keepLines w:val="0"/>
        <w:pageBreakBefore w:val="0"/>
        <w:widowControl/>
        <w:kinsoku w:val="0"/>
        <w:wordWrap/>
        <w:overflowPunct/>
        <w:topLinePunct w:val="0"/>
        <w:autoSpaceDE w:val="0"/>
        <w:autoSpaceDN w:val="0"/>
        <w:bidi w:val="0"/>
        <w:adjustRightInd w:val="0"/>
        <w:snapToGrid w:val="0"/>
        <w:spacing w:line="520" w:lineRule="atLeast"/>
        <w:ind w:right="25"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val="en-US" w:eastAsia="zh-CN"/>
        </w:rPr>
      </w:pPr>
      <w:r>
        <w:rPr>
          <w:rFonts w:hint="default" w:ascii="Times New Roman" w:hAnsi="Times New Roman" w:cs="Times New Roman" w:eastAsiaTheme="minorEastAsia"/>
          <w:color w:val="auto"/>
          <w:spacing w:val="0"/>
          <w:w w:val="100"/>
          <w:position w:val="0"/>
          <w:sz w:val="24"/>
          <w:szCs w:val="24"/>
          <w:highlight w:val="none"/>
          <w:lang w:val="en-US" w:eastAsia="zh-CN"/>
        </w:rPr>
        <w:t>Q=n×V</w:t>
      </w:r>
    </w:p>
    <w:p w14:paraId="38CCCA07">
      <w:pPr>
        <w:pStyle w:val="8"/>
        <w:keepNext w:val="0"/>
        <w:keepLines w:val="0"/>
        <w:pageBreakBefore w:val="0"/>
        <w:widowControl/>
        <w:kinsoku w:val="0"/>
        <w:wordWrap/>
        <w:overflowPunct/>
        <w:topLinePunct w:val="0"/>
        <w:autoSpaceDE w:val="0"/>
        <w:autoSpaceDN w:val="0"/>
        <w:bidi w:val="0"/>
        <w:adjustRightInd w:val="0"/>
        <w:snapToGrid w:val="0"/>
        <w:spacing w:after="0" w:line="520" w:lineRule="atLeast"/>
        <w:ind w:right="23"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val="en-US" w:eastAsia="zh-CN"/>
        </w:rPr>
      </w:pPr>
      <w:r>
        <w:rPr>
          <w:rFonts w:hint="default" w:ascii="Times New Roman" w:hAnsi="Times New Roman" w:cs="Times New Roman" w:eastAsiaTheme="minorEastAsia"/>
          <w:color w:val="auto"/>
          <w:spacing w:val="0"/>
          <w:w w:val="100"/>
          <w:position w:val="0"/>
          <w:sz w:val="24"/>
          <w:szCs w:val="24"/>
          <w:highlight w:val="none"/>
          <w:lang w:val="en-US" w:eastAsia="zh-CN"/>
        </w:rPr>
        <w:t>Q：换气量（</w:t>
      </w:r>
      <w:r>
        <w:rPr>
          <w:rFonts w:hint="default" w:ascii="Times New Roman" w:hAnsi="Times New Roman" w:cs="Times New Roman" w:eastAsiaTheme="minorEastAsia"/>
          <w:color w:val="auto"/>
          <w:spacing w:val="0"/>
          <w:w w:val="100"/>
          <w:position w:val="0"/>
          <w:sz w:val="24"/>
          <w:szCs w:val="24"/>
          <w:highlight w:val="none"/>
          <w:lang w:eastAsia="zh-CN"/>
        </w:rPr>
        <w:t>m</w:t>
      </w:r>
      <w:r>
        <w:rPr>
          <w:rFonts w:hint="default" w:ascii="Times New Roman" w:hAnsi="Times New Roman" w:cs="Times New Roman" w:eastAsiaTheme="minorEastAsia"/>
          <w:color w:val="auto"/>
          <w:spacing w:val="0"/>
          <w:w w:val="100"/>
          <w:position w:val="0"/>
          <w:sz w:val="24"/>
          <w:szCs w:val="24"/>
          <w:highlight w:val="none"/>
          <w:vertAlign w:val="superscript"/>
          <w:lang w:eastAsia="zh-CN"/>
        </w:rPr>
        <w:t>3</w:t>
      </w:r>
      <w:r>
        <w:rPr>
          <w:rFonts w:hint="default" w:ascii="Times New Roman" w:hAnsi="Times New Roman" w:cs="Times New Roman" w:eastAsiaTheme="minorEastAsia"/>
          <w:color w:val="auto"/>
          <w:spacing w:val="0"/>
          <w:w w:val="100"/>
          <w:position w:val="0"/>
          <w:sz w:val="24"/>
          <w:szCs w:val="24"/>
          <w:highlight w:val="none"/>
          <w:lang w:eastAsia="zh-CN"/>
        </w:rPr>
        <w:t>/h</w:t>
      </w:r>
      <w:r>
        <w:rPr>
          <w:rFonts w:hint="default" w:ascii="Times New Roman" w:hAnsi="Times New Roman" w:cs="Times New Roman" w:eastAsiaTheme="minorEastAsia"/>
          <w:color w:val="auto"/>
          <w:spacing w:val="0"/>
          <w:w w:val="100"/>
          <w:position w:val="0"/>
          <w:sz w:val="24"/>
          <w:szCs w:val="24"/>
          <w:highlight w:val="none"/>
          <w:lang w:val="en-US" w:eastAsia="zh-CN"/>
        </w:rPr>
        <w:t>）</w:t>
      </w:r>
    </w:p>
    <w:p w14:paraId="3F756724">
      <w:pPr>
        <w:pStyle w:val="8"/>
        <w:keepNext w:val="0"/>
        <w:keepLines w:val="0"/>
        <w:pageBreakBefore w:val="0"/>
        <w:widowControl/>
        <w:kinsoku w:val="0"/>
        <w:wordWrap/>
        <w:overflowPunct/>
        <w:topLinePunct w:val="0"/>
        <w:autoSpaceDE w:val="0"/>
        <w:autoSpaceDN w:val="0"/>
        <w:bidi w:val="0"/>
        <w:adjustRightInd w:val="0"/>
        <w:snapToGrid w:val="0"/>
        <w:spacing w:after="0" w:line="520" w:lineRule="atLeast"/>
        <w:ind w:right="23"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val="en-US" w:eastAsia="zh-CN"/>
        </w:rPr>
      </w:pPr>
      <w:r>
        <w:rPr>
          <w:rFonts w:hint="default" w:ascii="Times New Roman" w:hAnsi="Times New Roman" w:cs="Times New Roman" w:eastAsiaTheme="minorEastAsia"/>
          <w:color w:val="auto"/>
          <w:spacing w:val="0"/>
          <w:w w:val="100"/>
          <w:position w:val="0"/>
          <w:sz w:val="24"/>
          <w:szCs w:val="24"/>
          <w:highlight w:val="none"/>
          <w:lang w:val="en-US" w:eastAsia="zh-CN"/>
        </w:rPr>
        <w:t>n：换气次数（次/h）</w:t>
      </w:r>
    </w:p>
    <w:p w14:paraId="03A24DA2">
      <w:pPr>
        <w:pStyle w:val="8"/>
        <w:keepNext w:val="0"/>
        <w:keepLines w:val="0"/>
        <w:pageBreakBefore w:val="0"/>
        <w:widowControl/>
        <w:kinsoku w:val="0"/>
        <w:wordWrap/>
        <w:overflowPunct/>
        <w:topLinePunct w:val="0"/>
        <w:autoSpaceDE w:val="0"/>
        <w:autoSpaceDN w:val="0"/>
        <w:bidi w:val="0"/>
        <w:adjustRightInd w:val="0"/>
        <w:snapToGrid w:val="0"/>
        <w:spacing w:after="0" w:line="520" w:lineRule="atLeast"/>
        <w:ind w:right="23"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val="en-US" w:eastAsia="zh-CN"/>
        </w:rPr>
        <w:t>V：车间净体积（</w:t>
      </w:r>
      <w:r>
        <w:rPr>
          <w:rFonts w:hint="default" w:ascii="Times New Roman" w:hAnsi="Times New Roman" w:cs="Times New Roman" w:eastAsiaTheme="minorEastAsia"/>
          <w:color w:val="auto"/>
          <w:spacing w:val="0"/>
          <w:w w:val="100"/>
          <w:position w:val="0"/>
          <w:sz w:val="24"/>
          <w:szCs w:val="24"/>
          <w:highlight w:val="none"/>
          <w:lang w:eastAsia="zh-CN"/>
        </w:rPr>
        <w:t>m</w:t>
      </w:r>
      <w:r>
        <w:rPr>
          <w:rFonts w:hint="default" w:ascii="Times New Roman" w:hAnsi="Times New Roman" w:cs="Times New Roman" w:eastAsiaTheme="minorEastAsia"/>
          <w:color w:val="auto"/>
          <w:spacing w:val="0"/>
          <w:w w:val="100"/>
          <w:position w:val="0"/>
          <w:sz w:val="24"/>
          <w:szCs w:val="24"/>
          <w:highlight w:val="none"/>
          <w:vertAlign w:val="superscript"/>
          <w:lang w:eastAsia="zh-CN"/>
        </w:rPr>
        <w:t>3</w:t>
      </w:r>
      <w:r>
        <w:rPr>
          <w:rFonts w:hint="default" w:ascii="Times New Roman" w:hAnsi="Times New Roman" w:cs="Times New Roman" w:eastAsiaTheme="minorEastAsia"/>
          <w:color w:val="auto"/>
          <w:spacing w:val="0"/>
          <w:w w:val="100"/>
          <w:position w:val="0"/>
          <w:sz w:val="24"/>
          <w:szCs w:val="24"/>
          <w:highlight w:val="none"/>
          <w:lang w:val="en-US" w:eastAsia="zh-CN"/>
        </w:rPr>
        <w:t>）计算见下表</w:t>
      </w:r>
      <w:r>
        <w:rPr>
          <w:rFonts w:hint="eastAsia" w:cs="Times New Roman" w:eastAsiaTheme="minorEastAsia"/>
          <w:color w:val="auto"/>
          <w:spacing w:val="0"/>
          <w:w w:val="100"/>
          <w:position w:val="0"/>
          <w:sz w:val="24"/>
          <w:szCs w:val="24"/>
          <w:highlight w:val="none"/>
          <w:lang w:val="en-US" w:eastAsia="zh-CN"/>
        </w:rPr>
        <w:t>：</w:t>
      </w:r>
    </w:p>
    <w:p w14:paraId="0130D382">
      <w:pPr>
        <w:pStyle w:val="8"/>
        <w:keepNext w:val="0"/>
        <w:keepLines w:val="0"/>
        <w:pageBreakBefore w:val="0"/>
        <w:widowControl/>
        <w:kinsoku w:val="0"/>
        <w:wordWrap/>
        <w:overflowPunct/>
        <w:topLinePunct w:val="0"/>
        <w:autoSpaceDE w:val="0"/>
        <w:autoSpaceDN w:val="0"/>
        <w:bidi w:val="0"/>
        <w:adjustRightInd w:val="0"/>
        <w:snapToGrid w:val="0"/>
        <w:spacing w:line="520" w:lineRule="atLeast"/>
        <w:ind w:right="25" w:firstLine="482" w:firstLineChars="200"/>
        <w:jc w:val="center"/>
        <w:textAlignment w:val="baseline"/>
        <w:rPr>
          <w:rFonts w:hint="default" w:ascii="Times New Roman" w:hAnsi="Times New Roman" w:cs="Times New Roman" w:eastAsiaTheme="minorEastAsia"/>
          <w:b/>
          <w:bCs/>
          <w:color w:val="auto"/>
          <w:spacing w:val="0"/>
          <w:w w:val="100"/>
          <w:position w:val="0"/>
          <w:sz w:val="24"/>
          <w:szCs w:val="24"/>
          <w:highlight w:val="none"/>
        </w:rPr>
      </w:pPr>
      <w:r>
        <w:rPr>
          <w:rFonts w:hint="default" w:ascii="Times New Roman" w:hAnsi="Times New Roman" w:cs="Times New Roman" w:eastAsiaTheme="minorEastAsia"/>
          <w:b/>
          <w:bCs/>
          <w:color w:val="auto"/>
          <w:spacing w:val="0"/>
          <w:w w:val="100"/>
          <w:position w:val="0"/>
          <w:sz w:val="24"/>
          <w:szCs w:val="24"/>
          <w:highlight w:val="none"/>
        </w:rPr>
        <w:t>表3</w:t>
      </w:r>
      <w:r>
        <w:rPr>
          <w:rFonts w:hint="eastAsia" w:cs="Times New Roman" w:eastAsiaTheme="minorEastAsia"/>
          <w:b/>
          <w:bCs/>
          <w:color w:val="auto"/>
          <w:spacing w:val="0"/>
          <w:w w:val="100"/>
          <w:position w:val="0"/>
          <w:sz w:val="24"/>
          <w:szCs w:val="24"/>
          <w:highlight w:val="none"/>
          <w:lang w:val="en-US" w:eastAsia="zh-CN"/>
        </w:rPr>
        <w:t xml:space="preserve">.4-5 </w:t>
      </w:r>
      <w:r>
        <w:rPr>
          <w:rFonts w:hint="default" w:ascii="Times New Roman" w:hAnsi="Times New Roman" w:cs="Times New Roman" w:eastAsiaTheme="minorEastAsia"/>
          <w:b/>
          <w:bCs/>
          <w:color w:val="auto"/>
          <w:spacing w:val="0"/>
          <w:w w:val="100"/>
          <w:position w:val="0"/>
          <w:sz w:val="24"/>
          <w:szCs w:val="24"/>
          <w:highlight w:val="none"/>
          <w:lang w:val="en-US" w:eastAsia="zh-CN"/>
        </w:rPr>
        <w:t>换气量</w:t>
      </w:r>
      <w:r>
        <w:rPr>
          <w:rFonts w:hint="default" w:ascii="Times New Roman" w:hAnsi="Times New Roman" w:cs="Times New Roman" w:eastAsiaTheme="minorEastAsia"/>
          <w:b/>
          <w:bCs/>
          <w:color w:val="auto"/>
          <w:spacing w:val="0"/>
          <w:w w:val="100"/>
          <w:position w:val="0"/>
          <w:sz w:val="24"/>
          <w:szCs w:val="24"/>
          <w:highlight w:val="none"/>
        </w:rPr>
        <w:t>计算表</w:t>
      </w:r>
    </w:p>
    <w:tbl>
      <w:tblPr>
        <w:tblStyle w:val="4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405"/>
        <w:gridCol w:w="1363"/>
        <w:gridCol w:w="1211"/>
        <w:gridCol w:w="1420"/>
        <w:gridCol w:w="1420"/>
      </w:tblGrid>
      <w:tr w14:paraId="34CBDD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vMerge w:val="restart"/>
            <w:tcBorders>
              <w:tl2br w:val="nil"/>
              <w:tr2bl w:val="nil"/>
            </w:tcBorders>
            <w:vAlign w:val="center"/>
          </w:tcPr>
          <w:p w14:paraId="55EF6E1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车间</w:t>
            </w:r>
          </w:p>
        </w:tc>
        <w:tc>
          <w:tcPr>
            <w:tcW w:w="3979" w:type="dxa"/>
            <w:gridSpan w:val="3"/>
            <w:tcBorders>
              <w:tl2br w:val="nil"/>
              <w:tr2bl w:val="nil"/>
            </w:tcBorders>
            <w:vAlign w:val="center"/>
          </w:tcPr>
          <w:p w14:paraId="64B77B6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V</w:t>
            </w:r>
          </w:p>
        </w:tc>
        <w:tc>
          <w:tcPr>
            <w:tcW w:w="1420" w:type="dxa"/>
            <w:vMerge w:val="restart"/>
            <w:tcBorders>
              <w:tl2br w:val="nil"/>
              <w:tr2bl w:val="nil"/>
            </w:tcBorders>
            <w:vAlign w:val="center"/>
          </w:tcPr>
          <w:p w14:paraId="7408549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n</w:t>
            </w:r>
          </w:p>
        </w:tc>
        <w:tc>
          <w:tcPr>
            <w:tcW w:w="1420" w:type="dxa"/>
            <w:vMerge w:val="restart"/>
            <w:tcBorders>
              <w:tl2br w:val="nil"/>
              <w:tr2bl w:val="nil"/>
            </w:tcBorders>
            <w:vAlign w:val="center"/>
          </w:tcPr>
          <w:p w14:paraId="3FFE8C5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Q</w:t>
            </w:r>
          </w:p>
        </w:tc>
      </w:tr>
      <w:tr w14:paraId="66A1DC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vMerge w:val="continue"/>
            <w:tcBorders>
              <w:tl2br w:val="nil"/>
              <w:tr2bl w:val="nil"/>
            </w:tcBorders>
            <w:vAlign w:val="center"/>
          </w:tcPr>
          <w:p w14:paraId="28B61AC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1405" w:type="dxa"/>
            <w:tcBorders>
              <w:tl2br w:val="nil"/>
              <w:tr2bl w:val="nil"/>
            </w:tcBorders>
            <w:vAlign w:val="center"/>
          </w:tcPr>
          <w:p w14:paraId="4D2352F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长</w:t>
            </w:r>
          </w:p>
        </w:tc>
        <w:tc>
          <w:tcPr>
            <w:tcW w:w="1363" w:type="dxa"/>
            <w:tcBorders>
              <w:tl2br w:val="nil"/>
              <w:tr2bl w:val="nil"/>
            </w:tcBorders>
            <w:vAlign w:val="center"/>
          </w:tcPr>
          <w:p w14:paraId="7306340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宽</w:t>
            </w:r>
          </w:p>
        </w:tc>
        <w:tc>
          <w:tcPr>
            <w:tcW w:w="1211" w:type="dxa"/>
            <w:tcBorders>
              <w:tl2br w:val="nil"/>
              <w:tr2bl w:val="nil"/>
            </w:tcBorders>
            <w:vAlign w:val="center"/>
          </w:tcPr>
          <w:p w14:paraId="6C8809E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高</w:t>
            </w:r>
          </w:p>
        </w:tc>
        <w:tc>
          <w:tcPr>
            <w:tcW w:w="1420" w:type="dxa"/>
            <w:vMerge w:val="continue"/>
            <w:tcBorders>
              <w:tl2br w:val="nil"/>
              <w:tr2bl w:val="nil"/>
            </w:tcBorders>
            <w:vAlign w:val="center"/>
          </w:tcPr>
          <w:p w14:paraId="0E3B5B6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1420" w:type="dxa"/>
            <w:vMerge w:val="continue"/>
            <w:tcBorders>
              <w:tl2br w:val="nil"/>
              <w:tr2bl w:val="nil"/>
            </w:tcBorders>
            <w:vAlign w:val="center"/>
          </w:tcPr>
          <w:p w14:paraId="7478227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r>
      <w:tr w14:paraId="0599C5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l2br w:val="nil"/>
              <w:tr2bl w:val="nil"/>
            </w:tcBorders>
            <w:vAlign w:val="center"/>
          </w:tcPr>
          <w:p w14:paraId="0338DDF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屠宰车间</w:t>
            </w:r>
          </w:p>
        </w:tc>
        <w:tc>
          <w:tcPr>
            <w:tcW w:w="1405" w:type="dxa"/>
            <w:tcBorders>
              <w:tl2br w:val="nil"/>
              <w:tr2bl w:val="nil"/>
            </w:tcBorders>
            <w:vAlign w:val="center"/>
          </w:tcPr>
          <w:p w14:paraId="5B6B0EC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70.8</w:t>
            </w:r>
          </w:p>
        </w:tc>
        <w:tc>
          <w:tcPr>
            <w:tcW w:w="1363" w:type="dxa"/>
            <w:tcBorders>
              <w:tl2br w:val="nil"/>
              <w:tr2bl w:val="nil"/>
            </w:tcBorders>
            <w:vAlign w:val="center"/>
          </w:tcPr>
          <w:p w14:paraId="7AC6C61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30</w:t>
            </w:r>
          </w:p>
        </w:tc>
        <w:tc>
          <w:tcPr>
            <w:tcW w:w="1211" w:type="dxa"/>
            <w:tcBorders>
              <w:tl2br w:val="nil"/>
              <w:tr2bl w:val="nil"/>
            </w:tcBorders>
            <w:vAlign w:val="center"/>
          </w:tcPr>
          <w:p w14:paraId="55B5FC4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12</w:t>
            </w:r>
          </w:p>
        </w:tc>
        <w:tc>
          <w:tcPr>
            <w:tcW w:w="1420" w:type="dxa"/>
            <w:tcBorders>
              <w:tl2br w:val="nil"/>
              <w:tr2bl w:val="nil"/>
            </w:tcBorders>
            <w:vAlign w:val="center"/>
          </w:tcPr>
          <w:p w14:paraId="45C16D6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4</w:t>
            </w:r>
          </w:p>
        </w:tc>
        <w:tc>
          <w:tcPr>
            <w:tcW w:w="1420" w:type="dxa"/>
            <w:tcBorders>
              <w:tl2br w:val="nil"/>
              <w:tr2bl w:val="nil"/>
            </w:tcBorders>
            <w:vAlign w:val="center"/>
          </w:tcPr>
          <w:p w14:paraId="2301264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102000</w:t>
            </w:r>
          </w:p>
        </w:tc>
      </w:tr>
      <w:tr w14:paraId="35BDC2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l2br w:val="nil"/>
              <w:tr2bl w:val="nil"/>
            </w:tcBorders>
            <w:vAlign w:val="center"/>
          </w:tcPr>
          <w:p w14:paraId="0F1B362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急宰间</w:t>
            </w:r>
          </w:p>
        </w:tc>
        <w:tc>
          <w:tcPr>
            <w:tcW w:w="1405" w:type="dxa"/>
            <w:tcBorders>
              <w:tl2br w:val="nil"/>
              <w:tr2bl w:val="nil"/>
            </w:tcBorders>
            <w:vAlign w:val="center"/>
          </w:tcPr>
          <w:p w14:paraId="49B974E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8</w:t>
            </w:r>
          </w:p>
        </w:tc>
        <w:tc>
          <w:tcPr>
            <w:tcW w:w="1363" w:type="dxa"/>
            <w:tcBorders>
              <w:tl2br w:val="nil"/>
              <w:tr2bl w:val="nil"/>
            </w:tcBorders>
            <w:vAlign w:val="center"/>
          </w:tcPr>
          <w:p w14:paraId="180FB1D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5</w:t>
            </w:r>
          </w:p>
        </w:tc>
        <w:tc>
          <w:tcPr>
            <w:tcW w:w="1211" w:type="dxa"/>
            <w:tcBorders>
              <w:tl2br w:val="nil"/>
              <w:tr2bl w:val="nil"/>
            </w:tcBorders>
            <w:vAlign w:val="center"/>
          </w:tcPr>
          <w:p w14:paraId="7FC919B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3</w:t>
            </w:r>
          </w:p>
        </w:tc>
        <w:tc>
          <w:tcPr>
            <w:tcW w:w="1420" w:type="dxa"/>
            <w:tcBorders>
              <w:tl2br w:val="nil"/>
              <w:tr2bl w:val="nil"/>
            </w:tcBorders>
            <w:vAlign w:val="center"/>
          </w:tcPr>
          <w:p w14:paraId="48818CC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4</w:t>
            </w:r>
          </w:p>
        </w:tc>
        <w:tc>
          <w:tcPr>
            <w:tcW w:w="1420" w:type="dxa"/>
            <w:tcBorders>
              <w:tl2br w:val="nil"/>
              <w:tr2bl w:val="nil"/>
            </w:tcBorders>
            <w:vAlign w:val="center"/>
          </w:tcPr>
          <w:p w14:paraId="1DB8135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480</w:t>
            </w:r>
          </w:p>
        </w:tc>
      </w:tr>
      <w:tr w14:paraId="19C48F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l2br w:val="nil"/>
              <w:tr2bl w:val="nil"/>
            </w:tcBorders>
            <w:vAlign w:val="center"/>
          </w:tcPr>
          <w:p w14:paraId="605244B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隔离间</w:t>
            </w:r>
          </w:p>
        </w:tc>
        <w:tc>
          <w:tcPr>
            <w:tcW w:w="1405" w:type="dxa"/>
            <w:tcBorders>
              <w:tl2br w:val="nil"/>
              <w:tr2bl w:val="nil"/>
            </w:tcBorders>
            <w:shd w:val="clear" w:color="auto" w:fill="auto"/>
            <w:vAlign w:val="center"/>
          </w:tcPr>
          <w:p w14:paraId="6B8E3B7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8</w:t>
            </w:r>
          </w:p>
        </w:tc>
        <w:tc>
          <w:tcPr>
            <w:tcW w:w="1363" w:type="dxa"/>
            <w:tcBorders>
              <w:tl2br w:val="nil"/>
              <w:tr2bl w:val="nil"/>
            </w:tcBorders>
            <w:shd w:val="clear" w:color="auto" w:fill="auto"/>
            <w:vAlign w:val="center"/>
          </w:tcPr>
          <w:p w14:paraId="20E0A37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5</w:t>
            </w:r>
          </w:p>
        </w:tc>
        <w:tc>
          <w:tcPr>
            <w:tcW w:w="1211" w:type="dxa"/>
            <w:tcBorders>
              <w:tl2br w:val="nil"/>
              <w:tr2bl w:val="nil"/>
            </w:tcBorders>
            <w:vAlign w:val="center"/>
          </w:tcPr>
          <w:p w14:paraId="2423BAF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3</w:t>
            </w:r>
          </w:p>
        </w:tc>
        <w:tc>
          <w:tcPr>
            <w:tcW w:w="1420" w:type="dxa"/>
            <w:tcBorders>
              <w:tl2br w:val="nil"/>
              <w:tr2bl w:val="nil"/>
            </w:tcBorders>
            <w:vAlign w:val="center"/>
          </w:tcPr>
          <w:p w14:paraId="0B1A9C46">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4</w:t>
            </w:r>
          </w:p>
        </w:tc>
        <w:tc>
          <w:tcPr>
            <w:tcW w:w="1420" w:type="dxa"/>
            <w:tcBorders>
              <w:tl2br w:val="nil"/>
              <w:tr2bl w:val="nil"/>
            </w:tcBorders>
            <w:vAlign w:val="center"/>
          </w:tcPr>
          <w:p w14:paraId="2B606A8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480</w:t>
            </w:r>
          </w:p>
        </w:tc>
      </w:tr>
      <w:tr w14:paraId="7AA47D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l2br w:val="nil"/>
              <w:tr2bl w:val="nil"/>
            </w:tcBorders>
            <w:vAlign w:val="center"/>
          </w:tcPr>
          <w:p w14:paraId="4E31507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固体废物暂存间</w:t>
            </w:r>
          </w:p>
        </w:tc>
        <w:tc>
          <w:tcPr>
            <w:tcW w:w="1405" w:type="dxa"/>
            <w:tcBorders>
              <w:tl2br w:val="nil"/>
              <w:tr2bl w:val="nil"/>
            </w:tcBorders>
            <w:shd w:val="clear" w:color="auto" w:fill="auto"/>
            <w:vAlign w:val="center"/>
          </w:tcPr>
          <w:p w14:paraId="25ADCCB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8</w:t>
            </w:r>
          </w:p>
        </w:tc>
        <w:tc>
          <w:tcPr>
            <w:tcW w:w="1363" w:type="dxa"/>
            <w:tcBorders>
              <w:tl2br w:val="nil"/>
              <w:tr2bl w:val="nil"/>
            </w:tcBorders>
            <w:shd w:val="clear" w:color="auto" w:fill="auto"/>
            <w:vAlign w:val="center"/>
          </w:tcPr>
          <w:p w14:paraId="24D0E69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5</w:t>
            </w:r>
          </w:p>
        </w:tc>
        <w:tc>
          <w:tcPr>
            <w:tcW w:w="1211" w:type="dxa"/>
            <w:tcBorders>
              <w:tl2br w:val="nil"/>
              <w:tr2bl w:val="nil"/>
            </w:tcBorders>
            <w:vAlign w:val="center"/>
          </w:tcPr>
          <w:p w14:paraId="6A00452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3</w:t>
            </w:r>
          </w:p>
        </w:tc>
        <w:tc>
          <w:tcPr>
            <w:tcW w:w="1420" w:type="dxa"/>
            <w:tcBorders>
              <w:tl2br w:val="nil"/>
              <w:tr2bl w:val="nil"/>
            </w:tcBorders>
            <w:vAlign w:val="center"/>
          </w:tcPr>
          <w:p w14:paraId="2173B90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4</w:t>
            </w:r>
          </w:p>
        </w:tc>
        <w:tc>
          <w:tcPr>
            <w:tcW w:w="1420" w:type="dxa"/>
            <w:tcBorders>
              <w:tl2br w:val="nil"/>
              <w:tr2bl w:val="nil"/>
            </w:tcBorders>
            <w:vAlign w:val="center"/>
          </w:tcPr>
          <w:p w14:paraId="65FE2BD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480</w:t>
            </w:r>
          </w:p>
        </w:tc>
      </w:tr>
    </w:tbl>
    <w:p w14:paraId="2A41C8A0">
      <w:pPr>
        <w:pStyle w:val="8"/>
        <w:keepNext w:val="0"/>
        <w:keepLines w:val="0"/>
        <w:pageBreakBefore w:val="0"/>
        <w:widowControl/>
        <w:kinsoku w:val="0"/>
        <w:wordWrap/>
        <w:overflowPunct/>
        <w:topLinePunct w:val="0"/>
        <w:autoSpaceDE w:val="0"/>
        <w:autoSpaceDN w:val="0"/>
        <w:bidi w:val="0"/>
        <w:adjustRightInd w:val="0"/>
        <w:snapToGrid w:val="0"/>
        <w:spacing w:line="520" w:lineRule="atLeast"/>
        <w:ind w:right="25" w:firstLine="480" w:firstLineChars="200"/>
        <w:jc w:val="both"/>
        <w:textAlignment w:val="baseline"/>
        <w:rPr>
          <w:rFonts w:hint="default" w:ascii="Times New Roman" w:hAnsi="Times New Roman" w:cs="Times New Roman" w:eastAsiaTheme="minorEastAsia"/>
          <w:color w:val="auto"/>
          <w:spacing w:val="0"/>
          <w:w w:val="100"/>
          <w:position w:val="0"/>
          <w:sz w:val="24"/>
          <w:szCs w:val="24"/>
          <w:highlight w:val="none"/>
          <w:lang w:eastAsia="zh-CN"/>
        </w:rPr>
      </w:pPr>
      <w:r>
        <w:rPr>
          <w:rFonts w:hint="default" w:ascii="Times New Roman" w:hAnsi="Times New Roman" w:cs="Times New Roman" w:eastAsiaTheme="minorEastAsia"/>
          <w:color w:val="auto"/>
          <w:spacing w:val="0"/>
          <w:w w:val="100"/>
          <w:position w:val="0"/>
          <w:sz w:val="24"/>
          <w:szCs w:val="24"/>
          <w:highlight w:val="none"/>
          <w:lang w:eastAsia="zh-CN"/>
        </w:rPr>
        <w:t>根据《恶臭污染评估技术及环境基准研究》（邹克华，天津市环境保护科学研究院，2014年8月）中对于臭气强度的感官描述给出了如下级别：</w:t>
      </w:r>
    </w:p>
    <w:p w14:paraId="1FF432D7">
      <w:pPr>
        <w:keepNext w:val="0"/>
        <w:keepLines w:val="0"/>
        <w:pageBreakBefore w:val="0"/>
        <w:widowControl/>
        <w:kinsoku w:val="0"/>
        <w:wordWrap/>
        <w:overflowPunct/>
        <w:topLinePunct w:val="0"/>
        <w:autoSpaceDE w:val="0"/>
        <w:autoSpaceDN w:val="0"/>
        <w:bidi w:val="0"/>
        <w:adjustRightInd w:val="0"/>
        <w:snapToGrid w:val="0"/>
        <w:spacing w:line="520" w:lineRule="atLeast"/>
        <w:ind w:left="2894"/>
        <w:textAlignment w:val="baseline"/>
        <w:rPr>
          <w:rFonts w:hint="default" w:ascii="Times New Roman" w:hAnsi="Times New Roman" w:cs="Times New Roman" w:eastAsiaTheme="minorEastAsia"/>
          <w:b/>
          <w:bCs/>
          <w:color w:val="auto"/>
          <w:spacing w:val="0"/>
          <w:w w:val="100"/>
          <w:position w:val="0"/>
          <w:highlight w:val="none"/>
        </w:rPr>
      </w:pPr>
      <w:r>
        <w:rPr>
          <w:rFonts w:hint="default" w:ascii="Times New Roman" w:hAnsi="Times New Roman" w:cs="Times New Roman" w:eastAsiaTheme="minorEastAsia"/>
          <w:b/>
          <w:bCs/>
          <w:color w:val="auto"/>
          <w:spacing w:val="0"/>
          <w:w w:val="100"/>
          <w:position w:val="0"/>
          <w:sz w:val="24"/>
          <w:szCs w:val="24"/>
          <w:highlight w:val="none"/>
        </w:rPr>
        <w:t>表3</w:t>
      </w:r>
      <w:r>
        <w:rPr>
          <w:rFonts w:hint="eastAsia" w:cs="Times New Roman" w:eastAsiaTheme="minorEastAsia"/>
          <w:b/>
          <w:bCs/>
          <w:color w:val="auto"/>
          <w:spacing w:val="0"/>
          <w:w w:val="100"/>
          <w:position w:val="0"/>
          <w:sz w:val="24"/>
          <w:szCs w:val="24"/>
          <w:highlight w:val="none"/>
          <w:lang w:val="en-US" w:eastAsia="zh-CN"/>
        </w:rPr>
        <w:t xml:space="preserve">.4-6 </w:t>
      </w:r>
      <w:r>
        <w:rPr>
          <w:rFonts w:hint="default" w:ascii="Times New Roman" w:hAnsi="Times New Roman" w:cs="Times New Roman" w:eastAsiaTheme="minorEastAsia"/>
          <w:b/>
          <w:bCs/>
          <w:color w:val="auto"/>
          <w:spacing w:val="0"/>
          <w:w w:val="100"/>
          <w:position w:val="0"/>
          <w:sz w:val="24"/>
          <w:szCs w:val="24"/>
          <w:highlight w:val="none"/>
        </w:rPr>
        <w:t>臭气强度感官描述</w:t>
      </w:r>
    </w:p>
    <w:tbl>
      <w:tblPr>
        <w:tblStyle w:val="482"/>
        <w:tblW w:w="8542" w:type="dxa"/>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210"/>
        <w:gridCol w:w="6094"/>
        <w:gridCol w:w="1238"/>
      </w:tblGrid>
      <w:tr w14:paraId="022BBE7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5A38A14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臭气强度</w:t>
            </w:r>
          </w:p>
        </w:tc>
        <w:tc>
          <w:tcPr>
            <w:tcW w:w="6094" w:type="dxa"/>
            <w:tcBorders>
              <w:tl2br w:val="nil"/>
              <w:tr2bl w:val="nil"/>
            </w:tcBorders>
            <w:vAlign w:val="center"/>
          </w:tcPr>
          <w:p w14:paraId="2048D95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描述</w:t>
            </w:r>
          </w:p>
        </w:tc>
        <w:tc>
          <w:tcPr>
            <w:tcW w:w="1238" w:type="dxa"/>
            <w:tcBorders>
              <w:tl2br w:val="nil"/>
              <w:tr2bl w:val="nil"/>
            </w:tcBorders>
            <w:vAlign w:val="center"/>
          </w:tcPr>
          <w:p w14:paraId="4D28597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臭气浓度</w:t>
            </w:r>
            <w:r>
              <w:rPr>
                <w:rFonts w:hint="eastAsia" w:ascii="Times New Roman" w:hAnsi="Times New Roman" w:eastAsia="宋体" w:cs="Times New Roman"/>
                <w:snapToGrid w:val="0"/>
                <w:color w:val="auto"/>
                <w:kern w:val="0"/>
                <w:sz w:val="21"/>
                <w:highlight w:val="none"/>
                <w:lang w:val="en-US" w:eastAsia="zh-CN"/>
              </w:rPr>
              <w:t>（无量纲）</w:t>
            </w:r>
          </w:p>
        </w:tc>
      </w:tr>
      <w:tr w14:paraId="1C6DF8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7B82B7E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0</w:t>
            </w:r>
          </w:p>
        </w:tc>
        <w:tc>
          <w:tcPr>
            <w:tcW w:w="6094" w:type="dxa"/>
            <w:tcBorders>
              <w:tl2br w:val="nil"/>
              <w:tr2bl w:val="nil"/>
            </w:tcBorders>
            <w:vAlign w:val="center"/>
          </w:tcPr>
          <w:p w14:paraId="2ADF111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无臭</w:t>
            </w:r>
          </w:p>
        </w:tc>
        <w:tc>
          <w:tcPr>
            <w:tcW w:w="1238" w:type="dxa"/>
            <w:tcBorders>
              <w:tl2br w:val="nil"/>
              <w:tr2bl w:val="nil"/>
            </w:tcBorders>
            <w:vAlign w:val="center"/>
          </w:tcPr>
          <w:p w14:paraId="1129D07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≤10</w:t>
            </w:r>
          </w:p>
        </w:tc>
      </w:tr>
      <w:tr w14:paraId="27F1BDF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3CDE496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1</w:t>
            </w:r>
          </w:p>
        </w:tc>
        <w:tc>
          <w:tcPr>
            <w:tcW w:w="6094" w:type="dxa"/>
            <w:tcBorders>
              <w:tl2br w:val="nil"/>
              <w:tr2bl w:val="nil"/>
            </w:tcBorders>
            <w:vAlign w:val="center"/>
          </w:tcPr>
          <w:p w14:paraId="45CEF38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气味似有似无，勉强可感知的臭气（感知阈值）</w:t>
            </w:r>
          </w:p>
        </w:tc>
        <w:tc>
          <w:tcPr>
            <w:tcW w:w="1238" w:type="dxa"/>
            <w:tcBorders>
              <w:tl2br w:val="nil"/>
              <w:tr2bl w:val="nil"/>
            </w:tcBorders>
            <w:vAlign w:val="center"/>
          </w:tcPr>
          <w:p w14:paraId="403EA8F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10~34</w:t>
            </w:r>
          </w:p>
        </w:tc>
      </w:tr>
      <w:tr w14:paraId="16F2316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6023C15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2</w:t>
            </w:r>
          </w:p>
        </w:tc>
        <w:tc>
          <w:tcPr>
            <w:tcW w:w="6094" w:type="dxa"/>
            <w:tcBorders>
              <w:tl2br w:val="nil"/>
              <w:tr2bl w:val="nil"/>
            </w:tcBorders>
            <w:vAlign w:val="center"/>
          </w:tcPr>
          <w:p w14:paraId="038201D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微弱的气味，但是能感知确定什么样的气味（辨识阈值或者认知阈值）</w:t>
            </w:r>
          </w:p>
        </w:tc>
        <w:tc>
          <w:tcPr>
            <w:tcW w:w="1238" w:type="dxa"/>
            <w:tcBorders>
              <w:tl2br w:val="nil"/>
              <w:tr2bl w:val="nil"/>
            </w:tcBorders>
            <w:vAlign w:val="center"/>
          </w:tcPr>
          <w:p w14:paraId="7E9DEB1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34~78</w:t>
            </w:r>
          </w:p>
        </w:tc>
      </w:tr>
      <w:tr w14:paraId="4E68FF9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1941A93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3</w:t>
            </w:r>
          </w:p>
        </w:tc>
        <w:tc>
          <w:tcPr>
            <w:tcW w:w="6094" w:type="dxa"/>
            <w:tcBorders>
              <w:tl2br w:val="nil"/>
              <w:tr2bl w:val="nil"/>
            </w:tcBorders>
            <w:vAlign w:val="center"/>
          </w:tcPr>
          <w:p w14:paraId="2BA7470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能够明显地感觉到气味</w:t>
            </w:r>
          </w:p>
        </w:tc>
        <w:tc>
          <w:tcPr>
            <w:tcW w:w="1238" w:type="dxa"/>
            <w:tcBorders>
              <w:tl2br w:val="nil"/>
              <w:tr2bl w:val="nil"/>
            </w:tcBorders>
            <w:vAlign w:val="center"/>
          </w:tcPr>
          <w:p w14:paraId="505FDC8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78~176</w:t>
            </w:r>
          </w:p>
        </w:tc>
      </w:tr>
      <w:tr w14:paraId="2D3DF78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20066BD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4</w:t>
            </w:r>
          </w:p>
        </w:tc>
        <w:tc>
          <w:tcPr>
            <w:tcW w:w="6094" w:type="dxa"/>
            <w:tcBorders>
              <w:tl2br w:val="nil"/>
              <w:tr2bl w:val="nil"/>
            </w:tcBorders>
            <w:vAlign w:val="center"/>
          </w:tcPr>
          <w:p w14:paraId="2FA8926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感觉到比较强烈的气味</w:t>
            </w:r>
          </w:p>
        </w:tc>
        <w:tc>
          <w:tcPr>
            <w:tcW w:w="1238" w:type="dxa"/>
            <w:tcBorders>
              <w:tl2br w:val="nil"/>
              <w:tr2bl w:val="nil"/>
            </w:tcBorders>
            <w:vAlign w:val="center"/>
          </w:tcPr>
          <w:p w14:paraId="0F7966A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176~600</w:t>
            </w:r>
          </w:p>
        </w:tc>
      </w:tr>
      <w:tr w14:paraId="1E87215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1210" w:type="dxa"/>
            <w:tcBorders>
              <w:tl2br w:val="nil"/>
              <w:tr2bl w:val="nil"/>
            </w:tcBorders>
            <w:vAlign w:val="center"/>
          </w:tcPr>
          <w:p w14:paraId="6AEAA30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5</w:t>
            </w:r>
          </w:p>
        </w:tc>
        <w:tc>
          <w:tcPr>
            <w:tcW w:w="6094" w:type="dxa"/>
            <w:tcBorders>
              <w:tl2br w:val="nil"/>
              <w:tr2bl w:val="nil"/>
            </w:tcBorders>
            <w:vAlign w:val="center"/>
          </w:tcPr>
          <w:p w14:paraId="1DE2285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非常强烈难以忍受的气味</w:t>
            </w:r>
          </w:p>
        </w:tc>
        <w:tc>
          <w:tcPr>
            <w:tcW w:w="1238" w:type="dxa"/>
            <w:tcBorders>
              <w:tl2br w:val="nil"/>
              <w:tr2bl w:val="nil"/>
            </w:tcBorders>
            <w:vAlign w:val="center"/>
          </w:tcPr>
          <w:p w14:paraId="2B1D9C4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≥600</w:t>
            </w:r>
          </w:p>
        </w:tc>
      </w:tr>
    </w:tbl>
    <w:p w14:paraId="5B7DA869">
      <w:pPr>
        <w:keepNext w:val="0"/>
        <w:keepLines w:val="0"/>
        <w:pageBreakBefore w:val="0"/>
        <w:widowControl w:val="0"/>
        <w:kinsoku/>
        <w:wordWrap/>
        <w:overflowPunct/>
        <w:topLinePunct w:val="0"/>
        <w:autoSpaceDE/>
        <w:autoSpaceDN/>
        <w:bidi w:val="0"/>
        <w:adjustRightInd/>
        <w:snapToGrid/>
        <w:spacing w:line="520" w:lineRule="exact"/>
        <w:ind w:firstLine="480" w:firstLineChars="200"/>
        <w:jc w:val="both"/>
        <w:textAlignment w:val="auto"/>
        <w:rPr>
          <w:rFonts w:hint="default" w:ascii="Times New Roman" w:hAnsi="Times New Roman" w:eastAsia="宋体" w:cs="Times New Roman"/>
          <w:b/>
          <w:bCs/>
          <w:color w:val="auto"/>
          <w:spacing w:val="0"/>
          <w:w w:val="100"/>
          <w:position w:val="0"/>
          <w:sz w:val="24"/>
          <w:szCs w:val="24"/>
          <w:highlight w:val="none"/>
          <w:lang w:val="en-US" w:eastAsia="zh-CN"/>
        </w:rPr>
      </w:pPr>
      <w:r>
        <w:rPr>
          <w:rFonts w:hint="default" w:ascii="Times New Roman" w:hAnsi="Times New Roman" w:cs="Times New Roman" w:eastAsiaTheme="minorEastAsia"/>
          <w:color w:val="auto"/>
          <w:spacing w:val="0"/>
          <w:w w:val="100"/>
          <w:position w:val="0"/>
          <w:sz w:val="24"/>
          <w:szCs w:val="24"/>
          <w:highlight w:val="none"/>
          <w:lang w:eastAsia="zh-CN"/>
        </w:rPr>
        <w:t>本项目</w:t>
      </w:r>
      <w:r>
        <w:rPr>
          <w:rFonts w:cs="Times New Roman"/>
          <w:snapToGrid w:val="0"/>
          <w:color w:val="auto"/>
          <w:highlight w:val="none"/>
          <w:lang w:val="zh-CN"/>
        </w:rPr>
        <w:t>屠宰车间</w:t>
      </w:r>
      <w:r>
        <w:rPr>
          <w:rFonts w:hint="eastAsia" w:cs="Times New Roman"/>
          <w:snapToGrid w:val="0"/>
          <w:color w:val="auto"/>
          <w:highlight w:val="none"/>
          <w:lang w:val="zh-CN"/>
        </w:rPr>
        <w:t>、</w:t>
      </w:r>
      <w:r>
        <w:rPr>
          <w:rFonts w:hint="eastAsia" w:cs="Times New Roman"/>
          <w:snapToGrid w:val="0"/>
          <w:color w:val="auto"/>
          <w:highlight w:val="none"/>
          <w:lang w:val="en-US" w:eastAsia="zh-CN"/>
        </w:rPr>
        <w:t>急宰间、隔离间、固体废物暂存间封闭设计，虽然及时对污染源采取了处理措施，但</w:t>
      </w:r>
      <w:r>
        <w:rPr>
          <w:rFonts w:hint="eastAsia" w:ascii="Times New Roman" w:hAnsi="Times New Roman" w:eastAsia="宋体" w:cs="Times New Roman"/>
          <w:snapToGrid w:val="0"/>
          <w:color w:val="auto"/>
          <w:highlight w:val="none"/>
          <w:lang w:val="en-US" w:eastAsia="zh-CN"/>
        </w:rPr>
        <w:t>是从感官角度还是属于“</w:t>
      </w:r>
      <w:r>
        <w:rPr>
          <w:rFonts w:hint="default" w:ascii="Times New Roman" w:hAnsi="Times New Roman" w:eastAsia="宋体" w:cs="Times New Roman"/>
          <w:snapToGrid w:val="0"/>
          <w:color w:val="auto"/>
          <w:highlight w:val="none"/>
          <w:lang w:val="en-US" w:eastAsia="zh-CN"/>
        </w:rPr>
        <w:t>微弱的气味，但是能感知确定什么样的气味</w:t>
      </w:r>
      <w:r>
        <w:rPr>
          <w:rFonts w:hint="eastAsia" w:ascii="Times New Roman" w:hAnsi="Times New Roman" w:eastAsia="宋体" w:cs="Times New Roman"/>
          <w:snapToGrid w:val="0"/>
          <w:color w:val="auto"/>
          <w:highlight w:val="none"/>
          <w:lang w:val="en-US" w:eastAsia="zh-CN"/>
        </w:rPr>
        <w:t>”因此本评价对以上区域臭气浓度取值78（无量纲），屠宰车间、</w:t>
      </w:r>
      <w:r>
        <w:rPr>
          <w:rFonts w:hint="eastAsia" w:cs="Times New Roman"/>
          <w:color w:val="auto"/>
          <w:highlight w:val="none"/>
          <w:lang w:val="en-US" w:eastAsia="zh-CN"/>
        </w:rPr>
        <w:t>急宰间、隔离间及固体废物暂存间</w:t>
      </w:r>
      <w:r>
        <w:rPr>
          <w:rFonts w:cs="Times New Roman"/>
          <w:color w:val="auto"/>
          <w:highlight w:val="none"/>
        </w:rPr>
        <w:t>废气</w:t>
      </w:r>
      <w:r>
        <w:rPr>
          <w:rFonts w:hint="eastAsia" w:cs="Times New Roman"/>
          <w:color w:val="auto"/>
          <w:highlight w:val="none"/>
          <w:lang w:eastAsia="zh-CN"/>
        </w:rPr>
        <w:t>采用微负压集中收集后</w:t>
      </w:r>
      <w:r>
        <w:rPr>
          <w:rFonts w:cs="Times New Roman"/>
          <w:color w:val="auto"/>
          <w:highlight w:val="none"/>
        </w:rPr>
        <w:t>（收集率约90%左右），通过一套活性炭净化装置（</w:t>
      </w:r>
      <w:r>
        <w:rPr>
          <w:rFonts w:hint="eastAsia" w:cs="Times New Roman"/>
          <w:color w:val="auto"/>
          <w:highlight w:val="none"/>
          <w:lang w:eastAsia="zh-CN"/>
        </w:rPr>
        <w:t>净化效率80%</w:t>
      </w:r>
      <w:r>
        <w:rPr>
          <w:rFonts w:cs="Times New Roman"/>
          <w:color w:val="auto"/>
          <w:highlight w:val="none"/>
        </w:rPr>
        <w:t>），净化后的废气</w:t>
      </w:r>
      <w:r>
        <w:rPr>
          <w:rFonts w:hint="eastAsia" w:cs="Times New Roman"/>
          <w:color w:val="auto"/>
          <w:highlight w:val="none"/>
          <w:lang w:val="en-US" w:eastAsia="zh-CN"/>
        </w:rPr>
        <w:t>与屠宰车间废气一同</w:t>
      </w:r>
      <w:r>
        <w:rPr>
          <w:rFonts w:cs="Times New Roman"/>
          <w:color w:val="auto"/>
          <w:highlight w:val="none"/>
        </w:rPr>
        <w:t>通过15m排气筒DA00</w:t>
      </w:r>
      <w:r>
        <w:rPr>
          <w:rFonts w:hint="eastAsia" w:cs="Times New Roman"/>
          <w:color w:val="auto"/>
          <w:highlight w:val="none"/>
          <w:lang w:val="en-US" w:eastAsia="zh-CN"/>
        </w:rPr>
        <w:t>1</w:t>
      </w:r>
      <w:r>
        <w:rPr>
          <w:rFonts w:cs="Times New Roman"/>
          <w:color w:val="auto"/>
          <w:highlight w:val="none"/>
        </w:rPr>
        <w:t>排放</w:t>
      </w:r>
      <w:r>
        <w:rPr>
          <w:rFonts w:hint="default" w:ascii="Times New Roman" w:hAnsi="Times New Roman" w:cs="Times New Roman" w:eastAsiaTheme="minorEastAsia"/>
          <w:color w:val="auto"/>
          <w:spacing w:val="0"/>
          <w:w w:val="100"/>
          <w:position w:val="0"/>
          <w:sz w:val="24"/>
          <w:szCs w:val="24"/>
          <w:highlight w:val="none"/>
          <w:lang w:eastAsia="zh-CN"/>
        </w:rPr>
        <w:t>。</w:t>
      </w:r>
      <w:r>
        <w:rPr>
          <w:rFonts w:hint="eastAsia" w:cs="Times New Roman"/>
          <w:snapToGrid w:val="0"/>
          <w:color w:val="auto"/>
          <w:highlight w:val="none"/>
          <w:lang w:val="en-US" w:eastAsia="zh-CN"/>
        </w:rPr>
        <w:t>最终臭气浓度排放值为14。</w:t>
      </w:r>
    </w:p>
    <w:p w14:paraId="56474F2D">
      <w:pPr>
        <w:adjustRightInd/>
        <w:snapToGrid/>
        <w:spacing w:line="360" w:lineRule="exact"/>
        <w:ind w:firstLine="0" w:firstLineChars="0"/>
        <w:jc w:val="center"/>
        <w:rPr>
          <w:rFonts w:hint="default" w:ascii="Times New Roman" w:hAnsi="Times New Roman" w:cs="Times New Roman" w:eastAsiaTheme="minorEastAsia"/>
          <w:b/>
          <w:bCs/>
          <w:color w:val="auto"/>
          <w:spacing w:val="0"/>
          <w:w w:val="100"/>
          <w:position w:val="0"/>
          <w:sz w:val="24"/>
          <w:szCs w:val="24"/>
          <w:highlight w:val="none"/>
        </w:rPr>
      </w:pPr>
    </w:p>
    <w:p w14:paraId="56F1FDD7">
      <w:pPr>
        <w:adjustRightInd/>
        <w:snapToGrid/>
        <w:spacing w:line="360" w:lineRule="exact"/>
        <w:ind w:firstLine="0" w:firstLineChars="0"/>
        <w:jc w:val="center"/>
        <w:rPr>
          <w:rFonts w:hint="default" w:ascii="Times New Roman" w:hAnsi="Times New Roman" w:cs="Times New Roman" w:eastAsiaTheme="minorEastAsia"/>
          <w:color w:val="auto"/>
          <w:spacing w:val="0"/>
          <w:w w:val="100"/>
          <w:position w:val="0"/>
          <w:highlight w:val="none"/>
        </w:rPr>
      </w:pPr>
      <w:r>
        <w:rPr>
          <w:rFonts w:hint="default" w:ascii="Times New Roman" w:hAnsi="Times New Roman" w:cs="Times New Roman" w:eastAsiaTheme="minorEastAsia"/>
          <w:b/>
          <w:bCs/>
          <w:color w:val="auto"/>
          <w:spacing w:val="0"/>
          <w:w w:val="100"/>
          <w:position w:val="0"/>
          <w:sz w:val="24"/>
          <w:szCs w:val="24"/>
          <w:highlight w:val="none"/>
        </w:rPr>
        <w:t>表3</w:t>
      </w:r>
      <w:r>
        <w:rPr>
          <w:rFonts w:hint="eastAsia" w:cs="Times New Roman" w:eastAsiaTheme="minorEastAsia"/>
          <w:b/>
          <w:bCs/>
          <w:color w:val="auto"/>
          <w:spacing w:val="0"/>
          <w:w w:val="100"/>
          <w:position w:val="0"/>
          <w:sz w:val="24"/>
          <w:szCs w:val="24"/>
          <w:highlight w:val="none"/>
          <w:lang w:val="en-US" w:eastAsia="zh-CN"/>
        </w:rPr>
        <w:t>.4-7</w:t>
      </w:r>
      <w:r>
        <w:rPr>
          <w:rFonts w:hint="eastAsia" w:ascii="Times New Roman" w:hAnsi="Times New Roman" w:cs="Times New Roman" w:eastAsiaTheme="minorEastAsia"/>
          <w:b/>
          <w:bCs/>
          <w:color w:val="auto"/>
          <w:spacing w:val="0"/>
          <w:w w:val="100"/>
          <w:position w:val="0"/>
          <w:sz w:val="24"/>
          <w:szCs w:val="24"/>
          <w:highlight w:val="none"/>
          <w:lang w:val="en-US" w:eastAsia="zh-CN"/>
        </w:rPr>
        <w:t xml:space="preserve"> </w:t>
      </w:r>
      <w:r>
        <w:rPr>
          <w:rFonts w:hint="default" w:ascii="Times New Roman" w:hAnsi="Times New Roman" w:cs="Times New Roman" w:eastAsiaTheme="minorEastAsia"/>
          <w:b/>
          <w:bCs/>
          <w:color w:val="auto"/>
          <w:spacing w:val="0"/>
          <w:w w:val="100"/>
          <w:position w:val="0"/>
          <w:sz w:val="24"/>
          <w:szCs w:val="24"/>
          <w:highlight w:val="none"/>
        </w:rPr>
        <w:t>污染物源强计算表</w:t>
      </w:r>
    </w:p>
    <w:tbl>
      <w:tblPr>
        <w:tblStyle w:val="482"/>
        <w:tblW w:w="4998" w:type="pct"/>
        <w:tblInd w:w="0" w:type="dxa"/>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37"/>
        <w:gridCol w:w="902"/>
        <w:gridCol w:w="904"/>
        <w:gridCol w:w="1286"/>
        <w:gridCol w:w="10"/>
        <w:gridCol w:w="13"/>
        <w:gridCol w:w="23"/>
        <w:gridCol w:w="1264"/>
        <w:gridCol w:w="1028"/>
        <w:gridCol w:w="1018"/>
        <w:gridCol w:w="22"/>
        <w:gridCol w:w="71"/>
        <w:gridCol w:w="925"/>
      </w:tblGrid>
      <w:tr w14:paraId="074B7E03">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restart"/>
            <w:tcBorders>
              <w:tl2br w:val="nil"/>
              <w:tr2bl w:val="nil"/>
            </w:tcBorders>
            <w:vAlign w:val="center"/>
          </w:tcPr>
          <w:p w14:paraId="4BFD1A9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位置</w:t>
            </w:r>
          </w:p>
        </w:tc>
        <w:tc>
          <w:tcPr>
            <w:tcW w:w="543" w:type="pct"/>
            <w:vMerge w:val="restart"/>
            <w:tcBorders>
              <w:tl2br w:val="nil"/>
              <w:tr2bl w:val="nil"/>
            </w:tcBorders>
            <w:shd w:val="clear" w:color="auto" w:fill="auto"/>
            <w:vAlign w:val="center"/>
          </w:tcPr>
          <w:p w14:paraId="35DD26F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排放方式</w:t>
            </w:r>
          </w:p>
        </w:tc>
        <w:tc>
          <w:tcPr>
            <w:tcW w:w="544" w:type="pct"/>
            <w:vMerge w:val="restart"/>
            <w:tcBorders>
              <w:tl2br w:val="nil"/>
              <w:tr2bl w:val="nil"/>
            </w:tcBorders>
            <w:vAlign w:val="center"/>
          </w:tcPr>
          <w:p w14:paraId="49AA9CA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污染物名称</w:t>
            </w:r>
          </w:p>
        </w:tc>
        <w:tc>
          <w:tcPr>
            <w:tcW w:w="1563" w:type="pct"/>
            <w:gridSpan w:val="5"/>
            <w:tcBorders>
              <w:tl2br w:val="nil"/>
              <w:tr2bl w:val="nil"/>
            </w:tcBorders>
            <w:vAlign w:val="center"/>
          </w:tcPr>
          <w:p w14:paraId="1D1E988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产生情况</w:t>
            </w:r>
          </w:p>
        </w:tc>
        <w:tc>
          <w:tcPr>
            <w:tcW w:w="619" w:type="pct"/>
            <w:vMerge w:val="restart"/>
            <w:tcBorders>
              <w:tl2br w:val="nil"/>
              <w:tr2bl w:val="nil"/>
            </w:tcBorders>
            <w:vAlign w:val="center"/>
          </w:tcPr>
          <w:p w14:paraId="7DF8B0C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措施</w:t>
            </w:r>
          </w:p>
        </w:tc>
        <w:tc>
          <w:tcPr>
            <w:tcW w:w="1226" w:type="pct"/>
            <w:gridSpan w:val="4"/>
            <w:tcBorders>
              <w:tl2br w:val="nil"/>
              <w:tr2bl w:val="nil"/>
            </w:tcBorders>
            <w:vAlign w:val="center"/>
          </w:tcPr>
          <w:p w14:paraId="10F42E3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排放情况</w:t>
            </w:r>
          </w:p>
        </w:tc>
      </w:tr>
      <w:tr w14:paraId="168EA072">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0" w:hRule="atLeast"/>
        </w:trPr>
        <w:tc>
          <w:tcPr>
            <w:tcW w:w="504" w:type="pct"/>
            <w:vMerge w:val="continue"/>
            <w:tcBorders>
              <w:tl2br w:val="nil"/>
              <w:tr2bl w:val="nil"/>
            </w:tcBorders>
            <w:vAlign w:val="center"/>
          </w:tcPr>
          <w:p w14:paraId="3D54C22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5DF79F1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vMerge w:val="continue"/>
            <w:tcBorders>
              <w:tl2br w:val="nil"/>
              <w:tr2bl w:val="nil"/>
            </w:tcBorders>
            <w:vAlign w:val="center"/>
          </w:tcPr>
          <w:p w14:paraId="5022E9C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802" w:type="pct"/>
            <w:gridSpan w:val="4"/>
            <w:tcBorders>
              <w:tl2br w:val="nil"/>
              <w:tr2bl w:val="nil"/>
            </w:tcBorders>
            <w:vAlign w:val="center"/>
          </w:tcPr>
          <w:p w14:paraId="4E4C625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kg/h</w:t>
            </w:r>
          </w:p>
        </w:tc>
        <w:tc>
          <w:tcPr>
            <w:tcW w:w="761" w:type="pct"/>
            <w:tcBorders>
              <w:tl2br w:val="nil"/>
              <w:tr2bl w:val="nil"/>
            </w:tcBorders>
            <w:vAlign w:val="center"/>
          </w:tcPr>
          <w:p w14:paraId="4AA5AAD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t/a</w:t>
            </w:r>
          </w:p>
        </w:tc>
        <w:tc>
          <w:tcPr>
            <w:tcW w:w="619" w:type="pct"/>
            <w:vMerge w:val="continue"/>
            <w:tcBorders>
              <w:tl2br w:val="nil"/>
              <w:tr2bl w:val="nil"/>
            </w:tcBorders>
            <w:vAlign w:val="center"/>
          </w:tcPr>
          <w:p w14:paraId="2CD8ABF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69" w:type="pct"/>
            <w:gridSpan w:val="3"/>
            <w:tcBorders>
              <w:tl2br w:val="nil"/>
              <w:tr2bl w:val="nil"/>
            </w:tcBorders>
            <w:vAlign w:val="center"/>
          </w:tcPr>
          <w:p w14:paraId="78CCC42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kg/h</w:t>
            </w:r>
          </w:p>
        </w:tc>
        <w:tc>
          <w:tcPr>
            <w:tcW w:w="557" w:type="pct"/>
            <w:tcBorders>
              <w:tl2br w:val="nil"/>
              <w:tr2bl w:val="nil"/>
            </w:tcBorders>
            <w:vAlign w:val="center"/>
          </w:tcPr>
          <w:p w14:paraId="6C28B94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t/a</w:t>
            </w:r>
          </w:p>
        </w:tc>
      </w:tr>
      <w:tr w14:paraId="5F34566C">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768" w:hRule="atLeast"/>
        </w:trPr>
        <w:tc>
          <w:tcPr>
            <w:tcW w:w="504" w:type="pct"/>
            <w:vMerge w:val="restart"/>
            <w:tcBorders>
              <w:tl2br w:val="nil"/>
              <w:tr2bl w:val="nil"/>
            </w:tcBorders>
            <w:vAlign w:val="center"/>
          </w:tcPr>
          <w:p w14:paraId="72ED877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屠宰</w:t>
            </w:r>
            <w:r>
              <w:rPr>
                <w:rFonts w:hint="eastAsia" w:ascii="Times New Roman" w:hAnsi="Times New Roman" w:eastAsia="宋体" w:cs="Times New Roman"/>
                <w:snapToGrid w:val="0"/>
                <w:color w:val="auto"/>
                <w:kern w:val="0"/>
                <w:sz w:val="21"/>
                <w:highlight w:val="none"/>
                <w:lang w:val="en-US" w:eastAsia="zh-CN"/>
              </w:rPr>
              <w:t>车</w:t>
            </w:r>
            <w:r>
              <w:rPr>
                <w:rFonts w:hint="default" w:ascii="Times New Roman" w:hAnsi="Times New Roman" w:eastAsia="宋体" w:cs="Times New Roman"/>
                <w:snapToGrid w:val="0"/>
                <w:color w:val="auto"/>
                <w:kern w:val="0"/>
                <w:sz w:val="21"/>
                <w:highlight w:val="none"/>
                <w:lang w:val="en-US" w:eastAsia="zh-CN"/>
              </w:rPr>
              <w:t>间</w:t>
            </w:r>
          </w:p>
        </w:tc>
        <w:tc>
          <w:tcPr>
            <w:tcW w:w="543" w:type="pct"/>
            <w:vMerge w:val="restart"/>
            <w:tcBorders>
              <w:tl2br w:val="nil"/>
              <w:tr2bl w:val="nil"/>
            </w:tcBorders>
            <w:shd w:val="clear" w:color="auto" w:fill="auto"/>
            <w:vAlign w:val="center"/>
          </w:tcPr>
          <w:p w14:paraId="71FDC09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有组织</w:t>
            </w:r>
          </w:p>
        </w:tc>
        <w:tc>
          <w:tcPr>
            <w:tcW w:w="544" w:type="pct"/>
            <w:tcBorders>
              <w:tl2br w:val="nil"/>
              <w:tr2bl w:val="nil"/>
            </w:tcBorders>
            <w:vAlign w:val="center"/>
          </w:tcPr>
          <w:p w14:paraId="10B3A3F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氨</w:t>
            </w:r>
          </w:p>
        </w:tc>
        <w:tc>
          <w:tcPr>
            <w:tcW w:w="802" w:type="pct"/>
            <w:gridSpan w:val="4"/>
            <w:tcBorders>
              <w:tl2br w:val="nil"/>
              <w:tr2bl w:val="nil"/>
            </w:tcBorders>
            <w:vAlign w:val="center"/>
          </w:tcPr>
          <w:p w14:paraId="7314C5C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0.051</w:t>
            </w:r>
          </w:p>
        </w:tc>
        <w:tc>
          <w:tcPr>
            <w:tcW w:w="761" w:type="pct"/>
            <w:tcBorders>
              <w:tl2br w:val="nil"/>
              <w:tr2bl w:val="nil"/>
            </w:tcBorders>
            <w:vAlign w:val="center"/>
          </w:tcPr>
          <w:p w14:paraId="230B7CC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0.379</w:t>
            </w:r>
          </w:p>
        </w:tc>
        <w:tc>
          <w:tcPr>
            <w:tcW w:w="619" w:type="pct"/>
            <w:vMerge w:val="restart"/>
            <w:tcBorders>
              <w:tl2br w:val="nil"/>
              <w:tr2bl w:val="nil"/>
            </w:tcBorders>
            <w:shd w:val="clear" w:color="auto" w:fill="auto"/>
            <w:vAlign w:val="center"/>
          </w:tcPr>
          <w:p w14:paraId="032342A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cs="Times New Roman"/>
                <w:color w:val="auto"/>
                <w:kern w:val="0"/>
                <w:sz w:val="21"/>
                <w:szCs w:val="21"/>
                <w:highlight w:val="none"/>
                <w:lang w:val="en-US" w:eastAsia="zh-CN"/>
              </w:rPr>
              <w:t>集气罩收集效率90%，活性炭吸附效率80%</w:t>
            </w:r>
          </w:p>
        </w:tc>
        <w:tc>
          <w:tcPr>
            <w:tcW w:w="669" w:type="pct"/>
            <w:gridSpan w:val="3"/>
            <w:tcBorders>
              <w:tl2br w:val="nil"/>
              <w:tr2bl w:val="nil"/>
            </w:tcBorders>
            <w:vAlign w:val="center"/>
          </w:tcPr>
          <w:p w14:paraId="67A754B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0.009</w:t>
            </w:r>
          </w:p>
        </w:tc>
        <w:tc>
          <w:tcPr>
            <w:tcW w:w="557" w:type="pct"/>
            <w:tcBorders>
              <w:tl2br w:val="nil"/>
              <w:tr2bl w:val="nil"/>
            </w:tcBorders>
            <w:vAlign w:val="center"/>
          </w:tcPr>
          <w:p w14:paraId="7D95328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0.068</w:t>
            </w:r>
          </w:p>
        </w:tc>
      </w:tr>
      <w:tr w14:paraId="6BB5E269">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701" w:hRule="atLeast"/>
        </w:trPr>
        <w:tc>
          <w:tcPr>
            <w:tcW w:w="504" w:type="pct"/>
            <w:vMerge w:val="continue"/>
            <w:tcBorders>
              <w:tl2br w:val="nil"/>
              <w:tr2bl w:val="nil"/>
            </w:tcBorders>
            <w:vAlign w:val="center"/>
          </w:tcPr>
          <w:p w14:paraId="016EBC3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635D3B5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vAlign w:val="center"/>
          </w:tcPr>
          <w:p w14:paraId="5E8CFF4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硫化氢</w:t>
            </w:r>
          </w:p>
        </w:tc>
        <w:tc>
          <w:tcPr>
            <w:tcW w:w="802" w:type="pct"/>
            <w:gridSpan w:val="4"/>
            <w:tcBorders>
              <w:tl2br w:val="nil"/>
              <w:tr2bl w:val="nil"/>
            </w:tcBorders>
            <w:vAlign w:val="center"/>
          </w:tcPr>
          <w:p w14:paraId="3B658F4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0.0006</w:t>
            </w:r>
          </w:p>
        </w:tc>
        <w:tc>
          <w:tcPr>
            <w:tcW w:w="761" w:type="pct"/>
            <w:tcBorders>
              <w:tl2br w:val="nil"/>
              <w:tr2bl w:val="nil"/>
            </w:tcBorders>
            <w:vAlign w:val="center"/>
          </w:tcPr>
          <w:p w14:paraId="43EED72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0.0046</w:t>
            </w:r>
          </w:p>
        </w:tc>
        <w:tc>
          <w:tcPr>
            <w:tcW w:w="619" w:type="pct"/>
            <w:vMerge w:val="continue"/>
            <w:tcBorders>
              <w:tl2br w:val="nil"/>
              <w:tr2bl w:val="nil"/>
            </w:tcBorders>
            <w:vAlign w:val="center"/>
          </w:tcPr>
          <w:p w14:paraId="152C96E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69" w:type="pct"/>
            <w:gridSpan w:val="3"/>
            <w:tcBorders>
              <w:tl2br w:val="nil"/>
              <w:tr2bl w:val="nil"/>
            </w:tcBorders>
            <w:vAlign w:val="center"/>
          </w:tcPr>
          <w:p w14:paraId="4AD8C0F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1.1</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557" w:type="pct"/>
            <w:tcBorders>
              <w:tl2br w:val="nil"/>
              <w:tr2bl w:val="nil"/>
            </w:tcBorders>
            <w:vAlign w:val="center"/>
          </w:tcPr>
          <w:p w14:paraId="247A215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8.3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r>
      <w:tr w14:paraId="3CBE6868">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2104D54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7326A30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vAlign w:val="center"/>
          </w:tcPr>
          <w:p w14:paraId="0FEB629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臭气浓度</w:t>
            </w:r>
          </w:p>
        </w:tc>
        <w:tc>
          <w:tcPr>
            <w:tcW w:w="1563" w:type="pct"/>
            <w:gridSpan w:val="5"/>
            <w:tcBorders>
              <w:tl2br w:val="nil"/>
              <w:tr2bl w:val="nil"/>
            </w:tcBorders>
            <w:vAlign w:val="center"/>
          </w:tcPr>
          <w:p w14:paraId="2FF71EF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78</w:t>
            </w:r>
            <w:r>
              <w:rPr>
                <w:rFonts w:hint="default" w:ascii="Times New Roman" w:hAnsi="Times New Roman" w:eastAsia="宋体" w:cs="Times New Roman"/>
                <w:snapToGrid w:val="0"/>
                <w:color w:val="auto"/>
                <w:kern w:val="0"/>
                <w:sz w:val="21"/>
                <w:highlight w:val="none"/>
                <w:lang w:val="en-US" w:eastAsia="zh-CN"/>
              </w:rPr>
              <w:t>（无量纲）</w:t>
            </w:r>
          </w:p>
        </w:tc>
        <w:tc>
          <w:tcPr>
            <w:tcW w:w="619" w:type="pct"/>
            <w:vMerge w:val="continue"/>
            <w:tcBorders>
              <w:tl2br w:val="nil"/>
              <w:tr2bl w:val="nil"/>
            </w:tcBorders>
            <w:vAlign w:val="center"/>
          </w:tcPr>
          <w:p w14:paraId="6B71F43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1226" w:type="pct"/>
            <w:gridSpan w:val="4"/>
            <w:tcBorders>
              <w:tl2br w:val="nil"/>
              <w:tr2bl w:val="nil"/>
            </w:tcBorders>
            <w:vAlign w:val="center"/>
          </w:tcPr>
          <w:p w14:paraId="3C646BAC">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14</w:t>
            </w:r>
            <w:r>
              <w:rPr>
                <w:rFonts w:hint="default" w:ascii="Times New Roman" w:hAnsi="Times New Roman" w:eastAsia="宋体" w:cs="Times New Roman"/>
                <w:snapToGrid w:val="0"/>
                <w:color w:val="auto"/>
                <w:kern w:val="0"/>
                <w:sz w:val="21"/>
                <w:highlight w:val="none"/>
                <w:lang w:val="en-US" w:eastAsia="zh-CN"/>
              </w:rPr>
              <w:t>（无量纲）</w:t>
            </w:r>
          </w:p>
        </w:tc>
      </w:tr>
      <w:tr w14:paraId="5B1C6F11">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151" w:hRule="atLeast"/>
        </w:trPr>
        <w:tc>
          <w:tcPr>
            <w:tcW w:w="504" w:type="pct"/>
            <w:vMerge w:val="continue"/>
            <w:tcBorders>
              <w:tl2br w:val="nil"/>
              <w:tr2bl w:val="nil"/>
            </w:tcBorders>
            <w:vAlign w:val="center"/>
          </w:tcPr>
          <w:p w14:paraId="36A3FA6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restart"/>
            <w:tcBorders>
              <w:tl2br w:val="nil"/>
              <w:tr2bl w:val="nil"/>
            </w:tcBorders>
            <w:vAlign w:val="center"/>
          </w:tcPr>
          <w:p w14:paraId="131A890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无组织</w:t>
            </w:r>
          </w:p>
        </w:tc>
        <w:tc>
          <w:tcPr>
            <w:tcW w:w="544" w:type="pct"/>
            <w:tcBorders>
              <w:tl2br w:val="nil"/>
              <w:tr2bl w:val="nil"/>
            </w:tcBorders>
            <w:shd w:val="clear" w:color="auto" w:fill="auto"/>
            <w:vAlign w:val="center"/>
          </w:tcPr>
          <w:p w14:paraId="719C0B5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氨</w:t>
            </w:r>
          </w:p>
        </w:tc>
        <w:tc>
          <w:tcPr>
            <w:tcW w:w="802" w:type="pct"/>
            <w:gridSpan w:val="4"/>
            <w:tcBorders>
              <w:tl2br w:val="nil"/>
              <w:tr2bl w:val="nil"/>
            </w:tcBorders>
            <w:vAlign w:val="center"/>
          </w:tcPr>
          <w:p w14:paraId="2DB949C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0.0051</w:t>
            </w:r>
          </w:p>
        </w:tc>
        <w:tc>
          <w:tcPr>
            <w:tcW w:w="761" w:type="pct"/>
            <w:tcBorders>
              <w:tl2br w:val="nil"/>
              <w:tr2bl w:val="nil"/>
            </w:tcBorders>
            <w:vAlign w:val="center"/>
          </w:tcPr>
          <w:p w14:paraId="42CC1EF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0.0379</w:t>
            </w:r>
          </w:p>
        </w:tc>
        <w:tc>
          <w:tcPr>
            <w:tcW w:w="619" w:type="pct"/>
            <w:vMerge w:val="restart"/>
            <w:tcBorders>
              <w:tl2br w:val="nil"/>
              <w:tr2bl w:val="nil"/>
            </w:tcBorders>
            <w:vAlign w:val="center"/>
          </w:tcPr>
          <w:p w14:paraId="7DA0943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cs="Times New Roman"/>
                <w:color w:val="auto"/>
                <w:kern w:val="0"/>
                <w:sz w:val="21"/>
                <w:szCs w:val="21"/>
                <w:highlight w:val="none"/>
              </w:rPr>
              <w:t>及时清运粪便</w:t>
            </w:r>
            <w:r>
              <w:rPr>
                <w:rFonts w:cs="Times New Roman"/>
                <w:color w:val="auto"/>
                <w:kern w:val="0"/>
                <w:sz w:val="21"/>
                <w:szCs w:val="21"/>
                <w:highlight w:val="none"/>
              </w:rPr>
              <w:t>，定期冲洗地面</w:t>
            </w:r>
            <w:r>
              <w:rPr>
                <w:rFonts w:hint="eastAsia" w:cs="Times New Roman"/>
                <w:color w:val="auto"/>
                <w:kern w:val="0"/>
                <w:sz w:val="21"/>
                <w:szCs w:val="21"/>
                <w:highlight w:val="none"/>
              </w:rPr>
              <w:t>，</w:t>
            </w:r>
            <w:r>
              <w:rPr>
                <w:rFonts w:cs="Times New Roman"/>
                <w:color w:val="auto"/>
                <w:kern w:val="0"/>
                <w:sz w:val="21"/>
                <w:szCs w:val="21"/>
                <w:highlight w:val="none"/>
              </w:rPr>
              <w:t>喷洒除臭剂</w:t>
            </w:r>
            <w:r>
              <w:rPr>
                <w:rFonts w:hint="eastAsia" w:cs="Times New Roman"/>
                <w:color w:val="auto"/>
                <w:kern w:val="0"/>
                <w:sz w:val="21"/>
                <w:szCs w:val="21"/>
                <w:highlight w:val="none"/>
                <w:lang w:val="en-US" w:eastAsia="zh-CN"/>
              </w:rPr>
              <w:t>处理效率能达</w:t>
            </w:r>
            <w:r>
              <w:rPr>
                <w:rFonts w:cs="Times New Roman"/>
                <w:color w:val="auto"/>
                <w:kern w:val="0"/>
                <w:sz w:val="21"/>
                <w:szCs w:val="21"/>
                <w:highlight w:val="none"/>
              </w:rPr>
              <w:t>80</w:t>
            </w:r>
            <w:r>
              <w:rPr>
                <w:rFonts w:hint="eastAsia" w:cs="Times New Roman"/>
                <w:color w:val="auto"/>
                <w:kern w:val="0"/>
                <w:sz w:val="21"/>
                <w:szCs w:val="21"/>
                <w:highlight w:val="none"/>
                <w:lang w:val="en-US" w:eastAsia="zh-CN"/>
              </w:rPr>
              <w:t>%</w:t>
            </w:r>
          </w:p>
        </w:tc>
        <w:tc>
          <w:tcPr>
            <w:tcW w:w="626" w:type="pct"/>
            <w:gridSpan w:val="2"/>
            <w:tcBorders>
              <w:tl2br w:val="nil"/>
              <w:tr2bl w:val="nil"/>
            </w:tcBorders>
            <w:shd w:val="clear" w:color="auto" w:fill="auto"/>
            <w:vAlign w:val="center"/>
          </w:tcPr>
          <w:p w14:paraId="7571060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0.001</w:t>
            </w:r>
          </w:p>
        </w:tc>
        <w:tc>
          <w:tcPr>
            <w:tcW w:w="599" w:type="pct"/>
            <w:gridSpan w:val="2"/>
            <w:tcBorders>
              <w:tl2br w:val="nil"/>
              <w:tr2bl w:val="nil"/>
            </w:tcBorders>
            <w:shd w:val="clear" w:color="auto" w:fill="auto"/>
            <w:vAlign w:val="center"/>
          </w:tcPr>
          <w:p w14:paraId="30D00F5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0.0076</w:t>
            </w:r>
          </w:p>
        </w:tc>
      </w:tr>
      <w:tr w14:paraId="6131A63A">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836" w:hRule="atLeast"/>
        </w:trPr>
        <w:tc>
          <w:tcPr>
            <w:tcW w:w="504" w:type="pct"/>
            <w:vMerge w:val="continue"/>
            <w:tcBorders>
              <w:tl2br w:val="nil"/>
              <w:tr2bl w:val="nil"/>
            </w:tcBorders>
            <w:vAlign w:val="center"/>
          </w:tcPr>
          <w:p w14:paraId="321F960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762C7EA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6F339DA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硫化氢</w:t>
            </w:r>
          </w:p>
        </w:tc>
        <w:tc>
          <w:tcPr>
            <w:tcW w:w="802" w:type="pct"/>
            <w:gridSpan w:val="4"/>
            <w:tcBorders>
              <w:tl2br w:val="nil"/>
              <w:tr2bl w:val="nil"/>
            </w:tcBorders>
            <w:vAlign w:val="center"/>
          </w:tcPr>
          <w:p w14:paraId="1D5E56B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0.00006</w:t>
            </w:r>
          </w:p>
        </w:tc>
        <w:tc>
          <w:tcPr>
            <w:tcW w:w="761" w:type="pct"/>
            <w:tcBorders>
              <w:tl2br w:val="nil"/>
              <w:tr2bl w:val="nil"/>
            </w:tcBorders>
            <w:vAlign w:val="center"/>
          </w:tcPr>
          <w:p w14:paraId="13660D0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0.00046</w:t>
            </w:r>
          </w:p>
        </w:tc>
        <w:tc>
          <w:tcPr>
            <w:tcW w:w="619" w:type="pct"/>
            <w:vMerge w:val="continue"/>
            <w:tcBorders>
              <w:tl2br w:val="nil"/>
              <w:tr2bl w:val="nil"/>
            </w:tcBorders>
            <w:vAlign w:val="center"/>
          </w:tcPr>
          <w:p w14:paraId="3376967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26" w:type="pct"/>
            <w:gridSpan w:val="2"/>
            <w:tcBorders>
              <w:tl2br w:val="nil"/>
              <w:tr2bl w:val="nil"/>
            </w:tcBorders>
            <w:shd w:val="clear" w:color="auto" w:fill="auto"/>
            <w:vAlign w:val="center"/>
          </w:tcPr>
          <w:p w14:paraId="1304AA9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1.2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599" w:type="pct"/>
            <w:gridSpan w:val="2"/>
            <w:tcBorders>
              <w:tl2br w:val="nil"/>
              <w:tr2bl w:val="nil"/>
            </w:tcBorders>
            <w:shd w:val="clear" w:color="auto" w:fill="auto"/>
            <w:vAlign w:val="center"/>
          </w:tcPr>
          <w:p w14:paraId="2876B0C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9.2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r>
      <w:tr w14:paraId="7150F7CE">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9" w:hRule="atLeast"/>
        </w:trPr>
        <w:tc>
          <w:tcPr>
            <w:tcW w:w="504" w:type="pct"/>
            <w:vMerge w:val="restart"/>
            <w:tcBorders>
              <w:tl2br w:val="nil"/>
              <w:tr2bl w:val="nil"/>
            </w:tcBorders>
            <w:shd w:val="clear" w:color="auto" w:fill="auto"/>
            <w:vAlign w:val="center"/>
          </w:tcPr>
          <w:p w14:paraId="5E5ED0B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急宰间</w:t>
            </w:r>
          </w:p>
        </w:tc>
        <w:tc>
          <w:tcPr>
            <w:tcW w:w="543" w:type="pct"/>
            <w:vMerge w:val="restart"/>
            <w:tcBorders>
              <w:tl2br w:val="nil"/>
              <w:tr2bl w:val="nil"/>
            </w:tcBorders>
            <w:shd w:val="clear" w:color="auto" w:fill="auto"/>
            <w:vAlign w:val="center"/>
          </w:tcPr>
          <w:p w14:paraId="01ACDDC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有组织</w:t>
            </w:r>
          </w:p>
        </w:tc>
        <w:tc>
          <w:tcPr>
            <w:tcW w:w="544" w:type="pct"/>
            <w:tcBorders>
              <w:tl2br w:val="nil"/>
              <w:tr2bl w:val="nil"/>
            </w:tcBorders>
            <w:shd w:val="clear" w:color="auto" w:fill="auto"/>
            <w:vAlign w:val="center"/>
          </w:tcPr>
          <w:p w14:paraId="624C2FA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氨</w:t>
            </w:r>
          </w:p>
        </w:tc>
        <w:tc>
          <w:tcPr>
            <w:tcW w:w="802" w:type="pct"/>
            <w:gridSpan w:val="4"/>
            <w:tcBorders>
              <w:tl2br w:val="nil"/>
              <w:tr2bl w:val="nil"/>
            </w:tcBorders>
            <w:vAlign w:val="center"/>
          </w:tcPr>
          <w:p w14:paraId="0143849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2.4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761" w:type="pct"/>
            <w:tcBorders>
              <w:tl2br w:val="nil"/>
              <w:tr2bl w:val="nil"/>
            </w:tcBorders>
            <w:vAlign w:val="center"/>
          </w:tcPr>
          <w:p w14:paraId="2B35F57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1.79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-3</w:t>
            </w:r>
          </w:p>
        </w:tc>
        <w:tc>
          <w:tcPr>
            <w:tcW w:w="619" w:type="pct"/>
            <w:vMerge w:val="restart"/>
            <w:tcBorders>
              <w:tl2br w:val="nil"/>
              <w:tr2bl w:val="nil"/>
            </w:tcBorders>
            <w:vAlign w:val="center"/>
          </w:tcPr>
          <w:p w14:paraId="18C69B6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cs="Times New Roman"/>
                <w:color w:val="auto"/>
                <w:kern w:val="0"/>
                <w:sz w:val="21"/>
                <w:szCs w:val="21"/>
                <w:highlight w:val="none"/>
                <w:lang w:val="en-US" w:eastAsia="zh-CN"/>
              </w:rPr>
              <w:t>集气罩收集效率90%，活性炭吸附效率80%</w:t>
            </w:r>
          </w:p>
        </w:tc>
        <w:tc>
          <w:tcPr>
            <w:tcW w:w="626" w:type="pct"/>
            <w:gridSpan w:val="2"/>
            <w:tcBorders>
              <w:tl2br w:val="nil"/>
              <w:tr2bl w:val="nil"/>
            </w:tcBorders>
            <w:vAlign w:val="center"/>
          </w:tcPr>
          <w:p w14:paraId="32C6ABA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4.3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599" w:type="pct"/>
            <w:gridSpan w:val="2"/>
            <w:tcBorders>
              <w:tl2br w:val="nil"/>
              <w:tr2bl w:val="nil"/>
            </w:tcBorders>
            <w:vAlign w:val="center"/>
          </w:tcPr>
          <w:p w14:paraId="5CC818D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3.2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r>
      <w:tr w14:paraId="45E44535">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719" w:hRule="atLeast"/>
        </w:trPr>
        <w:tc>
          <w:tcPr>
            <w:tcW w:w="504" w:type="pct"/>
            <w:vMerge w:val="continue"/>
            <w:tcBorders>
              <w:tl2br w:val="nil"/>
              <w:tr2bl w:val="nil"/>
            </w:tcBorders>
            <w:vAlign w:val="center"/>
          </w:tcPr>
          <w:p w14:paraId="50886CF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1394F35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4B1192C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硫化氢</w:t>
            </w:r>
          </w:p>
        </w:tc>
        <w:tc>
          <w:tcPr>
            <w:tcW w:w="802" w:type="pct"/>
            <w:gridSpan w:val="4"/>
            <w:tcBorders>
              <w:tl2br w:val="nil"/>
              <w:tr2bl w:val="nil"/>
            </w:tcBorders>
            <w:vAlign w:val="center"/>
          </w:tcPr>
          <w:p w14:paraId="25D135E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2.88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761" w:type="pct"/>
            <w:tcBorders>
              <w:tl2br w:val="nil"/>
              <w:tr2bl w:val="nil"/>
            </w:tcBorders>
            <w:vAlign w:val="center"/>
          </w:tcPr>
          <w:p w14:paraId="08895D1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2.14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619" w:type="pct"/>
            <w:vMerge w:val="continue"/>
            <w:tcBorders>
              <w:tl2br w:val="nil"/>
              <w:tr2bl w:val="nil"/>
            </w:tcBorders>
            <w:vAlign w:val="center"/>
          </w:tcPr>
          <w:p w14:paraId="5496E77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26" w:type="pct"/>
            <w:gridSpan w:val="2"/>
            <w:tcBorders>
              <w:tl2br w:val="nil"/>
              <w:tr2bl w:val="nil"/>
            </w:tcBorders>
            <w:vAlign w:val="center"/>
          </w:tcPr>
          <w:p w14:paraId="2F077C5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5.2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c>
          <w:tcPr>
            <w:tcW w:w="599" w:type="pct"/>
            <w:gridSpan w:val="2"/>
            <w:tcBorders>
              <w:tl2br w:val="nil"/>
              <w:tr2bl w:val="nil"/>
            </w:tcBorders>
            <w:vAlign w:val="center"/>
          </w:tcPr>
          <w:p w14:paraId="6A0790F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3.9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r>
      <w:tr w14:paraId="50B757F0">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30EAF3F6">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2580882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4E58340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臭气浓度</w:t>
            </w:r>
          </w:p>
        </w:tc>
        <w:tc>
          <w:tcPr>
            <w:tcW w:w="1563" w:type="pct"/>
            <w:gridSpan w:val="5"/>
            <w:tcBorders>
              <w:tl2br w:val="nil"/>
              <w:tr2bl w:val="nil"/>
            </w:tcBorders>
            <w:vAlign w:val="center"/>
          </w:tcPr>
          <w:p w14:paraId="590C5AE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78</w:t>
            </w:r>
            <w:r>
              <w:rPr>
                <w:rFonts w:hint="default" w:ascii="Times New Roman" w:hAnsi="Times New Roman" w:eastAsia="宋体" w:cs="Times New Roman"/>
                <w:snapToGrid w:val="0"/>
                <w:color w:val="auto"/>
                <w:kern w:val="0"/>
                <w:sz w:val="21"/>
                <w:highlight w:val="none"/>
                <w:lang w:val="en-US" w:eastAsia="zh-CN"/>
              </w:rPr>
              <w:t>（无量纲）</w:t>
            </w:r>
          </w:p>
        </w:tc>
        <w:tc>
          <w:tcPr>
            <w:tcW w:w="619" w:type="pct"/>
            <w:vMerge w:val="continue"/>
            <w:tcBorders>
              <w:tl2br w:val="nil"/>
              <w:tr2bl w:val="nil"/>
            </w:tcBorders>
            <w:vAlign w:val="center"/>
          </w:tcPr>
          <w:p w14:paraId="66D4407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1226" w:type="pct"/>
            <w:gridSpan w:val="4"/>
            <w:tcBorders>
              <w:tl2br w:val="nil"/>
              <w:tr2bl w:val="nil"/>
            </w:tcBorders>
            <w:vAlign w:val="center"/>
          </w:tcPr>
          <w:p w14:paraId="12ABAF8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14</w:t>
            </w:r>
            <w:r>
              <w:rPr>
                <w:rFonts w:hint="default" w:ascii="Times New Roman" w:hAnsi="Times New Roman" w:eastAsia="宋体" w:cs="Times New Roman"/>
                <w:snapToGrid w:val="0"/>
                <w:color w:val="auto"/>
                <w:kern w:val="0"/>
                <w:sz w:val="21"/>
                <w:highlight w:val="none"/>
                <w:lang w:val="en-US" w:eastAsia="zh-CN"/>
              </w:rPr>
              <w:t>（无量纲）</w:t>
            </w:r>
          </w:p>
        </w:tc>
      </w:tr>
      <w:tr w14:paraId="32844AD2">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159" w:hRule="atLeast"/>
        </w:trPr>
        <w:tc>
          <w:tcPr>
            <w:tcW w:w="504" w:type="pct"/>
            <w:vMerge w:val="continue"/>
            <w:tcBorders>
              <w:tl2br w:val="nil"/>
              <w:tr2bl w:val="nil"/>
            </w:tcBorders>
            <w:vAlign w:val="center"/>
          </w:tcPr>
          <w:p w14:paraId="1FBE90D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restart"/>
            <w:tcBorders>
              <w:tl2br w:val="nil"/>
              <w:tr2bl w:val="nil"/>
            </w:tcBorders>
            <w:vAlign w:val="center"/>
          </w:tcPr>
          <w:p w14:paraId="0F45ED8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无组织</w:t>
            </w:r>
          </w:p>
        </w:tc>
        <w:tc>
          <w:tcPr>
            <w:tcW w:w="544" w:type="pct"/>
            <w:tcBorders>
              <w:tl2br w:val="nil"/>
              <w:tr2bl w:val="nil"/>
            </w:tcBorders>
            <w:shd w:val="clear" w:color="auto" w:fill="auto"/>
            <w:vAlign w:val="center"/>
          </w:tcPr>
          <w:p w14:paraId="53BB204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氨</w:t>
            </w:r>
          </w:p>
        </w:tc>
        <w:tc>
          <w:tcPr>
            <w:tcW w:w="802" w:type="pct"/>
            <w:gridSpan w:val="4"/>
            <w:tcBorders>
              <w:tl2br w:val="nil"/>
              <w:tr2bl w:val="nil"/>
            </w:tcBorders>
            <w:shd w:val="clear" w:color="auto" w:fill="auto"/>
            <w:vAlign w:val="center"/>
          </w:tcPr>
          <w:p w14:paraId="3238DAB8">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761" w:type="pct"/>
            <w:tcBorders>
              <w:tl2br w:val="nil"/>
              <w:tr2bl w:val="nil"/>
            </w:tcBorders>
            <w:shd w:val="clear" w:color="auto" w:fill="auto"/>
            <w:vAlign w:val="center"/>
          </w:tcPr>
          <w:p w14:paraId="4BA3C908">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1.79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619" w:type="pct"/>
            <w:vMerge w:val="restart"/>
            <w:tcBorders>
              <w:tl2br w:val="nil"/>
              <w:tr2bl w:val="nil"/>
            </w:tcBorders>
            <w:vAlign w:val="center"/>
          </w:tcPr>
          <w:p w14:paraId="2E05ACC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cs="Times New Roman"/>
                <w:color w:val="auto"/>
                <w:kern w:val="0"/>
                <w:sz w:val="21"/>
                <w:szCs w:val="21"/>
                <w:highlight w:val="none"/>
              </w:rPr>
              <w:t>及时清运粪便</w:t>
            </w:r>
            <w:r>
              <w:rPr>
                <w:rFonts w:cs="Times New Roman"/>
                <w:color w:val="auto"/>
                <w:kern w:val="0"/>
                <w:sz w:val="21"/>
                <w:szCs w:val="21"/>
                <w:highlight w:val="none"/>
              </w:rPr>
              <w:t>，定期冲洗地面</w:t>
            </w:r>
            <w:r>
              <w:rPr>
                <w:rFonts w:hint="eastAsia" w:cs="Times New Roman"/>
                <w:color w:val="auto"/>
                <w:kern w:val="0"/>
                <w:sz w:val="21"/>
                <w:szCs w:val="21"/>
                <w:highlight w:val="none"/>
              </w:rPr>
              <w:t>，</w:t>
            </w:r>
            <w:r>
              <w:rPr>
                <w:rFonts w:cs="Times New Roman"/>
                <w:color w:val="auto"/>
                <w:kern w:val="0"/>
                <w:sz w:val="21"/>
                <w:szCs w:val="21"/>
                <w:highlight w:val="none"/>
              </w:rPr>
              <w:t>喷洒除臭剂</w:t>
            </w:r>
            <w:r>
              <w:rPr>
                <w:rFonts w:hint="eastAsia" w:cs="Times New Roman"/>
                <w:color w:val="auto"/>
                <w:kern w:val="0"/>
                <w:sz w:val="21"/>
                <w:szCs w:val="21"/>
                <w:highlight w:val="none"/>
                <w:lang w:val="en-US" w:eastAsia="zh-CN"/>
              </w:rPr>
              <w:t>处理效率能达</w:t>
            </w:r>
            <w:r>
              <w:rPr>
                <w:rFonts w:cs="Times New Roman"/>
                <w:color w:val="auto"/>
                <w:kern w:val="0"/>
                <w:sz w:val="21"/>
                <w:szCs w:val="21"/>
                <w:highlight w:val="none"/>
              </w:rPr>
              <w:t>80</w:t>
            </w:r>
            <w:r>
              <w:rPr>
                <w:rFonts w:hint="eastAsia" w:cs="Times New Roman"/>
                <w:color w:val="auto"/>
                <w:kern w:val="0"/>
                <w:sz w:val="21"/>
                <w:szCs w:val="21"/>
                <w:highlight w:val="none"/>
                <w:lang w:val="en-US" w:eastAsia="zh-CN"/>
              </w:rPr>
              <w:t>%</w:t>
            </w:r>
          </w:p>
        </w:tc>
        <w:tc>
          <w:tcPr>
            <w:tcW w:w="626" w:type="pct"/>
            <w:gridSpan w:val="2"/>
            <w:tcBorders>
              <w:tl2br w:val="nil"/>
              <w:tr2bl w:val="nil"/>
            </w:tcBorders>
            <w:shd w:val="clear" w:color="auto" w:fill="auto"/>
            <w:vAlign w:val="center"/>
          </w:tcPr>
          <w:p w14:paraId="706D2A28">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599" w:type="pct"/>
            <w:gridSpan w:val="2"/>
            <w:tcBorders>
              <w:tl2br w:val="nil"/>
              <w:tr2bl w:val="nil"/>
            </w:tcBorders>
            <w:shd w:val="clear" w:color="auto" w:fill="auto"/>
            <w:vAlign w:val="center"/>
          </w:tcPr>
          <w:p w14:paraId="518F8E69">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3.6</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r>
      <w:tr w14:paraId="1E51AC58">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6520F89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3E5CD7F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5F1EA20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硫化氢</w:t>
            </w:r>
          </w:p>
        </w:tc>
        <w:tc>
          <w:tcPr>
            <w:tcW w:w="802" w:type="pct"/>
            <w:gridSpan w:val="4"/>
            <w:tcBorders>
              <w:tl2br w:val="nil"/>
              <w:tr2bl w:val="nil"/>
            </w:tcBorders>
            <w:shd w:val="clear" w:color="auto" w:fill="auto"/>
            <w:vAlign w:val="center"/>
          </w:tcPr>
          <w:p w14:paraId="47C46099">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2.88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c>
          <w:tcPr>
            <w:tcW w:w="761" w:type="pct"/>
            <w:tcBorders>
              <w:tl2br w:val="nil"/>
              <w:tr2bl w:val="nil"/>
            </w:tcBorders>
            <w:shd w:val="clear" w:color="auto" w:fill="auto"/>
            <w:vAlign w:val="center"/>
          </w:tcPr>
          <w:p w14:paraId="3230C880">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2.14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619" w:type="pct"/>
            <w:vMerge w:val="continue"/>
            <w:tcBorders>
              <w:tl2br w:val="nil"/>
              <w:tr2bl w:val="nil"/>
            </w:tcBorders>
            <w:vAlign w:val="center"/>
          </w:tcPr>
          <w:p w14:paraId="3CF5804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26" w:type="pct"/>
            <w:gridSpan w:val="2"/>
            <w:tcBorders>
              <w:tl2br w:val="nil"/>
              <w:tr2bl w:val="nil"/>
            </w:tcBorders>
            <w:shd w:val="clear" w:color="auto" w:fill="auto"/>
            <w:vAlign w:val="center"/>
          </w:tcPr>
          <w:p w14:paraId="77922E2A">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5.8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-8</w:t>
            </w:r>
          </w:p>
        </w:tc>
        <w:tc>
          <w:tcPr>
            <w:tcW w:w="599" w:type="pct"/>
            <w:gridSpan w:val="2"/>
            <w:tcBorders>
              <w:tl2br w:val="nil"/>
              <w:tr2bl w:val="nil"/>
            </w:tcBorders>
            <w:shd w:val="clear" w:color="auto" w:fill="auto"/>
            <w:vAlign w:val="center"/>
          </w:tcPr>
          <w:p w14:paraId="420748A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r>
      <w:tr w14:paraId="1828D32B">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4" w:hRule="atLeast"/>
        </w:trPr>
        <w:tc>
          <w:tcPr>
            <w:tcW w:w="504" w:type="pct"/>
            <w:vMerge w:val="restart"/>
            <w:tcBorders>
              <w:tl2br w:val="nil"/>
              <w:tr2bl w:val="nil"/>
            </w:tcBorders>
            <w:shd w:val="clear" w:color="auto" w:fill="auto"/>
            <w:vAlign w:val="center"/>
          </w:tcPr>
          <w:p w14:paraId="4648893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隔离间</w:t>
            </w:r>
          </w:p>
        </w:tc>
        <w:tc>
          <w:tcPr>
            <w:tcW w:w="543" w:type="pct"/>
            <w:vMerge w:val="restart"/>
            <w:tcBorders>
              <w:tl2br w:val="nil"/>
              <w:tr2bl w:val="nil"/>
            </w:tcBorders>
            <w:shd w:val="clear" w:color="auto" w:fill="auto"/>
            <w:vAlign w:val="center"/>
          </w:tcPr>
          <w:p w14:paraId="60A3E7B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有组织</w:t>
            </w:r>
          </w:p>
        </w:tc>
        <w:tc>
          <w:tcPr>
            <w:tcW w:w="544" w:type="pct"/>
            <w:tcBorders>
              <w:tl2br w:val="nil"/>
              <w:tr2bl w:val="nil"/>
            </w:tcBorders>
            <w:shd w:val="clear" w:color="auto" w:fill="auto"/>
            <w:vAlign w:val="center"/>
          </w:tcPr>
          <w:p w14:paraId="4E88AE3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氨</w:t>
            </w:r>
          </w:p>
        </w:tc>
        <w:tc>
          <w:tcPr>
            <w:tcW w:w="802" w:type="pct"/>
            <w:gridSpan w:val="4"/>
            <w:tcBorders>
              <w:tl2br w:val="nil"/>
              <w:tr2bl w:val="nil"/>
            </w:tcBorders>
            <w:shd w:val="clear" w:color="auto" w:fill="auto"/>
            <w:vAlign w:val="center"/>
          </w:tcPr>
          <w:p w14:paraId="031E2EE6">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761" w:type="pct"/>
            <w:tcBorders>
              <w:tl2br w:val="nil"/>
              <w:tr2bl w:val="nil"/>
            </w:tcBorders>
            <w:shd w:val="clear" w:color="auto" w:fill="auto"/>
            <w:vAlign w:val="center"/>
          </w:tcPr>
          <w:p w14:paraId="15B161C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1.79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-3</w:t>
            </w:r>
          </w:p>
        </w:tc>
        <w:tc>
          <w:tcPr>
            <w:tcW w:w="619" w:type="pct"/>
            <w:vMerge w:val="restart"/>
            <w:tcBorders>
              <w:tl2br w:val="nil"/>
              <w:tr2bl w:val="nil"/>
            </w:tcBorders>
            <w:vAlign w:val="center"/>
          </w:tcPr>
          <w:p w14:paraId="0C80E89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cs="Times New Roman"/>
                <w:color w:val="auto"/>
                <w:kern w:val="0"/>
                <w:sz w:val="21"/>
                <w:szCs w:val="21"/>
                <w:highlight w:val="none"/>
                <w:lang w:val="en-US" w:eastAsia="zh-CN"/>
              </w:rPr>
              <w:t>集气罩收集效率90%，活性炭吸附效率80%</w:t>
            </w:r>
          </w:p>
        </w:tc>
        <w:tc>
          <w:tcPr>
            <w:tcW w:w="626" w:type="pct"/>
            <w:gridSpan w:val="2"/>
            <w:tcBorders>
              <w:tl2br w:val="nil"/>
              <w:tr2bl w:val="nil"/>
            </w:tcBorders>
            <w:shd w:val="clear" w:color="auto" w:fill="auto"/>
            <w:vAlign w:val="center"/>
          </w:tcPr>
          <w:p w14:paraId="38508E5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599" w:type="pct"/>
            <w:gridSpan w:val="2"/>
            <w:tcBorders>
              <w:tl2br w:val="nil"/>
              <w:tr2bl w:val="nil"/>
            </w:tcBorders>
            <w:shd w:val="clear" w:color="auto" w:fill="auto"/>
            <w:vAlign w:val="center"/>
          </w:tcPr>
          <w:p w14:paraId="519C77F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3.2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r>
      <w:tr w14:paraId="4A22DEB6">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99" w:hRule="atLeast"/>
        </w:trPr>
        <w:tc>
          <w:tcPr>
            <w:tcW w:w="504" w:type="pct"/>
            <w:vMerge w:val="continue"/>
            <w:tcBorders>
              <w:tl2br w:val="nil"/>
              <w:tr2bl w:val="nil"/>
            </w:tcBorders>
            <w:vAlign w:val="center"/>
          </w:tcPr>
          <w:p w14:paraId="37C0A756">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075F39B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048DEA6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硫化氢</w:t>
            </w:r>
          </w:p>
        </w:tc>
        <w:tc>
          <w:tcPr>
            <w:tcW w:w="802" w:type="pct"/>
            <w:gridSpan w:val="4"/>
            <w:tcBorders>
              <w:tl2br w:val="nil"/>
              <w:tr2bl w:val="nil"/>
            </w:tcBorders>
            <w:shd w:val="clear" w:color="auto" w:fill="auto"/>
            <w:vAlign w:val="center"/>
          </w:tcPr>
          <w:p w14:paraId="19BA47E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2.88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761" w:type="pct"/>
            <w:tcBorders>
              <w:tl2br w:val="nil"/>
              <w:tr2bl w:val="nil"/>
            </w:tcBorders>
            <w:shd w:val="clear" w:color="auto" w:fill="auto"/>
            <w:vAlign w:val="center"/>
          </w:tcPr>
          <w:p w14:paraId="18E03DE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2.14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619" w:type="pct"/>
            <w:vMerge w:val="continue"/>
            <w:tcBorders>
              <w:tl2br w:val="nil"/>
              <w:tr2bl w:val="nil"/>
            </w:tcBorders>
            <w:vAlign w:val="center"/>
          </w:tcPr>
          <w:p w14:paraId="1872BC3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26" w:type="pct"/>
            <w:gridSpan w:val="2"/>
            <w:tcBorders>
              <w:tl2br w:val="nil"/>
              <w:tr2bl w:val="nil"/>
            </w:tcBorders>
            <w:shd w:val="clear" w:color="auto" w:fill="auto"/>
            <w:vAlign w:val="center"/>
          </w:tcPr>
          <w:p w14:paraId="0753C7A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5.2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c>
          <w:tcPr>
            <w:tcW w:w="599" w:type="pct"/>
            <w:gridSpan w:val="2"/>
            <w:tcBorders>
              <w:tl2br w:val="nil"/>
              <w:tr2bl w:val="nil"/>
            </w:tcBorders>
            <w:shd w:val="clear" w:color="auto" w:fill="auto"/>
            <w:vAlign w:val="center"/>
          </w:tcPr>
          <w:p w14:paraId="5DD71F6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3.9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r>
      <w:tr w14:paraId="48E00EFA">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3B9F19B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3139202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0796DD6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en-US"/>
              </w:rPr>
            </w:pPr>
            <w:r>
              <w:rPr>
                <w:rFonts w:hint="default" w:ascii="Times New Roman" w:hAnsi="Times New Roman" w:eastAsia="宋体" w:cs="Times New Roman"/>
                <w:snapToGrid w:val="0"/>
                <w:color w:val="auto"/>
                <w:kern w:val="0"/>
                <w:sz w:val="21"/>
                <w:highlight w:val="none"/>
                <w:lang w:val="en-US" w:eastAsia="zh-CN"/>
              </w:rPr>
              <w:t>臭气浓度</w:t>
            </w:r>
          </w:p>
        </w:tc>
        <w:tc>
          <w:tcPr>
            <w:tcW w:w="1563" w:type="pct"/>
            <w:gridSpan w:val="5"/>
            <w:tcBorders>
              <w:tl2br w:val="nil"/>
              <w:tr2bl w:val="nil"/>
            </w:tcBorders>
            <w:vAlign w:val="center"/>
          </w:tcPr>
          <w:p w14:paraId="0CC1C8C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78</w:t>
            </w:r>
            <w:r>
              <w:rPr>
                <w:rFonts w:hint="default" w:ascii="Times New Roman" w:hAnsi="Times New Roman" w:eastAsia="宋体" w:cs="Times New Roman"/>
                <w:snapToGrid w:val="0"/>
                <w:color w:val="auto"/>
                <w:kern w:val="0"/>
                <w:sz w:val="21"/>
                <w:highlight w:val="none"/>
                <w:lang w:val="en-US" w:eastAsia="zh-CN"/>
              </w:rPr>
              <w:t>（无量纲）</w:t>
            </w:r>
          </w:p>
        </w:tc>
        <w:tc>
          <w:tcPr>
            <w:tcW w:w="619" w:type="pct"/>
            <w:vMerge w:val="continue"/>
            <w:tcBorders>
              <w:tl2br w:val="nil"/>
              <w:tr2bl w:val="nil"/>
            </w:tcBorders>
            <w:vAlign w:val="center"/>
          </w:tcPr>
          <w:p w14:paraId="26452EE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1226" w:type="pct"/>
            <w:gridSpan w:val="4"/>
            <w:tcBorders>
              <w:tl2br w:val="nil"/>
              <w:tr2bl w:val="nil"/>
            </w:tcBorders>
            <w:vAlign w:val="center"/>
          </w:tcPr>
          <w:p w14:paraId="6C4FEEA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14</w:t>
            </w:r>
            <w:r>
              <w:rPr>
                <w:rFonts w:hint="default" w:ascii="Times New Roman" w:hAnsi="Times New Roman" w:eastAsia="宋体" w:cs="Times New Roman"/>
                <w:snapToGrid w:val="0"/>
                <w:color w:val="auto"/>
                <w:kern w:val="0"/>
                <w:sz w:val="21"/>
                <w:highlight w:val="none"/>
                <w:lang w:val="en-US" w:eastAsia="zh-CN"/>
              </w:rPr>
              <w:t>（无量纲）</w:t>
            </w:r>
          </w:p>
        </w:tc>
      </w:tr>
      <w:tr w14:paraId="695BCD82">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033" w:hRule="atLeast"/>
        </w:trPr>
        <w:tc>
          <w:tcPr>
            <w:tcW w:w="504" w:type="pct"/>
            <w:vMerge w:val="continue"/>
            <w:tcBorders>
              <w:tl2br w:val="nil"/>
              <w:tr2bl w:val="nil"/>
            </w:tcBorders>
            <w:vAlign w:val="center"/>
          </w:tcPr>
          <w:p w14:paraId="7048E0C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restart"/>
            <w:tcBorders>
              <w:tl2br w:val="nil"/>
              <w:tr2bl w:val="nil"/>
            </w:tcBorders>
            <w:vAlign w:val="center"/>
          </w:tcPr>
          <w:p w14:paraId="689F70D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无组织</w:t>
            </w:r>
          </w:p>
        </w:tc>
        <w:tc>
          <w:tcPr>
            <w:tcW w:w="544" w:type="pct"/>
            <w:tcBorders>
              <w:tl2br w:val="nil"/>
              <w:tr2bl w:val="nil"/>
            </w:tcBorders>
            <w:shd w:val="clear" w:color="auto" w:fill="auto"/>
            <w:vAlign w:val="center"/>
          </w:tcPr>
          <w:p w14:paraId="6CBF983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氨</w:t>
            </w:r>
          </w:p>
        </w:tc>
        <w:tc>
          <w:tcPr>
            <w:tcW w:w="788" w:type="pct"/>
            <w:gridSpan w:val="3"/>
            <w:tcBorders>
              <w:tl2br w:val="nil"/>
              <w:tr2bl w:val="nil"/>
            </w:tcBorders>
            <w:shd w:val="clear" w:color="auto" w:fill="auto"/>
            <w:vAlign w:val="center"/>
          </w:tcPr>
          <w:p w14:paraId="42081C2F">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775" w:type="pct"/>
            <w:gridSpan w:val="2"/>
            <w:tcBorders>
              <w:tl2br w:val="nil"/>
              <w:tr2bl w:val="nil"/>
            </w:tcBorders>
            <w:shd w:val="clear" w:color="auto" w:fill="auto"/>
            <w:vAlign w:val="center"/>
          </w:tcPr>
          <w:p w14:paraId="08715095">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1.79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619" w:type="pct"/>
            <w:vMerge w:val="restart"/>
            <w:tcBorders>
              <w:tl2br w:val="nil"/>
              <w:tr2bl w:val="nil"/>
            </w:tcBorders>
            <w:vAlign w:val="center"/>
          </w:tcPr>
          <w:p w14:paraId="0AE1E4F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cs="Times New Roman"/>
                <w:color w:val="auto"/>
                <w:kern w:val="0"/>
                <w:sz w:val="21"/>
                <w:szCs w:val="21"/>
                <w:highlight w:val="none"/>
              </w:rPr>
              <w:t>及时清运粪便</w:t>
            </w:r>
            <w:r>
              <w:rPr>
                <w:rFonts w:cs="Times New Roman"/>
                <w:color w:val="auto"/>
                <w:kern w:val="0"/>
                <w:sz w:val="21"/>
                <w:szCs w:val="21"/>
                <w:highlight w:val="none"/>
              </w:rPr>
              <w:t>，定期冲洗地面</w:t>
            </w:r>
            <w:r>
              <w:rPr>
                <w:rFonts w:hint="eastAsia" w:cs="Times New Roman"/>
                <w:color w:val="auto"/>
                <w:kern w:val="0"/>
                <w:sz w:val="21"/>
                <w:szCs w:val="21"/>
                <w:highlight w:val="none"/>
              </w:rPr>
              <w:t>，</w:t>
            </w:r>
            <w:r>
              <w:rPr>
                <w:rFonts w:cs="Times New Roman"/>
                <w:color w:val="auto"/>
                <w:kern w:val="0"/>
                <w:sz w:val="21"/>
                <w:szCs w:val="21"/>
                <w:highlight w:val="none"/>
              </w:rPr>
              <w:t>喷洒除臭剂</w:t>
            </w:r>
            <w:r>
              <w:rPr>
                <w:rFonts w:hint="eastAsia" w:cs="Times New Roman"/>
                <w:color w:val="auto"/>
                <w:kern w:val="0"/>
                <w:sz w:val="21"/>
                <w:szCs w:val="21"/>
                <w:highlight w:val="none"/>
                <w:lang w:val="en-US" w:eastAsia="zh-CN"/>
              </w:rPr>
              <w:t>处理效率能达</w:t>
            </w:r>
            <w:r>
              <w:rPr>
                <w:rFonts w:cs="Times New Roman"/>
                <w:color w:val="auto"/>
                <w:kern w:val="0"/>
                <w:sz w:val="21"/>
                <w:szCs w:val="21"/>
                <w:highlight w:val="none"/>
              </w:rPr>
              <w:t>80</w:t>
            </w:r>
            <w:r>
              <w:rPr>
                <w:rFonts w:hint="eastAsia" w:cs="Times New Roman"/>
                <w:color w:val="auto"/>
                <w:kern w:val="0"/>
                <w:sz w:val="21"/>
                <w:szCs w:val="21"/>
                <w:highlight w:val="none"/>
                <w:lang w:val="en-US" w:eastAsia="zh-CN"/>
              </w:rPr>
              <w:t>%</w:t>
            </w:r>
          </w:p>
        </w:tc>
        <w:tc>
          <w:tcPr>
            <w:tcW w:w="626" w:type="pct"/>
            <w:gridSpan w:val="2"/>
            <w:tcBorders>
              <w:tl2br w:val="nil"/>
              <w:tr2bl w:val="nil"/>
            </w:tcBorders>
            <w:shd w:val="clear" w:color="auto" w:fill="auto"/>
            <w:vAlign w:val="center"/>
          </w:tcPr>
          <w:p w14:paraId="0C1926A7">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599" w:type="pct"/>
            <w:gridSpan w:val="2"/>
            <w:tcBorders>
              <w:tl2br w:val="nil"/>
              <w:tr2bl w:val="nil"/>
            </w:tcBorders>
            <w:shd w:val="clear" w:color="auto" w:fill="auto"/>
            <w:vAlign w:val="center"/>
          </w:tcPr>
          <w:p w14:paraId="3A2AE94F">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3.6</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r>
      <w:tr w14:paraId="546280A2">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690BD97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243CD0F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61CB02A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硫化氢</w:t>
            </w:r>
          </w:p>
        </w:tc>
        <w:tc>
          <w:tcPr>
            <w:tcW w:w="788" w:type="pct"/>
            <w:gridSpan w:val="3"/>
            <w:tcBorders>
              <w:tl2br w:val="nil"/>
              <w:tr2bl w:val="nil"/>
            </w:tcBorders>
            <w:shd w:val="clear" w:color="auto" w:fill="auto"/>
            <w:vAlign w:val="center"/>
          </w:tcPr>
          <w:p w14:paraId="04A58613">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2.88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c>
          <w:tcPr>
            <w:tcW w:w="775" w:type="pct"/>
            <w:gridSpan w:val="2"/>
            <w:tcBorders>
              <w:tl2br w:val="nil"/>
              <w:tr2bl w:val="nil"/>
            </w:tcBorders>
            <w:shd w:val="clear" w:color="auto" w:fill="auto"/>
            <w:vAlign w:val="center"/>
          </w:tcPr>
          <w:p w14:paraId="49CA05C9">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2.14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619" w:type="pct"/>
            <w:vMerge w:val="continue"/>
            <w:tcBorders>
              <w:tl2br w:val="nil"/>
              <w:tr2bl w:val="nil"/>
            </w:tcBorders>
            <w:vAlign w:val="center"/>
          </w:tcPr>
          <w:p w14:paraId="3DB412B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26" w:type="pct"/>
            <w:gridSpan w:val="2"/>
            <w:tcBorders>
              <w:tl2br w:val="nil"/>
              <w:tr2bl w:val="nil"/>
            </w:tcBorders>
            <w:shd w:val="clear" w:color="auto" w:fill="auto"/>
            <w:vAlign w:val="center"/>
          </w:tcPr>
          <w:p w14:paraId="5E94F3BF">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5.8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-8</w:t>
            </w:r>
          </w:p>
        </w:tc>
        <w:tc>
          <w:tcPr>
            <w:tcW w:w="599" w:type="pct"/>
            <w:gridSpan w:val="2"/>
            <w:tcBorders>
              <w:tl2br w:val="nil"/>
              <w:tr2bl w:val="nil"/>
            </w:tcBorders>
            <w:shd w:val="clear" w:color="auto" w:fill="auto"/>
            <w:vAlign w:val="center"/>
          </w:tcPr>
          <w:p w14:paraId="17FD4FFD">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r>
      <w:tr w14:paraId="01215405">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09" w:hRule="atLeast"/>
        </w:trPr>
        <w:tc>
          <w:tcPr>
            <w:tcW w:w="504" w:type="pct"/>
            <w:vMerge w:val="restart"/>
            <w:tcBorders>
              <w:tl2br w:val="nil"/>
              <w:tr2bl w:val="nil"/>
            </w:tcBorders>
            <w:vAlign w:val="center"/>
          </w:tcPr>
          <w:p w14:paraId="213A932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固体废物暂存间</w:t>
            </w:r>
          </w:p>
        </w:tc>
        <w:tc>
          <w:tcPr>
            <w:tcW w:w="543" w:type="pct"/>
            <w:vMerge w:val="restart"/>
            <w:tcBorders>
              <w:tl2br w:val="nil"/>
              <w:tr2bl w:val="nil"/>
            </w:tcBorders>
            <w:vAlign w:val="center"/>
          </w:tcPr>
          <w:p w14:paraId="084268D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default" w:ascii="Times New Roman" w:hAnsi="Times New Roman" w:eastAsia="宋体" w:cs="Times New Roman"/>
                <w:snapToGrid w:val="0"/>
                <w:color w:val="auto"/>
                <w:kern w:val="0"/>
                <w:sz w:val="21"/>
                <w:highlight w:val="none"/>
                <w:lang w:val="en-US" w:eastAsia="zh-CN"/>
              </w:rPr>
              <w:t>有组织</w:t>
            </w:r>
          </w:p>
        </w:tc>
        <w:tc>
          <w:tcPr>
            <w:tcW w:w="544" w:type="pct"/>
            <w:tcBorders>
              <w:tl2br w:val="nil"/>
              <w:tr2bl w:val="nil"/>
            </w:tcBorders>
            <w:shd w:val="clear" w:color="auto" w:fill="auto"/>
            <w:vAlign w:val="center"/>
          </w:tcPr>
          <w:p w14:paraId="7AF470F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氨</w:t>
            </w:r>
          </w:p>
        </w:tc>
        <w:tc>
          <w:tcPr>
            <w:tcW w:w="774" w:type="pct"/>
            <w:tcBorders>
              <w:tl2br w:val="nil"/>
              <w:tr2bl w:val="nil"/>
            </w:tcBorders>
            <w:shd w:val="clear" w:color="auto" w:fill="auto"/>
            <w:vAlign w:val="center"/>
          </w:tcPr>
          <w:p w14:paraId="33BECA6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788" w:type="pct"/>
            <w:gridSpan w:val="4"/>
            <w:tcBorders>
              <w:tl2br w:val="nil"/>
              <w:tr2bl w:val="nil"/>
            </w:tcBorders>
            <w:shd w:val="clear" w:color="auto" w:fill="auto"/>
            <w:vAlign w:val="center"/>
          </w:tcPr>
          <w:p w14:paraId="5B05A10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1.79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-3</w:t>
            </w:r>
          </w:p>
        </w:tc>
        <w:tc>
          <w:tcPr>
            <w:tcW w:w="619" w:type="pct"/>
            <w:vMerge w:val="restart"/>
            <w:tcBorders>
              <w:tl2br w:val="nil"/>
              <w:tr2bl w:val="nil"/>
            </w:tcBorders>
            <w:shd w:val="clear" w:color="auto" w:fill="auto"/>
            <w:vAlign w:val="center"/>
          </w:tcPr>
          <w:p w14:paraId="4CA8318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cs="Times New Roman"/>
                <w:color w:val="auto"/>
                <w:kern w:val="0"/>
                <w:sz w:val="21"/>
                <w:szCs w:val="21"/>
                <w:highlight w:val="none"/>
                <w:lang w:val="en-US" w:eastAsia="zh-CN"/>
              </w:rPr>
              <w:t>集气罩收集效率90%，活性炭吸附效率80%</w:t>
            </w:r>
          </w:p>
          <w:p w14:paraId="7438A87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13" w:type="pct"/>
            <w:tcBorders>
              <w:tl2br w:val="nil"/>
              <w:tr2bl w:val="nil"/>
            </w:tcBorders>
            <w:shd w:val="clear" w:color="auto" w:fill="auto"/>
            <w:vAlign w:val="center"/>
          </w:tcPr>
          <w:p w14:paraId="17DBC1F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613" w:type="pct"/>
            <w:gridSpan w:val="3"/>
            <w:tcBorders>
              <w:tl2br w:val="nil"/>
              <w:tr2bl w:val="nil"/>
            </w:tcBorders>
            <w:shd w:val="clear" w:color="auto" w:fill="auto"/>
            <w:vAlign w:val="center"/>
          </w:tcPr>
          <w:p w14:paraId="317C7999">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3.6</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r>
      <w:tr w14:paraId="0D8023A1">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814" w:hRule="atLeast"/>
        </w:trPr>
        <w:tc>
          <w:tcPr>
            <w:tcW w:w="504" w:type="pct"/>
            <w:vMerge w:val="continue"/>
            <w:tcBorders>
              <w:tl2br w:val="nil"/>
              <w:tr2bl w:val="nil"/>
            </w:tcBorders>
            <w:vAlign w:val="center"/>
          </w:tcPr>
          <w:p w14:paraId="0CCD2A26">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36C3ADA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49671A04">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硫化氢</w:t>
            </w:r>
          </w:p>
        </w:tc>
        <w:tc>
          <w:tcPr>
            <w:tcW w:w="774" w:type="pct"/>
            <w:tcBorders>
              <w:tl2br w:val="nil"/>
              <w:tr2bl w:val="nil"/>
            </w:tcBorders>
            <w:shd w:val="clear" w:color="auto" w:fill="auto"/>
            <w:vAlign w:val="center"/>
          </w:tcPr>
          <w:p w14:paraId="37B8F50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2.88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788" w:type="pct"/>
            <w:gridSpan w:val="4"/>
            <w:tcBorders>
              <w:tl2br w:val="nil"/>
              <w:tr2bl w:val="nil"/>
            </w:tcBorders>
            <w:shd w:val="clear" w:color="auto" w:fill="auto"/>
            <w:vAlign w:val="center"/>
          </w:tcPr>
          <w:p w14:paraId="275B839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2.14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619" w:type="pct"/>
            <w:vMerge w:val="continue"/>
            <w:tcBorders>
              <w:tl2br w:val="nil"/>
              <w:tr2bl w:val="nil"/>
            </w:tcBorders>
            <w:vAlign w:val="center"/>
          </w:tcPr>
          <w:p w14:paraId="09FD4D2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13" w:type="pct"/>
            <w:tcBorders>
              <w:tl2br w:val="nil"/>
              <w:tr2bl w:val="nil"/>
            </w:tcBorders>
            <w:shd w:val="clear" w:color="auto" w:fill="auto"/>
            <w:vAlign w:val="center"/>
          </w:tcPr>
          <w:p w14:paraId="113BE23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5.8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c>
          <w:tcPr>
            <w:tcW w:w="613" w:type="pct"/>
            <w:gridSpan w:val="3"/>
            <w:tcBorders>
              <w:tl2br w:val="nil"/>
              <w:tr2bl w:val="nil"/>
            </w:tcBorders>
            <w:shd w:val="clear" w:color="auto" w:fill="auto"/>
            <w:vAlign w:val="center"/>
          </w:tcPr>
          <w:p w14:paraId="76830D6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r>
      <w:tr w14:paraId="38377F42">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1E719D83">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439B7F2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06F1631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臭气浓度</w:t>
            </w:r>
          </w:p>
        </w:tc>
        <w:tc>
          <w:tcPr>
            <w:tcW w:w="1563" w:type="pct"/>
            <w:gridSpan w:val="5"/>
            <w:tcBorders>
              <w:tl2br w:val="nil"/>
              <w:tr2bl w:val="nil"/>
            </w:tcBorders>
            <w:vAlign w:val="center"/>
          </w:tcPr>
          <w:p w14:paraId="0CCDCFC8">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78</w:t>
            </w:r>
            <w:r>
              <w:rPr>
                <w:rFonts w:hint="default" w:ascii="Times New Roman" w:hAnsi="Times New Roman" w:eastAsia="宋体" w:cs="Times New Roman"/>
                <w:snapToGrid w:val="0"/>
                <w:color w:val="auto"/>
                <w:kern w:val="0"/>
                <w:sz w:val="21"/>
                <w:highlight w:val="none"/>
                <w:lang w:val="en-US" w:eastAsia="zh-CN"/>
              </w:rPr>
              <w:t>（无量纲）</w:t>
            </w:r>
          </w:p>
        </w:tc>
        <w:tc>
          <w:tcPr>
            <w:tcW w:w="619" w:type="pct"/>
            <w:vMerge w:val="continue"/>
            <w:tcBorders>
              <w:tl2br w:val="nil"/>
              <w:tr2bl w:val="nil"/>
            </w:tcBorders>
            <w:vAlign w:val="center"/>
          </w:tcPr>
          <w:p w14:paraId="547A09F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1226" w:type="pct"/>
            <w:gridSpan w:val="4"/>
            <w:tcBorders>
              <w:tl2br w:val="nil"/>
              <w:tr2bl w:val="nil"/>
            </w:tcBorders>
            <w:vAlign w:val="center"/>
          </w:tcPr>
          <w:p w14:paraId="477C351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14</w:t>
            </w:r>
            <w:r>
              <w:rPr>
                <w:rFonts w:hint="default" w:ascii="Times New Roman" w:hAnsi="Times New Roman" w:eastAsia="宋体" w:cs="Times New Roman"/>
                <w:snapToGrid w:val="0"/>
                <w:color w:val="auto"/>
                <w:kern w:val="0"/>
                <w:sz w:val="21"/>
                <w:highlight w:val="none"/>
                <w:lang w:val="en-US" w:eastAsia="zh-CN"/>
              </w:rPr>
              <w:t>（无量纲）</w:t>
            </w:r>
          </w:p>
        </w:tc>
      </w:tr>
      <w:tr w14:paraId="7E07448A">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309" w:hRule="atLeast"/>
        </w:trPr>
        <w:tc>
          <w:tcPr>
            <w:tcW w:w="504" w:type="pct"/>
            <w:vMerge w:val="continue"/>
            <w:tcBorders>
              <w:tl2br w:val="nil"/>
              <w:tr2bl w:val="nil"/>
            </w:tcBorders>
            <w:vAlign w:val="center"/>
          </w:tcPr>
          <w:p w14:paraId="4F7DA2D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restart"/>
            <w:tcBorders>
              <w:tl2br w:val="nil"/>
              <w:tr2bl w:val="nil"/>
            </w:tcBorders>
            <w:vAlign w:val="center"/>
          </w:tcPr>
          <w:p w14:paraId="21B9239C">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r>
              <w:rPr>
                <w:rFonts w:hint="eastAsia" w:ascii="Times New Roman" w:hAnsi="Times New Roman" w:eastAsia="宋体" w:cs="Times New Roman"/>
                <w:snapToGrid w:val="0"/>
                <w:color w:val="auto"/>
                <w:kern w:val="0"/>
                <w:sz w:val="21"/>
                <w:highlight w:val="none"/>
                <w:lang w:val="en-US" w:eastAsia="zh-CN"/>
              </w:rPr>
              <w:t>无组织</w:t>
            </w:r>
          </w:p>
        </w:tc>
        <w:tc>
          <w:tcPr>
            <w:tcW w:w="544" w:type="pct"/>
            <w:tcBorders>
              <w:tl2br w:val="nil"/>
              <w:tr2bl w:val="nil"/>
            </w:tcBorders>
            <w:shd w:val="clear" w:color="auto" w:fill="auto"/>
            <w:vAlign w:val="center"/>
          </w:tcPr>
          <w:p w14:paraId="48FA24E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氨</w:t>
            </w:r>
          </w:p>
        </w:tc>
        <w:tc>
          <w:tcPr>
            <w:tcW w:w="780" w:type="pct"/>
            <w:gridSpan w:val="2"/>
            <w:tcBorders>
              <w:tl2br w:val="nil"/>
              <w:tr2bl w:val="nil"/>
            </w:tcBorders>
            <w:shd w:val="clear" w:color="auto" w:fill="auto"/>
            <w:vAlign w:val="center"/>
          </w:tcPr>
          <w:p w14:paraId="7A89FCCB">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c>
          <w:tcPr>
            <w:tcW w:w="782" w:type="pct"/>
            <w:gridSpan w:val="3"/>
            <w:tcBorders>
              <w:tl2br w:val="nil"/>
              <w:tr2bl w:val="nil"/>
            </w:tcBorders>
            <w:shd w:val="clear" w:color="auto" w:fill="auto"/>
            <w:vAlign w:val="center"/>
          </w:tcPr>
          <w:p w14:paraId="5D15D03C">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1.79</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619" w:type="pct"/>
            <w:vMerge w:val="restart"/>
            <w:tcBorders>
              <w:tl2br w:val="nil"/>
              <w:tr2bl w:val="nil"/>
            </w:tcBorders>
            <w:shd w:val="clear" w:color="auto" w:fill="auto"/>
            <w:vAlign w:val="center"/>
          </w:tcPr>
          <w:p w14:paraId="6159344A">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cs="Times New Roman"/>
                <w:color w:val="auto"/>
                <w:kern w:val="0"/>
                <w:sz w:val="21"/>
                <w:szCs w:val="21"/>
                <w:highlight w:val="none"/>
              </w:rPr>
              <w:t>及时清运粪便</w:t>
            </w:r>
            <w:r>
              <w:rPr>
                <w:rFonts w:cs="Times New Roman"/>
                <w:color w:val="auto"/>
                <w:kern w:val="0"/>
                <w:sz w:val="21"/>
                <w:szCs w:val="21"/>
                <w:highlight w:val="none"/>
              </w:rPr>
              <w:t>，定期冲洗地面</w:t>
            </w:r>
            <w:r>
              <w:rPr>
                <w:rFonts w:hint="eastAsia" w:cs="Times New Roman"/>
                <w:color w:val="auto"/>
                <w:kern w:val="0"/>
                <w:sz w:val="21"/>
                <w:szCs w:val="21"/>
                <w:highlight w:val="none"/>
              </w:rPr>
              <w:t>，</w:t>
            </w:r>
            <w:r>
              <w:rPr>
                <w:rFonts w:cs="Times New Roman"/>
                <w:color w:val="auto"/>
                <w:kern w:val="0"/>
                <w:sz w:val="21"/>
                <w:szCs w:val="21"/>
                <w:highlight w:val="none"/>
              </w:rPr>
              <w:t>喷洒除臭剂</w:t>
            </w:r>
            <w:r>
              <w:rPr>
                <w:rFonts w:hint="eastAsia" w:cs="Times New Roman"/>
                <w:color w:val="auto"/>
                <w:kern w:val="0"/>
                <w:sz w:val="21"/>
                <w:szCs w:val="21"/>
                <w:highlight w:val="none"/>
                <w:lang w:val="en-US" w:eastAsia="zh-CN"/>
              </w:rPr>
              <w:t>处理效率能达</w:t>
            </w:r>
            <w:r>
              <w:rPr>
                <w:rFonts w:cs="Times New Roman"/>
                <w:color w:val="auto"/>
                <w:kern w:val="0"/>
                <w:sz w:val="21"/>
                <w:szCs w:val="21"/>
                <w:highlight w:val="none"/>
              </w:rPr>
              <w:t>80</w:t>
            </w:r>
            <w:r>
              <w:rPr>
                <w:rFonts w:hint="eastAsia" w:cs="Times New Roman"/>
                <w:color w:val="auto"/>
                <w:kern w:val="0"/>
                <w:sz w:val="21"/>
                <w:szCs w:val="21"/>
                <w:highlight w:val="none"/>
                <w:lang w:val="en-US" w:eastAsia="zh-CN"/>
              </w:rPr>
              <w:t>%</w:t>
            </w:r>
          </w:p>
        </w:tc>
        <w:tc>
          <w:tcPr>
            <w:tcW w:w="626" w:type="pct"/>
            <w:gridSpan w:val="2"/>
            <w:tcBorders>
              <w:tl2br w:val="nil"/>
              <w:tr2bl w:val="nil"/>
            </w:tcBorders>
            <w:shd w:val="clear" w:color="auto" w:fill="auto"/>
            <w:vAlign w:val="center"/>
          </w:tcPr>
          <w:p w14:paraId="3A4047D3">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599" w:type="pct"/>
            <w:gridSpan w:val="2"/>
            <w:tcBorders>
              <w:tl2br w:val="nil"/>
              <w:tr2bl w:val="nil"/>
            </w:tcBorders>
            <w:shd w:val="clear" w:color="auto" w:fill="auto"/>
            <w:vAlign w:val="center"/>
          </w:tcPr>
          <w:p w14:paraId="6A4F87B4">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3.6</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-5</w:t>
            </w:r>
          </w:p>
        </w:tc>
      </w:tr>
      <w:tr w14:paraId="2EF2A918">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74" w:hRule="atLeast"/>
        </w:trPr>
        <w:tc>
          <w:tcPr>
            <w:tcW w:w="504" w:type="pct"/>
            <w:vMerge w:val="continue"/>
            <w:tcBorders>
              <w:tl2br w:val="nil"/>
              <w:tr2bl w:val="nil"/>
            </w:tcBorders>
            <w:vAlign w:val="center"/>
          </w:tcPr>
          <w:p w14:paraId="6B8199D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3" w:type="pct"/>
            <w:vMerge w:val="continue"/>
            <w:tcBorders>
              <w:tl2br w:val="nil"/>
              <w:tr2bl w:val="nil"/>
            </w:tcBorders>
            <w:vAlign w:val="center"/>
          </w:tcPr>
          <w:p w14:paraId="51411B6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544" w:type="pct"/>
            <w:tcBorders>
              <w:tl2br w:val="nil"/>
              <w:tr2bl w:val="nil"/>
            </w:tcBorders>
            <w:shd w:val="clear" w:color="auto" w:fill="auto"/>
            <w:vAlign w:val="center"/>
          </w:tcPr>
          <w:p w14:paraId="6805445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highlight w:val="none"/>
                <w:lang w:val="en-US" w:eastAsia="zh-CN"/>
              </w:rPr>
              <w:t>硫化氢</w:t>
            </w:r>
          </w:p>
        </w:tc>
        <w:tc>
          <w:tcPr>
            <w:tcW w:w="780" w:type="pct"/>
            <w:gridSpan w:val="2"/>
            <w:tcBorders>
              <w:tl2br w:val="nil"/>
              <w:tr2bl w:val="nil"/>
            </w:tcBorders>
            <w:shd w:val="clear" w:color="auto" w:fill="auto"/>
            <w:vAlign w:val="center"/>
          </w:tcPr>
          <w:p w14:paraId="4347D432">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2.88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c>
          <w:tcPr>
            <w:tcW w:w="782" w:type="pct"/>
            <w:gridSpan w:val="3"/>
            <w:tcBorders>
              <w:tl2br w:val="nil"/>
              <w:tr2bl w:val="nil"/>
            </w:tcBorders>
            <w:shd w:val="clear" w:color="auto" w:fill="auto"/>
            <w:vAlign w:val="center"/>
          </w:tcPr>
          <w:p w14:paraId="36E18A91">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2.14</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-6</w:t>
            </w:r>
          </w:p>
        </w:tc>
        <w:tc>
          <w:tcPr>
            <w:tcW w:w="619" w:type="pct"/>
            <w:vMerge w:val="continue"/>
            <w:tcBorders>
              <w:tl2br w:val="nil"/>
              <w:tr2bl w:val="nil"/>
            </w:tcBorders>
            <w:vAlign w:val="center"/>
          </w:tcPr>
          <w:p w14:paraId="7916602D">
            <w:pPr>
              <w:adjustRightInd/>
              <w:snapToGrid/>
              <w:spacing w:line="360" w:lineRule="exact"/>
              <w:ind w:firstLine="0" w:firstLineChars="0"/>
              <w:jc w:val="center"/>
              <w:rPr>
                <w:rFonts w:hint="default" w:ascii="Times New Roman" w:hAnsi="Times New Roman" w:eastAsia="宋体" w:cs="Times New Roman"/>
                <w:snapToGrid w:val="0"/>
                <w:color w:val="auto"/>
                <w:kern w:val="0"/>
                <w:sz w:val="21"/>
                <w:highlight w:val="none"/>
                <w:lang w:val="en-US" w:eastAsia="zh-CN"/>
              </w:rPr>
            </w:pPr>
          </w:p>
        </w:tc>
        <w:tc>
          <w:tcPr>
            <w:tcW w:w="626" w:type="pct"/>
            <w:gridSpan w:val="2"/>
            <w:tcBorders>
              <w:tl2br w:val="nil"/>
              <w:tr2bl w:val="nil"/>
            </w:tcBorders>
            <w:shd w:val="clear" w:color="auto" w:fill="auto"/>
            <w:vAlign w:val="center"/>
          </w:tcPr>
          <w:p w14:paraId="41A5D527">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5.8</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-8</w:t>
            </w:r>
          </w:p>
        </w:tc>
        <w:tc>
          <w:tcPr>
            <w:tcW w:w="599" w:type="pct"/>
            <w:gridSpan w:val="2"/>
            <w:tcBorders>
              <w:tl2br w:val="nil"/>
              <w:tr2bl w:val="nil"/>
            </w:tcBorders>
            <w:shd w:val="clear" w:color="auto" w:fill="auto"/>
            <w:vAlign w:val="center"/>
          </w:tcPr>
          <w:p w14:paraId="70D921E0">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highlight w:val="none"/>
                <w:lang w:val="en-US" w:eastAsia="zh-CN"/>
              </w:rPr>
              <w:t>4.3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-7</w:t>
            </w:r>
          </w:p>
        </w:tc>
      </w:tr>
    </w:tbl>
    <w:p w14:paraId="30EF58E3">
      <w:pPr>
        <w:pStyle w:val="117"/>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eastAsia="宋体" w:cs="Times New Roman"/>
          <w:snapToGrid w:val="0"/>
          <w:color w:val="auto"/>
          <w:highlight w:val="none"/>
          <w:lang w:val="en-US" w:eastAsia="zh-CN"/>
        </w:rPr>
      </w:pPr>
      <w:r>
        <w:rPr>
          <w:rFonts w:cs="Times New Roman"/>
          <w:snapToGrid w:val="0"/>
          <w:color w:val="auto"/>
          <w:highlight w:val="none"/>
          <w:lang w:val="zh-CN"/>
        </w:rPr>
        <w:t>（</w:t>
      </w:r>
      <w:r>
        <w:rPr>
          <w:rFonts w:hint="eastAsia" w:cs="Times New Roman"/>
          <w:snapToGrid w:val="0"/>
          <w:color w:val="auto"/>
          <w:highlight w:val="none"/>
          <w:lang w:val="en-US" w:eastAsia="zh-CN"/>
        </w:rPr>
        <w:t>2</w:t>
      </w:r>
      <w:r>
        <w:rPr>
          <w:rFonts w:cs="Times New Roman"/>
          <w:snapToGrid w:val="0"/>
          <w:color w:val="auto"/>
          <w:highlight w:val="none"/>
          <w:lang w:val="zh-CN"/>
        </w:rPr>
        <w:t>）污水处理站</w:t>
      </w:r>
      <w:r>
        <w:rPr>
          <w:rFonts w:hint="eastAsia" w:cs="Times New Roman"/>
          <w:snapToGrid w:val="0"/>
          <w:color w:val="auto"/>
          <w:highlight w:val="none"/>
          <w:lang w:val="en-US" w:eastAsia="zh-CN"/>
        </w:rPr>
        <w:t>恶臭</w:t>
      </w:r>
    </w:p>
    <w:p w14:paraId="36F5878C">
      <w:pPr>
        <w:pStyle w:val="7"/>
        <w:keepNext w:val="0"/>
        <w:keepLines w:val="0"/>
        <w:pageBreakBefore w:val="0"/>
        <w:widowControl w:val="0"/>
        <w:kinsoku/>
        <w:wordWrap/>
        <w:overflowPunct/>
        <w:topLinePunct w:val="0"/>
        <w:autoSpaceDE/>
        <w:autoSpaceDN/>
        <w:bidi w:val="0"/>
        <w:adjustRightInd w:val="0"/>
        <w:snapToGrid w:val="0"/>
        <w:spacing w:line="520" w:lineRule="exact"/>
        <w:ind w:firstLine="480"/>
        <w:textAlignment w:val="auto"/>
        <w:rPr>
          <w:rFonts w:eastAsia="宋体" w:cs="Times New Roman"/>
          <w:bCs/>
          <w:color w:val="auto"/>
          <w:sz w:val="24"/>
          <w:highlight w:val="none"/>
        </w:rPr>
      </w:pPr>
      <w:r>
        <w:rPr>
          <w:rFonts w:eastAsia="宋体" w:cs="Times New Roman"/>
          <w:bCs/>
          <w:color w:val="auto"/>
          <w:sz w:val="24"/>
          <w:highlight w:val="none"/>
        </w:rPr>
        <w:t>本项目污水处理站恶臭气体主要来自格栅、水解酸化池、</w:t>
      </w:r>
      <w:r>
        <w:rPr>
          <w:rFonts w:eastAsia="宋体" w:cs="Times New Roman"/>
          <w:bCs/>
          <w:color w:val="auto"/>
          <w:sz w:val="24"/>
          <w:highlight w:val="none"/>
          <w:lang w:val="en-GB"/>
        </w:rPr>
        <w:t>接触氧化和污泥浓缩等工序产生氨、H</w:t>
      </w:r>
      <w:r>
        <w:rPr>
          <w:rFonts w:eastAsia="宋体" w:cs="Times New Roman"/>
          <w:bCs/>
          <w:color w:val="auto"/>
          <w:sz w:val="24"/>
          <w:highlight w:val="none"/>
          <w:vertAlign w:val="subscript"/>
          <w:lang w:val="en-GB"/>
        </w:rPr>
        <w:t>2</w:t>
      </w:r>
      <w:r>
        <w:rPr>
          <w:rFonts w:eastAsia="宋体" w:cs="Times New Roman"/>
          <w:bCs/>
          <w:color w:val="auto"/>
          <w:sz w:val="24"/>
          <w:highlight w:val="none"/>
          <w:lang w:val="en-GB"/>
        </w:rPr>
        <w:t>S等具有臭味的气体。项目拟对污水处理站产生的污泥及时清理、加强污水处理站周边卫生，减轻臭味厂区外扩散。污水处理站的恶臭产生源强较大，采用负压收集的方式收集产生的恶臭污染物，</w:t>
      </w:r>
      <w:r>
        <w:rPr>
          <w:rFonts w:eastAsia="宋体" w:cs="Times New Roman"/>
          <w:bCs/>
          <w:color w:val="auto"/>
          <w:sz w:val="24"/>
          <w:highlight w:val="none"/>
        </w:rPr>
        <w:t>水解酸化池和</w:t>
      </w:r>
      <w:r>
        <w:rPr>
          <w:rFonts w:eastAsia="宋体" w:cs="Times New Roman"/>
          <w:bCs/>
          <w:color w:val="auto"/>
          <w:sz w:val="24"/>
          <w:highlight w:val="none"/>
          <w:lang w:val="en-GB"/>
        </w:rPr>
        <w:t>接触氧化均为地埋式，在构筑物顶部增设管道收集气体，风机风量</w:t>
      </w:r>
      <w:r>
        <w:rPr>
          <w:rFonts w:hint="eastAsia" w:eastAsia="宋体" w:cs="Times New Roman"/>
          <w:bCs/>
          <w:color w:val="auto"/>
          <w:sz w:val="24"/>
          <w:highlight w:val="none"/>
          <w:lang w:val="en-US" w:eastAsia="zh-CN"/>
        </w:rPr>
        <w:t>2</w:t>
      </w:r>
      <w:r>
        <w:rPr>
          <w:rFonts w:eastAsia="宋体" w:cs="Times New Roman"/>
          <w:bCs/>
          <w:color w:val="auto"/>
          <w:sz w:val="24"/>
          <w:highlight w:val="none"/>
          <w:lang w:val="en-GB"/>
        </w:rPr>
        <w:t>000m</w:t>
      </w:r>
      <w:r>
        <w:rPr>
          <w:rFonts w:eastAsia="宋体" w:cs="Times New Roman"/>
          <w:bCs/>
          <w:color w:val="auto"/>
          <w:sz w:val="24"/>
          <w:highlight w:val="none"/>
          <w:vertAlign w:val="superscript"/>
          <w:lang w:val="en-GB"/>
        </w:rPr>
        <w:t>3</w:t>
      </w:r>
      <w:r>
        <w:rPr>
          <w:rFonts w:eastAsia="宋体" w:cs="Times New Roman"/>
          <w:bCs/>
          <w:color w:val="auto"/>
          <w:sz w:val="24"/>
          <w:highlight w:val="none"/>
          <w:lang w:val="en-GB"/>
        </w:rPr>
        <w:t>/h，收集效率约为90%，经活性炭吸附净化后通过</w:t>
      </w:r>
      <w:r>
        <w:rPr>
          <w:rFonts w:eastAsia="宋体" w:cs="Times New Roman"/>
          <w:bCs/>
          <w:color w:val="auto"/>
          <w:sz w:val="24"/>
          <w:highlight w:val="none"/>
        </w:rPr>
        <w:t>15m高排气筒DA00</w:t>
      </w:r>
      <w:r>
        <w:rPr>
          <w:rFonts w:hint="eastAsia" w:eastAsia="宋体" w:cs="Times New Roman"/>
          <w:bCs/>
          <w:color w:val="auto"/>
          <w:sz w:val="24"/>
          <w:highlight w:val="none"/>
          <w:lang w:val="en-US" w:eastAsia="zh-CN"/>
        </w:rPr>
        <w:t>2</w:t>
      </w:r>
      <w:r>
        <w:rPr>
          <w:rFonts w:eastAsia="宋体" w:cs="Times New Roman"/>
          <w:bCs/>
          <w:color w:val="auto"/>
          <w:sz w:val="24"/>
          <w:highlight w:val="none"/>
          <w:lang w:val="en-GB"/>
        </w:rPr>
        <w:t>排放</w:t>
      </w:r>
      <w:r>
        <w:rPr>
          <w:rFonts w:eastAsia="宋体" w:cs="Times New Roman"/>
          <w:bCs/>
          <w:color w:val="auto"/>
          <w:sz w:val="24"/>
          <w:highlight w:val="none"/>
        </w:rPr>
        <w:t>。</w:t>
      </w:r>
    </w:p>
    <w:p w14:paraId="7857F9BD">
      <w:pPr>
        <w:pStyle w:val="45"/>
        <w:keepNext w:val="0"/>
        <w:keepLines w:val="0"/>
        <w:pageBreakBefore w:val="0"/>
        <w:widowControl w:val="0"/>
        <w:kinsoku/>
        <w:wordWrap/>
        <w:overflowPunct/>
        <w:topLinePunct w:val="0"/>
        <w:autoSpaceDE/>
        <w:autoSpaceDN/>
        <w:bidi w:val="0"/>
        <w:adjustRightInd w:val="0"/>
        <w:snapToGrid w:val="0"/>
        <w:spacing w:before="0" w:beforeLines="0" w:after="0" w:afterLines="0" w:line="520" w:lineRule="exact"/>
        <w:ind w:firstLine="480" w:firstLineChars="200"/>
        <w:textAlignment w:val="auto"/>
        <w:rPr>
          <w:rFonts w:cs="Times New Roman"/>
          <w:color w:val="auto"/>
          <w:szCs w:val="24"/>
          <w:highlight w:val="none"/>
        </w:rPr>
      </w:pPr>
      <w:r>
        <w:rPr>
          <w:rFonts w:hint="default" w:ascii="Times New Roman" w:hAnsi="Times New Roman" w:cs="Times New Roman" w:eastAsiaTheme="minorEastAsia"/>
          <w:color w:val="auto"/>
          <w:spacing w:val="0"/>
          <w:w w:val="100"/>
          <w:position w:val="0"/>
          <w:sz w:val="24"/>
          <w:szCs w:val="24"/>
          <w:highlight w:val="none"/>
          <w:lang w:eastAsia="zh-CN"/>
        </w:rPr>
        <w:t>根据美国EPA对城市污水处理厂恶臭污染物的研究，每处理1g的BOD</w:t>
      </w:r>
      <w:r>
        <w:rPr>
          <w:rFonts w:hint="default" w:ascii="Times New Roman" w:hAnsi="Times New Roman" w:cs="Times New Roman" w:eastAsiaTheme="minorEastAsia"/>
          <w:color w:val="auto"/>
          <w:spacing w:val="0"/>
          <w:w w:val="100"/>
          <w:position w:val="0"/>
          <w:sz w:val="24"/>
          <w:szCs w:val="24"/>
          <w:highlight w:val="none"/>
          <w:vertAlign w:val="subscript"/>
          <w:lang w:eastAsia="zh-CN"/>
        </w:rPr>
        <w:t>5</w:t>
      </w:r>
      <w:r>
        <w:rPr>
          <w:rFonts w:hint="default" w:ascii="Times New Roman" w:hAnsi="Times New Roman" w:cs="Times New Roman" w:eastAsiaTheme="minorEastAsia"/>
          <w:color w:val="auto"/>
          <w:spacing w:val="0"/>
          <w:w w:val="100"/>
          <w:position w:val="0"/>
          <w:sz w:val="24"/>
          <w:szCs w:val="24"/>
          <w:highlight w:val="none"/>
          <w:lang w:eastAsia="zh-CN"/>
        </w:rPr>
        <w:t>可产生0.0031g的NH</w:t>
      </w:r>
      <w:r>
        <w:rPr>
          <w:rFonts w:hint="default" w:ascii="Times New Roman" w:hAnsi="Times New Roman" w:cs="Times New Roman" w:eastAsiaTheme="minorEastAsia"/>
          <w:color w:val="auto"/>
          <w:spacing w:val="0"/>
          <w:w w:val="100"/>
          <w:position w:val="0"/>
          <w:sz w:val="24"/>
          <w:szCs w:val="24"/>
          <w:highlight w:val="none"/>
          <w:vertAlign w:val="subscript"/>
          <w:lang w:eastAsia="zh-CN"/>
        </w:rPr>
        <w:t>3</w:t>
      </w:r>
      <w:r>
        <w:rPr>
          <w:rFonts w:hint="default" w:ascii="Times New Roman" w:hAnsi="Times New Roman" w:cs="Times New Roman" w:eastAsiaTheme="minorEastAsia"/>
          <w:color w:val="auto"/>
          <w:spacing w:val="0"/>
          <w:w w:val="100"/>
          <w:position w:val="0"/>
          <w:sz w:val="24"/>
          <w:szCs w:val="24"/>
          <w:highlight w:val="none"/>
          <w:lang w:eastAsia="zh-CN"/>
        </w:rPr>
        <w:t>和0.00012g的H</w:t>
      </w:r>
      <w:r>
        <w:rPr>
          <w:rFonts w:hint="default" w:ascii="Times New Roman" w:hAnsi="Times New Roman" w:cs="Times New Roman" w:eastAsiaTheme="minorEastAsia"/>
          <w:color w:val="auto"/>
          <w:spacing w:val="0"/>
          <w:w w:val="100"/>
          <w:position w:val="0"/>
          <w:sz w:val="24"/>
          <w:szCs w:val="24"/>
          <w:highlight w:val="none"/>
          <w:vertAlign w:val="subscript"/>
          <w:lang w:eastAsia="zh-CN"/>
        </w:rPr>
        <w:t>2</w:t>
      </w:r>
      <w:r>
        <w:rPr>
          <w:rFonts w:hint="default" w:ascii="Times New Roman" w:hAnsi="Times New Roman" w:cs="Times New Roman" w:eastAsiaTheme="minorEastAsia"/>
          <w:color w:val="auto"/>
          <w:spacing w:val="0"/>
          <w:w w:val="100"/>
          <w:position w:val="0"/>
          <w:sz w:val="24"/>
          <w:szCs w:val="24"/>
          <w:highlight w:val="none"/>
          <w:lang w:eastAsia="zh-CN"/>
        </w:rPr>
        <w:t>S核算源强。</w:t>
      </w:r>
      <w:r>
        <w:rPr>
          <w:rFonts w:hint="eastAsia" w:ascii="Times New Roman" w:hAnsi="Times New Roman" w:cs="Times New Roman"/>
          <w:color w:val="auto"/>
          <w:spacing w:val="0"/>
          <w:w w:val="100"/>
          <w:position w:val="0"/>
          <w:sz w:val="24"/>
          <w:szCs w:val="24"/>
          <w:highlight w:val="none"/>
          <w:lang w:val="en-US" w:eastAsia="zh-CN"/>
        </w:rPr>
        <w:t>本</w:t>
      </w:r>
      <w:r>
        <w:rPr>
          <w:rFonts w:hint="eastAsia" w:ascii="Times New Roman" w:hAnsi="Times New Roman" w:cs="Times New Roman" w:eastAsiaTheme="minorEastAsia"/>
          <w:color w:val="auto"/>
          <w:spacing w:val="0"/>
          <w:w w:val="100"/>
          <w:position w:val="0"/>
          <w:sz w:val="24"/>
          <w:szCs w:val="24"/>
          <w:highlight w:val="none"/>
          <w:lang w:val="en-US" w:eastAsia="zh-CN"/>
        </w:rPr>
        <w:t>项目</w:t>
      </w:r>
      <w:r>
        <w:rPr>
          <w:rFonts w:hint="default" w:ascii="Times New Roman" w:hAnsi="Times New Roman" w:cs="Times New Roman" w:eastAsiaTheme="minorEastAsia"/>
          <w:color w:val="auto"/>
          <w:spacing w:val="0"/>
          <w:w w:val="100"/>
          <w:position w:val="0"/>
          <w:sz w:val="24"/>
          <w:szCs w:val="24"/>
          <w:highlight w:val="none"/>
          <w:lang w:eastAsia="zh-CN"/>
        </w:rPr>
        <w:t>BOD</w:t>
      </w:r>
      <w:r>
        <w:rPr>
          <w:rFonts w:hint="default" w:ascii="Times New Roman" w:hAnsi="Times New Roman" w:cs="Times New Roman" w:eastAsiaTheme="minorEastAsia"/>
          <w:color w:val="auto"/>
          <w:spacing w:val="0"/>
          <w:w w:val="100"/>
          <w:position w:val="0"/>
          <w:sz w:val="24"/>
          <w:szCs w:val="24"/>
          <w:highlight w:val="none"/>
          <w:vertAlign w:val="subscript"/>
          <w:lang w:eastAsia="zh-CN"/>
        </w:rPr>
        <w:t>5</w:t>
      </w:r>
      <w:r>
        <w:rPr>
          <w:rFonts w:hint="default" w:ascii="Times New Roman" w:hAnsi="Times New Roman" w:cs="Times New Roman" w:eastAsiaTheme="minorEastAsia"/>
          <w:color w:val="auto"/>
          <w:spacing w:val="0"/>
          <w:w w:val="100"/>
          <w:position w:val="0"/>
          <w:sz w:val="24"/>
          <w:szCs w:val="24"/>
          <w:highlight w:val="none"/>
          <w:lang w:eastAsia="zh-CN"/>
        </w:rPr>
        <w:t>浓度参照《屠宰及肉类加工</w:t>
      </w:r>
      <w:r>
        <w:rPr>
          <w:rFonts w:hint="eastAsia" w:ascii="Times New Roman" w:hAnsi="Times New Roman" w:cs="Times New Roman" w:eastAsiaTheme="minorEastAsia"/>
          <w:color w:val="auto"/>
          <w:spacing w:val="0"/>
          <w:w w:val="100"/>
          <w:position w:val="0"/>
          <w:sz w:val="24"/>
          <w:szCs w:val="24"/>
          <w:highlight w:val="none"/>
          <w:lang w:val="en-US" w:eastAsia="zh-CN"/>
        </w:rPr>
        <w:t>废水治理工程技术规范</w:t>
      </w:r>
      <w:r>
        <w:rPr>
          <w:rFonts w:hint="default" w:ascii="Times New Roman" w:hAnsi="Times New Roman" w:cs="Times New Roman" w:eastAsiaTheme="minorEastAsia"/>
          <w:color w:val="auto"/>
          <w:spacing w:val="0"/>
          <w:w w:val="100"/>
          <w:position w:val="0"/>
          <w:sz w:val="24"/>
          <w:szCs w:val="24"/>
          <w:highlight w:val="none"/>
          <w:lang w:eastAsia="zh-CN"/>
        </w:rPr>
        <w:t>》（HJ</w:t>
      </w:r>
      <w:r>
        <w:rPr>
          <w:rFonts w:hint="eastAsia" w:ascii="Times New Roman" w:hAnsi="Times New Roman" w:cs="Times New Roman" w:eastAsiaTheme="minorEastAsia"/>
          <w:color w:val="auto"/>
          <w:spacing w:val="0"/>
          <w:w w:val="100"/>
          <w:position w:val="0"/>
          <w:sz w:val="24"/>
          <w:szCs w:val="24"/>
          <w:highlight w:val="none"/>
          <w:lang w:val="en-US" w:eastAsia="zh-CN"/>
        </w:rPr>
        <w:t>2004</w:t>
      </w:r>
      <w:r>
        <w:rPr>
          <w:rFonts w:hint="default" w:ascii="Times New Roman" w:hAnsi="Times New Roman" w:cs="Times New Roman" w:eastAsiaTheme="minorEastAsia"/>
          <w:color w:val="auto"/>
          <w:spacing w:val="0"/>
          <w:w w:val="100"/>
          <w:position w:val="0"/>
          <w:sz w:val="24"/>
          <w:szCs w:val="24"/>
          <w:highlight w:val="none"/>
          <w:lang w:eastAsia="zh-CN"/>
        </w:rPr>
        <w:t>-20</w:t>
      </w:r>
      <w:r>
        <w:rPr>
          <w:rFonts w:hint="eastAsia" w:ascii="Times New Roman" w:hAnsi="Times New Roman" w:cs="Times New Roman" w:eastAsiaTheme="minorEastAsia"/>
          <w:color w:val="auto"/>
          <w:spacing w:val="0"/>
          <w:w w:val="100"/>
          <w:position w:val="0"/>
          <w:sz w:val="24"/>
          <w:szCs w:val="24"/>
          <w:highlight w:val="none"/>
          <w:lang w:val="en-US" w:eastAsia="zh-CN"/>
        </w:rPr>
        <w:t>10</w:t>
      </w:r>
      <w:r>
        <w:rPr>
          <w:rFonts w:hint="default" w:ascii="Times New Roman" w:hAnsi="Times New Roman" w:cs="Times New Roman" w:eastAsiaTheme="minorEastAsia"/>
          <w:color w:val="auto"/>
          <w:spacing w:val="0"/>
          <w:w w:val="100"/>
          <w:position w:val="0"/>
          <w:sz w:val="24"/>
          <w:szCs w:val="24"/>
          <w:highlight w:val="none"/>
          <w:lang w:eastAsia="zh-CN"/>
        </w:rPr>
        <w:t>）中所建议的废水水质，BOD</w:t>
      </w:r>
      <w:r>
        <w:rPr>
          <w:rFonts w:hint="default" w:ascii="Times New Roman" w:hAnsi="Times New Roman" w:cs="Times New Roman" w:eastAsiaTheme="minorEastAsia"/>
          <w:color w:val="auto"/>
          <w:spacing w:val="0"/>
          <w:w w:val="100"/>
          <w:position w:val="0"/>
          <w:sz w:val="24"/>
          <w:szCs w:val="24"/>
          <w:highlight w:val="none"/>
          <w:vertAlign w:val="subscript"/>
          <w:lang w:eastAsia="zh-CN"/>
        </w:rPr>
        <w:t>5</w:t>
      </w:r>
      <w:r>
        <w:rPr>
          <w:rFonts w:hint="default" w:ascii="Times New Roman" w:hAnsi="Times New Roman" w:cs="Times New Roman" w:eastAsiaTheme="minorEastAsia"/>
          <w:color w:val="auto"/>
          <w:spacing w:val="0"/>
          <w:w w:val="100"/>
          <w:position w:val="0"/>
          <w:sz w:val="24"/>
          <w:szCs w:val="24"/>
          <w:highlight w:val="none"/>
          <w:lang w:eastAsia="zh-CN"/>
        </w:rPr>
        <w:t>1000mg/L</w:t>
      </w:r>
      <w:r>
        <w:rPr>
          <w:rFonts w:hint="eastAsia" w:ascii="Times New Roman" w:hAnsi="Times New Roman" w:cs="Times New Roman"/>
          <w:color w:val="auto"/>
          <w:spacing w:val="0"/>
          <w:w w:val="100"/>
          <w:position w:val="0"/>
          <w:sz w:val="24"/>
          <w:szCs w:val="24"/>
          <w:highlight w:val="none"/>
          <w:lang w:eastAsia="zh-CN"/>
        </w:rPr>
        <w:t>，</w:t>
      </w:r>
      <w:r>
        <w:rPr>
          <w:rFonts w:hint="eastAsia" w:ascii="Times New Roman" w:hAnsi="Times New Roman" w:cs="Times New Roman"/>
          <w:color w:val="auto"/>
          <w:spacing w:val="0"/>
          <w:w w:val="100"/>
          <w:position w:val="0"/>
          <w:sz w:val="24"/>
          <w:szCs w:val="24"/>
          <w:highlight w:val="none"/>
          <w:lang w:val="en-US" w:eastAsia="zh-CN"/>
        </w:rPr>
        <w:t>本项目年产生生产废水量为71021t/a，则</w:t>
      </w:r>
      <w:r>
        <w:rPr>
          <w:rFonts w:hint="default" w:ascii="Times New Roman" w:hAnsi="Times New Roman" w:cs="Times New Roman"/>
          <w:color w:val="auto"/>
          <w:spacing w:val="0"/>
          <w:w w:val="100"/>
          <w:position w:val="0"/>
          <w:sz w:val="24"/>
          <w:szCs w:val="24"/>
          <w:highlight w:val="none"/>
          <w:lang w:val="en-US" w:eastAsia="zh-CN"/>
        </w:rPr>
        <w:t>B</w:t>
      </w:r>
      <w:r>
        <w:rPr>
          <w:rFonts w:hint="default" w:ascii="Times New Roman" w:hAnsi="Times New Roman" w:cs="Times New Roman" w:eastAsiaTheme="minorEastAsia"/>
          <w:color w:val="auto"/>
          <w:spacing w:val="0"/>
          <w:w w:val="100"/>
          <w:position w:val="0"/>
          <w:sz w:val="24"/>
          <w:szCs w:val="24"/>
          <w:highlight w:val="none"/>
          <w:lang w:eastAsia="zh-CN"/>
        </w:rPr>
        <w:t>OD</w:t>
      </w:r>
      <w:r>
        <w:rPr>
          <w:rFonts w:hint="default" w:ascii="Times New Roman" w:hAnsi="Times New Roman" w:cs="Times New Roman" w:eastAsiaTheme="minorEastAsia"/>
          <w:color w:val="auto"/>
          <w:spacing w:val="0"/>
          <w:w w:val="100"/>
          <w:position w:val="0"/>
          <w:sz w:val="24"/>
          <w:szCs w:val="24"/>
          <w:highlight w:val="none"/>
          <w:vertAlign w:val="subscript"/>
          <w:lang w:eastAsia="zh-CN"/>
        </w:rPr>
        <w:t>5</w:t>
      </w:r>
      <w:r>
        <w:rPr>
          <w:rFonts w:hint="eastAsia" w:ascii="Times New Roman" w:hAnsi="Times New Roman" w:cs="Times New Roman"/>
          <w:color w:val="auto"/>
          <w:spacing w:val="0"/>
          <w:w w:val="100"/>
          <w:position w:val="0"/>
          <w:sz w:val="24"/>
          <w:szCs w:val="24"/>
          <w:highlight w:val="none"/>
          <w:vertAlign w:val="baseline"/>
          <w:lang w:val="en-US" w:eastAsia="zh-CN"/>
        </w:rPr>
        <w:t>产生量为71</w:t>
      </w:r>
      <w:r>
        <w:rPr>
          <w:rFonts w:hint="default" w:ascii="Times New Roman" w:hAnsi="Times New Roman" w:cs="Times New Roman" w:eastAsiaTheme="minorEastAsia"/>
          <w:color w:val="auto"/>
          <w:spacing w:val="0"/>
          <w:w w:val="100"/>
          <w:position w:val="0"/>
          <w:sz w:val="24"/>
          <w:szCs w:val="24"/>
          <w:highlight w:val="none"/>
          <w:lang w:eastAsia="zh-CN"/>
        </w:rPr>
        <w:t>t/a，</w:t>
      </w:r>
      <w:r>
        <w:rPr>
          <w:rFonts w:hint="eastAsia" w:ascii="Times New Roman" w:hAnsi="Times New Roman" w:cs="Times New Roman"/>
          <w:color w:val="auto"/>
          <w:spacing w:val="0"/>
          <w:w w:val="100"/>
          <w:position w:val="0"/>
          <w:sz w:val="24"/>
          <w:szCs w:val="24"/>
          <w:highlight w:val="none"/>
          <w:lang w:val="en-US" w:eastAsia="zh-CN"/>
        </w:rPr>
        <w:t>可</w:t>
      </w:r>
      <w:r>
        <w:rPr>
          <w:rFonts w:cs="Times New Roman"/>
          <w:color w:val="auto"/>
          <w:spacing w:val="12"/>
          <w:sz w:val="24"/>
          <w:szCs w:val="24"/>
          <w:highlight w:val="none"/>
        </w:rPr>
        <w:t>确定本项目污水处理站NH</w:t>
      </w:r>
      <w:r>
        <w:rPr>
          <w:rFonts w:cs="Times New Roman"/>
          <w:color w:val="auto"/>
          <w:spacing w:val="12"/>
          <w:sz w:val="24"/>
          <w:szCs w:val="24"/>
          <w:highlight w:val="none"/>
          <w:vertAlign w:val="subscript"/>
        </w:rPr>
        <w:t>3</w:t>
      </w:r>
      <w:r>
        <w:rPr>
          <w:rFonts w:cs="Times New Roman"/>
          <w:color w:val="auto"/>
          <w:spacing w:val="12"/>
          <w:sz w:val="24"/>
          <w:szCs w:val="24"/>
          <w:highlight w:val="none"/>
        </w:rPr>
        <w:t>产生量约</w:t>
      </w:r>
      <w:r>
        <w:rPr>
          <w:rFonts w:hint="eastAsia" w:cs="Times New Roman"/>
          <w:snapToGrid w:val="0"/>
          <w:color w:val="auto"/>
          <w:sz w:val="24"/>
          <w:szCs w:val="24"/>
          <w:highlight w:val="none"/>
          <w:lang w:val="en-US" w:eastAsia="zh-CN"/>
        </w:rPr>
        <w:t>0.030</w:t>
      </w:r>
      <w:r>
        <w:rPr>
          <w:rFonts w:cs="Times New Roman"/>
          <w:snapToGrid w:val="0"/>
          <w:color w:val="auto"/>
          <w:sz w:val="24"/>
          <w:szCs w:val="24"/>
          <w:highlight w:val="none"/>
          <w:lang w:val="zh-CN"/>
        </w:rPr>
        <w:t>kg/h</w:t>
      </w:r>
      <w:r>
        <w:rPr>
          <w:rFonts w:cs="Times New Roman"/>
          <w:color w:val="auto"/>
          <w:spacing w:val="12"/>
          <w:sz w:val="24"/>
          <w:szCs w:val="24"/>
          <w:highlight w:val="none"/>
        </w:rPr>
        <w:t>，H</w:t>
      </w:r>
      <w:r>
        <w:rPr>
          <w:rFonts w:cs="Times New Roman"/>
          <w:color w:val="auto"/>
          <w:spacing w:val="12"/>
          <w:sz w:val="24"/>
          <w:szCs w:val="24"/>
          <w:highlight w:val="none"/>
          <w:vertAlign w:val="subscript"/>
        </w:rPr>
        <w:t>2</w:t>
      </w:r>
      <w:r>
        <w:rPr>
          <w:rFonts w:cs="Times New Roman"/>
          <w:color w:val="auto"/>
          <w:spacing w:val="12"/>
          <w:sz w:val="24"/>
          <w:szCs w:val="24"/>
          <w:highlight w:val="none"/>
        </w:rPr>
        <w:t>S产生量约</w:t>
      </w:r>
      <w:r>
        <w:rPr>
          <w:rFonts w:hint="eastAsia" w:cs="Times New Roman"/>
          <w:snapToGrid w:val="0"/>
          <w:color w:val="auto"/>
          <w:sz w:val="24"/>
          <w:szCs w:val="24"/>
          <w:highlight w:val="none"/>
          <w:lang w:val="en-US" w:eastAsia="zh-CN"/>
        </w:rPr>
        <w:t>1.1</w:t>
      </w:r>
      <w:r>
        <w:rPr>
          <w:rFonts w:cs="Times New Roman"/>
          <w:snapToGrid w:val="0"/>
          <w:color w:val="auto"/>
          <w:sz w:val="24"/>
          <w:szCs w:val="24"/>
          <w:highlight w:val="none"/>
          <w:lang w:val="zh-CN"/>
        </w:rPr>
        <w:t>×</w:t>
      </w:r>
      <w:r>
        <w:rPr>
          <w:rFonts w:hint="eastAsia" w:cs="Times New Roman"/>
          <w:snapToGrid w:val="0"/>
          <w:color w:val="auto"/>
          <w:sz w:val="24"/>
          <w:szCs w:val="24"/>
          <w:highlight w:val="none"/>
          <w:lang w:eastAsia="zh-CN"/>
        </w:rPr>
        <w:t>10</w:t>
      </w:r>
      <w:r>
        <w:rPr>
          <w:rFonts w:cs="Times New Roman"/>
          <w:snapToGrid w:val="0"/>
          <w:color w:val="auto"/>
          <w:sz w:val="24"/>
          <w:szCs w:val="24"/>
          <w:highlight w:val="none"/>
          <w:vertAlign w:val="superscript"/>
          <w:lang w:val="zh-CN"/>
        </w:rPr>
        <w:t>-</w:t>
      </w:r>
      <w:r>
        <w:rPr>
          <w:rFonts w:hint="eastAsia" w:cs="Times New Roman"/>
          <w:snapToGrid w:val="0"/>
          <w:color w:val="auto"/>
          <w:sz w:val="24"/>
          <w:szCs w:val="24"/>
          <w:highlight w:val="none"/>
          <w:vertAlign w:val="superscript"/>
          <w:lang w:val="en-US" w:eastAsia="zh-CN"/>
        </w:rPr>
        <w:t>3</w:t>
      </w:r>
      <w:r>
        <w:rPr>
          <w:rFonts w:cs="Times New Roman"/>
          <w:snapToGrid w:val="0"/>
          <w:color w:val="auto"/>
          <w:sz w:val="24"/>
          <w:szCs w:val="24"/>
          <w:highlight w:val="none"/>
          <w:lang w:val="zh-CN"/>
        </w:rPr>
        <w:t>kg/h</w:t>
      </w:r>
      <w:r>
        <w:rPr>
          <w:rFonts w:cs="Times New Roman"/>
          <w:color w:val="auto"/>
          <w:spacing w:val="12"/>
          <w:sz w:val="24"/>
          <w:szCs w:val="24"/>
          <w:highlight w:val="none"/>
        </w:rPr>
        <w:t>，</w:t>
      </w:r>
      <w:r>
        <w:rPr>
          <w:rFonts w:hint="eastAsia" w:cs="Times New Roman"/>
          <w:color w:val="auto"/>
          <w:spacing w:val="12"/>
          <w:sz w:val="24"/>
          <w:szCs w:val="24"/>
          <w:highlight w:val="none"/>
          <w:lang w:val="en-US" w:eastAsia="zh-CN"/>
        </w:rPr>
        <w:t>由表3-4-6可知本项目恶臭属于</w:t>
      </w:r>
      <w:r>
        <w:rPr>
          <w:rFonts w:hint="eastAsia" w:ascii="Times New Roman" w:hAnsi="Times New Roman" w:cs="Times New Roman" w:eastAsiaTheme="minorEastAsia"/>
          <w:color w:val="auto"/>
          <w:spacing w:val="0"/>
          <w:w w:val="100"/>
          <w:position w:val="0"/>
          <w:sz w:val="24"/>
          <w:szCs w:val="24"/>
          <w:highlight w:val="none"/>
          <w:lang w:val="en-US" w:eastAsia="zh-CN"/>
        </w:rPr>
        <w:t>“</w:t>
      </w:r>
      <w:r>
        <w:rPr>
          <w:rFonts w:hint="default" w:ascii="Times New Roman" w:hAnsi="Times New Roman" w:cs="Times New Roman" w:eastAsiaTheme="minorEastAsia"/>
          <w:color w:val="auto"/>
          <w:spacing w:val="0"/>
          <w:w w:val="100"/>
          <w:position w:val="0"/>
          <w:sz w:val="24"/>
          <w:szCs w:val="24"/>
          <w:highlight w:val="none"/>
          <w:lang w:val="en-US" w:eastAsia="zh-CN"/>
        </w:rPr>
        <w:t>微弱的气味，但是能感知确定什么样的气味</w:t>
      </w:r>
      <w:r>
        <w:rPr>
          <w:rFonts w:hint="eastAsia" w:ascii="Times New Roman" w:hAnsi="Times New Roman" w:cs="Times New Roman" w:eastAsiaTheme="minorEastAsia"/>
          <w:color w:val="auto"/>
          <w:spacing w:val="0"/>
          <w:w w:val="100"/>
          <w:position w:val="0"/>
          <w:sz w:val="24"/>
          <w:szCs w:val="24"/>
          <w:highlight w:val="none"/>
          <w:lang w:val="en-US" w:eastAsia="zh-CN"/>
        </w:rPr>
        <w:t>”因此本评价对以上区域臭气浓度取值78（无量纲）</w:t>
      </w:r>
      <w:r>
        <w:rPr>
          <w:rFonts w:hint="default" w:ascii="Times New Roman" w:hAnsi="Times New Roman" w:cs="Times New Roman" w:eastAsiaTheme="minorEastAsia"/>
          <w:color w:val="auto"/>
          <w:spacing w:val="0"/>
          <w:w w:val="100"/>
          <w:position w:val="0"/>
          <w:sz w:val="24"/>
          <w:szCs w:val="24"/>
          <w:highlight w:val="none"/>
          <w:lang w:eastAsia="zh-CN"/>
        </w:rPr>
        <w:t>。</w:t>
      </w:r>
      <w:r>
        <w:rPr>
          <w:rFonts w:hint="eastAsia" w:ascii="Times New Roman" w:hAnsi="Times New Roman" w:cs="Times New Roman" w:eastAsiaTheme="minorEastAsia"/>
          <w:color w:val="auto"/>
          <w:spacing w:val="0"/>
          <w:w w:val="100"/>
          <w:position w:val="0"/>
          <w:sz w:val="24"/>
          <w:szCs w:val="24"/>
          <w:highlight w:val="none"/>
          <w:lang w:val="en-US" w:eastAsia="zh-CN"/>
        </w:rPr>
        <w:t>强度</w:t>
      </w:r>
      <w:r>
        <w:rPr>
          <w:rFonts w:hint="eastAsia" w:cs="Times New Roman"/>
          <w:color w:val="auto"/>
          <w:spacing w:val="12"/>
          <w:sz w:val="24"/>
          <w:szCs w:val="24"/>
          <w:highlight w:val="none"/>
          <w:lang w:val="en-US" w:eastAsia="zh-CN"/>
        </w:rPr>
        <w:t>属于2级，本评价臭气浓度取值78</w:t>
      </w:r>
      <w:r>
        <w:rPr>
          <w:rFonts w:hint="default" w:ascii="Times New Roman" w:hAnsi="Times New Roman" w:cs="Times New Roman" w:eastAsiaTheme="minorEastAsia"/>
          <w:color w:val="auto"/>
          <w:spacing w:val="0"/>
          <w:w w:val="100"/>
          <w:position w:val="0"/>
          <w:sz w:val="24"/>
          <w:szCs w:val="24"/>
          <w:highlight w:val="none"/>
          <w:lang w:eastAsia="zh-CN"/>
        </w:rPr>
        <w:t>（无量纲）</w:t>
      </w:r>
      <w:r>
        <w:rPr>
          <w:rFonts w:hint="eastAsia" w:ascii="Times New Roman" w:hAnsi="Times New Roman" w:cs="Times New Roman"/>
          <w:color w:val="auto"/>
          <w:spacing w:val="0"/>
          <w:w w:val="100"/>
          <w:position w:val="0"/>
          <w:sz w:val="24"/>
          <w:szCs w:val="24"/>
          <w:highlight w:val="none"/>
          <w:lang w:eastAsia="zh-CN"/>
        </w:rPr>
        <w:t>。</w:t>
      </w:r>
      <w:r>
        <w:rPr>
          <w:rFonts w:cs="Times New Roman"/>
          <w:color w:val="auto"/>
          <w:sz w:val="24"/>
          <w:szCs w:val="24"/>
          <w:highlight w:val="none"/>
        </w:rPr>
        <w:t>污水处理站产生的废气，经负压收集至活性炭吸附装置进行处理，处理后经15m高的排气筒DA00</w:t>
      </w:r>
      <w:r>
        <w:rPr>
          <w:rFonts w:hint="eastAsia" w:cs="Times New Roman"/>
          <w:color w:val="auto"/>
          <w:sz w:val="24"/>
          <w:szCs w:val="24"/>
          <w:highlight w:val="none"/>
          <w:lang w:val="en-US" w:eastAsia="zh-CN"/>
        </w:rPr>
        <w:t>2</w:t>
      </w:r>
      <w:r>
        <w:rPr>
          <w:rFonts w:cs="Times New Roman"/>
          <w:color w:val="auto"/>
          <w:sz w:val="24"/>
          <w:szCs w:val="24"/>
          <w:highlight w:val="none"/>
        </w:rPr>
        <w:t>排放，其中负压收集对废气的捕集效率约为90%，活性炭对废气的处理效率约为</w:t>
      </w:r>
      <w:r>
        <w:rPr>
          <w:rFonts w:hint="eastAsia" w:cs="Times New Roman"/>
          <w:color w:val="auto"/>
          <w:sz w:val="24"/>
          <w:szCs w:val="24"/>
          <w:highlight w:val="none"/>
          <w:lang w:val="en-US" w:eastAsia="zh-CN"/>
        </w:rPr>
        <w:t>8</w:t>
      </w:r>
      <w:r>
        <w:rPr>
          <w:rFonts w:cs="Times New Roman"/>
          <w:color w:val="auto"/>
          <w:sz w:val="24"/>
          <w:szCs w:val="24"/>
          <w:highlight w:val="none"/>
        </w:rPr>
        <w:t>0%。</w:t>
      </w:r>
    </w:p>
    <w:p w14:paraId="4122AB1D">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cs="Times New Roman"/>
          <w:bCs/>
          <w:snapToGrid w:val="0"/>
          <w:color w:val="auto"/>
          <w:highlight w:val="none"/>
          <w:lang w:val="zh-CN"/>
        </w:rPr>
      </w:pPr>
      <w:r>
        <w:rPr>
          <w:rFonts w:cs="Times New Roman"/>
          <w:color w:val="auto"/>
          <w:szCs w:val="24"/>
          <w:highlight w:val="none"/>
        </w:rPr>
        <w:t>污水处理站有组织排放量为</w:t>
      </w:r>
      <w:r>
        <w:rPr>
          <w:rFonts w:cs="Times New Roman"/>
          <w:snapToGrid w:val="0"/>
          <w:color w:val="auto"/>
          <w:sz w:val="24"/>
          <w:szCs w:val="24"/>
          <w:highlight w:val="none"/>
          <w:lang w:val="zh-CN"/>
        </w:rPr>
        <w:t>氨：</w:t>
      </w:r>
      <w:r>
        <w:rPr>
          <w:rFonts w:hint="eastAsia" w:cs="Times New Roman"/>
          <w:snapToGrid w:val="0"/>
          <w:color w:val="auto"/>
          <w:sz w:val="24"/>
          <w:szCs w:val="24"/>
          <w:highlight w:val="none"/>
          <w:lang w:val="en-US" w:eastAsia="zh-CN"/>
        </w:rPr>
        <w:t>5.4</w:t>
      </w:r>
      <w:r>
        <w:rPr>
          <w:rFonts w:cs="Times New Roman"/>
          <w:snapToGrid w:val="0"/>
          <w:color w:val="auto"/>
          <w:sz w:val="24"/>
          <w:szCs w:val="24"/>
          <w:highlight w:val="none"/>
          <w:lang w:val="zh-CN"/>
        </w:rPr>
        <w:t>×</w:t>
      </w:r>
      <w:r>
        <w:rPr>
          <w:rFonts w:hint="eastAsia" w:cs="Times New Roman"/>
          <w:snapToGrid w:val="0"/>
          <w:color w:val="auto"/>
          <w:sz w:val="24"/>
          <w:szCs w:val="24"/>
          <w:highlight w:val="none"/>
          <w:lang w:eastAsia="zh-CN"/>
        </w:rPr>
        <w:t>10</w:t>
      </w:r>
      <w:r>
        <w:rPr>
          <w:rFonts w:cs="Times New Roman"/>
          <w:snapToGrid w:val="0"/>
          <w:color w:val="auto"/>
          <w:sz w:val="24"/>
          <w:szCs w:val="24"/>
          <w:highlight w:val="none"/>
          <w:vertAlign w:val="superscript"/>
          <w:lang w:val="zh-CN"/>
        </w:rPr>
        <w:t>-</w:t>
      </w:r>
      <w:r>
        <w:rPr>
          <w:rFonts w:hint="eastAsia" w:cs="Times New Roman"/>
          <w:snapToGrid w:val="0"/>
          <w:color w:val="auto"/>
          <w:sz w:val="24"/>
          <w:szCs w:val="24"/>
          <w:highlight w:val="none"/>
          <w:vertAlign w:val="superscript"/>
          <w:lang w:val="en-US" w:eastAsia="zh-CN"/>
        </w:rPr>
        <w:t>3</w:t>
      </w:r>
      <w:r>
        <w:rPr>
          <w:rFonts w:cs="Times New Roman"/>
          <w:snapToGrid w:val="0"/>
          <w:color w:val="auto"/>
          <w:sz w:val="24"/>
          <w:szCs w:val="24"/>
          <w:highlight w:val="none"/>
          <w:lang w:val="zh-CN"/>
        </w:rPr>
        <w:t>kg/h、硫化氢：</w:t>
      </w:r>
      <w:r>
        <w:rPr>
          <w:rFonts w:hint="eastAsia" w:cs="Times New Roman"/>
          <w:snapToGrid w:val="0"/>
          <w:color w:val="auto"/>
          <w:sz w:val="24"/>
          <w:szCs w:val="24"/>
          <w:highlight w:val="none"/>
          <w:lang w:val="en-US" w:eastAsia="zh-CN"/>
        </w:rPr>
        <w:t>2.0</w:t>
      </w:r>
      <w:r>
        <w:rPr>
          <w:rFonts w:cs="Times New Roman"/>
          <w:snapToGrid w:val="0"/>
          <w:color w:val="auto"/>
          <w:sz w:val="24"/>
          <w:szCs w:val="24"/>
          <w:highlight w:val="none"/>
          <w:lang w:val="zh-CN"/>
        </w:rPr>
        <w:t>×</w:t>
      </w:r>
      <w:r>
        <w:rPr>
          <w:rFonts w:hint="eastAsia" w:cs="Times New Roman"/>
          <w:snapToGrid w:val="0"/>
          <w:color w:val="auto"/>
          <w:sz w:val="24"/>
          <w:szCs w:val="24"/>
          <w:highlight w:val="none"/>
          <w:lang w:eastAsia="zh-CN"/>
        </w:rPr>
        <w:t>10</w:t>
      </w:r>
      <w:r>
        <w:rPr>
          <w:rFonts w:cs="Times New Roman"/>
          <w:snapToGrid w:val="0"/>
          <w:color w:val="auto"/>
          <w:sz w:val="24"/>
          <w:szCs w:val="24"/>
          <w:highlight w:val="none"/>
          <w:vertAlign w:val="superscript"/>
          <w:lang w:val="zh-CN"/>
        </w:rPr>
        <w:t>-</w:t>
      </w:r>
      <w:r>
        <w:rPr>
          <w:rFonts w:hint="eastAsia" w:cs="Times New Roman"/>
          <w:snapToGrid w:val="0"/>
          <w:color w:val="auto"/>
          <w:sz w:val="24"/>
          <w:szCs w:val="24"/>
          <w:highlight w:val="none"/>
          <w:vertAlign w:val="superscript"/>
          <w:lang w:val="en-US" w:eastAsia="zh-CN"/>
        </w:rPr>
        <w:t>4</w:t>
      </w:r>
      <w:r>
        <w:rPr>
          <w:rFonts w:cs="Times New Roman"/>
          <w:snapToGrid w:val="0"/>
          <w:color w:val="auto"/>
          <w:sz w:val="24"/>
          <w:szCs w:val="24"/>
          <w:highlight w:val="none"/>
          <w:lang w:val="zh-CN"/>
        </w:rPr>
        <w:t>kg/h</w:t>
      </w:r>
      <w:r>
        <w:rPr>
          <w:rFonts w:hint="eastAsia" w:cs="Times New Roman"/>
          <w:snapToGrid w:val="0"/>
          <w:color w:val="auto"/>
          <w:sz w:val="24"/>
          <w:szCs w:val="24"/>
          <w:highlight w:val="none"/>
          <w:lang w:val="zh-CN"/>
        </w:rPr>
        <w:t>、</w:t>
      </w:r>
      <w:r>
        <w:rPr>
          <w:rFonts w:cs="Times New Roman"/>
          <w:snapToGrid w:val="0"/>
          <w:color w:val="auto"/>
          <w:sz w:val="24"/>
          <w:szCs w:val="24"/>
          <w:highlight w:val="none"/>
        </w:rPr>
        <w:t>臭气浓度为</w:t>
      </w:r>
      <w:r>
        <w:rPr>
          <w:rFonts w:hint="eastAsia" w:cs="Times New Roman"/>
          <w:snapToGrid w:val="0"/>
          <w:color w:val="auto"/>
          <w:sz w:val="24"/>
          <w:szCs w:val="24"/>
          <w:highlight w:val="none"/>
          <w:lang w:val="en-US" w:eastAsia="zh-CN"/>
        </w:rPr>
        <w:t>14</w:t>
      </w:r>
      <w:r>
        <w:rPr>
          <w:rFonts w:cs="Times New Roman"/>
          <w:snapToGrid w:val="0"/>
          <w:color w:val="auto"/>
          <w:sz w:val="24"/>
          <w:szCs w:val="24"/>
          <w:highlight w:val="none"/>
        </w:rPr>
        <w:t>（无量纲）</w:t>
      </w:r>
      <w:r>
        <w:rPr>
          <w:rFonts w:cs="Times New Roman"/>
          <w:color w:val="auto"/>
          <w:szCs w:val="24"/>
          <w:highlight w:val="none"/>
        </w:rPr>
        <w:t>；污水处理站氨气的无组织排放量为</w:t>
      </w:r>
      <w:r>
        <w:rPr>
          <w:rFonts w:hint="eastAsia" w:cs="Times New Roman"/>
          <w:color w:val="auto"/>
          <w:szCs w:val="24"/>
          <w:highlight w:val="none"/>
          <w:lang w:val="en-US" w:eastAsia="zh-CN"/>
        </w:rPr>
        <w:t>3.0</w:t>
      </w:r>
      <w:r>
        <w:rPr>
          <w:rFonts w:cs="Times New Roman"/>
          <w:snapToGrid w:val="0"/>
          <w:color w:val="auto"/>
          <w:sz w:val="24"/>
          <w:szCs w:val="24"/>
          <w:highlight w:val="none"/>
          <w:lang w:val="zh-CN"/>
        </w:rPr>
        <w:t>×</w:t>
      </w:r>
      <w:r>
        <w:rPr>
          <w:rFonts w:hint="eastAsia" w:cs="Times New Roman"/>
          <w:color w:val="auto"/>
          <w:szCs w:val="24"/>
          <w:highlight w:val="none"/>
          <w:lang w:eastAsia="zh-CN"/>
        </w:rPr>
        <w:t>10</w:t>
      </w:r>
      <w:r>
        <w:rPr>
          <w:rFonts w:cs="Times New Roman"/>
          <w:color w:val="auto"/>
          <w:highlight w:val="none"/>
          <w:vertAlign w:val="superscript"/>
        </w:rPr>
        <w:t>-</w:t>
      </w:r>
      <w:r>
        <w:rPr>
          <w:rFonts w:hint="eastAsia" w:cs="Times New Roman"/>
          <w:color w:val="auto"/>
          <w:highlight w:val="none"/>
          <w:vertAlign w:val="superscript"/>
          <w:lang w:val="en-US" w:eastAsia="zh-CN"/>
        </w:rPr>
        <w:t>3</w:t>
      </w:r>
      <w:r>
        <w:rPr>
          <w:rFonts w:cs="Times New Roman"/>
          <w:color w:val="auto"/>
          <w:szCs w:val="24"/>
          <w:highlight w:val="none"/>
        </w:rPr>
        <w:t>kg/h</w:t>
      </w:r>
      <w:r>
        <w:rPr>
          <w:rFonts w:hint="eastAsia" w:cs="Times New Roman"/>
          <w:color w:val="auto"/>
          <w:szCs w:val="24"/>
          <w:highlight w:val="none"/>
          <w:lang w:eastAsia="zh-CN"/>
        </w:rPr>
        <w:t>、</w:t>
      </w:r>
      <w:r>
        <w:rPr>
          <w:rFonts w:cs="Times New Roman"/>
          <w:color w:val="auto"/>
          <w:szCs w:val="24"/>
          <w:highlight w:val="none"/>
        </w:rPr>
        <w:t>硫化氢的无组织排放量为</w:t>
      </w:r>
      <w:r>
        <w:rPr>
          <w:rFonts w:hint="eastAsia" w:cs="Times New Roman"/>
          <w:color w:val="auto"/>
          <w:szCs w:val="24"/>
          <w:highlight w:val="none"/>
          <w:lang w:val="en-US" w:eastAsia="zh-CN"/>
        </w:rPr>
        <w:t>1.1</w:t>
      </w:r>
      <w:r>
        <w:rPr>
          <w:rFonts w:cs="Times New Roman"/>
          <w:snapToGrid w:val="0"/>
          <w:color w:val="auto"/>
          <w:sz w:val="24"/>
          <w:szCs w:val="24"/>
          <w:highlight w:val="none"/>
          <w:lang w:val="zh-CN"/>
        </w:rPr>
        <w:t>×</w:t>
      </w:r>
      <w:r>
        <w:rPr>
          <w:rFonts w:hint="eastAsia" w:cs="Times New Roman"/>
          <w:color w:val="auto"/>
          <w:szCs w:val="24"/>
          <w:highlight w:val="none"/>
          <w:lang w:eastAsia="zh-CN"/>
        </w:rPr>
        <w:t>10</w:t>
      </w:r>
      <w:r>
        <w:rPr>
          <w:rFonts w:cs="Times New Roman"/>
          <w:color w:val="auto"/>
          <w:highlight w:val="none"/>
          <w:vertAlign w:val="superscript"/>
        </w:rPr>
        <w:t>-</w:t>
      </w:r>
      <w:r>
        <w:rPr>
          <w:rFonts w:hint="eastAsia" w:cs="Times New Roman"/>
          <w:color w:val="auto"/>
          <w:highlight w:val="none"/>
          <w:vertAlign w:val="superscript"/>
          <w:lang w:val="en-US" w:eastAsia="zh-CN"/>
        </w:rPr>
        <w:t>4</w:t>
      </w:r>
      <w:r>
        <w:rPr>
          <w:rFonts w:cs="Times New Roman"/>
          <w:color w:val="auto"/>
          <w:szCs w:val="24"/>
          <w:highlight w:val="none"/>
        </w:rPr>
        <w:t>kg/h。</w:t>
      </w:r>
    </w:p>
    <w:p w14:paraId="66395D54">
      <w:pPr>
        <w:pStyle w:val="117"/>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cs="Times New Roman"/>
          <w:snapToGrid w:val="0"/>
          <w:color w:val="auto"/>
          <w:highlight w:val="none"/>
        </w:rPr>
      </w:pPr>
      <w:r>
        <w:rPr>
          <w:rFonts w:cs="Times New Roman"/>
          <w:snapToGrid w:val="0"/>
          <w:color w:val="auto"/>
          <w:highlight w:val="none"/>
        </w:rPr>
        <w:t>（</w:t>
      </w:r>
      <w:r>
        <w:rPr>
          <w:rFonts w:hint="eastAsia" w:cs="Times New Roman"/>
          <w:snapToGrid w:val="0"/>
          <w:color w:val="auto"/>
          <w:highlight w:val="none"/>
          <w:lang w:val="en-US" w:eastAsia="zh-CN"/>
        </w:rPr>
        <w:t>3</w:t>
      </w:r>
      <w:r>
        <w:rPr>
          <w:rFonts w:cs="Times New Roman"/>
          <w:snapToGrid w:val="0"/>
          <w:color w:val="auto"/>
          <w:highlight w:val="none"/>
        </w:rPr>
        <w:t>）</w:t>
      </w:r>
      <w:r>
        <w:rPr>
          <w:rFonts w:hint="eastAsia" w:cs="Times New Roman"/>
          <w:snapToGrid w:val="0"/>
          <w:color w:val="auto"/>
          <w:highlight w:val="none"/>
          <w:lang w:val="en-US" w:eastAsia="zh-CN"/>
        </w:rPr>
        <w:t>待宰圈</w:t>
      </w:r>
      <w:r>
        <w:rPr>
          <w:rFonts w:cs="Times New Roman"/>
          <w:snapToGrid w:val="0"/>
          <w:color w:val="auto"/>
          <w:highlight w:val="none"/>
        </w:rPr>
        <w:t>恶臭</w:t>
      </w:r>
    </w:p>
    <w:p w14:paraId="2CA19F04">
      <w:pPr>
        <w:pStyle w:val="117"/>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cs="Times New Roman"/>
          <w:snapToGrid w:val="0"/>
          <w:color w:val="auto"/>
          <w:highlight w:val="none"/>
        </w:rPr>
      </w:pPr>
      <w:r>
        <w:rPr>
          <w:rFonts w:hint="eastAsia" w:cs="Times New Roman"/>
          <w:snapToGrid w:val="0"/>
          <w:color w:val="auto"/>
          <w:highlight w:val="none"/>
          <w:lang w:val="en-US" w:eastAsia="zh-CN"/>
        </w:rPr>
        <w:t>待宰圈</w:t>
      </w:r>
      <w:r>
        <w:rPr>
          <w:rFonts w:cs="Times New Roman"/>
          <w:snapToGrid w:val="0"/>
          <w:color w:val="auto"/>
          <w:highlight w:val="none"/>
        </w:rPr>
        <w:t>用于</w:t>
      </w:r>
      <w:r>
        <w:rPr>
          <w:rFonts w:hint="eastAsia" w:cs="Times New Roman"/>
          <w:snapToGrid w:val="0"/>
          <w:color w:val="auto"/>
          <w:highlight w:val="none"/>
          <w:lang w:val="en-US" w:eastAsia="zh-CN"/>
        </w:rPr>
        <w:t>存放待宰</w:t>
      </w:r>
      <w:r>
        <w:rPr>
          <w:rFonts w:cs="Times New Roman"/>
          <w:snapToGrid w:val="0"/>
          <w:color w:val="auto"/>
          <w:highlight w:val="none"/>
        </w:rPr>
        <w:t>牛、羊，可容纳</w:t>
      </w:r>
      <w:r>
        <w:rPr>
          <w:rFonts w:hint="eastAsia" w:cs="Times New Roman"/>
          <w:snapToGrid w:val="0"/>
          <w:color w:val="auto"/>
          <w:highlight w:val="none"/>
          <w:lang w:val="en-US" w:eastAsia="zh-CN"/>
        </w:rPr>
        <w:t>500只</w:t>
      </w:r>
      <w:r>
        <w:rPr>
          <w:rFonts w:cs="Times New Roman"/>
          <w:snapToGrid w:val="0"/>
          <w:color w:val="auto"/>
          <w:highlight w:val="none"/>
        </w:rPr>
        <w:t>羊、</w:t>
      </w:r>
      <w:r>
        <w:rPr>
          <w:rFonts w:hint="eastAsia" w:cs="Times New Roman"/>
          <w:snapToGrid w:val="0"/>
          <w:color w:val="auto"/>
          <w:highlight w:val="none"/>
          <w:lang w:val="en-US" w:eastAsia="zh-CN"/>
        </w:rPr>
        <w:t>100</w:t>
      </w:r>
      <w:r>
        <w:rPr>
          <w:rFonts w:cs="Times New Roman"/>
          <w:snapToGrid w:val="0"/>
          <w:color w:val="auto"/>
          <w:highlight w:val="none"/>
        </w:rPr>
        <w:t>头牛，</w:t>
      </w:r>
      <w:r>
        <w:rPr>
          <w:rFonts w:hint="default" w:ascii="Times New Roman" w:hAnsi="Times New Roman" w:eastAsia="宋体" w:cs="Times New Roman"/>
          <w:color w:val="auto"/>
          <w:highlight w:val="none"/>
          <w:lang w:val="zh-CN"/>
        </w:rPr>
        <w:t>按照《畜禽屠宰操作规程牛》（GB/T19477-2018）要求，必须在待宰圈停留12h以上。根据建设单位提供的资料，牛在待宰圈所需时间为</w:t>
      </w:r>
      <w:r>
        <w:rPr>
          <w:rFonts w:hint="eastAsia" w:cs="Times New Roman"/>
          <w:color w:val="auto"/>
          <w:highlight w:val="none"/>
          <w:lang w:val="en-US" w:eastAsia="zh-CN"/>
        </w:rPr>
        <w:t>16</w:t>
      </w:r>
      <w:r>
        <w:rPr>
          <w:rFonts w:hint="default" w:ascii="Times New Roman" w:hAnsi="Times New Roman" w:eastAsia="宋体" w:cs="Times New Roman"/>
          <w:color w:val="auto"/>
          <w:highlight w:val="none"/>
          <w:lang w:val="zh-CN"/>
        </w:rPr>
        <w:t>个小时。</w:t>
      </w:r>
    </w:p>
    <w:p w14:paraId="03B537F0">
      <w:pPr>
        <w:pStyle w:val="117"/>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cs="Times New Roman"/>
          <w:snapToGrid w:val="0"/>
          <w:color w:val="auto"/>
          <w:highlight w:val="none"/>
        </w:rPr>
      </w:pPr>
      <w:r>
        <w:rPr>
          <w:rFonts w:hint="default" w:ascii="Times New Roman" w:hAnsi="Times New Roman" w:eastAsia="宋体" w:cs="Times New Roman"/>
          <w:snapToGrid w:val="0"/>
          <w:color w:val="auto"/>
          <w:highlight w:val="none"/>
          <w:lang w:val="zh-CN"/>
        </w:rPr>
        <w:t>根据《排污许可证申请与核发技术规范畜禽养殖行业》（HJ1029-2019)表9,肉牛粪便产生量10.88kg/d头，</w:t>
      </w:r>
      <w:r>
        <w:rPr>
          <w:rFonts w:hint="eastAsia" w:ascii="Times New Roman" w:hAnsi="Times New Roman" w:eastAsia="宋体" w:cs="Times New Roman"/>
          <w:snapToGrid w:val="0"/>
          <w:color w:val="auto"/>
          <w:highlight w:val="none"/>
          <w:lang w:val="en-US" w:eastAsia="zh-CN"/>
        </w:rPr>
        <w:t>生猪粪便产生量1.24</w:t>
      </w:r>
      <w:r>
        <w:rPr>
          <w:rFonts w:hint="default" w:ascii="Times New Roman" w:hAnsi="Times New Roman" w:eastAsia="宋体" w:cs="Times New Roman"/>
          <w:snapToGrid w:val="0"/>
          <w:color w:val="auto"/>
          <w:highlight w:val="none"/>
          <w:lang w:val="zh-CN"/>
        </w:rPr>
        <w:t>kg/d</w:t>
      </w:r>
      <w:r>
        <w:rPr>
          <w:rFonts w:hint="eastAsia" w:ascii="Times New Roman" w:hAnsi="Times New Roman" w:eastAsia="宋体" w:cs="Times New Roman"/>
          <w:snapToGrid w:val="0"/>
          <w:color w:val="auto"/>
          <w:highlight w:val="none"/>
          <w:lang w:val="en-US" w:eastAsia="zh-CN"/>
        </w:rPr>
        <w:t>只（3只羊折算成1只猪），</w:t>
      </w:r>
      <w:r>
        <w:rPr>
          <w:rFonts w:hint="eastAsia" w:cs="Times New Roman"/>
          <w:snapToGrid w:val="0"/>
          <w:color w:val="auto"/>
          <w:highlight w:val="none"/>
          <w:lang w:val="zh-CN"/>
        </w:rPr>
        <w:t>待宰圈最大存栏量</w:t>
      </w:r>
      <w:r>
        <w:rPr>
          <w:rFonts w:hint="eastAsia" w:cs="Times New Roman"/>
          <w:snapToGrid w:val="0"/>
          <w:color w:val="auto"/>
          <w:highlight w:val="none"/>
          <w:lang w:val="en-US" w:eastAsia="zh-CN"/>
        </w:rPr>
        <w:t>牛100头，羊500只，一次每日粪便产生量共1.29t，</w:t>
      </w:r>
      <w:r>
        <w:rPr>
          <w:rFonts w:cs="Times New Roman"/>
          <w:color w:val="auto"/>
          <w:szCs w:val="24"/>
          <w:highlight w:val="none"/>
          <w:lang w:bidi="ar"/>
        </w:rPr>
        <w:t>根据《中国乳品工程》（2011年第39卷第8期）中《牛</w:t>
      </w:r>
      <w:r>
        <w:rPr>
          <w:rFonts w:hint="eastAsia" w:cs="Times New Roman"/>
          <w:color w:val="auto"/>
          <w:szCs w:val="24"/>
          <w:highlight w:val="none"/>
          <w:lang w:val="en-US" w:eastAsia="zh-CN" w:bidi="ar"/>
        </w:rPr>
        <w:t>羊</w:t>
      </w:r>
      <w:r>
        <w:rPr>
          <w:rFonts w:cs="Times New Roman"/>
          <w:color w:val="auto"/>
          <w:szCs w:val="24"/>
          <w:highlight w:val="none"/>
          <w:lang w:bidi="ar"/>
        </w:rPr>
        <w:t>粪尿中含有氮量、NH</w:t>
      </w:r>
      <w:r>
        <w:rPr>
          <w:rFonts w:cs="Times New Roman"/>
          <w:color w:val="auto"/>
          <w:szCs w:val="24"/>
          <w:highlight w:val="none"/>
          <w:vertAlign w:val="subscript"/>
          <w:lang w:bidi="ar"/>
        </w:rPr>
        <w:t>3</w:t>
      </w:r>
      <w:r>
        <w:rPr>
          <w:rFonts w:cs="Times New Roman"/>
          <w:color w:val="auto"/>
          <w:szCs w:val="24"/>
          <w:highlight w:val="none"/>
          <w:lang w:bidi="ar"/>
        </w:rPr>
        <w:t>、H</w:t>
      </w:r>
      <w:r>
        <w:rPr>
          <w:rFonts w:cs="Times New Roman"/>
          <w:color w:val="auto"/>
          <w:szCs w:val="24"/>
          <w:highlight w:val="none"/>
          <w:vertAlign w:val="subscript"/>
          <w:lang w:bidi="ar"/>
        </w:rPr>
        <w:t>2</w:t>
      </w:r>
      <w:r>
        <w:rPr>
          <w:rFonts w:cs="Times New Roman"/>
          <w:color w:val="auto"/>
          <w:szCs w:val="24"/>
          <w:highlight w:val="none"/>
          <w:lang w:bidi="ar"/>
        </w:rPr>
        <w:t>S散发量的比较》文章中，粪便中氨气散发量为0.018mg/g，硫化氢散发量为0.002mg/g。则NH</w:t>
      </w:r>
      <w:r>
        <w:rPr>
          <w:rFonts w:cs="Times New Roman"/>
          <w:color w:val="auto"/>
          <w:szCs w:val="24"/>
          <w:highlight w:val="none"/>
          <w:vertAlign w:val="subscript"/>
          <w:lang w:bidi="ar"/>
        </w:rPr>
        <w:t>3</w:t>
      </w:r>
      <w:r>
        <w:rPr>
          <w:rFonts w:cs="Times New Roman"/>
          <w:color w:val="auto"/>
          <w:szCs w:val="24"/>
          <w:highlight w:val="none"/>
          <w:lang w:bidi="ar"/>
        </w:rPr>
        <w:t>产生量为</w:t>
      </w:r>
      <w:r>
        <w:rPr>
          <w:rFonts w:hint="eastAsia" w:cs="Times New Roman"/>
          <w:color w:val="auto"/>
          <w:szCs w:val="24"/>
          <w:highlight w:val="none"/>
          <w:lang w:val="en-US" w:eastAsia="zh-CN" w:bidi="ar"/>
        </w:rPr>
        <w:t>0.02kg</w:t>
      </w:r>
      <w:r>
        <w:rPr>
          <w:rFonts w:cs="Times New Roman"/>
          <w:color w:val="auto"/>
          <w:szCs w:val="24"/>
          <w:highlight w:val="none"/>
          <w:lang w:bidi="ar"/>
        </w:rPr>
        <w:t>/</w:t>
      </w:r>
      <w:r>
        <w:rPr>
          <w:rFonts w:hint="eastAsia" w:cs="Times New Roman"/>
          <w:color w:val="auto"/>
          <w:szCs w:val="24"/>
          <w:highlight w:val="none"/>
          <w:lang w:val="en-US" w:eastAsia="zh-CN" w:bidi="ar"/>
        </w:rPr>
        <w:t>d</w:t>
      </w:r>
      <w:r>
        <w:rPr>
          <w:rFonts w:hint="eastAsia" w:cs="Times New Roman"/>
          <w:color w:val="auto"/>
          <w:szCs w:val="24"/>
          <w:highlight w:val="none"/>
          <w:lang w:eastAsia="zh-CN" w:bidi="ar"/>
        </w:rPr>
        <w:t>，</w:t>
      </w:r>
      <w:r>
        <w:rPr>
          <w:rFonts w:hint="eastAsia" w:cs="Times New Roman"/>
          <w:color w:val="auto"/>
          <w:szCs w:val="24"/>
          <w:highlight w:val="none"/>
          <w:lang w:val="en-US" w:eastAsia="zh-CN" w:bidi="ar"/>
        </w:rPr>
        <w:t>0.007t/a；</w:t>
      </w:r>
      <w:r>
        <w:rPr>
          <w:rFonts w:cs="Times New Roman"/>
          <w:color w:val="auto"/>
          <w:szCs w:val="24"/>
          <w:highlight w:val="none"/>
          <w:lang w:bidi="ar"/>
        </w:rPr>
        <w:t>H</w:t>
      </w:r>
      <w:r>
        <w:rPr>
          <w:rFonts w:cs="Times New Roman"/>
          <w:color w:val="auto"/>
          <w:szCs w:val="24"/>
          <w:highlight w:val="none"/>
          <w:vertAlign w:val="subscript"/>
          <w:lang w:bidi="ar"/>
        </w:rPr>
        <w:t>2</w:t>
      </w:r>
      <w:r>
        <w:rPr>
          <w:rFonts w:cs="Times New Roman"/>
          <w:color w:val="auto"/>
          <w:szCs w:val="24"/>
          <w:highlight w:val="none"/>
          <w:lang w:bidi="ar"/>
        </w:rPr>
        <w:t>S产生量为</w:t>
      </w:r>
      <w:r>
        <w:rPr>
          <w:rFonts w:hint="eastAsia" w:cs="Times New Roman"/>
          <w:color w:val="auto"/>
          <w:szCs w:val="24"/>
          <w:highlight w:val="none"/>
          <w:lang w:val="en-US" w:eastAsia="zh-CN" w:bidi="ar"/>
        </w:rPr>
        <w:t>0.003kg</w:t>
      </w:r>
      <w:r>
        <w:rPr>
          <w:rFonts w:cs="Times New Roman"/>
          <w:color w:val="auto"/>
          <w:szCs w:val="24"/>
          <w:highlight w:val="none"/>
          <w:lang w:bidi="ar"/>
        </w:rPr>
        <w:t>/</w:t>
      </w:r>
      <w:r>
        <w:rPr>
          <w:rFonts w:hint="eastAsia" w:cs="Times New Roman"/>
          <w:color w:val="auto"/>
          <w:szCs w:val="24"/>
          <w:highlight w:val="none"/>
          <w:lang w:val="en-US" w:eastAsia="zh-CN" w:bidi="ar"/>
        </w:rPr>
        <w:t>d</w:t>
      </w:r>
      <w:r>
        <w:rPr>
          <w:rFonts w:cs="Times New Roman"/>
          <w:color w:val="auto"/>
          <w:szCs w:val="24"/>
          <w:highlight w:val="none"/>
          <w:lang w:bidi="ar"/>
        </w:rPr>
        <w:t>，</w:t>
      </w:r>
      <w:r>
        <w:rPr>
          <w:rFonts w:hint="eastAsia" w:cs="Times New Roman"/>
          <w:color w:val="auto"/>
          <w:szCs w:val="24"/>
          <w:highlight w:val="none"/>
          <w:lang w:val="en-US" w:eastAsia="zh-CN" w:bidi="ar"/>
        </w:rPr>
        <w:t>0.0009t/a</w:t>
      </w:r>
      <w:r>
        <w:rPr>
          <w:rFonts w:cs="Times New Roman"/>
          <w:color w:val="auto"/>
          <w:szCs w:val="24"/>
          <w:highlight w:val="none"/>
          <w:lang w:bidi="ar"/>
        </w:rPr>
        <w:t>。</w:t>
      </w:r>
      <w:r>
        <w:rPr>
          <w:rFonts w:cs="Times New Roman"/>
          <w:snapToGrid w:val="0"/>
          <w:color w:val="auto"/>
          <w:highlight w:val="none"/>
          <w:lang w:val="zh-CN"/>
        </w:rPr>
        <w:t>（按照每天</w:t>
      </w:r>
      <w:r>
        <w:rPr>
          <w:rFonts w:hint="eastAsia" w:cs="Times New Roman"/>
          <w:snapToGrid w:val="0"/>
          <w:color w:val="auto"/>
          <w:highlight w:val="none"/>
          <w:lang w:val="en-US" w:eastAsia="zh-CN"/>
        </w:rPr>
        <w:t>存栏16</w:t>
      </w:r>
      <w:r>
        <w:rPr>
          <w:rFonts w:cs="Times New Roman"/>
          <w:snapToGrid w:val="0"/>
          <w:color w:val="auto"/>
          <w:highlight w:val="none"/>
          <w:lang w:val="zh-CN"/>
        </w:rPr>
        <w:t>小时，年3</w:t>
      </w:r>
      <w:r>
        <w:rPr>
          <w:rFonts w:hint="eastAsia" w:cs="Times New Roman"/>
          <w:snapToGrid w:val="0"/>
          <w:color w:val="auto"/>
          <w:highlight w:val="none"/>
          <w:lang w:val="en-US" w:eastAsia="zh-CN"/>
        </w:rPr>
        <w:t>1</w:t>
      </w:r>
      <w:r>
        <w:rPr>
          <w:rFonts w:cs="Times New Roman"/>
          <w:snapToGrid w:val="0"/>
          <w:color w:val="auto"/>
          <w:highlight w:val="none"/>
          <w:lang w:val="zh-CN"/>
        </w:rPr>
        <w:t>0日运行计算）。</w:t>
      </w:r>
      <w:r>
        <w:rPr>
          <w:rFonts w:hint="eastAsia" w:cs="Times New Roman"/>
          <w:snapToGrid w:val="0"/>
          <w:color w:val="auto"/>
          <w:highlight w:val="none"/>
          <w:lang w:val="en-US" w:eastAsia="zh-CN"/>
        </w:rPr>
        <w:t>待宰圈</w:t>
      </w:r>
      <w:r>
        <w:rPr>
          <w:rFonts w:cs="Times New Roman"/>
          <w:snapToGrid w:val="0"/>
          <w:color w:val="auto"/>
          <w:highlight w:val="none"/>
          <w:lang w:val="zh-CN"/>
        </w:rPr>
        <w:t>及时清理粪便及尿液，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lang w:val="zh-CN"/>
        </w:rPr>
        <w:t>定期冲洗待地面</w:t>
      </w:r>
      <w:r>
        <w:rPr>
          <w:rFonts w:cs="Times New Roman"/>
          <w:snapToGrid w:val="0"/>
          <w:color w:val="auto"/>
          <w:highlight w:val="none"/>
          <w:lang w:val="zh-CN"/>
        </w:rPr>
        <w:t>，并定期喷洒除臭剂，无组织恶臭可降低80%。</w:t>
      </w:r>
      <w:r>
        <w:rPr>
          <w:rFonts w:hint="eastAsia" w:cs="Times New Roman"/>
          <w:snapToGrid w:val="0"/>
          <w:color w:val="auto"/>
          <w:highlight w:val="none"/>
          <w:lang w:val="en-US" w:eastAsia="zh-CN"/>
        </w:rPr>
        <w:t>待宰圈</w:t>
      </w:r>
      <w:r>
        <w:rPr>
          <w:rFonts w:cs="Times New Roman"/>
          <w:snapToGrid w:val="0"/>
          <w:color w:val="auto"/>
          <w:highlight w:val="none"/>
        </w:rPr>
        <w:t>恶臭排放情况为</w:t>
      </w:r>
      <w:r>
        <w:rPr>
          <w:rFonts w:cs="Times New Roman"/>
          <w:snapToGrid w:val="0"/>
          <w:color w:val="auto"/>
          <w:highlight w:val="none"/>
          <w:lang w:val="zh-CN"/>
        </w:rPr>
        <w:t>NH</w:t>
      </w:r>
      <w:r>
        <w:rPr>
          <w:rFonts w:cs="Times New Roman"/>
          <w:snapToGrid w:val="0"/>
          <w:color w:val="auto"/>
          <w:highlight w:val="none"/>
          <w:vertAlign w:val="subscript"/>
          <w:lang w:val="zh-CN"/>
        </w:rPr>
        <w:t>3</w:t>
      </w:r>
      <w:r>
        <w:rPr>
          <w:rFonts w:cs="Times New Roman"/>
          <w:snapToGrid w:val="0"/>
          <w:color w:val="auto"/>
          <w:highlight w:val="none"/>
          <w:lang w:val="zh-CN"/>
        </w:rPr>
        <w:t>和H</w:t>
      </w:r>
      <w:r>
        <w:rPr>
          <w:rFonts w:cs="Times New Roman"/>
          <w:snapToGrid w:val="0"/>
          <w:color w:val="auto"/>
          <w:highlight w:val="none"/>
          <w:vertAlign w:val="subscript"/>
          <w:lang w:val="zh-CN"/>
        </w:rPr>
        <w:t>2</w:t>
      </w:r>
      <w:r>
        <w:rPr>
          <w:rFonts w:cs="Times New Roman"/>
          <w:snapToGrid w:val="0"/>
          <w:color w:val="auto"/>
          <w:highlight w:val="none"/>
          <w:lang w:val="zh-CN"/>
        </w:rPr>
        <w:t>S强度分别为</w:t>
      </w:r>
      <w:r>
        <w:rPr>
          <w:rFonts w:hint="eastAsia" w:cs="Times New Roman"/>
          <w:color w:val="auto"/>
          <w:szCs w:val="24"/>
          <w:highlight w:val="none"/>
          <w:lang w:val="en-US" w:eastAsia="zh-CN"/>
        </w:rPr>
        <w:t>2.5</w:t>
      </w:r>
      <w:r>
        <w:rPr>
          <w:rFonts w:cs="Times New Roman"/>
          <w:color w:val="auto"/>
          <w:highlight w:val="none"/>
        </w:rPr>
        <w:t>×10</w:t>
      </w:r>
      <w:r>
        <w:rPr>
          <w:rFonts w:cs="Times New Roman"/>
          <w:color w:val="auto"/>
          <w:highlight w:val="none"/>
          <w:vertAlign w:val="superscript"/>
        </w:rPr>
        <w:t>-</w:t>
      </w:r>
      <w:r>
        <w:rPr>
          <w:rFonts w:hint="eastAsia" w:cs="Times New Roman"/>
          <w:color w:val="auto"/>
          <w:highlight w:val="none"/>
          <w:vertAlign w:val="superscript"/>
          <w:lang w:val="en-US" w:eastAsia="zh-CN"/>
        </w:rPr>
        <w:t>4</w:t>
      </w:r>
      <w:r>
        <w:rPr>
          <w:rFonts w:cs="Times New Roman"/>
          <w:color w:val="auto"/>
          <w:szCs w:val="24"/>
          <w:highlight w:val="none"/>
        </w:rPr>
        <w:t>kg/h</w:t>
      </w:r>
      <w:r>
        <w:rPr>
          <w:rFonts w:cs="Times New Roman"/>
          <w:snapToGrid w:val="0"/>
          <w:color w:val="auto"/>
          <w:highlight w:val="none"/>
          <w:lang w:val="zh-CN"/>
        </w:rPr>
        <w:t>（</w:t>
      </w:r>
      <w:r>
        <w:rPr>
          <w:rFonts w:hint="eastAsia" w:cs="Times New Roman"/>
          <w:snapToGrid w:val="0"/>
          <w:color w:val="auto"/>
          <w:highlight w:val="none"/>
          <w:lang w:val="en-US" w:eastAsia="zh-CN"/>
        </w:rPr>
        <w:t>1.24</w:t>
      </w:r>
      <w:r>
        <w:rPr>
          <w:rFonts w:cs="Times New Roman"/>
          <w:color w:val="auto"/>
          <w:highlight w:val="none"/>
        </w:rPr>
        <w:t>×10</w:t>
      </w:r>
      <w:r>
        <w:rPr>
          <w:rFonts w:cs="Times New Roman"/>
          <w:color w:val="auto"/>
          <w:highlight w:val="none"/>
          <w:vertAlign w:val="superscript"/>
        </w:rPr>
        <w:t>-</w:t>
      </w:r>
      <w:r>
        <w:rPr>
          <w:rFonts w:hint="eastAsia" w:cs="Times New Roman"/>
          <w:color w:val="auto"/>
          <w:highlight w:val="none"/>
          <w:vertAlign w:val="superscript"/>
          <w:lang w:val="en-US" w:eastAsia="zh-CN"/>
        </w:rPr>
        <w:t>3</w:t>
      </w:r>
      <w:r>
        <w:rPr>
          <w:rFonts w:cs="Times New Roman"/>
          <w:snapToGrid w:val="0"/>
          <w:color w:val="auto"/>
          <w:highlight w:val="none"/>
        </w:rPr>
        <w:t>t/a</w:t>
      </w:r>
      <w:r>
        <w:rPr>
          <w:rFonts w:cs="Times New Roman"/>
          <w:snapToGrid w:val="0"/>
          <w:color w:val="auto"/>
          <w:highlight w:val="none"/>
          <w:lang w:val="zh-CN"/>
        </w:rPr>
        <w:t>）、</w:t>
      </w:r>
      <w:r>
        <w:rPr>
          <w:rFonts w:hint="eastAsia" w:cs="Times New Roman"/>
          <w:color w:val="auto"/>
          <w:szCs w:val="24"/>
          <w:highlight w:val="none"/>
          <w:lang w:val="en-US" w:eastAsia="zh-CN"/>
        </w:rPr>
        <w:t>3.75</w:t>
      </w:r>
      <w:r>
        <w:rPr>
          <w:rFonts w:cs="Times New Roman"/>
          <w:color w:val="auto"/>
          <w:highlight w:val="none"/>
        </w:rPr>
        <w:t>×10</w:t>
      </w:r>
      <w:r>
        <w:rPr>
          <w:rFonts w:cs="Times New Roman"/>
          <w:color w:val="auto"/>
          <w:highlight w:val="none"/>
          <w:vertAlign w:val="superscript"/>
        </w:rPr>
        <w:t>-</w:t>
      </w:r>
      <w:r>
        <w:rPr>
          <w:rFonts w:hint="eastAsia" w:cs="Times New Roman"/>
          <w:color w:val="auto"/>
          <w:highlight w:val="none"/>
          <w:vertAlign w:val="superscript"/>
          <w:lang w:val="en-US" w:eastAsia="zh-CN"/>
        </w:rPr>
        <w:t>5</w:t>
      </w:r>
      <w:r>
        <w:rPr>
          <w:rFonts w:cs="Times New Roman"/>
          <w:color w:val="auto"/>
          <w:szCs w:val="24"/>
          <w:highlight w:val="none"/>
        </w:rPr>
        <w:t>kg/h</w:t>
      </w:r>
      <w:r>
        <w:rPr>
          <w:rFonts w:cs="Times New Roman"/>
          <w:snapToGrid w:val="0"/>
          <w:color w:val="auto"/>
          <w:highlight w:val="none"/>
          <w:lang w:val="zh-CN"/>
        </w:rPr>
        <w:t>（</w:t>
      </w:r>
      <w:r>
        <w:rPr>
          <w:rFonts w:hint="eastAsia" w:cs="Times New Roman"/>
          <w:snapToGrid w:val="0"/>
          <w:color w:val="auto"/>
          <w:highlight w:val="none"/>
          <w:lang w:val="en-US" w:eastAsia="zh-CN"/>
        </w:rPr>
        <w:t>1.86</w:t>
      </w:r>
      <w:r>
        <w:rPr>
          <w:rFonts w:cs="Times New Roman"/>
          <w:color w:val="auto"/>
          <w:highlight w:val="none"/>
        </w:rPr>
        <w:t>×10</w:t>
      </w:r>
      <w:r>
        <w:rPr>
          <w:rFonts w:cs="Times New Roman"/>
          <w:color w:val="auto"/>
          <w:highlight w:val="none"/>
          <w:vertAlign w:val="superscript"/>
        </w:rPr>
        <w:t>-</w:t>
      </w:r>
      <w:r>
        <w:rPr>
          <w:rFonts w:hint="eastAsia" w:cs="Times New Roman"/>
          <w:color w:val="auto"/>
          <w:highlight w:val="none"/>
          <w:vertAlign w:val="superscript"/>
          <w:lang w:val="en-US" w:eastAsia="zh-CN"/>
        </w:rPr>
        <w:t>4</w:t>
      </w:r>
      <w:r>
        <w:rPr>
          <w:rFonts w:cs="Times New Roman"/>
          <w:snapToGrid w:val="0"/>
          <w:color w:val="auto"/>
          <w:highlight w:val="none"/>
        </w:rPr>
        <w:t>t/a</w:t>
      </w:r>
      <w:r>
        <w:rPr>
          <w:rFonts w:cs="Times New Roman"/>
          <w:snapToGrid w:val="0"/>
          <w:color w:val="auto"/>
          <w:highlight w:val="none"/>
          <w:lang w:val="zh-CN"/>
        </w:rPr>
        <w:t>）</w:t>
      </w:r>
      <w:r>
        <w:rPr>
          <w:rFonts w:cs="Times New Roman"/>
          <w:snapToGrid w:val="0"/>
          <w:color w:val="auto"/>
          <w:highlight w:val="none"/>
        </w:rPr>
        <w:t>。</w:t>
      </w:r>
    </w:p>
    <w:p w14:paraId="4CEEE347">
      <w:pPr>
        <w:pStyle w:val="117"/>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cs="Times New Roman"/>
          <w:snapToGrid w:val="0"/>
          <w:color w:val="auto"/>
          <w:highlight w:val="none"/>
        </w:rPr>
      </w:pPr>
      <w:r>
        <w:rPr>
          <w:rFonts w:cs="Times New Roman"/>
          <w:snapToGrid w:val="0"/>
          <w:color w:val="auto"/>
          <w:highlight w:val="none"/>
        </w:rPr>
        <w:t>（6）</w:t>
      </w:r>
      <w:r>
        <w:rPr>
          <w:rFonts w:hint="eastAsia" w:cs="Times New Roman"/>
          <w:snapToGrid w:val="0"/>
          <w:color w:val="auto"/>
          <w:highlight w:val="none"/>
          <w:lang w:val="en-US" w:eastAsia="zh-CN"/>
        </w:rPr>
        <w:t>固体废物</w:t>
      </w:r>
      <w:r>
        <w:rPr>
          <w:rFonts w:cs="Times New Roman"/>
          <w:snapToGrid w:val="0"/>
          <w:color w:val="auto"/>
          <w:highlight w:val="none"/>
        </w:rPr>
        <w:t>暂存</w:t>
      </w:r>
      <w:r>
        <w:rPr>
          <w:rFonts w:hint="eastAsia"/>
          <w:color w:val="auto"/>
          <w:highlight w:val="none"/>
          <w:lang w:val="en-US" w:eastAsia="zh-CN"/>
        </w:rPr>
        <w:t>间</w:t>
      </w:r>
      <w:r>
        <w:rPr>
          <w:rFonts w:cs="Times New Roman"/>
          <w:snapToGrid w:val="0"/>
          <w:color w:val="auto"/>
          <w:highlight w:val="none"/>
        </w:rPr>
        <w:t>恶臭</w:t>
      </w:r>
    </w:p>
    <w:p w14:paraId="111888C8">
      <w:pPr>
        <w:pStyle w:val="117"/>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eastAsia="宋体" w:cs="Times New Roman"/>
          <w:snapToGrid w:val="0"/>
          <w:color w:val="auto"/>
          <w:highlight w:val="none"/>
          <w:lang w:val="en-US" w:eastAsia="zh-CN"/>
        </w:rPr>
      </w:pPr>
      <w:r>
        <w:rPr>
          <w:rFonts w:cs="Times New Roman"/>
          <w:snapToGrid w:val="0"/>
          <w:color w:val="auto"/>
          <w:highlight w:val="none"/>
        </w:rPr>
        <w:t>本项目</w:t>
      </w:r>
      <w:r>
        <w:rPr>
          <w:rFonts w:hint="eastAsia" w:cs="Times New Roman"/>
          <w:snapToGrid w:val="0"/>
          <w:color w:val="auto"/>
          <w:highlight w:val="none"/>
          <w:lang w:val="en-US" w:eastAsia="zh-CN"/>
        </w:rPr>
        <w:t>固体废物暂存间分为一般固体废物暂存间及危险废物贮存点，</w:t>
      </w:r>
      <w:r>
        <w:rPr>
          <w:rFonts w:hint="eastAsia" w:eastAsia="新宋体" w:cs="Times New Roman"/>
          <w:snapToGrid w:val="0"/>
          <w:color w:val="auto"/>
          <w:szCs w:val="21"/>
          <w:highlight w:val="none"/>
          <w:lang w:val="en-US" w:eastAsia="zh-CN"/>
        </w:rPr>
        <w:t>危险废物贮存点内危险废物按照其用途进行分类密封存储，</w:t>
      </w:r>
      <w:r>
        <w:rPr>
          <w:rFonts w:ascii="Times New Roman" w:hAnsi="Times New Roman" w:eastAsia="宋体" w:cs="Times New Roman"/>
          <w:color w:val="auto"/>
          <w:szCs w:val="24"/>
          <w:highlight w:val="none"/>
        </w:rPr>
        <w:t>定期交由有资质单位处理</w:t>
      </w:r>
      <w:r>
        <w:rPr>
          <w:rFonts w:hint="eastAsia" w:cs="Times New Roman"/>
          <w:color w:val="auto"/>
          <w:szCs w:val="24"/>
          <w:highlight w:val="none"/>
          <w:lang w:eastAsia="zh-CN"/>
        </w:rPr>
        <w:t>。</w:t>
      </w:r>
      <w:r>
        <w:rPr>
          <w:rFonts w:cs="Times New Roman"/>
          <w:snapToGrid w:val="0"/>
          <w:color w:val="auto"/>
          <w:highlight w:val="none"/>
        </w:rPr>
        <w:t>固废暂存间内废物暂存于加盖的</w:t>
      </w:r>
      <w:r>
        <w:rPr>
          <w:rFonts w:hint="eastAsia" w:cs="Times New Roman"/>
          <w:snapToGrid w:val="0"/>
          <w:color w:val="auto"/>
          <w:highlight w:val="none"/>
          <w:lang w:val="en-US" w:eastAsia="zh-CN"/>
        </w:rPr>
        <w:t>转运桶内</w:t>
      </w:r>
      <w:r>
        <w:rPr>
          <w:rFonts w:cs="Times New Roman"/>
          <w:snapToGrid w:val="0"/>
          <w:color w:val="auto"/>
          <w:highlight w:val="none"/>
        </w:rPr>
        <w:t>，正常情况下为密封，仅输送生产废物时，将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lang w:val="en-US" w:eastAsia="zh-CN"/>
        </w:rPr>
        <w:t>并更换干净的转运桶，且在固废暂存间内喷洒除臭剂，因此</w:t>
      </w:r>
      <w:r>
        <w:rPr>
          <w:rFonts w:cs="Times New Roman"/>
          <w:snapToGrid w:val="0"/>
          <w:color w:val="auto"/>
          <w:highlight w:val="none"/>
        </w:rPr>
        <w:t>产生的恶臭较小</w:t>
      </w:r>
      <w:r>
        <w:rPr>
          <w:rFonts w:eastAsia="新宋体" w:cs="Times New Roman"/>
          <w:snapToGrid w:val="0"/>
          <w:color w:val="auto"/>
          <w:szCs w:val="21"/>
          <w:highlight w:val="none"/>
        </w:rPr>
        <w:t>。</w:t>
      </w:r>
      <w:r>
        <w:rPr>
          <w:rFonts w:hint="eastAsia" w:eastAsia="新宋体" w:cs="Times New Roman"/>
          <w:snapToGrid w:val="0"/>
          <w:color w:val="auto"/>
          <w:szCs w:val="21"/>
          <w:highlight w:val="none"/>
          <w:lang w:val="en-US" w:eastAsia="zh-CN"/>
        </w:rPr>
        <w:t>对大气环境影响较小。</w:t>
      </w:r>
    </w:p>
    <w:p w14:paraId="42F142B5">
      <w:pPr>
        <w:pStyle w:val="117"/>
        <w:keepNext w:val="0"/>
        <w:keepLines w:val="0"/>
        <w:pageBreakBefore w:val="0"/>
        <w:widowControl w:val="0"/>
        <w:kinsoku/>
        <w:wordWrap/>
        <w:overflowPunct/>
        <w:topLinePunct w:val="0"/>
        <w:autoSpaceDE/>
        <w:autoSpaceDN/>
        <w:bidi w:val="0"/>
        <w:adjustRightInd w:val="0"/>
        <w:snapToGrid w:val="0"/>
        <w:spacing w:line="520" w:lineRule="exact"/>
        <w:ind w:firstLine="482"/>
        <w:textAlignment w:val="auto"/>
        <w:rPr>
          <w:rFonts w:cs="Times New Roman"/>
          <w:b/>
          <w:bCs/>
          <w:snapToGrid w:val="0"/>
          <w:color w:val="auto"/>
          <w:highlight w:val="none"/>
          <w:lang w:val="zh-CN"/>
        </w:rPr>
      </w:pPr>
      <w:r>
        <w:rPr>
          <w:rFonts w:cs="Times New Roman"/>
          <w:b/>
          <w:bCs/>
          <w:snapToGrid w:val="0"/>
          <w:color w:val="auto"/>
          <w:highlight w:val="none"/>
        </w:rPr>
        <w:t>2</w:t>
      </w:r>
      <w:r>
        <w:rPr>
          <w:rFonts w:cs="Times New Roman"/>
          <w:b/>
          <w:bCs/>
          <w:snapToGrid w:val="0"/>
          <w:color w:val="auto"/>
          <w:highlight w:val="none"/>
          <w:lang w:val="zh-CN"/>
        </w:rPr>
        <w:t>、非正常工况</w:t>
      </w:r>
    </w:p>
    <w:p w14:paraId="2908BE68">
      <w:pPr>
        <w:keepNext w:val="0"/>
        <w:keepLines w:val="0"/>
        <w:pageBreakBefore w:val="0"/>
        <w:widowControl w:val="0"/>
        <w:kinsoku/>
        <w:wordWrap/>
        <w:overflowPunct/>
        <w:topLinePunct w:val="0"/>
        <w:autoSpaceDE/>
        <w:autoSpaceDN/>
        <w:bidi w:val="0"/>
        <w:adjustRightInd w:val="0"/>
        <w:snapToGrid w:val="0"/>
        <w:spacing w:line="520" w:lineRule="exact"/>
        <w:textAlignment w:val="auto"/>
        <w:rPr>
          <w:b/>
          <w:color w:val="auto"/>
          <w:sz w:val="24"/>
          <w:highlight w:val="none"/>
        </w:rPr>
      </w:pPr>
      <w:r>
        <w:rPr>
          <w:rFonts w:cs="Times New Roman"/>
          <w:color w:val="auto"/>
          <w:szCs w:val="24"/>
          <w:highlight w:val="none"/>
        </w:rPr>
        <w:t>本项目生产过程中一旦出现生产设备以及相关环保设备的故障，不仅会造成较大的经济损失，还会造成污染物的非正常排放。本项目非正常工况为废气处理设施降低造成的污染物超标排放。</w:t>
      </w:r>
    </w:p>
    <w:p w14:paraId="58710C45">
      <w:pPr>
        <w:pStyle w:val="449"/>
        <w:spacing w:before="156" w:beforeLines="50" w:line="240" w:lineRule="auto"/>
        <w:ind w:firstLine="482"/>
        <w:jc w:val="center"/>
        <w:rPr>
          <w:b/>
          <w:color w:val="auto"/>
          <w:sz w:val="24"/>
          <w:highlight w:val="none"/>
        </w:rPr>
      </w:pPr>
      <w:r>
        <w:rPr>
          <w:b/>
          <w:color w:val="auto"/>
          <w:sz w:val="24"/>
          <w:highlight w:val="none"/>
        </w:rPr>
        <w:t>表3</w:t>
      </w:r>
      <w:r>
        <w:rPr>
          <w:rFonts w:hint="eastAsia"/>
          <w:b/>
          <w:color w:val="auto"/>
          <w:sz w:val="24"/>
          <w:highlight w:val="none"/>
          <w:lang w:val="en-US" w:eastAsia="zh-CN"/>
        </w:rPr>
        <w:t>.</w:t>
      </w:r>
      <w:r>
        <w:rPr>
          <w:b/>
          <w:color w:val="auto"/>
          <w:sz w:val="24"/>
          <w:highlight w:val="none"/>
        </w:rPr>
        <w:t>4-</w:t>
      </w:r>
      <w:r>
        <w:rPr>
          <w:rFonts w:hint="eastAsia"/>
          <w:b/>
          <w:color w:val="auto"/>
          <w:sz w:val="24"/>
          <w:highlight w:val="none"/>
          <w:lang w:val="en-US" w:eastAsia="zh-CN"/>
        </w:rPr>
        <w:t>8</w:t>
      </w:r>
      <w:r>
        <w:rPr>
          <w:b/>
          <w:color w:val="auto"/>
          <w:sz w:val="24"/>
          <w:highlight w:val="none"/>
        </w:rPr>
        <w:t xml:space="preserve">  废气非正常排放参数表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11"/>
        <w:gridCol w:w="2332"/>
        <w:gridCol w:w="1033"/>
        <w:gridCol w:w="1346"/>
        <w:gridCol w:w="1408"/>
        <w:gridCol w:w="1408"/>
      </w:tblGrid>
      <w:tr w14:paraId="0BEA4B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2" w:hRule="atLeast"/>
          <w:jc w:val="center"/>
        </w:trPr>
        <w:tc>
          <w:tcPr>
            <w:tcW w:w="911" w:type="dxa"/>
            <w:vAlign w:val="center"/>
          </w:tcPr>
          <w:p w14:paraId="219CE07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非正常排放源</w:t>
            </w:r>
          </w:p>
        </w:tc>
        <w:tc>
          <w:tcPr>
            <w:tcW w:w="2332" w:type="dxa"/>
            <w:vAlign w:val="center"/>
          </w:tcPr>
          <w:p w14:paraId="6A6F793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非正常排放原因</w:t>
            </w:r>
          </w:p>
        </w:tc>
        <w:tc>
          <w:tcPr>
            <w:tcW w:w="1033" w:type="dxa"/>
            <w:vAlign w:val="center"/>
          </w:tcPr>
          <w:p w14:paraId="115AF29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1346" w:type="dxa"/>
            <w:vAlign w:val="center"/>
          </w:tcPr>
          <w:p w14:paraId="5682EBF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非正常排放速率/(kg/h)</w:t>
            </w:r>
          </w:p>
        </w:tc>
        <w:tc>
          <w:tcPr>
            <w:tcW w:w="1408" w:type="dxa"/>
            <w:vAlign w:val="center"/>
          </w:tcPr>
          <w:p w14:paraId="5E6E1AA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单次持续时间/h</w:t>
            </w:r>
          </w:p>
        </w:tc>
        <w:tc>
          <w:tcPr>
            <w:tcW w:w="1408" w:type="dxa"/>
            <w:vAlign w:val="center"/>
          </w:tcPr>
          <w:p w14:paraId="06E75C9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年发生频次/次</w:t>
            </w:r>
          </w:p>
        </w:tc>
      </w:tr>
      <w:tr w14:paraId="7A74BC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911" w:type="dxa"/>
            <w:vMerge w:val="restart"/>
            <w:vAlign w:val="center"/>
          </w:tcPr>
          <w:p w14:paraId="4C51D98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DA001</w:t>
            </w:r>
          </w:p>
        </w:tc>
        <w:tc>
          <w:tcPr>
            <w:tcW w:w="2332" w:type="dxa"/>
            <w:vMerge w:val="restart"/>
            <w:vAlign w:val="center"/>
          </w:tcPr>
          <w:p w14:paraId="0742347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活性炭吸附装置故障，去除效率按50%计</w:t>
            </w:r>
          </w:p>
        </w:tc>
        <w:tc>
          <w:tcPr>
            <w:tcW w:w="1033" w:type="dxa"/>
            <w:vAlign w:val="center"/>
          </w:tcPr>
          <w:p w14:paraId="1DFC5EC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1346" w:type="dxa"/>
            <w:vAlign w:val="center"/>
          </w:tcPr>
          <w:p w14:paraId="34555D2F">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2.6</w:t>
            </w:r>
            <w:r>
              <w:rPr>
                <w:rFonts w:cs="Times New Roman"/>
                <w:color w:val="auto"/>
                <w:sz w:val="21"/>
                <w:szCs w:val="21"/>
                <w:highlight w:val="none"/>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3</w:t>
            </w:r>
          </w:p>
        </w:tc>
        <w:tc>
          <w:tcPr>
            <w:tcW w:w="1408" w:type="dxa"/>
            <w:vMerge w:val="restart"/>
            <w:vAlign w:val="center"/>
          </w:tcPr>
          <w:p w14:paraId="52345BD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0.5</w:t>
            </w:r>
          </w:p>
        </w:tc>
        <w:tc>
          <w:tcPr>
            <w:tcW w:w="1408" w:type="dxa"/>
            <w:vMerge w:val="restart"/>
            <w:vAlign w:val="center"/>
          </w:tcPr>
          <w:p w14:paraId="1A710EE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r>
      <w:tr w14:paraId="7DE508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911" w:type="dxa"/>
            <w:vMerge w:val="continue"/>
            <w:vAlign w:val="center"/>
          </w:tcPr>
          <w:p w14:paraId="47BACB48">
            <w:pPr>
              <w:spacing w:line="360" w:lineRule="exact"/>
              <w:ind w:firstLine="0" w:firstLineChars="0"/>
              <w:jc w:val="center"/>
              <w:rPr>
                <w:rFonts w:cs="Times New Roman"/>
                <w:color w:val="auto"/>
                <w:sz w:val="21"/>
                <w:szCs w:val="21"/>
                <w:highlight w:val="none"/>
              </w:rPr>
            </w:pPr>
          </w:p>
        </w:tc>
        <w:tc>
          <w:tcPr>
            <w:tcW w:w="2332" w:type="dxa"/>
            <w:vMerge w:val="continue"/>
            <w:vAlign w:val="center"/>
          </w:tcPr>
          <w:p w14:paraId="03ACEF6D">
            <w:pPr>
              <w:spacing w:line="360" w:lineRule="exact"/>
              <w:ind w:firstLine="0" w:firstLineChars="0"/>
              <w:jc w:val="center"/>
              <w:rPr>
                <w:rFonts w:cs="Times New Roman"/>
                <w:color w:val="auto"/>
                <w:sz w:val="21"/>
                <w:szCs w:val="21"/>
                <w:highlight w:val="none"/>
              </w:rPr>
            </w:pPr>
          </w:p>
        </w:tc>
        <w:tc>
          <w:tcPr>
            <w:tcW w:w="1033" w:type="dxa"/>
            <w:vAlign w:val="center"/>
          </w:tcPr>
          <w:p w14:paraId="4CCEC63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1346" w:type="dxa"/>
            <w:vAlign w:val="center"/>
          </w:tcPr>
          <w:p w14:paraId="103AC71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3.1</w:t>
            </w:r>
            <w:r>
              <w:rPr>
                <w:rFonts w:cs="Times New Roman"/>
                <w:color w:val="auto"/>
                <w:sz w:val="21"/>
                <w:szCs w:val="21"/>
                <w:highlight w:val="none"/>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5</w:t>
            </w:r>
          </w:p>
        </w:tc>
        <w:tc>
          <w:tcPr>
            <w:tcW w:w="1408" w:type="dxa"/>
            <w:vMerge w:val="continue"/>
            <w:vAlign w:val="center"/>
          </w:tcPr>
          <w:p w14:paraId="14CEFC5B">
            <w:pPr>
              <w:spacing w:line="360" w:lineRule="exact"/>
              <w:ind w:firstLine="0" w:firstLineChars="0"/>
              <w:jc w:val="center"/>
              <w:rPr>
                <w:rFonts w:cs="Times New Roman"/>
                <w:color w:val="auto"/>
                <w:sz w:val="21"/>
                <w:szCs w:val="21"/>
                <w:highlight w:val="none"/>
              </w:rPr>
            </w:pPr>
          </w:p>
        </w:tc>
        <w:tc>
          <w:tcPr>
            <w:tcW w:w="1408" w:type="dxa"/>
            <w:vMerge w:val="continue"/>
            <w:vAlign w:val="center"/>
          </w:tcPr>
          <w:p w14:paraId="47D28150">
            <w:pPr>
              <w:spacing w:line="360" w:lineRule="exact"/>
              <w:ind w:firstLine="0" w:firstLineChars="0"/>
              <w:jc w:val="center"/>
              <w:rPr>
                <w:rFonts w:cs="Times New Roman"/>
                <w:color w:val="auto"/>
                <w:sz w:val="21"/>
                <w:szCs w:val="21"/>
                <w:highlight w:val="none"/>
              </w:rPr>
            </w:pPr>
          </w:p>
        </w:tc>
      </w:tr>
      <w:tr w14:paraId="741619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911" w:type="dxa"/>
            <w:vMerge w:val="restart"/>
            <w:vAlign w:val="center"/>
          </w:tcPr>
          <w:p w14:paraId="4FB42CE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DA002</w:t>
            </w:r>
          </w:p>
        </w:tc>
        <w:tc>
          <w:tcPr>
            <w:tcW w:w="2332" w:type="dxa"/>
            <w:vMerge w:val="restart"/>
            <w:vAlign w:val="center"/>
          </w:tcPr>
          <w:p w14:paraId="553AFDF9">
            <w:pPr>
              <w:spacing w:line="360" w:lineRule="exact"/>
              <w:ind w:firstLine="0" w:firstLineChars="0"/>
              <w:jc w:val="center"/>
              <w:rPr>
                <w:rFonts w:cs="Times New Roman"/>
                <w:color w:val="auto"/>
                <w:highlight w:val="none"/>
              </w:rPr>
            </w:pPr>
            <w:r>
              <w:rPr>
                <w:rFonts w:cs="Times New Roman"/>
                <w:color w:val="auto"/>
                <w:sz w:val="21"/>
                <w:szCs w:val="21"/>
                <w:highlight w:val="none"/>
              </w:rPr>
              <w:t>活性炭吸附装置故障，去除效率按50%计</w:t>
            </w:r>
          </w:p>
        </w:tc>
        <w:tc>
          <w:tcPr>
            <w:tcW w:w="1033" w:type="dxa"/>
            <w:vAlign w:val="center"/>
          </w:tcPr>
          <w:p w14:paraId="0DF62B5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1346" w:type="dxa"/>
            <w:vAlign w:val="center"/>
          </w:tcPr>
          <w:p w14:paraId="75DDAA02">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0.0135</w:t>
            </w:r>
          </w:p>
        </w:tc>
        <w:tc>
          <w:tcPr>
            <w:tcW w:w="1408" w:type="dxa"/>
            <w:vMerge w:val="restart"/>
            <w:vAlign w:val="center"/>
          </w:tcPr>
          <w:p w14:paraId="75F3CF2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0.5</w:t>
            </w:r>
          </w:p>
        </w:tc>
        <w:tc>
          <w:tcPr>
            <w:tcW w:w="1408" w:type="dxa"/>
            <w:vMerge w:val="restart"/>
            <w:vAlign w:val="center"/>
          </w:tcPr>
          <w:p w14:paraId="4B27CBD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r>
      <w:tr w14:paraId="10BEE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911" w:type="dxa"/>
            <w:vMerge w:val="continue"/>
            <w:vAlign w:val="center"/>
          </w:tcPr>
          <w:p w14:paraId="6A717928">
            <w:pPr>
              <w:spacing w:line="360" w:lineRule="exact"/>
              <w:ind w:firstLine="0" w:firstLineChars="0"/>
              <w:jc w:val="center"/>
              <w:rPr>
                <w:rFonts w:cs="Times New Roman"/>
                <w:color w:val="auto"/>
                <w:sz w:val="21"/>
                <w:szCs w:val="21"/>
                <w:highlight w:val="none"/>
              </w:rPr>
            </w:pPr>
          </w:p>
        </w:tc>
        <w:tc>
          <w:tcPr>
            <w:tcW w:w="2332" w:type="dxa"/>
            <w:vMerge w:val="continue"/>
            <w:vAlign w:val="center"/>
          </w:tcPr>
          <w:p w14:paraId="7B9597D4">
            <w:pPr>
              <w:spacing w:line="360" w:lineRule="exact"/>
              <w:ind w:firstLine="0" w:firstLineChars="0"/>
              <w:jc w:val="center"/>
              <w:rPr>
                <w:rFonts w:cs="Times New Roman"/>
                <w:color w:val="auto"/>
                <w:sz w:val="21"/>
                <w:szCs w:val="21"/>
                <w:highlight w:val="none"/>
              </w:rPr>
            </w:pPr>
          </w:p>
        </w:tc>
        <w:tc>
          <w:tcPr>
            <w:tcW w:w="1033" w:type="dxa"/>
            <w:vAlign w:val="center"/>
          </w:tcPr>
          <w:p w14:paraId="433193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1346" w:type="dxa"/>
            <w:vAlign w:val="center"/>
          </w:tcPr>
          <w:p w14:paraId="31F90237">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5.0</w:t>
            </w:r>
            <w:r>
              <w:rPr>
                <w:rFonts w:cs="Times New Roman"/>
                <w:color w:val="auto"/>
                <w:sz w:val="21"/>
                <w:szCs w:val="21"/>
                <w:highlight w:val="none"/>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4</w:t>
            </w:r>
          </w:p>
        </w:tc>
        <w:tc>
          <w:tcPr>
            <w:tcW w:w="1408" w:type="dxa"/>
            <w:vMerge w:val="continue"/>
            <w:vAlign w:val="center"/>
          </w:tcPr>
          <w:p w14:paraId="28D41596">
            <w:pPr>
              <w:spacing w:line="360" w:lineRule="exact"/>
              <w:ind w:firstLine="0" w:firstLineChars="0"/>
              <w:jc w:val="center"/>
              <w:rPr>
                <w:rFonts w:cs="Times New Roman"/>
                <w:color w:val="auto"/>
                <w:sz w:val="21"/>
                <w:szCs w:val="21"/>
                <w:highlight w:val="none"/>
              </w:rPr>
            </w:pPr>
          </w:p>
        </w:tc>
        <w:tc>
          <w:tcPr>
            <w:tcW w:w="1408" w:type="dxa"/>
            <w:vMerge w:val="continue"/>
            <w:vAlign w:val="center"/>
          </w:tcPr>
          <w:p w14:paraId="0D9DB0CE">
            <w:pPr>
              <w:spacing w:line="360" w:lineRule="exact"/>
              <w:ind w:firstLine="0" w:firstLineChars="0"/>
              <w:jc w:val="center"/>
              <w:rPr>
                <w:rFonts w:cs="Times New Roman"/>
                <w:color w:val="auto"/>
                <w:sz w:val="21"/>
                <w:szCs w:val="21"/>
                <w:highlight w:val="none"/>
              </w:rPr>
            </w:pPr>
          </w:p>
        </w:tc>
      </w:tr>
    </w:tbl>
    <w:p w14:paraId="062B40C7">
      <w:pPr>
        <w:ind w:firstLine="0" w:firstLineChars="0"/>
        <w:rPr>
          <w:rFonts w:cs="Times New Roman"/>
          <w:color w:val="auto"/>
          <w:highlight w:val="none"/>
        </w:rPr>
      </w:pPr>
    </w:p>
    <w:p w14:paraId="541C73A7">
      <w:pPr>
        <w:spacing w:line="500" w:lineRule="exact"/>
        <w:ind w:firstLineChars="0"/>
        <w:rPr>
          <w:rFonts w:cs="Times New Roman"/>
          <w:snapToGrid w:val="0"/>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bookmarkStart w:id="138" w:name="_Hlk525398179"/>
    </w:p>
    <w:p w14:paraId="774ABA77">
      <w:pPr>
        <w:pStyle w:val="66"/>
        <w:rPr>
          <w:rFonts w:eastAsia="宋体" w:cs="Times New Roman"/>
          <w:b/>
          <w:color w:val="auto"/>
          <w:szCs w:val="24"/>
          <w:highlight w:val="none"/>
          <w:lang w:val="en-US"/>
        </w:rPr>
      </w:pPr>
      <w:r>
        <w:rPr>
          <w:rFonts w:eastAsia="宋体" w:cs="Times New Roman"/>
          <w:b/>
          <w:color w:val="auto"/>
          <w:szCs w:val="24"/>
          <w:highlight w:val="none"/>
          <w:lang w:val="en-US"/>
        </w:rPr>
        <w:t>表3</w:t>
      </w:r>
      <w:r>
        <w:rPr>
          <w:rFonts w:hint="eastAsia" w:eastAsia="宋体" w:cs="Times New Roman"/>
          <w:b/>
          <w:color w:val="auto"/>
          <w:szCs w:val="24"/>
          <w:highlight w:val="none"/>
          <w:lang w:val="en-US" w:eastAsia="zh-CN"/>
        </w:rPr>
        <w:t>.4</w:t>
      </w:r>
      <w:r>
        <w:rPr>
          <w:rFonts w:eastAsia="宋体" w:cs="Times New Roman"/>
          <w:b/>
          <w:color w:val="auto"/>
          <w:szCs w:val="24"/>
          <w:highlight w:val="none"/>
        </w:rPr>
        <w:t>-</w:t>
      </w:r>
      <w:r>
        <w:rPr>
          <w:rFonts w:hint="eastAsia" w:eastAsia="宋体" w:cs="Times New Roman"/>
          <w:b/>
          <w:color w:val="auto"/>
          <w:szCs w:val="24"/>
          <w:highlight w:val="none"/>
          <w:lang w:val="en-US" w:eastAsia="zh-CN"/>
        </w:rPr>
        <w:t>9</w:t>
      </w:r>
      <w:r>
        <w:rPr>
          <w:rFonts w:eastAsia="宋体" w:cs="Times New Roman"/>
          <w:b/>
          <w:color w:val="auto"/>
          <w:szCs w:val="24"/>
          <w:highlight w:val="none"/>
          <w:lang w:val="en-US"/>
        </w:rPr>
        <w:t xml:space="preserve">  废气产生及排放情况一览表</w:t>
      </w:r>
    </w:p>
    <w:tbl>
      <w:tblPr>
        <w:tblStyle w:val="47"/>
        <w:tblW w:w="1371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9"/>
        <w:gridCol w:w="704"/>
        <w:gridCol w:w="889"/>
        <w:gridCol w:w="859"/>
        <w:gridCol w:w="720"/>
        <w:gridCol w:w="818"/>
        <w:gridCol w:w="902"/>
        <w:gridCol w:w="1220"/>
        <w:gridCol w:w="1715"/>
        <w:gridCol w:w="778"/>
        <w:gridCol w:w="711"/>
        <w:gridCol w:w="879"/>
        <w:gridCol w:w="1002"/>
        <w:gridCol w:w="1181"/>
        <w:gridCol w:w="659"/>
      </w:tblGrid>
      <w:tr w14:paraId="7970E8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restart"/>
            <w:vAlign w:val="center"/>
          </w:tcPr>
          <w:p w14:paraId="770175F9">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工序/生产线</w:t>
            </w:r>
          </w:p>
        </w:tc>
        <w:tc>
          <w:tcPr>
            <w:tcW w:w="704" w:type="dxa"/>
            <w:vMerge w:val="restart"/>
            <w:vAlign w:val="center"/>
          </w:tcPr>
          <w:p w14:paraId="79A1F5F8">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装置</w:t>
            </w:r>
          </w:p>
        </w:tc>
        <w:tc>
          <w:tcPr>
            <w:tcW w:w="889" w:type="dxa"/>
            <w:vMerge w:val="restart"/>
            <w:vAlign w:val="center"/>
          </w:tcPr>
          <w:p w14:paraId="6AB376F2">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污染源</w:t>
            </w:r>
          </w:p>
        </w:tc>
        <w:tc>
          <w:tcPr>
            <w:tcW w:w="859" w:type="dxa"/>
            <w:vMerge w:val="restart"/>
            <w:vAlign w:val="center"/>
          </w:tcPr>
          <w:p w14:paraId="6865E737">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污染物</w:t>
            </w:r>
          </w:p>
        </w:tc>
        <w:tc>
          <w:tcPr>
            <w:tcW w:w="3660" w:type="dxa"/>
            <w:gridSpan w:val="4"/>
            <w:vAlign w:val="center"/>
          </w:tcPr>
          <w:p w14:paraId="10E21337">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污染物产生</w:t>
            </w:r>
          </w:p>
        </w:tc>
        <w:tc>
          <w:tcPr>
            <w:tcW w:w="2493" w:type="dxa"/>
            <w:gridSpan w:val="2"/>
            <w:vAlign w:val="center"/>
          </w:tcPr>
          <w:p w14:paraId="7ED9F1FF">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治理措施</w:t>
            </w:r>
          </w:p>
        </w:tc>
        <w:tc>
          <w:tcPr>
            <w:tcW w:w="3773" w:type="dxa"/>
            <w:gridSpan w:val="4"/>
            <w:tcBorders>
              <w:right w:val="single" w:color="000000" w:sz="4" w:space="0"/>
            </w:tcBorders>
            <w:vAlign w:val="center"/>
          </w:tcPr>
          <w:p w14:paraId="488D33C2">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污染物排放</w:t>
            </w:r>
          </w:p>
        </w:tc>
        <w:tc>
          <w:tcPr>
            <w:tcW w:w="659" w:type="dxa"/>
            <w:vMerge w:val="restart"/>
            <w:tcBorders>
              <w:left w:val="single" w:color="000000" w:sz="4" w:space="0"/>
            </w:tcBorders>
            <w:vAlign w:val="center"/>
          </w:tcPr>
          <w:p w14:paraId="40B930ED">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排放时间h</w:t>
            </w:r>
          </w:p>
        </w:tc>
      </w:tr>
      <w:tr w14:paraId="7BB7C3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2845BCA1">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32A40132">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continue"/>
            <w:vAlign w:val="center"/>
          </w:tcPr>
          <w:p w14:paraId="616B2261">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vMerge w:val="continue"/>
            <w:vAlign w:val="center"/>
          </w:tcPr>
          <w:p w14:paraId="58111919">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720" w:type="dxa"/>
            <w:vAlign w:val="center"/>
          </w:tcPr>
          <w:p w14:paraId="40C1F9ED">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核算方法</w:t>
            </w:r>
          </w:p>
        </w:tc>
        <w:tc>
          <w:tcPr>
            <w:tcW w:w="818" w:type="dxa"/>
            <w:vAlign w:val="center"/>
          </w:tcPr>
          <w:p w14:paraId="0880E0F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废气产生量m</w:t>
            </w:r>
            <w:r>
              <w:rPr>
                <w:rFonts w:hint="default" w:ascii="Times New Roman" w:hAnsi="Times New Roman" w:cs="Times New Roman"/>
                <w:color w:val="auto"/>
                <w:kern w:val="0"/>
                <w:sz w:val="21"/>
                <w:szCs w:val="21"/>
                <w:highlight w:val="none"/>
                <w:vertAlign w:val="superscript"/>
              </w:rPr>
              <w:t>3</w:t>
            </w:r>
            <w:r>
              <w:rPr>
                <w:rFonts w:hint="default" w:ascii="Times New Roman" w:hAnsi="Times New Roman" w:cs="Times New Roman"/>
                <w:color w:val="auto"/>
                <w:kern w:val="0"/>
                <w:sz w:val="21"/>
                <w:szCs w:val="21"/>
                <w:highlight w:val="none"/>
              </w:rPr>
              <w:t>/h</w:t>
            </w:r>
          </w:p>
        </w:tc>
        <w:tc>
          <w:tcPr>
            <w:tcW w:w="902" w:type="dxa"/>
            <w:vAlign w:val="center"/>
          </w:tcPr>
          <w:p w14:paraId="3C23B338">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产生浓度mg/m</w:t>
            </w:r>
            <w:r>
              <w:rPr>
                <w:rFonts w:hint="default" w:ascii="Times New Roman" w:hAnsi="Times New Roman" w:cs="Times New Roman"/>
                <w:color w:val="auto"/>
                <w:kern w:val="0"/>
                <w:sz w:val="21"/>
                <w:szCs w:val="21"/>
                <w:highlight w:val="none"/>
                <w:vertAlign w:val="superscript"/>
              </w:rPr>
              <w:t>3</w:t>
            </w:r>
          </w:p>
        </w:tc>
        <w:tc>
          <w:tcPr>
            <w:tcW w:w="1220" w:type="dxa"/>
            <w:vAlign w:val="center"/>
          </w:tcPr>
          <w:p w14:paraId="22EF20CE">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产生量kg/h</w:t>
            </w:r>
          </w:p>
        </w:tc>
        <w:tc>
          <w:tcPr>
            <w:tcW w:w="1715" w:type="dxa"/>
            <w:vAlign w:val="center"/>
          </w:tcPr>
          <w:p w14:paraId="2D09FDD3">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工艺</w:t>
            </w:r>
          </w:p>
        </w:tc>
        <w:tc>
          <w:tcPr>
            <w:tcW w:w="778" w:type="dxa"/>
            <w:vAlign w:val="center"/>
          </w:tcPr>
          <w:p w14:paraId="324CDE06">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效率（%）</w:t>
            </w:r>
          </w:p>
        </w:tc>
        <w:tc>
          <w:tcPr>
            <w:tcW w:w="711" w:type="dxa"/>
            <w:tcBorders>
              <w:right w:val="single" w:color="000000" w:sz="4" w:space="0"/>
            </w:tcBorders>
            <w:vAlign w:val="center"/>
          </w:tcPr>
          <w:p w14:paraId="0941266C">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核算方法</w:t>
            </w:r>
          </w:p>
        </w:tc>
        <w:tc>
          <w:tcPr>
            <w:tcW w:w="879" w:type="dxa"/>
            <w:tcBorders>
              <w:left w:val="single" w:color="000000" w:sz="4" w:space="0"/>
            </w:tcBorders>
            <w:vAlign w:val="center"/>
          </w:tcPr>
          <w:p w14:paraId="63390E3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废气排放量m</w:t>
            </w:r>
            <w:r>
              <w:rPr>
                <w:rFonts w:hint="default" w:ascii="Times New Roman" w:hAnsi="Times New Roman" w:cs="Times New Roman"/>
                <w:color w:val="auto"/>
                <w:kern w:val="0"/>
                <w:sz w:val="21"/>
                <w:szCs w:val="21"/>
                <w:highlight w:val="none"/>
                <w:vertAlign w:val="superscript"/>
              </w:rPr>
              <w:t>3</w:t>
            </w:r>
            <w:r>
              <w:rPr>
                <w:rFonts w:hint="default" w:ascii="Times New Roman" w:hAnsi="Times New Roman" w:cs="Times New Roman"/>
                <w:color w:val="auto"/>
                <w:kern w:val="0"/>
                <w:sz w:val="21"/>
                <w:szCs w:val="21"/>
                <w:highlight w:val="none"/>
              </w:rPr>
              <w:t>/h</w:t>
            </w:r>
          </w:p>
        </w:tc>
        <w:tc>
          <w:tcPr>
            <w:tcW w:w="1002" w:type="dxa"/>
            <w:vAlign w:val="center"/>
          </w:tcPr>
          <w:p w14:paraId="19F07C1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排放浓度mg/m</w:t>
            </w:r>
            <w:r>
              <w:rPr>
                <w:rFonts w:hint="default" w:ascii="Times New Roman" w:hAnsi="Times New Roman" w:cs="Times New Roman"/>
                <w:color w:val="auto"/>
                <w:kern w:val="0"/>
                <w:sz w:val="21"/>
                <w:szCs w:val="21"/>
                <w:highlight w:val="none"/>
                <w:vertAlign w:val="superscript"/>
              </w:rPr>
              <w:t>3</w:t>
            </w:r>
          </w:p>
        </w:tc>
        <w:tc>
          <w:tcPr>
            <w:tcW w:w="1181" w:type="dxa"/>
            <w:tcBorders>
              <w:right w:val="single" w:color="000000" w:sz="4" w:space="0"/>
            </w:tcBorders>
            <w:vAlign w:val="center"/>
          </w:tcPr>
          <w:p w14:paraId="527DD9B2">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排放量kg/h</w:t>
            </w:r>
          </w:p>
        </w:tc>
        <w:tc>
          <w:tcPr>
            <w:tcW w:w="659" w:type="dxa"/>
            <w:vMerge w:val="continue"/>
            <w:tcBorders>
              <w:left w:val="single" w:color="000000" w:sz="4" w:space="0"/>
            </w:tcBorders>
            <w:vAlign w:val="center"/>
          </w:tcPr>
          <w:p w14:paraId="25C5AB99">
            <w:pPr>
              <w:spacing w:line="360" w:lineRule="exact"/>
              <w:ind w:firstLine="0" w:firstLineChars="0"/>
              <w:jc w:val="center"/>
              <w:rPr>
                <w:rFonts w:hint="default" w:ascii="Times New Roman" w:hAnsi="Times New Roman" w:cs="Times New Roman"/>
                <w:color w:val="auto"/>
                <w:sz w:val="21"/>
                <w:szCs w:val="21"/>
                <w:highlight w:val="none"/>
              </w:rPr>
            </w:pPr>
          </w:p>
        </w:tc>
      </w:tr>
      <w:tr w14:paraId="208040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restart"/>
            <w:vAlign w:val="center"/>
          </w:tcPr>
          <w:p w14:paraId="5DC58AF9">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屠宰车间、</w:t>
            </w:r>
            <w:r>
              <w:rPr>
                <w:rFonts w:hint="default" w:ascii="Times New Roman" w:hAnsi="Times New Roman" w:cs="Times New Roman"/>
                <w:color w:val="auto"/>
                <w:sz w:val="21"/>
                <w:szCs w:val="21"/>
                <w:highlight w:val="none"/>
                <w:lang w:val="en-US" w:eastAsia="zh-CN"/>
              </w:rPr>
              <w:t>急宰间、隔离间及固体废物暂存间</w:t>
            </w:r>
          </w:p>
        </w:tc>
        <w:tc>
          <w:tcPr>
            <w:tcW w:w="704" w:type="dxa"/>
            <w:vMerge w:val="restart"/>
            <w:vAlign w:val="center"/>
          </w:tcPr>
          <w:p w14:paraId="2B50CB83">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屠宰车间、</w:t>
            </w:r>
            <w:r>
              <w:rPr>
                <w:rFonts w:hint="default" w:ascii="Times New Roman" w:hAnsi="Times New Roman" w:cs="Times New Roman"/>
                <w:color w:val="auto"/>
                <w:sz w:val="21"/>
                <w:szCs w:val="21"/>
                <w:highlight w:val="none"/>
                <w:lang w:val="en-US" w:eastAsia="zh-CN"/>
              </w:rPr>
              <w:t>急宰间、隔离间及固体废物暂存间</w:t>
            </w:r>
          </w:p>
        </w:tc>
        <w:tc>
          <w:tcPr>
            <w:tcW w:w="889" w:type="dxa"/>
            <w:vMerge w:val="restart"/>
            <w:vAlign w:val="center"/>
          </w:tcPr>
          <w:p w14:paraId="7352F4AD">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DA001</w:t>
            </w:r>
          </w:p>
        </w:tc>
        <w:tc>
          <w:tcPr>
            <w:tcW w:w="859" w:type="dxa"/>
            <w:vAlign w:val="center"/>
          </w:tcPr>
          <w:p w14:paraId="2C8533FC">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氨</w:t>
            </w:r>
          </w:p>
        </w:tc>
        <w:tc>
          <w:tcPr>
            <w:tcW w:w="720" w:type="dxa"/>
            <w:vMerge w:val="restart"/>
            <w:vAlign w:val="center"/>
          </w:tcPr>
          <w:p w14:paraId="14FF8150">
            <w:pPr>
              <w:spacing w:line="360" w:lineRule="exact"/>
              <w:ind w:firstLine="0" w:firstLineChars="0"/>
              <w:jc w:val="center"/>
              <w:rPr>
                <w:rFonts w:hint="default" w:ascii="Times New Roman" w:hAnsi="Times New Roman" w:eastAsia="宋体" w:cs="Times New Roman"/>
                <w:color w:val="auto"/>
                <w:kern w:val="0"/>
                <w:sz w:val="21"/>
                <w:szCs w:val="21"/>
                <w:highlight w:val="none"/>
                <w:lang w:eastAsia="zh-CN"/>
              </w:rPr>
            </w:pPr>
            <w:r>
              <w:rPr>
                <w:rFonts w:hint="default" w:ascii="Times New Roman" w:hAnsi="Times New Roman" w:cs="Times New Roman"/>
                <w:color w:val="auto"/>
                <w:kern w:val="0"/>
                <w:sz w:val="21"/>
                <w:szCs w:val="21"/>
                <w:highlight w:val="none"/>
                <w:lang w:val="en-US" w:eastAsia="zh-CN"/>
              </w:rPr>
              <w:t>类比法</w:t>
            </w:r>
          </w:p>
        </w:tc>
        <w:tc>
          <w:tcPr>
            <w:tcW w:w="818" w:type="dxa"/>
            <w:vMerge w:val="restart"/>
            <w:vAlign w:val="center"/>
          </w:tcPr>
          <w:p w14:paraId="47C88379">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lang w:val="en-US" w:eastAsia="zh-CN"/>
              </w:rPr>
              <w:t>2</w:t>
            </w:r>
            <w:r>
              <w:rPr>
                <w:rFonts w:hint="default" w:ascii="Times New Roman" w:hAnsi="Times New Roman" w:cs="Times New Roman"/>
                <w:color w:val="auto"/>
                <w:kern w:val="0"/>
                <w:sz w:val="21"/>
                <w:szCs w:val="21"/>
                <w:highlight w:val="none"/>
              </w:rPr>
              <w:t>000</w:t>
            </w:r>
          </w:p>
        </w:tc>
        <w:tc>
          <w:tcPr>
            <w:tcW w:w="902" w:type="dxa"/>
            <w:vAlign w:val="center"/>
          </w:tcPr>
          <w:p w14:paraId="4B912829">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26</w:t>
            </w:r>
          </w:p>
        </w:tc>
        <w:tc>
          <w:tcPr>
            <w:tcW w:w="1220" w:type="dxa"/>
            <w:shd w:val="clear" w:color="auto" w:fill="auto"/>
            <w:vAlign w:val="center"/>
          </w:tcPr>
          <w:p w14:paraId="6D6DCB6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0.052</w:t>
            </w:r>
          </w:p>
        </w:tc>
        <w:tc>
          <w:tcPr>
            <w:tcW w:w="1715" w:type="dxa"/>
            <w:vMerge w:val="restart"/>
            <w:vAlign w:val="center"/>
          </w:tcPr>
          <w:p w14:paraId="743C6632">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活性炭吸附+15m高排气筒</w:t>
            </w:r>
          </w:p>
        </w:tc>
        <w:tc>
          <w:tcPr>
            <w:tcW w:w="778" w:type="dxa"/>
            <w:vMerge w:val="restart"/>
            <w:vAlign w:val="center"/>
          </w:tcPr>
          <w:p w14:paraId="63B8CAC2">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集气罩收集效率90%，活性炭吸附效率80%</w:t>
            </w:r>
          </w:p>
        </w:tc>
        <w:tc>
          <w:tcPr>
            <w:tcW w:w="711" w:type="dxa"/>
            <w:vMerge w:val="restart"/>
            <w:tcBorders>
              <w:right w:val="single" w:color="000000" w:sz="4" w:space="0"/>
            </w:tcBorders>
            <w:vAlign w:val="center"/>
          </w:tcPr>
          <w:p w14:paraId="3A82742A">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系数法</w:t>
            </w:r>
          </w:p>
        </w:tc>
        <w:tc>
          <w:tcPr>
            <w:tcW w:w="879" w:type="dxa"/>
            <w:vMerge w:val="restart"/>
            <w:tcBorders>
              <w:left w:val="single" w:color="000000" w:sz="4" w:space="0"/>
            </w:tcBorders>
            <w:vAlign w:val="center"/>
          </w:tcPr>
          <w:p w14:paraId="1B5FCD3F">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2000</w:t>
            </w:r>
          </w:p>
        </w:tc>
        <w:tc>
          <w:tcPr>
            <w:tcW w:w="1002" w:type="dxa"/>
            <w:vAlign w:val="center"/>
          </w:tcPr>
          <w:p w14:paraId="08F096A7">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4.4</w:t>
            </w:r>
          </w:p>
        </w:tc>
        <w:tc>
          <w:tcPr>
            <w:tcW w:w="1181" w:type="dxa"/>
            <w:tcBorders>
              <w:right w:val="single" w:color="000000" w:sz="4" w:space="0"/>
            </w:tcBorders>
            <w:shd w:val="clear" w:color="auto" w:fill="auto"/>
            <w:vAlign w:val="center"/>
          </w:tcPr>
          <w:p w14:paraId="698576D2">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9.1</w:t>
            </w:r>
            <w:r>
              <w:rPr>
                <w:rFonts w:hint="default" w:ascii="Times New Roman" w:hAnsi="Times New Roman" w:cs="Times New Roman"/>
                <w:color w:val="auto"/>
                <w:sz w:val="21"/>
                <w:szCs w:val="21"/>
                <w:highlight w:val="none"/>
                <w:lang w:val="en-US" w:eastAsia="zh-CN"/>
              </w:rPr>
              <w:t>×10</w:t>
            </w:r>
            <w:r>
              <w:rPr>
                <w:rFonts w:hint="default" w:ascii="Times New Roman" w:hAnsi="Times New Roman" w:cs="Times New Roman"/>
                <w:color w:val="auto"/>
                <w:kern w:val="0"/>
                <w:sz w:val="21"/>
                <w:szCs w:val="21"/>
                <w:highlight w:val="none"/>
                <w:vertAlign w:val="superscript"/>
              </w:rPr>
              <w:t>-</w:t>
            </w:r>
            <w:r>
              <w:rPr>
                <w:rFonts w:hint="default" w:ascii="Times New Roman" w:hAnsi="Times New Roman" w:cs="Times New Roman"/>
                <w:color w:val="auto"/>
                <w:kern w:val="0"/>
                <w:sz w:val="21"/>
                <w:szCs w:val="21"/>
                <w:highlight w:val="none"/>
                <w:vertAlign w:val="superscript"/>
                <w:lang w:val="en-US" w:eastAsia="zh-CN"/>
              </w:rPr>
              <w:t>3</w:t>
            </w:r>
          </w:p>
        </w:tc>
        <w:tc>
          <w:tcPr>
            <w:tcW w:w="659" w:type="dxa"/>
            <w:vMerge w:val="restart"/>
            <w:tcBorders>
              <w:left w:val="single" w:color="000000" w:sz="4" w:space="0"/>
            </w:tcBorders>
            <w:vAlign w:val="center"/>
          </w:tcPr>
          <w:p w14:paraId="0408D02B">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7440</w:t>
            </w:r>
          </w:p>
        </w:tc>
      </w:tr>
      <w:tr w14:paraId="1D787A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68F5A830">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7806873E">
            <w:pPr>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continue"/>
            <w:vAlign w:val="center"/>
          </w:tcPr>
          <w:p w14:paraId="61AE9D07">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vAlign w:val="center"/>
          </w:tcPr>
          <w:p w14:paraId="070DFBC1">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硫化氢</w:t>
            </w:r>
          </w:p>
        </w:tc>
        <w:tc>
          <w:tcPr>
            <w:tcW w:w="720" w:type="dxa"/>
            <w:vMerge w:val="continue"/>
            <w:vAlign w:val="center"/>
          </w:tcPr>
          <w:p w14:paraId="6DCE79E1">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18" w:type="dxa"/>
            <w:vMerge w:val="continue"/>
            <w:vAlign w:val="center"/>
          </w:tcPr>
          <w:p w14:paraId="17ABB4E1">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902" w:type="dxa"/>
            <w:vAlign w:val="center"/>
          </w:tcPr>
          <w:p w14:paraId="46EDB4FC">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0.31</w:t>
            </w:r>
          </w:p>
        </w:tc>
        <w:tc>
          <w:tcPr>
            <w:tcW w:w="1220" w:type="dxa"/>
            <w:shd w:val="clear" w:color="auto" w:fill="auto"/>
            <w:vAlign w:val="center"/>
          </w:tcPr>
          <w:p w14:paraId="2B5C2E87">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6.1</w:t>
            </w:r>
            <w:r>
              <w:rPr>
                <w:rFonts w:hint="default" w:ascii="Times New Roman" w:hAnsi="Times New Roman" w:eastAsia="宋体" w:cs="Times New Roman"/>
                <w:snapToGrid w:val="0"/>
                <w:color w:val="auto"/>
                <w:kern w:val="0"/>
                <w:sz w:val="21"/>
                <w:highlight w:val="none"/>
                <w:lang w:val="en-US" w:eastAsia="zh-CN"/>
              </w:rPr>
              <w:t>×10</w:t>
            </w:r>
            <w:r>
              <w:rPr>
                <w:rFonts w:hint="default" w:ascii="Times New Roman" w:hAnsi="Times New Roman" w:eastAsia="宋体" w:cs="Times New Roman"/>
                <w:snapToGrid w:val="0"/>
                <w:color w:val="auto"/>
                <w:kern w:val="0"/>
                <w:sz w:val="21"/>
                <w:highlight w:val="none"/>
                <w:vertAlign w:val="superscript"/>
                <w:lang w:val="en-US" w:eastAsia="zh-CN"/>
              </w:rPr>
              <w:t>-4</w:t>
            </w:r>
          </w:p>
        </w:tc>
        <w:tc>
          <w:tcPr>
            <w:tcW w:w="1715" w:type="dxa"/>
            <w:vMerge w:val="continue"/>
            <w:vAlign w:val="center"/>
          </w:tcPr>
          <w:p w14:paraId="786D3C31">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78" w:type="dxa"/>
            <w:vMerge w:val="continue"/>
            <w:vAlign w:val="center"/>
          </w:tcPr>
          <w:p w14:paraId="4A987B25">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11" w:type="dxa"/>
            <w:vMerge w:val="continue"/>
            <w:tcBorders>
              <w:right w:val="single" w:color="000000" w:sz="4" w:space="0"/>
            </w:tcBorders>
            <w:vAlign w:val="center"/>
          </w:tcPr>
          <w:p w14:paraId="038D3CA7">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79" w:type="dxa"/>
            <w:vMerge w:val="continue"/>
            <w:tcBorders>
              <w:left w:val="single" w:color="000000" w:sz="4" w:space="0"/>
            </w:tcBorders>
            <w:vAlign w:val="center"/>
          </w:tcPr>
          <w:p w14:paraId="2C8AFB17">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1002" w:type="dxa"/>
            <w:vAlign w:val="center"/>
          </w:tcPr>
          <w:p w14:paraId="0526660C">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0.055</w:t>
            </w:r>
          </w:p>
        </w:tc>
        <w:tc>
          <w:tcPr>
            <w:tcW w:w="1181" w:type="dxa"/>
            <w:tcBorders>
              <w:right w:val="single" w:color="000000" w:sz="4" w:space="0"/>
            </w:tcBorders>
            <w:shd w:val="clear" w:color="auto" w:fill="auto"/>
            <w:vAlign w:val="center"/>
          </w:tcPr>
          <w:p w14:paraId="21D3DF20">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1.1</w:t>
            </w:r>
            <w:r>
              <w:rPr>
                <w:rFonts w:hint="default" w:ascii="Times New Roman" w:hAnsi="Times New Roman" w:eastAsia="宋体" w:cs="Times New Roman"/>
                <w:snapToGrid w:val="0"/>
                <w:color w:val="auto"/>
                <w:kern w:val="0"/>
                <w:sz w:val="21"/>
                <w:highlight w:val="none"/>
                <w:lang w:val="en-US" w:eastAsia="zh-CN"/>
              </w:rPr>
              <w:t>×10</w:t>
            </w:r>
            <w:r>
              <w:rPr>
                <w:rFonts w:hint="default" w:ascii="Times New Roman" w:hAnsi="Times New Roman" w:eastAsia="宋体" w:cs="Times New Roman"/>
                <w:snapToGrid w:val="0"/>
                <w:color w:val="auto"/>
                <w:kern w:val="0"/>
                <w:sz w:val="21"/>
                <w:highlight w:val="none"/>
                <w:vertAlign w:val="superscript"/>
                <w:lang w:val="en-US" w:eastAsia="zh-CN"/>
              </w:rPr>
              <w:t>-4</w:t>
            </w:r>
          </w:p>
        </w:tc>
        <w:tc>
          <w:tcPr>
            <w:tcW w:w="659" w:type="dxa"/>
            <w:vMerge w:val="continue"/>
            <w:tcBorders>
              <w:left w:val="single" w:color="000000" w:sz="4" w:space="0"/>
            </w:tcBorders>
            <w:vAlign w:val="center"/>
          </w:tcPr>
          <w:p w14:paraId="7E6D45B8">
            <w:pPr>
              <w:spacing w:line="360" w:lineRule="exact"/>
              <w:ind w:firstLine="0" w:firstLineChars="0"/>
              <w:jc w:val="center"/>
              <w:rPr>
                <w:rFonts w:hint="default" w:ascii="Times New Roman" w:hAnsi="Times New Roman" w:cs="Times New Roman"/>
                <w:color w:val="auto"/>
                <w:kern w:val="0"/>
                <w:sz w:val="21"/>
                <w:szCs w:val="21"/>
                <w:highlight w:val="none"/>
              </w:rPr>
            </w:pPr>
          </w:p>
        </w:tc>
      </w:tr>
      <w:tr w14:paraId="788E26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21295B80">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1DAEE956">
            <w:pPr>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continue"/>
            <w:vAlign w:val="center"/>
          </w:tcPr>
          <w:p w14:paraId="394F2C52">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vAlign w:val="center"/>
          </w:tcPr>
          <w:p w14:paraId="539F3169">
            <w:pPr>
              <w:widowControl/>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臭气浓度</w:t>
            </w:r>
            <w:r>
              <w:rPr>
                <w:rFonts w:hint="default" w:ascii="Times New Roman" w:hAnsi="Times New Roman" w:cs="Times New Roman"/>
                <w:color w:val="auto"/>
                <w:kern w:val="0"/>
                <w:sz w:val="21"/>
                <w:szCs w:val="21"/>
                <w:highlight w:val="none"/>
                <w:lang w:val="en-US" w:eastAsia="zh-CN"/>
              </w:rPr>
              <w:t>（无量纲）</w:t>
            </w:r>
          </w:p>
        </w:tc>
        <w:tc>
          <w:tcPr>
            <w:tcW w:w="720" w:type="dxa"/>
            <w:vMerge w:val="continue"/>
            <w:vAlign w:val="center"/>
          </w:tcPr>
          <w:p w14:paraId="2A940265">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18" w:type="dxa"/>
            <w:vMerge w:val="continue"/>
            <w:vAlign w:val="center"/>
          </w:tcPr>
          <w:p w14:paraId="0CF2202A">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902" w:type="dxa"/>
            <w:vAlign w:val="center"/>
          </w:tcPr>
          <w:p w14:paraId="3F32E4CD">
            <w:pPr>
              <w:spacing w:line="360" w:lineRule="exact"/>
              <w:ind w:firstLine="0" w:firstLineChars="0"/>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sz w:val="21"/>
                <w:szCs w:val="21"/>
                <w:highlight w:val="none"/>
                <w:lang w:val="en-US" w:eastAsia="zh-CN"/>
              </w:rPr>
              <w:t>78</w:t>
            </w:r>
          </w:p>
        </w:tc>
        <w:tc>
          <w:tcPr>
            <w:tcW w:w="1220" w:type="dxa"/>
            <w:vAlign w:val="center"/>
          </w:tcPr>
          <w:p w14:paraId="341D70D1">
            <w:pPr>
              <w:spacing w:line="360" w:lineRule="exact"/>
              <w:ind w:firstLine="0" w:firstLineChars="0"/>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w:t>
            </w:r>
          </w:p>
        </w:tc>
        <w:tc>
          <w:tcPr>
            <w:tcW w:w="1715" w:type="dxa"/>
            <w:vMerge w:val="continue"/>
            <w:vAlign w:val="center"/>
          </w:tcPr>
          <w:p w14:paraId="1D689931">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78" w:type="dxa"/>
            <w:vMerge w:val="continue"/>
            <w:vAlign w:val="center"/>
          </w:tcPr>
          <w:p w14:paraId="742C08AB">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11" w:type="dxa"/>
            <w:vMerge w:val="continue"/>
            <w:tcBorders>
              <w:right w:val="single" w:color="000000" w:sz="4" w:space="0"/>
            </w:tcBorders>
            <w:vAlign w:val="center"/>
          </w:tcPr>
          <w:p w14:paraId="3B580BB4">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79" w:type="dxa"/>
            <w:vMerge w:val="continue"/>
            <w:tcBorders>
              <w:left w:val="single" w:color="000000" w:sz="4" w:space="0"/>
            </w:tcBorders>
            <w:vAlign w:val="center"/>
          </w:tcPr>
          <w:p w14:paraId="3ED7278C">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1002" w:type="dxa"/>
            <w:vAlign w:val="center"/>
          </w:tcPr>
          <w:p w14:paraId="2B2E2BDE">
            <w:pPr>
              <w:spacing w:line="360" w:lineRule="exact"/>
              <w:ind w:firstLine="0" w:firstLineChars="0"/>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14</w:t>
            </w:r>
          </w:p>
        </w:tc>
        <w:tc>
          <w:tcPr>
            <w:tcW w:w="1181" w:type="dxa"/>
            <w:tcBorders>
              <w:right w:val="single" w:color="000000" w:sz="4" w:space="0"/>
            </w:tcBorders>
            <w:vAlign w:val="center"/>
          </w:tcPr>
          <w:p w14:paraId="6FACAF80">
            <w:pPr>
              <w:spacing w:line="360" w:lineRule="exact"/>
              <w:ind w:firstLine="0" w:firstLineChars="0"/>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659" w:type="dxa"/>
            <w:vMerge w:val="continue"/>
            <w:tcBorders>
              <w:left w:val="single" w:color="000000" w:sz="4" w:space="0"/>
            </w:tcBorders>
            <w:vAlign w:val="center"/>
          </w:tcPr>
          <w:p w14:paraId="291E5E64">
            <w:pPr>
              <w:spacing w:line="360" w:lineRule="exact"/>
              <w:ind w:firstLine="0" w:firstLineChars="0"/>
              <w:jc w:val="center"/>
              <w:rPr>
                <w:rFonts w:hint="default" w:ascii="Times New Roman" w:hAnsi="Times New Roman" w:cs="Times New Roman"/>
                <w:color w:val="auto"/>
                <w:kern w:val="0"/>
                <w:sz w:val="21"/>
                <w:szCs w:val="21"/>
                <w:highlight w:val="none"/>
              </w:rPr>
            </w:pPr>
          </w:p>
        </w:tc>
      </w:tr>
      <w:tr w14:paraId="430716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28DB28AB">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4FD64DF5">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restart"/>
            <w:vAlign w:val="center"/>
          </w:tcPr>
          <w:p w14:paraId="0ADC25D2">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无组织</w:t>
            </w:r>
          </w:p>
        </w:tc>
        <w:tc>
          <w:tcPr>
            <w:tcW w:w="859" w:type="dxa"/>
            <w:vAlign w:val="center"/>
          </w:tcPr>
          <w:p w14:paraId="1A109B52">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氨</w:t>
            </w:r>
          </w:p>
        </w:tc>
        <w:tc>
          <w:tcPr>
            <w:tcW w:w="720" w:type="dxa"/>
            <w:vMerge w:val="continue"/>
            <w:vAlign w:val="center"/>
          </w:tcPr>
          <w:p w14:paraId="687AF41E">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18" w:type="dxa"/>
            <w:vMerge w:val="restart"/>
            <w:vAlign w:val="center"/>
          </w:tcPr>
          <w:p w14:paraId="53F5894C">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w:t>
            </w:r>
          </w:p>
        </w:tc>
        <w:tc>
          <w:tcPr>
            <w:tcW w:w="902" w:type="dxa"/>
            <w:vAlign w:val="center"/>
          </w:tcPr>
          <w:p w14:paraId="4EF14B73">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w:t>
            </w:r>
          </w:p>
        </w:tc>
        <w:tc>
          <w:tcPr>
            <w:tcW w:w="1220" w:type="dxa"/>
            <w:shd w:val="clear" w:color="auto" w:fill="auto"/>
            <w:vAlign w:val="center"/>
          </w:tcPr>
          <w:p w14:paraId="5451E11F">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5.2</w:t>
            </w:r>
            <w:r>
              <w:rPr>
                <w:rFonts w:hint="default" w:ascii="Times New Roman" w:hAnsi="Times New Roman" w:eastAsia="宋体" w:cs="Times New Roman"/>
                <w:snapToGrid w:val="0"/>
                <w:color w:val="auto"/>
                <w:kern w:val="0"/>
                <w:sz w:val="21"/>
                <w:highlight w:val="none"/>
                <w:lang w:val="en-US" w:eastAsia="zh-CN"/>
              </w:rPr>
              <w:t>×10</w:t>
            </w:r>
            <w:r>
              <w:rPr>
                <w:rFonts w:hint="default" w:ascii="Times New Roman" w:hAnsi="Times New Roman" w:eastAsia="宋体" w:cs="Times New Roman"/>
                <w:snapToGrid w:val="0"/>
                <w:color w:val="auto"/>
                <w:kern w:val="0"/>
                <w:sz w:val="21"/>
                <w:highlight w:val="none"/>
                <w:vertAlign w:val="superscript"/>
                <w:lang w:val="en-US" w:eastAsia="zh-CN"/>
              </w:rPr>
              <w:t>-3</w:t>
            </w:r>
          </w:p>
        </w:tc>
        <w:tc>
          <w:tcPr>
            <w:tcW w:w="1715" w:type="dxa"/>
            <w:vMerge w:val="restart"/>
            <w:vAlign w:val="center"/>
          </w:tcPr>
          <w:p w14:paraId="6CD42DCB">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及时清运粪便，定期冲洗地面，喷洒除臭剂</w:t>
            </w:r>
          </w:p>
        </w:tc>
        <w:tc>
          <w:tcPr>
            <w:tcW w:w="778" w:type="dxa"/>
            <w:vMerge w:val="restart"/>
            <w:vAlign w:val="center"/>
          </w:tcPr>
          <w:p w14:paraId="21B2E8C9">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rPr>
              <w:t>80</w:t>
            </w:r>
            <w:r>
              <w:rPr>
                <w:rFonts w:hint="default" w:ascii="Times New Roman" w:hAnsi="Times New Roman" w:cs="Times New Roman"/>
                <w:color w:val="auto"/>
                <w:kern w:val="0"/>
                <w:sz w:val="21"/>
                <w:szCs w:val="21"/>
                <w:highlight w:val="none"/>
                <w:lang w:val="en-US" w:eastAsia="zh-CN"/>
              </w:rPr>
              <w:t>%</w:t>
            </w:r>
          </w:p>
        </w:tc>
        <w:tc>
          <w:tcPr>
            <w:tcW w:w="711" w:type="dxa"/>
            <w:vMerge w:val="continue"/>
            <w:tcBorders>
              <w:right w:val="single" w:color="000000" w:sz="4" w:space="0"/>
            </w:tcBorders>
            <w:vAlign w:val="center"/>
          </w:tcPr>
          <w:p w14:paraId="10C8A1AA">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79" w:type="dxa"/>
            <w:vMerge w:val="restart"/>
            <w:tcBorders>
              <w:left w:val="single" w:color="000000" w:sz="4" w:space="0"/>
            </w:tcBorders>
            <w:vAlign w:val="center"/>
          </w:tcPr>
          <w:p w14:paraId="3E5C8A08">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w:t>
            </w:r>
          </w:p>
        </w:tc>
        <w:tc>
          <w:tcPr>
            <w:tcW w:w="1002" w:type="dxa"/>
            <w:vAlign w:val="center"/>
          </w:tcPr>
          <w:p w14:paraId="379A34E3">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w:t>
            </w:r>
          </w:p>
        </w:tc>
        <w:tc>
          <w:tcPr>
            <w:tcW w:w="1181" w:type="dxa"/>
            <w:tcBorders>
              <w:right w:val="single" w:color="000000" w:sz="4" w:space="0"/>
            </w:tcBorders>
            <w:shd w:val="clear" w:color="auto" w:fill="auto"/>
            <w:vAlign w:val="center"/>
          </w:tcPr>
          <w:p w14:paraId="373443A5">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1.0</w:t>
            </w:r>
            <w:r>
              <w:rPr>
                <w:rFonts w:hint="default" w:ascii="Times New Roman" w:hAnsi="Times New Roman" w:cs="Times New Roman"/>
                <w:color w:val="auto"/>
                <w:sz w:val="21"/>
                <w:szCs w:val="21"/>
                <w:highlight w:val="none"/>
                <w:lang w:val="en-US" w:eastAsia="zh-CN"/>
              </w:rPr>
              <w:t>×10</w:t>
            </w:r>
            <w:r>
              <w:rPr>
                <w:rFonts w:hint="default" w:ascii="Times New Roman" w:hAnsi="Times New Roman" w:cs="Times New Roman"/>
                <w:color w:val="auto"/>
                <w:kern w:val="0"/>
                <w:sz w:val="21"/>
                <w:szCs w:val="21"/>
                <w:highlight w:val="none"/>
                <w:vertAlign w:val="superscript"/>
              </w:rPr>
              <w:t>-</w:t>
            </w:r>
            <w:r>
              <w:rPr>
                <w:rFonts w:hint="default" w:ascii="Times New Roman" w:hAnsi="Times New Roman" w:cs="Times New Roman"/>
                <w:color w:val="auto"/>
                <w:kern w:val="0"/>
                <w:sz w:val="21"/>
                <w:szCs w:val="21"/>
                <w:highlight w:val="none"/>
                <w:vertAlign w:val="superscript"/>
                <w:lang w:val="en-US" w:eastAsia="zh-CN"/>
              </w:rPr>
              <w:t>3</w:t>
            </w:r>
          </w:p>
        </w:tc>
        <w:tc>
          <w:tcPr>
            <w:tcW w:w="659" w:type="dxa"/>
            <w:vMerge w:val="continue"/>
            <w:tcBorders>
              <w:left w:val="single" w:color="000000" w:sz="4" w:space="0"/>
            </w:tcBorders>
            <w:vAlign w:val="center"/>
          </w:tcPr>
          <w:p w14:paraId="6BA46788">
            <w:pPr>
              <w:spacing w:line="360" w:lineRule="exact"/>
              <w:ind w:firstLine="0" w:firstLineChars="0"/>
              <w:jc w:val="center"/>
              <w:rPr>
                <w:rFonts w:hint="default" w:ascii="Times New Roman" w:hAnsi="Times New Roman" w:cs="Times New Roman"/>
                <w:color w:val="auto"/>
                <w:kern w:val="0"/>
                <w:sz w:val="21"/>
                <w:szCs w:val="21"/>
                <w:highlight w:val="none"/>
              </w:rPr>
            </w:pPr>
          </w:p>
        </w:tc>
      </w:tr>
      <w:tr w14:paraId="470916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003AA5DA">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26361E06">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continue"/>
            <w:vAlign w:val="center"/>
          </w:tcPr>
          <w:p w14:paraId="3EB2813B">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vAlign w:val="center"/>
          </w:tcPr>
          <w:p w14:paraId="62B3FE05">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硫化氢</w:t>
            </w:r>
          </w:p>
        </w:tc>
        <w:tc>
          <w:tcPr>
            <w:tcW w:w="720" w:type="dxa"/>
            <w:vMerge w:val="continue"/>
            <w:vAlign w:val="center"/>
          </w:tcPr>
          <w:p w14:paraId="2A0FB382">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18" w:type="dxa"/>
            <w:vMerge w:val="continue"/>
            <w:vAlign w:val="center"/>
          </w:tcPr>
          <w:p w14:paraId="00AE95C7">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902" w:type="dxa"/>
            <w:vAlign w:val="center"/>
          </w:tcPr>
          <w:p w14:paraId="263EAA4C">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w:t>
            </w:r>
          </w:p>
        </w:tc>
        <w:tc>
          <w:tcPr>
            <w:tcW w:w="1220" w:type="dxa"/>
            <w:shd w:val="clear" w:color="auto" w:fill="auto"/>
            <w:vAlign w:val="center"/>
          </w:tcPr>
          <w:p w14:paraId="5581720B">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6.1</w:t>
            </w:r>
            <w:r>
              <w:rPr>
                <w:rFonts w:hint="default" w:ascii="Times New Roman" w:hAnsi="Times New Roman" w:eastAsia="宋体" w:cs="Times New Roman"/>
                <w:snapToGrid w:val="0"/>
                <w:color w:val="auto"/>
                <w:kern w:val="0"/>
                <w:sz w:val="21"/>
                <w:highlight w:val="none"/>
                <w:lang w:val="en-US" w:eastAsia="zh-CN"/>
              </w:rPr>
              <w:t>×10</w:t>
            </w:r>
            <w:r>
              <w:rPr>
                <w:rFonts w:hint="default" w:ascii="Times New Roman" w:hAnsi="Times New Roman" w:eastAsia="宋体" w:cs="Times New Roman"/>
                <w:snapToGrid w:val="0"/>
                <w:color w:val="auto"/>
                <w:kern w:val="0"/>
                <w:sz w:val="21"/>
                <w:highlight w:val="none"/>
                <w:vertAlign w:val="superscript"/>
                <w:lang w:val="en-US" w:eastAsia="zh-CN"/>
              </w:rPr>
              <w:t>-5</w:t>
            </w:r>
          </w:p>
        </w:tc>
        <w:tc>
          <w:tcPr>
            <w:tcW w:w="1715" w:type="dxa"/>
            <w:vMerge w:val="continue"/>
            <w:vAlign w:val="center"/>
          </w:tcPr>
          <w:p w14:paraId="4B19126A">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78" w:type="dxa"/>
            <w:vMerge w:val="continue"/>
            <w:vAlign w:val="center"/>
          </w:tcPr>
          <w:p w14:paraId="721B14FB">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11" w:type="dxa"/>
            <w:vMerge w:val="continue"/>
            <w:tcBorders>
              <w:right w:val="single" w:color="000000" w:sz="4" w:space="0"/>
            </w:tcBorders>
            <w:vAlign w:val="center"/>
          </w:tcPr>
          <w:p w14:paraId="4F5B82BE">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79" w:type="dxa"/>
            <w:vMerge w:val="continue"/>
            <w:tcBorders>
              <w:left w:val="single" w:color="000000" w:sz="4" w:space="0"/>
            </w:tcBorders>
            <w:vAlign w:val="center"/>
          </w:tcPr>
          <w:p w14:paraId="256B69E9">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1002" w:type="dxa"/>
            <w:vAlign w:val="center"/>
          </w:tcPr>
          <w:p w14:paraId="18B95122">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w:t>
            </w:r>
          </w:p>
        </w:tc>
        <w:tc>
          <w:tcPr>
            <w:tcW w:w="1181" w:type="dxa"/>
            <w:tcBorders>
              <w:right w:val="single" w:color="000000" w:sz="4" w:space="0"/>
            </w:tcBorders>
            <w:shd w:val="clear" w:color="auto" w:fill="auto"/>
            <w:vAlign w:val="center"/>
          </w:tcPr>
          <w:p w14:paraId="025EBC7E">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default" w:ascii="Times New Roman" w:hAnsi="Times New Roman" w:eastAsia="宋体" w:cs="Times New Roman"/>
                <w:snapToGrid w:val="0"/>
                <w:color w:val="auto"/>
                <w:kern w:val="0"/>
                <w:sz w:val="21"/>
                <w:szCs w:val="22"/>
                <w:highlight w:val="none"/>
                <w:lang w:val="en-US" w:eastAsia="zh-CN" w:bidi="ar-SA"/>
              </w:rPr>
              <w:t>1.2</w:t>
            </w:r>
            <w:r>
              <w:rPr>
                <w:rFonts w:hint="default" w:ascii="Times New Roman" w:hAnsi="Times New Roman" w:eastAsia="宋体" w:cs="Times New Roman"/>
                <w:snapToGrid w:val="0"/>
                <w:color w:val="auto"/>
                <w:kern w:val="0"/>
                <w:sz w:val="21"/>
                <w:highlight w:val="none"/>
                <w:lang w:val="en-US" w:eastAsia="zh-CN"/>
              </w:rPr>
              <w:t>×10</w:t>
            </w:r>
            <w:r>
              <w:rPr>
                <w:rFonts w:hint="default" w:ascii="Times New Roman" w:hAnsi="Times New Roman" w:eastAsia="宋体" w:cs="Times New Roman"/>
                <w:snapToGrid w:val="0"/>
                <w:color w:val="auto"/>
                <w:kern w:val="0"/>
                <w:sz w:val="21"/>
                <w:highlight w:val="none"/>
                <w:vertAlign w:val="superscript"/>
                <w:lang w:val="en-US" w:eastAsia="zh-CN"/>
              </w:rPr>
              <w:t>-5</w:t>
            </w:r>
          </w:p>
        </w:tc>
        <w:tc>
          <w:tcPr>
            <w:tcW w:w="659" w:type="dxa"/>
            <w:vMerge w:val="continue"/>
            <w:tcBorders>
              <w:left w:val="single" w:color="000000" w:sz="4" w:space="0"/>
            </w:tcBorders>
            <w:vAlign w:val="center"/>
          </w:tcPr>
          <w:p w14:paraId="214F47BE">
            <w:pPr>
              <w:spacing w:line="360" w:lineRule="exact"/>
              <w:ind w:firstLine="0" w:firstLineChars="0"/>
              <w:jc w:val="center"/>
              <w:rPr>
                <w:rFonts w:hint="default" w:ascii="Times New Roman" w:hAnsi="Times New Roman" w:cs="Times New Roman"/>
                <w:color w:val="auto"/>
                <w:kern w:val="0"/>
                <w:sz w:val="21"/>
                <w:szCs w:val="21"/>
                <w:highlight w:val="none"/>
              </w:rPr>
            </w:pPr>
          </w:p>
        </w:tc>
      </w:tr>
      <w:tr w14:paraId="528A57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restart"/>
            <w:vAlign w:val="center"/>
          </w:tcPr>
          <w:p w14:paraId="28763F7C">
            <w:pPr>
              <w:spacing w:line="360" w:lineRule="exact"/>
              <w:ind w:firstLine="0" w:firstLineChars="0"/>
              <w:jc w:val="center"/>
              <w:rPr>
                <w:rFonts w:hint="default" w:ascii="Times New Roman" w:hAnsi="Times New Roman" w:cs="Times New Roman"/>
                <w:b/>
                <w:color w:val="auto"/>
                <w:sz w:val="21"/>
                <w:szCs w:val="21"/>
                <w:highlight w:val="none"/>
                <w:lang w:eastAsia="en-US"/>
              </w:rPr>
            </w:pPr>
            <w:r>
              <w:rPr>
                <w:rFonts w:hint="default" w:ascii="Times New Roman" w:hAnsi="Times New Roman" w:cs="Times New Roman"/>
                <w:color w:val="auto"/>
                <w:sz w:val="21"/>
                <w:szCs w:val="21"/>
                <w:highlight w:val="none"/>
              </w:rPr>
              <w:t>污水处理</w:t>
            </w:r>
          </w:p>
        </w:tc>
        <w:tc>
          <w:tcPr>
            <w:tcW w:w="704" w:type="dxa"/>
            <w:vMerge w:val="restart"/>
            <w:vAlign w:val="center"/>
          </w:tcPr>
          <w:p w14:paraId="740A88CE">
            <w:pPr>
              <w:spacing w:line="360" w:lineRule="exact"/>
              <w:ind w:firstLine="0" w:firstLineChars="0"/>
              <w:jc w:val="center"/>
              <w:rPr>
                <w:rFonts w:hint="default" w:ascii="Times New Roman" w:hAnsi="Times New Roman" w:cs="Times New Roman"/>
                <w:b/>
                <w:color w:val="auto"/>
                <w:sz w:val="21"/>
                <w:szCs w:val="21"/>
                <w:highlight w:val="none"/>
                <w:lang w:eastAsia="en-US"/>
              </w:rPr>
            </w:pPr>
            <w:r>
              <w:rPr>
                <w:rFonts w:hint="default" w:ascii="Times New Roman" w:hAnsi="Times New Roman" w:cs="Times New Roman"/>
                <w:color w:val="auto"/>
                <w:sz w:val="21"/>
                <w:szCs w:val="21"/>
                <w:highlight w:val="none"/>
              </w:rPr>
              <w:t>污水处理站</w:t>
            </w:r>
          </w:p>
        </w:tc>
        <w:tc>
          <w:tcPr>
            <w:tcW w:w="889" w:type="dxa"/>
            <w:vMerge w:val="restart"/>
            <w:vAlign w:val="center"/>
          </w:tcPr>
          <w:p w14:paraId="05DBCD6E">
            <w:pPr>
              <w:widowControl/>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DA00</w:t>
            </w:r>
            <w:r>
              <w:rPr>
                <w:rFonts w:hint="default" w:ascii="Times New Roman" w:hAnsi="Times New Roman" w:cs="Times New Roman"/>
                <w:color w:val="auto"/>
                <w:sz w:val="21"/>
                <w:szCs w:val="21"/>
                <w:highlight w:val="none"/>
                <w:lang w:val="en-US" w:eastAsia="zh-CN"/>
              </w:rPr>
              <w:t>2</w:t>
            </w:r>
          </w:p>
        </w:tc>
        <w:tc>
          <w:tcPr>
            <w:tcW w:w="859" w:type="dxa"/>
            <w:vAlign w:val="center"/>
          </w:tcPr>
          <w:p w14:paraId="174C5A5A">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氨</w:t>
            </w:r>
          </w:p>
        </w:tc>
        <w:tc>
          <w:tcPr>
            <w:tcW w:w="720" w:type="dxa"/>
            <w:vMerge w:val="restart"/>
            <w:vAlign w:val="center"/>
          </w:tcPr>
          <w:p w14:paraId="6C2F8480">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类比法</w:t>
            </w:r>
          </w:p>
        </w:tc>
        <w:tc>
          <w:tcPr>
            <w:tcW w:w="818" w:type="dxa"/>
            <w:vMerge w:val="restart"/>
            <w:vAlign w:val="center"/>
          </w:tcPr>
          <w:p w14:paraId="0CFD8A3C">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lang w:val="en-US" w:eastAsia="zh-CN"/>
              </w:rPr>
              <w:t>2</w:t>
            </w:r>
            <w:r>
              <w:rPr>
                <w:rFonts w:hint="default" w:ascii="Times New Roman" w:hAnsi="Times New Roman" w:cs="Times New Roman"/>
                <w:color w:val="auto"/>
                <w:kern w:val="0"/>
                <w:sz w:val="21"/>
                <w:szCs w:val="21"/>
                <w:highlight w:val="none"/>
              </w:rPr>
              <w:t>000</w:t>
            </w:r>
          </w:p>
        </w:tc>
        <w:tc>
          <w:tcPr>
            <w:tcW w:w="902" w:type="dxa"/>
            <w:vAlign w:val="center"/>
          </w:tcPr>
          <w:p w14:paraId="1564E69E">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15</w:t>
            </w:r>
          </w:p>
        </w:tc>
        <w:tc>
          <w:tcPr>
            <w:tcW w:w="1220" w:type="dxa"/>
            <w:vAlign w:val="center"/>
          </w:tcPr>
          <w:p w14:paraId="49EC3CB4">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0.030</w:t>
            </w:r>
          </w:p>
        </w:tc>
        <w:tc>
          <w:tcPr>
            <w:tcW w:w="1715" w:type="dxa"/>
            <w:vMerge w:val="restart"/>
            <w:vAlign w:val="center"/>
          </w:tcPr>
          <w:p w14:paraId="6CDDDC00">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活性炭吸附+15m高排气筒</w:t>
            </w:r>
          </w:p>
        </w:tc>
        <w:tc>
          <w:tcPr>
            <w:tcW w:w="778" w:type="dxa"/>
            <w:vMerge w:val="restart"/>
            <w:vAlign w:val="center"/>
          </w:tcPr>
          <w:p w14:paraId="53258C9D">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集气罩收集效率90%，活性炭吸附效率80%</w:t>
            </w:r>
          </w:p>
        </w:tc>
        <w:tc>
          <w:tcPr>
            <w:tcW w:w="711" w:type="dxa"/>
            <w:vMerge w:val="restart"/>
            <w:tcBorders>
              <w:right w:val="single" w:color="000000" w:sz="4" w:space="0"/>
            </w:tcBorders>
            <w:vAlign w:val="center"/>
          </w:tcPr>
          <w:p w14:paraId="4CDF095C">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rPr>
              <w:t>类比法</w:t>
            </w:r>
          </w:p>
        </w:tc>
        <w:tc>
          <w:tcPr>
            <w:tcW w:w="879" w:type="dxa"/>
            <w:vMerge w:val="restart"/>
            <w:tcBorders>
              <w:left w:val="single" w:color="000000" w:sz="4" w:space="0"/>
            </w:tcBorders>
            <w:vAlign w:val="center"/>
          </w:tcPr>
          <w:p w14:paraId="2C1A0465">
            <w:pPr>
              <w:spacing w:line="360" w:lineRule="exact"/>
              <w:ind w:firstLine="0" w:firstLineChars="0"/>
              <w:jc w:val="center"/>
              <w:rPr>
                <w:rFonts w:hint="default" w:ascii="Times New Roman" w:hAnsi="Times New Roman" w:cs="Times New Roman"/>
                <w:color w:val="auto"/>
                <w:kern w:val="0"/>
                <w:sz w:val="21"/>
                <w:szCs w:val="21"/>
                <w:highlight w:val="none"/>
              </w:rPr>
            </w:pPr>
            <w:r>
              <w:rPr>
                <w:rFonts w:hint="default" w:ascii="Times New Roman" w:hAnsi="Times New Roman" w:cs="Times New Roman"/>
                <w:color w:val="auto"/>
                <w:kern w:val="0"/>
                <w:sz w:val="21"/>
                <w:szCs w:val="21"/>
                <w:highlight w:val="none"/>
                <w:lang w:val="en-US" w:eastAsia="zh-CN"/>
              </w:rPr>
              <w:t>2</w:t>
            </w:r>
            <w:r>
              <w:rPr>
                <w:rFonts w:hint="default" w:ascii="Times New Roman" w:hAnsi="Times New Roman" w:cs="Times New Roman"/>
                <w:color w:val="auto"/>
                <w:kern w:val="0"/>
                <w:sz w:val="21"/>
                <w:szCs w:val="21"/>
                <w:highlight w:val="none"/>
              </w:rPr>
              <w:t>000</w:t>
            </w:r>
          </w:p>
        </w:tc>
        <w:tc>
          <w:tcPr>
            <w:tcW w:w="1002" w:type="dxa"/>
            <w:vAlign w:val="center"/>
          </w:tcPr>
          <w:p w14:paraId="1B74DBF2">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2.7</w:t>
            </w:r>
          </w:p>
        </w:tc>
        <w:tc>
          <w:tcPr>
            <w:tcW w:w="1181" w:type="dxa"/>
            <w:tcBorders>
              <w:right w:val="single" w:color="000000" w:sz="4" w:space="0"/>
            </w:tcBorders>
            <w:vAlign w:val="center"/>
          </w:tcPr>
          <w:p w14:paraId="2E231EA5">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snapToGrid w:val="0"/>
                <w:color w:val="auto"/>
                <w:sz w:val="21"/>
                <w:szCs w:val="21"/>
                <w:highlight w:val="none"/>
                <w:lang w:val="en-US" w:eastAsia="zh-CN"/>
              </w:rPr>
              <w:t>5.4</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snapToGrid w:val="0"/>
                <w:color w:val="auto"/>
                <w:sz w:val="21"/>
                <w:szCs w:val="21"/>
                <w:highlight w:val="none"/>
                <w:lang w:eastAsia="zh-CN"/>
              </w:rPr>
              <w:t>10</w:t>
            </w:r>
            <w:r>
              <w:rPr>
                <w:rFonts w:hint="default" w:ascii="Times New Roman" w:hAnsi="Times New Roman" w:cs="Times New Roman"/>
                <w:snapToGrid w:val="0"/>
                <w:color w:val="auto"/>
                <w:sz w:val="21"/>
                <w:szCs w:val="21"/>
                <w:highlight w:val="none"/>
                <w:vertAlign w:val="superscript"/>
                <w:lang w:val="zh-CN"/>
              </w:rPr>
              <w:t>-</w:t>
            </w:r>
            <w:r>
              <w:rPr>
                <w:rFonts w:hint="default" w:ascii="Times New Roman" w:hAnsi="Times New Roman" w:cs="Times New Roman"/>
                <w:snapToGrid w:val="0"/>
                <w:color w:val="auto"/>
                <w:sz w:val="21"/>
                <w:szCs w:val="21"/>
                <w:highlight w:val="none"/>
                <w:vertAlign w:val="superscript"/>
                <w:lang w:val="en-US" w:eastAsia="zh-CN"/>
              </w:rPr>
              <w:t>3</w:t>
            </w:r>
          </w:p>
        </w:tc>
        <w:tc>
          <w:tcPr>
            <w:tcW w:w="659" w:type="dxa"/>
            <w:vMerge w:val="restart"/>
            <w:tcBorders>
              <w:left w:val="single" w:color="000000" w:sz="4" w:space="0"/>
            </w:tcBorders>
            <w:vAlign w:val="center"/>
          </w:tcPr>
          <w:p w14:paraId="31234743">
            <w:pPr>
              <w:widowControl/>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7440</w:t>
            </w:r>
          </w:p>
        </w:tc>
      </w:tr>
      <w:tr w14:paraId="5F433E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1F02F3BC">
            <w:pPr>
              <w:spacing w:line="360" w:lineRule="exact"/>
              <w:ind w:firstLine="0" w:firstLineChars="0"/>
              <w:jc w:val="center"/>
              <w:rPr>
                <w:rFonts w:hint="default" w:ascii="Times New Roman" w:hAnsi="Times New Roman" w:cs="Times New Roman"/>
                <w:b/>
                <w:color w:val="auto"/>
                <w:sz w:val="21"/>
                <w:szCs w:val="21"/>
                <w:highlight w:val="none"/>
                <w:lang w:eastAsia="en-US"/>
              </w:rPr>
            </w:pPr>
          </w:p>
        </w:tc>
        <w:tc>
          <w:tcPr>
            <w:tcW w:w="704" w:type="dxa"/>
            <w:vMerge w:val="continue"/>
            <w:vAlign w:val="center"/>
          </w:tcPr>
          <w:p w14:paraId="47DA0D75">
            <w:pPr>
              <w:spacing w:line="360" w:lineRule="exact"/>
              <w:ind w:firstLine="0" w:firstLineChars="0"/>
              <w:jc w:val="center"/>
              <w:rPr>
                <w:rFonts w:hint="default" w:ascii="Times New Roman" w:hAnsi="Times New Roman" w:cs="Times New Roman"/>
                <w:b/>
                <w:color w:val="auto"/>
                <w:sz w:val="21"/>
                <w:szCs w:val="21"/>
                <w:highlight w:val="none"/>
                <w:lang w:eastAsia="en-US"/>
              </w:rPr>
            </w:pPr>
          </w:p>
        </w:tc>
        <w:tc>
          <w:tcPr>
            <w:tcW w:w="889" w:type="dxa"/>
            <w:vMerge w:val="continue"/>
            <w:vAlign w:val="center"/>
          </w:tcPr>
          <w:p w14:paraId="2FB1623A">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tcBorders>
              <w:bottom w:val="single" w:color="000000" w:sz="4" w:space="0"/>
            </w:tcBorders>
            <w:vAlign w:val="center"/>
          </w:tcPr>
          <w:p w14:paraId="28CD32A4">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硫化氢</w:t>
            </w:r>
          </w:p>
        </w:tc>
        <w:tc>
          <w:tcPr>
            <w:tcW w:w="720" w:type="dxa"/>
            <w:vMerge w:val="continue"/>
            <w:vAlign w:val="center"/>
          </w:tcPr>
          <w:p w14:paraId="28124B64">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18" w:type="dxa"/>
            <w:vMerge w:val="continue"/>
            <w:vAlign w:val="center"/>
          </w:tcPr>
          <w:p w14:paraId="2620D8E8">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902" w:type="dxa"/>
            <w:vAlign w:val="center"/>
          </w:tcPr>
          <w:p w14:paraId="1DDB52F0">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0.55</w:t>
            </w:r>
          </w:p>
        </w:tc>
        <w:tc>
          <w:tcPr>
            <w:tcW w:w="1220" w:type="dxa"/>
            <w:vAlign w:val="center"/>
          </w:tcPr>
          <w:p w14:paraId="0EC4AAFC">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snapToGrid w:val="0"/>
                <w:color w:val="auto"/>
                <w:kern w:val="0"/>
                <w:sz w:val="21"/>
                <w:szCs w:val="22"/>
                <w:highlight w:val="none"/>
                <w:lang w:val="en-US" w:eastAsia="zh-CN" w:bidi="ar-SA"/>
              </w:rPr>
              <w:t>1.1</w:t>
            </w:r>
            <w:r>
              <w:rPr>
                <w:rFonts w:hint="default" w:ascii="Times New Roman" w:hAnsi="Times New Roman" w:eastAsia="宋体" w:cs="Times New Roman"/>
                <w:snapToGrid w:val="0"/>
                <w:color w:val="auto"/>
                <w:kern w:val="0"/>
                <w:sz w:val="21"/>
                <w:highlight w:val="none"/>
                <w:lang w:val="en-US" w:eastAsia="zh-CN"/>
              </w:rPr>
              <w:t>×10</w:t>
            </w:r>
            <w:r>
              <w:rPr>
                <w:rFonts w:hint="default" w:ascii="Times New Roman" w:hAnsi="Times New Roman" w:eastAsia="宋体" w:cs="Times New Roman"/>
                <w:snapToGrid w:val="0"/>
                <w:color w:val="auto"/>
                <w:kern w:val="0"/>
                <w:sz w:val="21"/>
                <w:highlight w:val="none"/>
                <w:vertAlign w:val="superscript"/>
                <w:lang w:val="en-US" w:eastAsia="zh-CN"/>
              </w:rPr>
              <w:t>-3</w:t>
            </w:r>
          </w:p>
        </w:tc>
        <w:tc>
          <w:tcPr>
            <w:tcW w:w="1715" w:type="dxa"/>
            <w:vMerge w:val="continue"/>
            <w:vAlign w:val="center"/>
          </w:tcPr>
          <w:p w14:paraId="54CC1BE6">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78" w:type="dxa"/>
            <w:vMerge w:val="continue"/>
            <w:vAlign w:val="center"/>
          </w:tcPr>
          <w:p w14:paraId="535D6DE9">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11" w:type="dxa"/>
            <w:vMerge w:val="continue"/>
            <w:tcBorders>
              <w:right w:val="single" w:color="000000" w:sz="4" w:space="0"/>
            </w:tcBorders>
            <w:vAlign w:val="center"/>
          </w:tcPr>
          <w:p w14:paraId="2C5E0587">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79" w:type="dxa"/>
            <w:vMerge w:val="continue"/>
            <w:tcBorders>
              <w:left w:val="single" w:color="000000" w:sz="4" w:space="0"/>
            </w:tcBorders>
            <w:vAlign w:val="center"/>
          </w:tcPr>
          <w:p w14:paraId="02AC2215">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1002" w:type="dxa"/>
            <w:vAlign w:val="center"/>
          </w:tcPr>
          <w:p w14:paraId="75ABF21E">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0.1</w:t>
            </w:r>
          </w:p>
        </w:tc>
        <w:tc>
          <w:tcPr>
            <w:tcW w:w="1181" w:type="dxa"/>
            <w:tcBorders>
              <w:right w:val="single" w:color="000000" w:sz="4" w:space="0"/>
            </w:tcBorders>
            <w:vAlign w:val="center"/>
          </w:tcPr>
          <w:p w14:paraId="486BF92E">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snapToGrid w:val="0"/>
                <w:color w:val="auto"/>
                <w:sz w:val="21"/>
                <w:szCs w:val="21"/>
                <w:highlight w:val="none"/>
                <w:lang w:val="en-US" w:eastAsia="zh-CN"/>
              </w:rPr>
              <w:t>2.0</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snapToGrid w:val="0"/>
                <w:color w:val="auto"/>
                <w:sz w:val="21"/>
                <w:szCs w:val="21"/>
                <w:highlight w:val="none"/>
                <w:lang w:eastAsia="zh-CN"/>
              </w:rPr>
              <w:t>10</w:t>
            </w:r>
            <w:r>
              <w:rPr>
                <w:rFonts w:hint="default" w:ascii="Times New Roman" w:hAnsi="Times New Roman" w:cs="Times New Roman"/>
                <w:snapToGrid w:val="0"/>
                <w:color w:val="auto"/>
                <w:sz w:val="21"/>
                <w:szCs w:val="21"/>
                <w:highlight w:val="none"/>
                <w:vertAlign w:val="superscript"/>
                <w:lang w:val="zh-CN"/>
              </w:rPr>
              <w:t>-</w:t>
            </w:r>
            <w:r>
              <w:rPr>
                <w:rFonts w:hint="default" w:ascii="Times New Roman" w:hAnsi="Times New Roman" w:cs="Times New Roman"/>
                <w:snapToGrid w:val="0"/>
                <w:color w:val="auto"/>
                <w:sz w:val="21"/>
                <w:szCs w:val="21"/>
                <w:highlight w:val="none"/>
                <w:vertAlign w:val="superscript"/>
                <w:lang w:val="en-US" w:eastAsia="zh-CN"/>
              </w:rPr>
              <w:t>4</w:t>
            </w:r>
          </w:p>
        </w:tc>
        <w:tc>
          <w:tcPr>
            <w:tcW w:w="659" w:type="dxa"/>
            <w:vMerge w:val="continue"/>
            <w:tcBorders>
              <w:left w:val="single" w:color="000000" w:sz="4" w:space="0"/>
            </w:tcBorders>
            <w:vAlign w:val="center"/>
          </w:tcPr>
          <w:p w14:paraId="3ADEC84C">
            <w:pPr>
              <w:widowControl/>
              <w:spacing w:line="360" w:lineRule="exact"/>
              <w:ind w:firstLine="0" w:firstLineChars="0"/>
              <w:jc w:val="center"/>
              <w:rPr>
                <w:rFonts w:hint="default" w:ascii="Times New Roman" w:hAnsi="Times New Roman" w:cs="Times New Roman"/>
                <w:color w:val="auto"/>
                <w:kern w:val="0"/>
                <w:sz w:val="21"/>
                <w:szCs w:val="21"/>
                <w:highlight w:val="none"/>
              </w:rPr>
            </w:pPr>
          </w:p>
        </w:tc>
      </w:tr>
      <w:tr w14:paraId="413501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4EC3D07E">
            <w:pPr>
              <w:spacing w:line="360" w:lineRule="exact"/>
              <w:ind w:firstLine="0" w:firstLineChars="0"/>
              <w:jc w:val="center"/>
              <w:rPr>
                <w:rFonts w:hint="default" w:ascii="Times New Roman" w:hAnsi="Times New Roman" w:cs="Times New Roman"/>
                <w:b/>
                <w:color w:val="auto"/>
                <w:sz w:val="21"/>
                <w:szCs w:val="21"/>
                <w:highlight w:val="none"/>
                <w:lang w:eastAsia="en-US"/>
              </w:rPr>
            </w:pPr>
          </w:p>
        </w:tc>
        <w:tc>
          <w:tcPr>
            <w:tcW w:w="704" w:type="dxa"/>
            <w:vMerge w:val="continue"/>
            <w:vAlign w:val="center"/>
          </w:tcPr>
          <w:p w14:paraId="0A370735">
            <w:pPr>
              <w:spacing w:line="360" w:lineRule="exact"/>
              <w:ind w:firstLine="0" w:firstLineChars="0"/>
              <w:jc w:val="center"/>
              <w:rPr>
                <w:rFonts w:hint="default" w:ascii="Times New Roman" w:hAnsi="Times New Roman" w:cs="Times New Roman"/>
                <w:b/>
                <w:color w:val="auto"/>
                <w:sz w:val="21"/>
                <w:szCs w:val="21"/>
                <w:highlight w:val="none"/>
                <w:lang w:eastAsia="en-US"/>
              </w:rPr>
            </w:pPr>
          </w:p>
        </w:tc>
        <w:tc>
          <w:tcPr>
            <w:tcW w:w="889" w:type="dxa"/>
            <w:vMerge w:val="continue"/>
            <w:vAlign w:val="center"/>
          </w:tcPr>
          <w:p w14:paraId="6A80072C">
            <w:pPr>
              <w:widowControl/>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tcBorders>
              <w:bottom w:val="single" w:color="000000" w:sz="4" w:space="0"/>
            </w:tcBorders>
            <w:vAlign w:val="center"/>
          </w:tcPr>
          <w:p w14:paraId="2212DAED">
            <w:pPr>
              <w:widowControl/>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臭气浓度</w:t>
            </w:r>
            <w:r>
              <w:rPr>
                <w:rFonts w:hint="default" w:ascii="Times New Roman" w:hAnsi="Times New Roman" w:cs="Times New Roman"/>
                <w:color w:val="auto"/>
                <w:kern w:val="0"/>
                <w:sz w:val="21"/>
                <w:szCs w:val="21"/>
                <w:highlight w:val="none"/>
                <w:lang w:val="en-US" w:eastAsia="zh-CN"/>
              </w:rPr>
              <w:t>（无量纲）</w:t>
            </w:r>
          </w:p>
        </w:tc>
        <w:tc>
          <w:tcPr>
            <w:tcW w:w="720" w:type="dxa"/>
            <w:vMerge w:val="continue"/>
            <w:vAlign w:val="center"/>
          </w:tcPr>
          <w:p w14:paraId="3D8A7D30">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18" w:type="dxa"/>
            <w:vMerge w:val="continue"/>
            <w:vAlign w:val="center"/>
          </w:tcPr>
          <w:p w14:paraId="6D97E696">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902" w:type="dxa"/>
            <w:vAlign w:val="center"/>
          </w:tcPr>
          <w:p w14:paraId="3D2FB09D">
            <w:pPr>
              <w:spacing w:line="360" w:lineRule="exact"/>
              <w:ind w:firstLine="0" w:firstLineChars="0"/>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78</w:t>
            </w:r>
          </w:p>
        </w:tc>
        <w:tc>
          <w:tcPr>
            <w:tcW w:w="1220" w:type="dxa"/>
            <w:vAlign w:val="center"/>
          </w:tcPr>
          <w:p w14:paraId="10D1C05B">
            <w:pPr>
              <w:spacing w:line="360" w:lineRule="exact"/>
              <w:ind w:firstLine="0" w:firstLineChars="0"/>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715" w:type="dxa"/>
            <w:vMerge w:val="continue"/>
            <w:vAlign w:val="center"/>
          </w:tcPr>
          <w:p w14:paraId="2EF75668">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78" w:type="dxa"/>
            <w:vMerge w:val="continue"/>
            <w:vAlign w:val="center"/>
          </w:tcPr>
          <w:p w14:paraId="6E0B30F3">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711" w:type="dxa"/>
            <w:vMerge w:val="continue"/>
            <w:tcBorders>
              <w:right w:val="single" w:color="000000" w:sz="4" w:space="0"/>
            </w:tcBorders>
            <w:vAlign w:val="center"/>
          </w:tcPr>
          <w:p w14:paraId="3BEF2939">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879" w:type="dxa"/>
            <w:vMerge w:val="continue"/>
            <w:tcBorders>
              <w:left w:val="single" w:color="000000" w:sz="4" w:space="0"/>
            </w:tcBorders>
            <w:vAlign w:val="center"/>
          </w:tcPr>
          <w:p w14:paraId="591586B6">
            <w:pPr>
              <w:spacing w:line="360" w:lineRule="exact"/>
              <w:ind w:firstLine="0" w:firstLineChars="0"/>
              <w:jc w:val="center"/>
              <w:rPr>
                <w:rFonts w:hint="default" w:ascii="Times New Roman" w:hAnsi="Times New Roman" w:cs="Times New Roman"/>
                <w:color w:val="auto"/>
                <w:kern w:val="0"/>
                <w:sz w:val="21"/>
                <w:szCs w:val="21"/>
                <w:highlight w:val="none"/>
              </w:rPr>
            </w:pPr>
          </w:p>
        </w:tc>
        <w:tc>
          <w:tcPr>
            <w:tcW w:w="1002" w:type="dxa"/>
            <w:vAlign w:val="center"/>
          </w:tcPr>
          <w:p w14:paraId="42D9E215">
            <w:pPr>
              <w:spacing w:line="360" w:lineRule="exact"/>
              <w:ind w:firstLine="0" w:firstLineChars="0"/>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14</w:t>
            </w:r>
          </w:p>
        </w:tc>
        <w:tc>
          <w:tcPr>
            <w:tcW w:w="1181" w:type="dxa"/>
            <w:tcBorders>
              <w:right w:val="single" w:color="000000" w:sz="4" w:space="0"/>
            </w:tcBorders>
            <w:vAlign w:val="center"/>
          </w:tcPr>
          <w:p w14:paraId="329AC934">
            <w:pPr>
              <w:spacing w:line="360" w:lineRule="exact"/>
              <w:ind w:firstLine="0" w:firstLineChars="0"/>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659" w:type="dxa"/>
            <w:vMerge w:val="continue"/>
            <w:tcBorders>
              <w:left w:val="single" w:color="000000" w:sz="4" w:space="0"/>
            </w:tcBorders>
            <w:vAlign w:val="center"/>
          </w:tcPr>
          <w:p w14:paraId="2796DFC7">
            <w:pPr>
              <w:widowControl/>
              <w:spacing w:line="360" w:lineRule="exact"/>
              <w:ind w:firstLine="0" w:firstLineChars="0"/>
              <w:jc w:val="center"/>
              <w:rPr>
                <w:rFonts w:hint="default" w:ascii="Times New Roman" w:hAnsi="Times New Roman" w:cs="Times New Roman"/>
                <w:color w:val="auto"/>
                <w:kern w:val="0"/>
                <w:sz w:val="21"/>
                <w:szCs w:val="21"/>
                <w:highlight w:val="none"/>
              </w:rPr>
            </w:pPr>
          </w:p>
        </w:tc>
      </w:tr>
      <w:tr w14:paraId="2BF1E3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2F2B51EF">
            <w:pPr>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2B9C411F">
            <w:pPr>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restart"/>
            <w:vAlign w:val="center"/>
          </w:tcPr>
          <w:p w14:paraId="179AD959">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无组织</w:t>
            </w:r>
          </w:p>
        </w:tc>
        <w:tc>
          <w:tcPr>
            <w:tcW w:w="859" w:type="dxa"/>
            <w:vAlign w:val="center"/>
          </w:tcPr>
          <w:p w14:paraId="7ED6EA92">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氨</w:t>
            </w:r>
          </w:p>
        </w:tc>
        <w:tc>
          <w:tcPr>
            <w:tcW w:w="720" w:type="dxa"/>
            <w:vMerge w:val="continue"/>
            <w:vAlign w:val="center"/>
          </w:tcPr>
          <w:p w14:paraId="1F7A56AD">
            <w:pPr>
              <w:spacing w:line="360" w:lineRule="exact"/>
              <w:ind w:firstLine="0" w:firstLineChars="0"/>
              <w:jc w:val="center"/>
              <w:rPr>
                <w:rFonts w:hint="default" w:ascii="Times New Roman" w:hAnsi="Times New Roman" w:cs="Times New Roman"/>
                <w:color w:val="auto"/>
                <w:sz w:val="21"/>
                <w:szCs w:val="21"/>
                <w:highlight w:val="none"/>
              </w:rPr>
            </w:pPr>
          </w:p>
        </w:tc>
        <w:tc>
          <w:tcPr>
            <w:tcW w:w="818" w:type="dxa"/>
            <w:vMerge w:val="restart"/>
            <w:vAlign w:val="center"/>
          </w:tcPr>
          <w:p w14:paraId="1006F83A">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902" w:type="dxa"/>
            <w:vAlign w:val="center"/>
          </w:tcPr>
          <w:p w14:paraId="47E8E228">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220" w:type="dxa"/>
            <w:shd w:val="clear" w:color="auto" w:fill="auto"/>
            <w:vAlign w:val="center"/>
          </w:tcPr>
          <w:p w14:paraId="21EF2CFC">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3.0</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color w:val="auto"/>
                <w:sz w:val="21"/>
                <w:szCs w:val="21"/>
                <w:highlight w:val="none"/>
                <w:lang w:eastAsia="zh-CN"/>
              </w:rPr>
              <w:t>10</w:t>
            </w:r>
            <w:r>
              <w:rPr>
                <w:rFonts w:hint="default" w:ascii="Times New Roman" w:hAnsi="Times New Roman" w:cs="Times New Roman"/>
                <w:color w:val="auto"/>
                <w:sz w:val="21"/>
                <w:szCs w:val="21"/>
                <w:highlight w:val="none"/>
                <w:vertAlign w:val="superscript"/>
              </w:rPr>
              <w:t>-</w:t>
            </w:r>
            <w:r>
              <w:rPr>
                <w:rFonts w:hint="default" w:ascii="Times New Roman" w:hAnsi="Times New Roman" w:cs="Times New Roman"/>
                <w:color w:val="auto"/>
                <w:sz w:val="21"/>
                <w:szCs w:val="21"/>
                <w:highlight w:val="none"/>
                <w:vertAlign w:val="superscript"/>
                <w:lang w:val="en-US" w:eastAsia="zh-CN"/>
              </w:rPr>
              <w:t>3</w:t>
            </w:r>
          </w:p>
        </w:tc>
        <w:tc>
          <w:tcPr>
            <w:tcW w:w="1715" w:type="dxa"/>
            <w:vMerge w:val="restart"/>
            <w:vAlign w:val="center"/>
          </w:tcPr>
          <w:p w14:paraId="54F100C3">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喷洒除臭剂、产生恶臭区域加盖</w:t>
            </w:r>
          </w:p>
        </w:tc>
        <w:tc>
          <w:tcPr>
            <w:tcW w:w="778" w:type="dxa"/>
            <w:vMerge w:val="restart"/>
            <w:vAlign w:val="center"/>
          </w:tcPr>
          <w:p w14:paraId="676CDD43">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kern w:val="0"/>
                <w:sz w:val="21"/>
                <w:szCs w:val="21"/>
                <w:highlight w:val="none"/>
              </w:rPr>
              <w:t>8</w:t>
            </w:r>
            <w:r>
              <w:rPr>
                <w:rFonts w:hint="default" w:ascii="Times New Roman" w:hAnsi="Times New Roman" w:cs="Times New Roman"/>
                <w:color w:val="auto"/>
                <w:sz w:val="21"/>
                <w:szCs w:val="21"/>
                <w:highlight w:val="none"/>
              </w:rPr>
              <w:t>0</w:t>
            </w:r>
            <w:r>
              <w:rPr>
                <w:rFonts w:hint="default" w:ascii="Times New Roman" w:hAnsi="Times New Roman" w:cs="Times New Roman"/>
                <w:color w:val="auto"/>
                <w:sz w:val="21"/>
                <w:szCs w:val="21"/>
                <w:highlight w:val="none"/>
                <w:lang w:val="en-US" w:eastAsia="zh-CN"/>
              </w:rPr>
              <w:t>%</w:t>
            </w:r>
          </w:p>
        </w:tc>
        <w:tc>
          <w:tcPr>
            <w:tcW w:w="711" w:type="dxa"/>
            <w:vMerge w:val="continue"/>
            <w:tcBorders>
              <w:right w:val="single" w:color="000000" w:sz="4" w:space="0"/>
            </w:tcBorders>
            <w:vAlign w:val="center"/>
          </w:tcPr>
          <w:p w14:paraId="0319D760">
            <w:pPr>
              <w:spacing w:line="360" w:lineRule="exact"/>
              <w:ind w:firstLine="0" w:firstLineChars="0"/>
              <w:jc w:val="center"/>
              <w:rPr>
                <w:rFonts w:hint="default" w:ascii="Times New Roman" w:hAnsi="Times New Roman" w:cs="Times New Roman"/>
                <w:color w:val="auto"/>
                <w:sz w:val="21"/>
                <w:szCs w:val="21"/>
                <w:highlight w:val="none"/>
              </w:rPr>
            </w:pPr>
          </w:p>
        </w:tc>
        <w:tc>
          <w:tcPr>
            <w:tcW w:w="879" w:type="dxa"/>
            <w:vMerge w:val="restart"/>
            <w:tcBorders>
              <w:left w:val="single" w:color="000000" w:sz="4" w:space="0"/>
            </w:tcBorders>
            <w:vAlign w:val="center"/>
          </w:tcPr>
          <w:p w14:paraId="0101B480">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002" w:type="dxa"/>
            <w:vAlign w:val="center"/>
          </w:tcPr>
          <w:p w14:paraId="0C33D2BE">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181" w:type="dxa"/>
            <w:tcBorders>
              <w:right w:val="single" w:color="000000" w:sz="4" w:space="0"/>
            </w:tcBorders>
            <w:vAlign w:val="center"/>
          </w:tcPr>
          <w:p w14:paraId="5024B137">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3.0</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color w:val="auto"/>
                <w:sz w:val="21"/>
                <w:szCs w:val="21"/>
                <w:highlight w:val="none"/>
                <w:lang w:eastAsia="zh-CN"/>
              </w:rPr>
              <w:t>10</w:t>
            </w:r>
            <w:r>
              <w:rPr>
                <w:rFonts w:hint="default" w:ascii="Times New Roman" w:hAnsi="Times New Roman" w:cs="Times New Roman"/>
                <w:color w:val="auto"/>
                <w:sz w:val="21"/>
                <w:szCs w:val="21"/>
                <w:highlight w:val="none"/>
                <w:vertAlign w:val="superscript"/>
              </w:rPr>
              <w:t>-</w:t>
            </w:r>
            <w:r>
              <w:rPr>
                <w:rFonts w:hint="default" w:ascii="Times New Roman" w:hAnsi="Times New Roman" w:cs="Times New Roman"/>
                <w:color w:val="auto"/>
                <w:sz w:val="21"/>
                <w:szCs w:val="21"/>
                <w:highlight w:val="none"/>
                <w:vertAlign w:val="superscript"/>
                <w:lang w:val="en-US" w:eastAsia="zh-CN"/>
              </w:rPr>
              <w:t>3</w:t>
            </w:r>
          </w:p>
        </w:tc>
        <w:tc>
          <w:tcPr>
            <w:tcW w:w="659" w:type="dxa"/>
            <w:vMerge w:val="continue"/>
            <w:tcBorders>
              <w:left w:val="single" w:color="000000" w:sz="4" w:space="0"/>
            </w:tcBorders>
            <w:vAlign w:val="center"/>
          </w:tcPr>
          <w:p w14:paraId="3FF444F8">
            <w:pPr>
              <w:spacing w:line="360" w:lineRule="exact"/>
              <w:ind w:firstLine="0" w:firstLineChars="0"/>
              <w:jc w:val="center"/>
              <w:rPr>
                <w:rFonts w:hint="default" w:ascii="Times New Roman" w:hAnsi="Times New Roman" w:cs="Times New Roman"/>
                <w:color w:val="auto"/>
                <w:sz w:val="21"/>
                <w:szCs w:val="21"/>
                <w:highlight w:val="none"/>
              </w:rPr>
            </w:pPr>
          </w:p>
        </w:tc>
      </w:tr>
      <w:tr w14:paraId="359401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3694543A">
            <w:pPr>
              <w:spacing w:line="360" w:lineRule="exact"/>
              <w:ind w:firstLine="0" w:firstLineChars="0"/>
              <w:jc w:val="center"/>
              <w:rPr>
                <w:rFonts w:hint="default" w:ascii="Times New Roman" w:hAnsi="Times New Roman" w:cs="Times New Roman"/>
                <w:color w:val="auto"/>
                <w:sz w:val="21"/>
                <w:szCs w:val="21"/>
                <w:highlight w:val="none"/>
              </w:rPr>
            </w:pPr>
          </w:p>
        </w:tc>
        <w:tc>
          <w:tcPr>
            <w:tcW w:w="704" w:type="dxa"/>
            <w:vMerge w:val="continue"/>
            <w:vAlign w:val="center"/>
          </w:tcPr>
          <w:p w14:paraId="07EFE537">
            <w:pPr>
              <w:spacing w:line="360" w:lineRule="exact"/>
              <w:ind w:firstLine="0" w:firstLineChars="0"/>
              <w:jc w:val="center"/>
              <w:rPr>
                <w:rFonts w:hint="default" w:ascii="Times New Roman" w:hAnsi="Times New Roman" w:cs="Times New Roman"/>
                <w:color w:val="auto"/>
                <w:sz w:val="21"/>
                <w:szCs w:val="21"/>
                <w:highlight w:val="none"/>
              </w:rPr>
            </w:pPr>
          </w:p>
        </w:tc>
        <w:tc>
          <w:tcPr>
            <w:tcW w:w="889" w:type="dxa"/>
            <w:vMerge w:val="continue"/>
            <w:vAlign w:val="center"/>
          </w:tcPr>
          <w:p w14:paraId="2D5D3B8B">
            <w:pPr>
              <w:spacing w:line="360" w:lineRule="exact"/>
              <w:ind w:firstLine="0" w:firstLineChars="0"/>
              <w:jc w:val="center"/>
              <w:rPr>
                <w:rFonts w:hint="default" w:ascii="Times New Roman" w:hAnsi="Times New Roman" w:cs="Times New Roman"/>
                <w:color w:val="auto"/>
                <w:sz w:val="21"/>
                <w:szCs w:val="21"/>
                <w:highlight w:val="none"/>
              </w:rPr>
            </w:pPr>
          </w:p>
        </w:tc>
        <w:tc>
          <w:tcPr>
            <w:tcW w:w="859" w:type="dxa"/>
            <w:vAlign w:val="center"/>
          </w:tcPr>
          <w:p w14:paraId="2542A35F">
            <w:pPr>
              <w:widowControl/>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硫化氢</w:t>
            </w:r>
          </w:p>
        </w:tc>
        <w:tc>
          <w:tcPr>
            <w:tcW w:w="720" w:type="dxa"/>
            <w:vMerge w:val="continue"/>
            <w:vAlign w:val="center"/>
          </w:tcPr>
          <w:p w14:paraId="7BCEE214">
            <w:pPr>
              <w:spacing w:line="360" w:lineRule="exact"/>
              <w:ind w:firstLine="0" w:firstLineChars="0"/>
              <w:jc w:val="center"/>
              <w:rPr>
                <w:rFonts w:hint="default" w:ascii="Times New Roman" w:hAnsi="Times New Roman" w:cs="Times New Roman"/>
                <w:color w:val="auto"/>
                <w:sz w:val="21"/>
                <w:szCs w:val="21"/>
                <w:highlight w:val="none"/>
              </w:rPr>
            </w:pPr>
          </w:p>
        </w:tc>
        <w:tc>
          <w:tcPr>
            <w:tcW w:w="818" w:type="dxa"/>
            <w:vMerge w:val="continue"/>
            <w:vAlign w:val="center"/>
          </w:tcPr>
          <w:p w14:paraId="258576C4">
            <w:pPr>
              <w:spacing w:line="360" w:lineRule="exact"/>
              <w:ind w:firstLine="0" w:firstLineChars="0"/>
              <w:jc w:val="center"/>
              <w:rPr>
                <w:rFonts w:hint="default" w:ascii="Times New Roman" w:hAnsi="Times New Roman" w:cs="Times New Roman"/>
                <w:color w:val="auto"/>
                <w:sz w:val="21"/>
                <w:szCs w:val="21"/>
                <w:highlight w:val="none"/>
              </w:rPr>
            </w:pPr>
          </w:p>
        </w:tc>
        <w:tc>
          <w:tcPr>
            <w:tcW w:w="902" w:type="dxa"/>
            <w:vAlign w:val="center"/>
          </w:tcPr>
          <w:p w14:paraId="578133AF">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220" w:type="dxa"/>
            <w:shd w:val="clear" w:color="auto" w:fill="auto"/>
            <w:vAlign w:val="center"/>
          </w:tcPr>
          <w:p w14:paraId="76189955">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1.1</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color w:val="auto"/>
                <w:sz w:val="21"/>
                <w:szCs w:val="21"/>
                <w:highlight w:val="none"/>
                <w:lang w:eastAsia="zh-CN"/>
              </w:rPr>
              <w:t>10</w:t>
            </w:r>
            <w:r>
              <w:rPr>
                <w:rFonts w:hint="default" w:ascii="Times New Roman" w:hAnsi="Times New Roman" w:cs="Times New Roman"/>
                <w:color w:val="auto"/>
                <w:sz w:val="21"/>
                <w:szCs w:val="21"/>
                <w:highlight w:val="none"/>
                <w:vertAlign w:val="superscript"/>
              </w:rPr>
              <w:t>-</w:t>
            </w:r>
            <w:r>
              <w:rPr>
                <w:rFonts w:hint="default" w:ascii="Times New Roman" w:hAnsi="Times New Roman" w:cs="Times New Roman"/>
                <w:color w:val="auto"/>
                <w:sz w:val="21"/>
                <w:szCs w:val="21"/>
                <w:highlight w:val="none"/>
                <w:vertAlign w:val="superscript"/>
                <w:lang w:val="en-US" w:eastAsia="zh-CN"/>
              </w:rPr>
              <w:t>4</w:t>
            </w:r>
          </w:p>
        </w:tc>
        <w:tc>
          <w:tcPr>
            <w:tcW w:w="1715" w:type="dxa"/>
            <w:vMerge w:val="continue"/>
            <w:vAlign w:val="center"/>
          </w:tcPr>
          <w:p w14:paraId="590B56F0">
            <w:pPr>
              <w:spacing w:line="360" w:lineRule="exact"/>
              <w:ind w:firstLine="0" w:firstLineChars="0"/>
              <w:jc w:val="center"/>
              <w:rPr>
                <w:rFonts w:hint="default" w:ascii="Times New Roman" w:hAnsi="Times New Roman" w:cs="Times New Roman"/>
                <w:color w:val="auto"/>
                <w:sz w:val="21"/>
                <w:szCs w:val="21"/>
                <w:highlight w:val="none"/>
              </w:rPr>
            </w:pPr>
          </w:p>
        </w:tc>
        <w:tc>
          <w:tcPr>
            <w:tcW w:w="778" w:type="dxa"/>
            <w:vMerge w:val="continue"/>
            <w:vAlign w:val="center"/>
          </w:tcPr>
          <w:p w14:paraId="3CD33C79">
            <w:pPr>
              <w:spacing w:line="360" w:lineRule="exact"/>
              <w:ind w:firstLine="0" w:firstLineChars="0"/>
              <w:jc w:val="center"/>
              <w:rPr>
                <w:rFonts w:hint="default" w:ascii="Times New Roman" w:hAnsi="Times New Roman" w:cs="Times New Roman"/>
                <w:color w:val="auto"/>
                <w:sz w:val="21"/>
                <w:szCs w:val="21"/>
                <w:highlight w:val="none"/>
              </w:rPr>
            </w:pPr>
          </w:p>
        </w:tc>
        <w:tc>
          <w:tcPr>
            <w:tcW w:w="711" w:type="dxa"/>
            <w:vMerge w:val="continue"/>
            <w:tcBorders>
              <w:right w:val="single" w:color="000000" w:sz="4" w:space="0"/>
            </w:tcBorders>
            <w:vAlign w:val="center"/>
          </w:tcPr>
          <w:p w14:paraId="70A24D79">
            <w:pPr>
              <w:spacing w:line="360" w:lineRule="exact"/>
              <w:ind w:firstLine="0" w:firstLineChars="0"/>
              <w:jc w:val="center"/>
              <w:rPr>
                <w:rFonts w:hint="default" w:ascii="Times New Roman" w:hAnsi="Times New Roman" w:cs="Times New Roman"/>
                <w:color w:val="auto"/>
                <w:sz w:val="21"/>
                <w:szCs w:val="21"/>
                <w:highlight w:val="none"/>
              </w:rPr>
            </w:pPr>
          </w:p>
        </w:tc>
        <w:tc>
          <w:tcPr>
            <w:tcW w:w="879" w:type="dxa"/>
            <w:vMerge w:val="continue"/>
            <w:tcBorders>
              <w:left w:val="single" w:color="000000" w:sz="4" w:space="0"/>
            </w:tcBorders>
            <w:vAlign w:val="center"/>
          </w:tcPr>
          <w:p w14:paraId="4415EE12">
            <w:pPr>
              <w:spacing w:line="360" w:lineRule="exact"/>
              <w:ind w:firstLine="0" w:firstLineChars="0"/>
              <w:jc w:val="center"/>
              <w:rPr>
                <w:rFonts w:hint="default" w:ascii="Times New Roman" w:hAnsi="Times New Roman" w:cs="Times New Roman"/>
                <w:color w:val="auto"/>
                <w:sz w:val="21"/>
                <w:szCs w:val="21"/>
                <w:highlight w:val="none"/>
              </w:rPr>
            </w:pPr>
          </w:p>
        </w:tc>
        <w:tc>
          <w:tcPr>
            <w:tcW w:w="1002" w:type="dxa"/>
            <w:vAlign w:val="center"/>
          </w:tcPr>
          <w:p w14:paraId="0D8CBA33">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181" w:type="dxa"/>
            <w:tcBorders>
              <w:right w:val="single" w:color="000000" w:sz="4" w:space="0"/>
            </w:tcBorders>
            <w:vAlign w:val="center"/>
          </w:tcPr>
          <w:p w14:paraId="37B34C1D">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1.1</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color w:val="auto"/>
                <w:sz w:val="21"/>
                <w:szCs w:val="21"/>
                <w:highlight w:val="none"/>
                <w:lang w:eastAsia="zh-CN"/>
              </w:rPr>
              <w:t>10</w:t>
            </w:r>
            <w:r>
              <w:rPr>
                <w:rFonts w:hint="default" w:ascii="Times New Roman" w:hAnsi="Times New Roman" w:cs="Times New Roman"/>
                <w:color w:val="auto"/>
                <w:sz w:val="21"/>
                <w:szCs w:val="21"/>
                <w:highlight w:val="none"/>
                <w:vertAlign w:val="superscript"/>
              </w:rPr>
              <w:t>-</w:t>
            </w:r>
            <w:r>
              <w:rPr>
                <w:rFonts w:hint="default" w:ascii="Times New Roman" w:hAnsi="Times New Roman" w:cs="Times New Roman"/>
                <w:color w:val="auto"/>
                <w:sz w:val="21"/>
                <w:szCs w:val="21"/>
                <w:highlight w:val="none"/>
                <w:vertAlign w:val="superscript"/>
                <w:lang w:val="en-US" w:eastAsia="zh-CN"/>
              </w:rPr>
              <w:t>4</w:t>
            </w:r>
          </w:p>
        </w:tc>
        <w:tc>
          <w:tcPr>
            <w:tcW w:w="659" w:type="dxa"/>
            <w:vMerge w:val="continue"/>
            <w:tcBorders>
              <w:left w:val="single" w:color="000000" w:sz="4" w:space="0"/>
            </w:tcBorders>
            <w:vAlign w:val="center"/>
          </w:tcPr>
          <w:p w14:paraId="51001D88">
            <w:pPr>
              <w:spacing w:line="360" w:lineRule="exact"/>
              <w:ind w:firstLine="0" w:firstLineChars="0"/>
              <w:jc w:val="center"/>
              <w:rPr>
                <w:rFonts w:hint="default" w:ascii="Times New Roman" w:hAnsi="Times New Roman" w:cs="Times New Roman"/>
                <w:color w:val="auto"/>
                <w:sz w:val="21"/>
                <w:szCs w:val="21"/>
                <w:highlight w:val="none"/>
              </w:rPr>
            </w:pPr>
          </w:p>
        </w:tc>
      </w:tr>
      <w:tr w14:paraId="6246EA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restart"/>
            <w:vAlign w:val="center"/>
          </w:tcPr>
          <w:p w14:paraId="1E309B06">
            <w:pPr>
              <w:widowControl/>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待宰圈</w:t>
            </w:r>
          </w:p>
        </w:tc>
        <w:tc>
          <w:tcPr>
            <w:tcW w:w="704" w:type="dxa"/>
            <w:vMerge w:val="restart"/>
            <w:vAlign w:val="center"/>
          </w:tcPr>
          <w:p w14:paraId="45F3A180">
            <w:pPr>
              <w:widowControl/>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待宰圈</w:t>
            </w:r>
          </w:p>
        </w:tc>
        <w:tc>
          <w:tcPr>
            <w:tcW w:w="889" w:type="dxa"/>
            <w:vMerge w:val="restart"/>
            <w:vAlign w:val="center"/>
          </w:tcPr>
          <w:p w14:paraId="3069D7C3">
            <w:pPr>
              <w:widowControl/>
              <w:spacing w:line="36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无组织</w:t>
            </w:r>
          </w:p>
        </w:tc>
        <w:tc>
          <w:tcPr>
            <w:tcW w:w="859" w:type="dxa"/>
            <w:vAlign w:val="center"/>
          </w:tcPr>
          <w:p w14:paraId="1698C1B7">
            <w:pPr>
              <w:widowControl/>
              <w:spacing w:line="36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氨</w:t>
            </w:r>
          </w:p>
        </w:tc>
        <w:tc>
          <w:tcPr>
            <w:tcW w:w="720" w:type="dxa"/>
            <w:vMerge w:val="restart"/>
            <w:vAlign w:val="center"/>
          </w:tcPr>
          <w:p w14:paraId="4EB00109">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系数法</w:t>
            </w:r>
          </w:p>
        </w:tc>
        <w:tc>
          <w:tcPr>
            <w:tcW w:w="818" w:type="dxa"/>
            <w:vMerge w:val="restart"/>
            <w:vAlign w:val="center"/>
          </w:tcPr>
          <w:p w14:paraId="27103CF8">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902" w:type="dxa"/>
            <w:vAlign w:val="center"/>
          </w:tcPr>
          <w:p w14:paraId="32D1DFF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220" w:type="dxa"/>
            <w:vAlign w:val="center"/>
          </w:tcPr>
          <w:p w14:paraId="0BFFD4ED">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1.3</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color w:val="auto"/>
                <w:sz w:val="21"/>
                <w:szCs w:val="21"/>
                <w:highlight w:val="none"/>
                <w:lang w:eastAsia="zh-CN"/>
              </w:rPr>
              <w:t>10</w:t>
            </w:r>
            <w:r>
              <w:rPr>
                <w:rFonts w:hint="default" w:ascii="Times New Roman" w:hAnsi="Times New Roman" w:cs="Times New Roman"/>
                <w:color w:val="auto"/>
                <w:sz w:val="21"/>
                <w:szCs w:val="21"/>
                <w:highlight w:val="none"/>
                <w:vertAlign w:val="superscript"/>
              </w:rPr>
              <w:t>-</w:t>
            </w:r>
            <w:r>
              <w:rPr>
                <w:rFonts w:hint="default" w:ascii="Times New Roman" w:hAnsi="Times New Roman" w:cs="Times New Roman"/>
                <w:color w:val="auto"/>
                <w:sz w:val="21"/>
                <w:szCs w:val="21"/>
                <w:highlight w:val="none"/>
                <w:vertAlign w:val="superscript"/>
                <w:lang w:val="en-US" w:eastAsia="zh-CN"/>
              </w:rPr>
              <w:t>3</w:t>
            </w:r>
          </w:p>
        </w:tc>
        <w:tc>
          <w:tcPr>
            <w:tcW w:w="1715" w:type="dxa"/>
            <w:vMerge w:val="restart"/>
            <w:vAlign w:val="center"/>
          </w:tcPr>
          <w:p w14:paraId="40767C46">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rPr>
              <w:t>及时清运粪便，定期冲洗地面，喷洒除臭剂</w:t>
            </w:r>
          </w:p>
        </w:tc>
        <w:tc>
          <w:tcPr>
            <w:tcW w:w="778" w:type="dxa"/>
            <w:vMerge w:val="restart"/>
            <w:vAlign w:val="center"/>
          </w:tcPr>
          <w:p w14:paraId="5A013289">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80</w:t>
            </w:r>
            <w:r>
              <w:rPr>
                <w:rFonts w:hint="default" w:ascii="Times New Roman" w:hAnsi="Times New Roman" w:cs="Times New Roman"/>
                <w:color w:val="auto"/>
                <w:sz w:val="21"/>
                <w:szCs w:val="21"/>
                <w:highlight w:val="none"/>
                <w:lang w:val="en-US" w:eastAsia="zh-CN"/>
              </w:rPr>
              <w:t>%</w:t>
            </w:r>
          </w:p>
        </w:tc>
        <w:tc>
          <w:tcPr>
            <w:tcW w:w="711" w:type="dxa"/>
            <w:vMerge w:val="restart"/>
            <w:tcBorders>
              <w:right w:val="single" w:color="000000" w:sz="4" w:space="0"/>
            </w:tcBorders>
            <w:vAlign w:val="center"/>
          </w:tcPr>
          <w:p w14:paraId="5AD740DA">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系数法</w:t>
            </w:r>
          </w:p>
        </w:tc>
        <w:tc>
          <w:tcPr>
            <w:tcW w:w="879" w:type="dxa"/>
            <w:vMerge w:val="restart"/>
            <w:tcBorders>
              <w:left w:val="single" w:color="000000" w:sz="4" w:space="0"/>
            </w:tcBorders>
            <w:vAlign w:val="center"/>
          </w:tcPr>
          <w:p w14:paraId="2A8E55E7">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002" w:type="dxa"/>
            <w:vAlign w:val="center"/>
          </w:tcPr>
          <w:p w14:paraId="638355DD">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181" w:type="dxa"/>
            <w:tcBorders>
              <w:right w:val="single" w:color="000000" w:sz="4" w:space="0"/>
            </w:tcBorders>
            <w:vAlign w:val="center"/>
          </w:tcPr>
          <w:p w14:paraId="41DEFB2F">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2.5</w:t>
            </w:r>
            <w:r>
              <w:rPr>
                <w:rFonts w:hint="default" w:ascii="Times New Roman" w:hAnsi="Times New Roman" w:eastAsia="宋体" w:cs="Times New Roman"/>
                <w:color w:val="auto"/>
                <w:sz w:val="21"/>
                <w:szCs w:val="21"/>
                <w:highlight w:val="none"/>
              </w:rPr>
              <w:t>×10</w:t>
            </w:r>
            <w:r>
              <w:rPr>
                <w:rFonts w:hint="default" w:ascii="Times New Roman" w:hAnsi="Times New Roman" w:eastAsia="宋体" w:cs="Times New Roman"/>
                <w:color w:val="auto"/>
                <w:sz w:val="21"/>
                <w:szCs w:val="21"/>
                <w:highlight w:val="none"/>
                <w:vertAlign w:val="superscript"/>
              </w:rPr>
              <w:t>-</w:t>
            </w:r>
            <w:r>
              <w:rPr>
                <w:rFonts w:hint="default" w:ascii="Times New Roman" w:hAnsi="Times New Roman" w:eastAsia="宋体" w:cs="Times New Roman"/>
                <w:color w:val="auto"/>
                <w:sz w:val="21"/>
                <w:szCs w:val="21"/>
                <w:highlight w:val="none"/>
                <w:vertAlign w:val="superscript"/>
                <w:lang w:val="en-US" w:eastAsia="zh-CN"/>
              </w:rPr>
              <w:t>4</w:t>
            </w:r>
          </w:p>
        </w:tc>
        <w:tc>
          <w:tcPr>
            <w:tcW w:w="659" w:type="dxa"/>
            <w:vMerge w:val="restart"/>
            <w:tcBorders>
              <w:left w:val="single" w:color="000000" w:sz="4" w:space="0"/>
            </w:tcBorders>
            <w:vAlign w:val="center"/>
          </w:tcPr>
          <w:p w14:paraId="14681190">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7440</w:t>
            </w:r>
          </w:p>
        </w:tc>
      </w:tr>
      <w:tr w14:paraId="196048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Merge w:val="continue"/>
            <w:vAlign w:val="center"/>
          </w:tcPr>
          <w:p w14:paraId="078D56CE">
            <w:pPr>
              <w:widowControl/>
              <w:spacing w:line="360" w:lineRule="exact"/>
              <w:ind w:firstLine="0" w:firstLineChars="0"/>
              <w:jc w:val="center"/>
              <w:rPr>
                <w:rFonts w:hint="default" w:ascii="Times New Roman" w:hAnsi="Times New Roman" w:eastAsia="宋体" w:cs="Times New Roman"/>
                <w:color w:val="auto"/>
                <w:sz w:val="21"/>
                <w:szCs w:val="21"/>
                <w:highlight w:val="none"/>
              </w:rPr>
            </w:pPr>
          </w:p>
        </w:tc>
        <w:tc>
          <w:tcPr>
            <w:tcW w:w="704" w:type="dxa"/>
            <w:vMerge w:val="continue"/>
            <w:vAlign w:val="center"/>
          </w:tcPr>
          <w:p w14:paraId="0F3D2F91">
            <w:pPr>
              <w:widowControl/>
              <w:spacing w:line="360" w:lineRule="exact"/>
              <w:ind w:firstLine="0" w:firstLineChars="0"/>
              <w:jc w:val="center"/>
              <w:rPr>
                <w:rFonts w:hint="default" w:ascii="Times New Roman" w:hAnsi="Times New Roman" w:eastAsia="宋体" w:cs="Times New Roman"/>
                <w:color w:val="auto"/>
                <w:sz w:val="21"/>
                <w:szCs w:val="21"/>
                <w:highlight w:val="none"/>
              </w:rPr>
            </w:pPr>
          </w:p>
        </w:tc>
        <w:tc>
          <w:tcPr>
            <w:tcW w:w="889" w:type="dxa"/>
            <w:vMerge w:val="continue"/>
            <w:vAlign w:val="center"/>
          </w:tcPr>
          <w:p w14:paraId="384A7576">
            <w:pPr>
              <w:widowControl/>
              <w:spacing w:line="360" w:lineRule="exact"/>
              <w:ind w:firstLine="0" w:firstLineChars="0"/>
              <w:jc w:val="center"/>
              <w:rPr>
                <w:rFonts w:hint="default" w:ascii="Times New Roman" w:hAnsi="Times New Roman" w:eastAsia="宋体" w:cs="Times New Roman"/>
                <w:color w:val="auto"/>
                <w:sz w:val="21"/>
                <w:szCs w:val="21"/>
                <w:highlight w:val="none"/>
              </w:rPr>
            </w:pPr>
          </w:p>
        </w:tc>
        <w:tc>
          <w:tcPr>
            <w:tcW w:w="859" w:type="dxa"/>
            <w:vAlign w:val="center"/>
          </w:tcPr>
          <w:p w14:paraId="167EF1CC">
            <w:pPr>
              <w:widowControl/>
              <w:spacing w:line="360" w:lineRule="exac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硫化氢</w:t>
            </w:r>
          </w:p>
        </w:tc>
        <w:tc>
          <w:tcPr>
            <w:tcW w:w="720" w:type="dxa"/>
            <w:vMerge w:val="continue"/>
            <w:vAlign w:val="center"/>
          </w:tcPr>
          <w:p w14:paraId="68B79C9B">
            <w:pPr>
              <w:spacing w:line="360" w:lineRule="exact"/>
              <w:ind w:firstLine="0" w:firstLineChars="0"/>
              <w:jc w:val="center"/>
              <w:rPr>
                <w:rFonts w:hint="default" w:ascii="Times New Roman" w:hAnsi="Times New Roman" w:cs="Times New Roman"/>
                <w:color w:val="auto"/>
                <w:sz w:val="21"/>
                <w:szCs w:val="21"/>
                <w:highlight w:val="none"/>
              </w:rPr>
            </w:pPr>
          </w:p>
        </w:tc>
        <w:tc>
          <w:tcPr>
            <w:tcW w:w="818" w:type="dxa"/>
            <w:vMerge w:val="continue"/>
            <w:vAlign w:val="center"/>
          </w:tcPr>
          <w:p w14:paraId="4EC6713A">
            <w:pPr>
              <w:spacing w:line="360" w:lineRule="exact"/>
              <w:ind w:firstLine="0" w:firstLineChars="0"/>
              <w:jc w:val="center"/>
              <w:rPr>
                <w:rFonts w:hint="default" w:ascii="Times New Roman" w:hAnsi="Times New Roman" w:cs="Times New Roman"/>
                <w:color w:val="auto"/>
                <w:sz w:val="21"/>
                <w:szCs w:val="21"/>
                <w:highlight w:val="none"/>
              </w:rPr>
            </w:pPr>
          </w:p>
        </w:tc>
        <w:tc>
          <w:tcPr>
            <w:tcW w:w="902" w:type="dxa"/>
            <w:vAlign w:val="center"/>
          </w:tcPr>
          <w:p w14:paraId="75E3104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220" w:type="dxa"/>
            <w:vAlign w:val="center"/>
          </w:tcPr>
          <w:p w14:paraId="5A1AFE7F">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1.9</w:t>
            </w:r>
            <w:r>
              <w:rPr>
                <w:rFonts w:hint="default" w:ascii="Times New Roman" w:hAnsi="Times New Roman" w:cs="Times New Roman"/>
                <w:snapToGrid w:val="0"/>
                <w:color w:val="auto"/>
                <w:sz w:val="21"/>
                <w:szCs w:val="21"/>
                <w:highlight w:val="none"/>
                <w:lang w:val="zh-CN"/>
              </w:rPr>
              <w:t>×</w:t>
            </w:r>
            <w:r>
              <w:rPr>
                <w:rFonts w:hint="default" w:ascii="Times New Roman" w:hAnsi="Times New Roman" w:cs="Times New Roman"/>
                <w:color w:val="auto"/>
                <w:sz w:val="21"/>
                <w:szCs w:val="21"/>
                <w:highlight w:val="none"/>
                <w:lang w:eastAsia="zh-CN"/>
              </w:rPr>
              <w:t>10</w:t>
            </w:r>
            <w:r>
              <w:rPr>
                <w:rFonts w:hint="default" w:ascii="Times New Roman" w:hAnsi="Times New Roman" w:cs="Times New Roman"/>
                <w:color w:val="auto"/>
                <w:sz w:val="21"/>
                <w:szCs w:val="21"/>
                <w:highlight w:val="none"/>
                <w:vertAlign w:val="superscript"/>
              </w:rPr>
              <w:t>-</w:t>
            </w:r>
            <w:r>
              <w:rPr>
                <w:rFonts w:hint="default" w:ascii="Times New Roman" w:hAnsi="Times New Roman" w:cs="Times New Roman"/>
                <w:color w:val="auto"/>
                <w:sz w:val="21"/>
                <w:szCs w:val="21"/>
                <w:highlight w:val="none"/>
                <w:vertAlign w:val="superscript"/>
                <w:lang w:val="en-US" w:eastAsia="zh-CN"/>
              </w:rPr>
              <w:t>4</w:t>
            </w:r>
          </w:p>
        </w:tc>
        <w:tc>
          <w:tcPr>
            <w:tcW w:w="1715" w:type="dxa"/>
            <w:vMerge w:val="continue"/>
            <w:vAlign w:val="center"/>
          </w:tcPr>
          <w:p w14:paraId="23C30A12">
            <w:pPr>
              <w:spacing w:line="360" w:lineRule="exact"/>
              <w:ind w:firstLine="0" w:firstLineChars="0"/>
              <w:jc w:val="center"/>
              <w:rPr>
                <w:rFonts w:hint="default" w:ascii="Times New Roman" w:hAnsi="Times New Roman" w:cs="Times New Roman"/>
                <w:color w:val="auto"/>
                <w:sz w:val="21"/>
                <w:szCs w:val="21"/>
                <w:highlight w:val="none"/>
              </w:rPr>
            </w:pPr>
          </w:p>
        </w:tc>
        <w:tc>
          <w:tcPr>
            <w:tcW w:w="778" w:type="dxa"/>
            <w:vMerge w:val="continue"/>
            <w:vAlign w:val="center"/>
          </w:tcPr>
          <w:p w14:paraId="627B3837">
            <w:pPr>
              <w:spacing w:line="360" w:lineRule="exact"/>
              <w:ind w:firstLine="0" w:firstLineChars="0"/>
              <w:jc w:val="center"/>
              <w:rPr>
                <w:rFonts w:hint="default" w:ascii="Times New Roman" w:hAnsi="Times New Roman" w:cs="Times New Roman"/>
                <w:color w:val="auto"/>
                <w:sz w:val="21"/>
                <w:szCs w:val="21"/>
                <w:highlight w:val="none"/>
              </w:rPr>
            </w:pPr>
          </w:p>
        </w:tc>
        <w:tc>
          <w:tcPr>
            <w:tcW w:w="711" w:type="dxa"/>
            <w:vMerge w:val="continue"/>
            <w:tcBorders>
              <w:right w:val="single" w:color="000000" w:sz="4" w:space="0"/>
            </w:tcBorders>
            <w:vAlign w:val="center"/>
          </w:tcPr>
          <w:p w14:paraId="028864E5">
            <w:pPr>
              <w:spacing w:line="360" w:lineRule="exact"/>
              <w:ind w:firstLine="0" w:firstLineChars="0"/>
              <w:jc w:val="center"/>
              <w:rPr>
                <w:rFonts w:hint="default" w:ascii="Times New Roman" w:hAnsi="Times New Roman" w:cs="Times New Roman"/>
                <w:color w:val="auto"/>
                <w:sz w:val="21"/>
                <w:szCs w:val="21"/>
                <w:highlight w:val="none"/>
              </w:rPr>
            </w:pPr>
          </w:p>
        </w:tc>
        <w:tc>
          <w:tcPr>
            <w:tcW w:w="879" w:type="dxa"/>
            <w:vMerge w:val="continue"/>
            <w:tcBorders>
              <w:left w:val="single" w:color="000000" w:sz="4" w:space="0"/>
            </w:tcBorders>
            <w:vAlign w:val="center"/>
          </w:tcPr>
          <w:p w14:paraId="4B4784E5">
            <w:pPr>
              <w:spacing w:line="360" w:lineRule="exact"/>
              <w:ind w:firstLine="0" w:firstLineChars="0"/>
              <w:jc w:val="center"/>
              <w:rPr>
                <w:rFonts w:hint="default" w:ascii="Times New Roman" w:hAnsi="Times New Roman" w:cs="Times New Roman"/>
                <w:color w:val="auto"/>
                <w:sz w:val="21"/>
                <w:szCs w:val="21"/>
                <w:highlight w:val="none"/>
              </w:rPr>
            </w:pPr>
          </w:p>
        </w:tc>
        <w:tc>
          <w:tcPr>
            <w:tcW w:w="1002" w:type="dxa"/>
            <w:vAlign w:val="center"/>
          </w:tcPr>
          <w:p w14:paraId="1C5EE7F6">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181" w:type="dxa"/>
            <w:tcBorders>
              <w:right w:val="single" w:color="000000" w:sz="4" w:space="0"/>
            </w:tcBorders>
            <w:vAlign w:val="center"/>
          </w:tcPr>
          <w:p w14:paraId="13A77801">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3.75</w:t>
            </w:r>
            <w:r>
              <w:rPr>
                <w:rFonts w:hint="default" w:ascii="Times New Roman" w:hAnsi="Times New Roman" w:eastAsia="宋体" w:cs="Times New Roman"/>
                <w:color w:val="auto"/>
                <w:sz w:val="21"/>
                <w:szCs w:val="21"/>
                <w:highlight w:val="none"/>
              </w:rPr>
              <w:t>×10</w:t>
            </w:r>
            <w:r>
              <w:rPr>
                <w:rFonts w:hint="default" w:ascii="Times New Roman" w:hAnsi="Times New Roman" w:eastAsia="宋体" w:cs="Times New Roman"/>
                <w:color w:val="auto"/>
                <w:sz w:val="21"/>
                <w:szCs w:val="21"/>
                <w:highlight w:val="none"/>
                <w:vertAlign w:val="superscript"/>
              </w:rPr>
              <w:t>-</w:t>
            </w:r>
            <w:r>
              <w:rPr>
                <w:rFonts w:hint="default" w:ascii="Times New Roman" w:hAnsi="Times New Roman" w:eastAsia="宋体" w:cs="Times New Roman"/>
                <w:color w:val="auto"/>
                <w:sz w:val="21"/>
                <w:szCs w:val="21"/>
                <w:highlight w:val="none"/>
                <w:vertAlign w:val="superscript"/>
                <w:lang w:val="en-US" w:eastAsia="zh-CN"/>
              </w:rPr>
              <w:t>5</w:t>
            </w:r>
          </w:p>
        </w:tc>
        <w:tc>
          <w:tcPr>
            <w:tcW w:w="659" w:type="dxa"/>
            <w:vMerge w:val="continue"/>
            <w:tcBorders>
              <w:left w:val="single" w:color="000000" w:sz="4" w:space="0"/>
            </w:tcBorders>
            <w:vAlign w:val="center"/>
          </w:tcPr>
          <w:p w14:paraId="487D3972">
            <w:pPr>
              <w:spacing w:line="360" w:lineRule="exact"/>
              <w:ind w:firstLine="0" w:firstLineChars="0"/>
              <w:jc w:val="center"/>
              <w:rPr>
                <w:rFonts w:hint="default" w:ascii="Times New Roman" w:hAnsi="Times New Roman" w:cs="Times New Roman"/>
                <w:color w:val="auto"/>
                <w:sz w:val="21"/>
                <w:szCs w:val="21"/>
                <w:highlight w:val="none"/>
              </w:rPr>
            </w:pPr>
          </w:p>
        </w:tc>
      </w:tr>
      <w:tr w14:paraId="094DAB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79" w:type="dxa"/>
            <w:vAlign w:val="center"/>
          </w:tcPr>
          <w:p w14:paraId="08752F51">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固废暂存</w:t>
            </w:r>
          </w:p>
        </w:tc>
        <w:tc>
          <w:tcPr>
            <w:tcW w:w="704" w:type="dxa"/>
            <w:vAlign w:val="center"/>
          </w:tcPr>
          <w:p w14:paraId="39C33FB6">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固废暂存间</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lang w:val="en-US" w:eastAsia="zh-CN"/>
              </w:rPr>
              <w:t>毛皮暂存间</w:t>
            </w:r>
          </w:p>
        </w:tc>
        <w:tc>
          <w:tcPr>
            <w:tcW w:w="889" w:type="dxa"/>
            <w:vAlign w:val="center"/>
          </w:tcPr>
          <w:p w14:paraId="7258B84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无组织</w:t>
            </w:r>
          </w:p>
        </w:tc>
        <w:tc>
          <w:tcPr>
            <w:tcW w:w="859" w:type="dxa"/>
            <w:vAlign w:val="center"/>
          </w:tcPr>
          <w:p w14:paraId="70091690">
            <w:pPr>
              <w:pStyle w:val="370"/>
              <w:adjustRightInd w:val="0"/>
              <w:snapToGrid w:val="0"/>
              <w:spacing w:line="360" w:lineRule="exact"/>
              <w:ind w:right="0" w:rightChars="0"/>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恶臭</w:t>
            </w:r>
          </w:p>
        </w:tc>
        <w:tc>
          <w:tcPr>
            <w:tcW w:w="720" w:type="dxa"/>
            <w:vAlign w:val="center"/>
          </w:tcPr>
          <w:p w14:paraId="53B8C6EE">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818" w:type="dxa"/>
            <w:vAlign w:val="center"/>
          </w:tcPr>
          <w:p w14:paraId="115FAAA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902" w:type="dxa"/>
            <w:vAlign w:val="center"/>
          </w:tcPr>
          <w:p w14:paraId="3681A5B3">
            <w:pPr>
              <w:pStyle w:val="370"/>
              <w:adjustRightInd w:val="0"/>
              <w:snapToGrid w:val="0"/>
              <w:spacing w:line="360" w:lineRule="exact"/>
              <w:ind w:right="0" w:rightChars="0"/>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w:t>
            </w:r>
          </w:p>
        </w:tc>
        <w:tc>
          <w:tcPr>
            <w:tcW w:w="1220" w:type="dxa"/>
            <w:vAlign w:val="center"/>
          </w:tcPr>
          <w:p w14:paraId="4A5AE836">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少量</w:t>
            </w:r>
          </w:p>
        </w:tc>
        <w:tc>
          <w:tcPr>
            <w:tcW w:w="1715" w:type="dxa"/>
            <w:vAlign w:val="center"/>
          </w:tcPr>
          <w:p w14:paraId="0E4121F4">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各储存池密封</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kern w:val="0"/>
                <w:sz w:val="21"/>
                <w:szCs w:val="21"/>
                <w:highlight w:val="none"/>
              </w:rPr>
              <w:t>喷洒除臭剂</w:t>
            </w:r>
          </w:p>
        </w:tc>
        <w:tc>
          <w:tcPr>
            <w:tcW w:w="778" w:type="dxa"/>
            <w:vAlign w:val="center"/>
          </w:tcPr>
          <w:p w14:paraId="57BB82F2">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711" w:type="dxa"/>
            <w:tcBorders>
              <w:right w:val="single" w:color="000000" w:sz="4" w:space="0"/>
            </w:tcBorders>
            <w:vAlign w:val="center"/>
          </w:tcPr>
          <w:p w14:paraId="1E3780E5">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879" w:type="dxa"/>
            <w:tcBorders>
              <w:left w:val="single" w:color="000000" w:sz="4" w:space="0"/>
            </w:tcBorders>
            <w:vAlign w:val="center"/>
          </w:tcPr>
          <w:p w14:paraId="77019CDB">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1002" w:type="dxa"/>
            <w:vAlign w:val="center"/>
          </w:tcPr>
          <w:p w14:paraId="2AFB6FF7">
            <w:pPr>
              <w:pStyle w:val="370"/>
              <w:adjustRightInd w:val="0"/>
              <w:snapToGrid w:val="0"/>
              <w:spacing w:line="360" w:lineRule="exact"/>
              <w:ind w:right="0" w:rightChars="0"/>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w:t>
            </w:r>
          </w:p>
        </w:tc>
        <w:tc>
          <w:tcPr>
            <w:tcW w:w="1181" w:type="dxa"/>
            <w:tcBorders>
              <w:right w:val="single" w:color="000000" w:sz="4" w:space="0"/>
            </w:tcBorders>
            <w:vAlign w:val="center"/>
          </w:tcPr>
          <w:p w14:paraId="4DD38D9B">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少量</w:t>
            </w:r>
          </w:p>
        </w:tc>
        <w:tc>
          <w:tcPr>
            <w:tcW w:w="659" w:type="dxa"/>
            <w:tcBorders>
              <w:left w:val="single" w:color="000000" w:sz="4" w:space="0"/>
            </w:tcBorders>
            <w:vAlign w:val="center"/>
          </w:tcPr>
          <w:p w14:paraId="675F985E">
            <w:pPr>
              <w:spacing w:line="360" w:lineRule="exact"/>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r>
    </w:tbl>
    <w:p w14:paraId="2EF9CD6F">
      <w:pPr>
        <w:spacing w:line="500" w:lineRule="exact"/>
        <w:ind w:firstLine="0" w:firstLineChars="0"/>
        <w:rPr>
          <w:rFonts w:hint="default" w:cs="Times New Roman"/>
          <w:snapToGrid w:val="0"/>
          <w:color w:val="auto"/>
          <w:highlight w:val="none"/>
          <w:lang w:val="en-US"/>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26" w:charSpace="0"/>
        </w:sectPr>
      </w:pPr>
    </w:p>
    <w:bookmarkEnd w:id="138"/>
    <w:p w14:paraId="60B4CCB0">
      <w:pPr>
        <w:keepNext/>
        <w:keepLines/>
        <w:spacing w:line="500" w:lineRule="exact"/>
        <w:ind w:firstLine="0" w:firstLineChars="0"/>
        <w:outlineLvl w:val="3"/>
        <w:rPr>
          <w:rFonts w:cs="Times New Roman"/>
          <w:b/>
          <w:bCs/>
          <w:snapToGrid w:val="0"/>
          <w:color w:val="auto"/>
          <w:szCs w:val="20"/>
          <w:highlight w:val="none"/>
          <w:lang w:val="zh-CN"/>
        </w:rPr>
      </w:pPr>
      <w:r>
        <w:rPr>
          <w:rFonts w:cs="Times New Roman"/>
          <w:b/>
          <w:bCs/>
          <w:snapToGrid w:val="0"/>
          <w:color w:val="auto"/>
          <w:szCs w:val="20"/>
          <w:highlight w:val="none"/>
          <w:lang w:val="zh-CN"/>
        </w:rPr>
        <w:t>3.4.2.2废水</w:t>
      </w:r>
    </w:p>
    <w:p w14:paraId="012848AE">
      <w:pPr>
        <w:pStyle w:val="117"/>
        <w:rPr>
          <w:rFonts w:cs="Times New Roman"/>
          <w:snapToGrid w:val="0"/>
          <w:color w:val="auto"/>
          <w:highlight w:val="none"/>
        </w:rPr>
      </w:pPr>
      <w:r>
        <w:rPr>
          <w:rFonts w:cs="Times New Roman"/>
          <w:snapToGrid w:val="0"/>
          <w:color w:val="auto"/>
          <w:highlight w:val="none"/>
        </w:rPr>
        <w:t>本项目产生的废水主要为</w:t>
      </w:r>
      <w:r>
        <w:rPr>
          <w:rFonts w:cs="Times New Roman"/>
          <w:snapToGrid w:val="0"/>
          <w:color w:val="auto"/>
          <w:kern w:val="0"/>
          <w:highlight w:val="none"/>
        </w:rPr>
        <w:t>职工生活污水、屠宰废水</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车辆冲洗废水</w:t>
      </w:r>
      <w:r>
        <w:rPr>
          <w:rFonts w:cs="Times New Roman"/>
          <w:snapToGrid w:val="0"/>
          <w:color w:val="auto"/>
          <w:highlight w:val="none"/>
        </w:rPr>
        <w:t>。</w:t>
      </w:r>
    </w:p>
    <w:p w14:paraId="3C19C5F7">
      <w:pPr>
        <w:pStyle w:val="117"/>
        <w:ind w:firstLine="482"/>
        <w:rPr>
          <w:rFonts w:cs="Times New Roman"/>
          <w:b/>
          <w:bCs/>
          <w:snapToGrid w:val="0"/>
          <w:color w:val="auto"/>
          <w:highlight w:val="none"/>
        </w:rPr>
      </w:pPr>
      <w:r>
        <w:rPr>
          <w:rFonts w:cs="Times New Roman"/>
          <w:b/>
          <w:bCs/>
          <w:snapToGrid w:val="0"/>
          <w:color w:val="auto"/>
          <w:highlight w:val="none"/>
        </w:rPr>
        <w:t>1、正常工况</w:t>
      </w:r>
    </w:p>
    <w:p w14:paraId="52EDFF21">
      <w:pPr>
        <w:pStyle w:val="117"/>
        <w:rPr>
          <w:rFonts w:cs="Times New Roman"/>
          <w:snapToGrid w:val="0"/>
          <w:color w:val="auto"/>
          <w:highlight w:val="none"/>
        </w:rPr>
      </w:pPr>
      <w:r>
        <w:rPr>
          <w:rFonts w:cs="Times New Roman"/>
          <w:snapToGrid w:val="0"/>
          <w:color w:val="auto"/>
          <w:highlight w:val="none"/>
        </w:rPr>
        <w:t>（1）生活污水</w:t>
      </w:r>
    </w:p>
    <w:p w14:paraId="6894716F">
      <w:pPr>
        <w:pStyle w:val="117"/>
        <w:rPr>
          <w:rFonts w:cs="Times New Roman"/>
          <w:snapToGrid w:val="0"/>
          <w:color w:val="auto"/>
          <w:highlight w:val="none"/>
        </w:rPr>
      </w:pPr>
      <w:r>
        <w:rPr>
          <w:rFonts w:cs="Times New Roman"/>
          <w:color w:val="auto"/>
          <w:szCs w:val="24"/>
          <w:highlight w:val="none"/>
        </w:rPr>
        <w:t>本项目职工人数为</w:t>
      </w:r>
      <w:r>
        <w:rPr>
          <w:rFonts w:hint="eastAsia" w:cs="Times New Roman"/>
          <w:color w:val="auto"/>
          <w:szCs w:val="24"/>
          <w:highlight w:val="none"/>
          <w:lang w:val="en-US" w:eastAsia="zh-CN"/>
        </w:rPr>
        <w:t>3</w:t>
      </w:r>
      <w:r>
        <w:rPr>
          <w:rFonts w:cs="Times New Roman"/>
          <w:color w:val="auto"/>
          <w:szCs w:val="24"/>
          <w:highlight w:val="none"/>
        </w:rPr>
        <w:t>0人，年工作3</w:t>
      </w:r>
      <w:r>
        <w:rPr>
          <w:rFonts w:hint="eastAsia" w:cs="Times New Roman"/>
          <w:color w:val="auto"/>
          <w:szCs w:val="24"/>
          <w:highlight w:val="none"/>
          <w:lang w:val="en-US" w:eastAsia="zh-CN"/>
        </w:rPr>
        <w:t>1</w:t>
      </w:r>
      <w:r>
        <w:rPr>
          <w:rFonts w:cs="Times New Roman"/>
          <w:color w:val="auto"/>
          <w:szCs w:val="24"/>
          <w:highlight w:val="none"/>
        </w:rPr>
        <w:t>0d，</w:t>
      </w:r>
      <w:r>
        <w:rPr>
          <w:rFonts w:cs="Times New Roman"/>
          <w:snapToGrid w:val="0"/>
          <w:color w:val="auto"/>
          <w:highlight w:val="none"/>
        </w:rPr>
        <w:t>排水量按用水量的80%计，则生活污水量为</w:t>
      </w:r>
      <w:r>
        <w:rPr>
          <w:rFonts w:hint="eastAsia" w:cs="Times New Roman"/>
          <w:snapToGrid w:val="0"/>
          <w:color w:val="auto"/>
          <w:highlight w:val="none"/>
          <w:lang w:val="en-US" w:eastAsia="zh-CN"/>
        </w:rPr>
        <w:t>1.92</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/d</w:t>
      </w:r>
      <w:r>
        <w:rPr>
          <w:rFonts w:cs="Times New Roman"/>
          <w:snapToGrid w:val="0"/>
          <w:color w:val="auto"/>
          <w:highlight w:val="none"/>
        </w:rPr>
        <w:t>，</w:t>
      </w:r>
      <w:r>
        <w:rPr>
          <w:rFonts w:hint="eastAsia" w:cs="Times New Roman"/>
          <w:snapToGrid w:val="0"/>
          <w:color w:val="auto"/>
          <w:highlight w:val="none"/>
          <w:lang w:val="en-US" w:eastAsia="zh-CN"/>
        </w:rPr>
        <w:t>595.2</w:t>
      </w:r>
      <w:r>
        <w:rPr>
          <w:rFonts w:cs="Times New Roman"/>
          <w:snapToGrid w:val="0"/>
          <w:color w:val="auto"/>
          <w:highlight w:val="none"/>
        </w:rPr>
        <w:t>t/a。</w:t>
      </w:r>
      <w:r>
        <w:rPr>
          <w:rFonts w:cs="Times New Roman"/>
          <w:color w:val="auto"/>
          <w:spacing w:val="12"/>
          <w:szCs w:val="24"/>
          <w:highlight w:val="none"/>
        </w:rPr>
        <w:t>COD浓度为300mg/L，氨氮浓度为30mg/L。</w:t>
      </w:r>
    </w:p>
    <w:p w14:paraId="564DA4AF">
      <w:pPr>
        <w:pStyle w:val="117"/>
        <w:rPr>
          <w:rFonts w:cs="Times New Roman"/>
          <w:snapToGrid w:val="0"/>
          <w:color w:val="auto"/>
          <w:highlight w:val="none"/>
        </w:rPr>
      </w:pPr>
      <w:r>
        <w:rPr>
          <w:rFonts w:cs="Times New Roman"/>
          <w:snapToGrid w:val="0"/>
          <w:color w:val="auto"/>
          <w:highlight w:val="none"/>
        </w:rPr>
        <w:t>（2）屠宰废水</w:t>
      </w:r>
    </w:p>
    <w:p w14:paraId="38BFDB17">
      <w:pPr>
        <w:adjustRightInd/>
        <w:snapToGrid/>
        <w:spacing w:line="500" w:lineRule="exact"/>
        <w:ind w:firstLineChars="0"/>
        <w:rPr>
          <w:rFonts w:cs="Times New Roman"/>
          <w:snapToGrid w:val="0"/>
          <w:color w:val="auto"/>
          <w:kern w:val="0"/>
          <w:highlight w:val="none"/>
        </w:rPr>
      </w:pPr>
      <w:r>
        <w:rPr>
          <w:rFonts w:cs="Times New Roman"/>
          <w:color w:val="auto"/>
          <w:highlight w:val="none"/>
        </w:rPr>
        <w:t>屠宰废水指屠宰过程</w:t>
      </w:r>
      <w:r>
        <w:rPr>
          <w:rFonts w:cs="Times New Roman"/>
          <w:snapToGrid w:val="0"/>
          <w:color w:val="auto"/>
          <w:kern w:val="0"/>
          <w:highlight w:val="none"/>
        </w:rPr>
        <w:t>产生的废水，包括屠宰时进行的圈栏冲洗、胴体及内脏洗涤、</w:t>
      </w:r>
      <w:r>
        <w:rPr>
          <w:rFonts w:hint="eastAsia" w:cs="Times New Roman"/>
          <w:snapToGrid w:val="0"/>
          <w:color w:val="auto"/>
          <w:kern w:val="0"/>
          <w:highlight w:val="none"/>
          <w:lang w:val="en-US" w:eastAsia="zh-CN"/>
        </w:rPr>
        <w:t>分割、</w:t>
      </w:r>
      <w:r>
        <w:rPr>
          <w:rFonts w:cs="Times New Roman"/>
          <w:snapToGrid w:val="0"/>
          <w:color w:val="auto"/>
          <w:kern w:val="0"/>
          <w:highlight w:val="none"/>
        </w:rPr>
        <w:t>车间冲洗</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冷库排酸水、检疫室排水</w:t>
      </w:r>
      <w:r>
        <w:rPr>
          <w:rFonts w:cs="Times New Roman"/>
          <w:snapToGrid w:val="0"/>
          <w:color w:val="auto"/>
          <w:kern w:val="0"/>
          <w:highlight w:val="none"/>
        </w:rPr>
        <w:t>等过程产生的废水，宏观上主要含有的污染物为血污、碎肉、</w:t>
      </w:r>
      <w:r>
        <w:rPr>
          <w:rFonts w:hint="eastAsia" w:cs="Times New Roman"/>
          <w:snapToGrid w:val="0"/>
          <w:color w:val="auto"/>
          <w:kern w:val="0"/>
          <w:highlight w:val="none"/>
          <w:lang w:val="en-US" w:eastAsia="zh-CN"/>
        </w:rPr>
        <w:t>畜</w:t>
      </w:r>
      <w:r>
        <w:rPr>
          <w:rFonts w:cs="Times New Roman"/>
          <w:snapToGrid w:val="0"/>
          <w:color w:val="auto"/>
          <w:kern w:val="0"/>
          <w:highlight w:val="none"/>
        </w:rPr>
        <w:t>毛、未消化的食物及尿液等，微观上主要含有的污染物为COD、BOD</w:t>
      </w:r>
      <w:r>
        <w:rPr>
          <w:rFonts w:cs="Times New Roman"/>
          <w:snapToGrid w:val="0"/>
          <w:color w:val="auto"/>
          <w:kern w:val="0"/>
          <w:highlight w:val="none"/>
          <w:vertAlign w:val="subscript"/>
        </w:rPr>
        <w:t>5</w:t>
      </w:r>
      <w:r>
        <w:rPr>
          <w:rFonts w:cs="Times New Roman"/>
          <w:snapToGrid w:val="0"/>
          <w:color w:val="auto"/>
          <w:kern w:val="0"/>
          <w:highlight w:val="none"/>
        </w:rPr>
        <w:t>、SS、氨氮、</w:t>
      </w:r>
      <w:r>
        <w:rPr>
          <w:rFonts w:ascii="Times New Roman" w:hAnsi="Times New Roman" w:eastAsia="宋体" w:cs="Times New Roman"/>
          <w:snapToGrid w:val="0"/>
          <w:color w:val="auto"/>
          <w:kern w:val="0"/>
          <w:highlight w:val="none"/>
        </w:rPr>
        <w:t>动植物油、总氮及总磷。</w:t>
      </w:r>
    </w:p>
    <w:p w14:paraId="0C76E1DB">
      <w:pPr>
        <w:adjustRightInd/>
        <w:snapToGrid/>
        <w:spacing w:line="500" w:lineRule="exact"/>
        <w:ind w:firstLineChars="0"/>
        <w:rPr>
          <w:rFonts w:cs="Times New Roman"/>
          <w:snapToGrid w:val="0"/>
          <w:color w:val="auto"/>
          <w:kern w:val="0"/>
          <w:szCs w:val="24"/>
          <w:highlight w:val="none"/>
        </w:rPr>
      </w:pPr>
      <w:r>
        <w:rPr>
          <w:rFonts w:cs="Times New Roman"/>
          <w:snapToGrid w:val="0"/>
          <w:color w:val="auto"/>
          <w:kern w:val="0"/>
          <w:highlight w:val="none"/>
        </w:rPr>
        <w:t>本项目</w:t>
      </w:r>
      <w:r>
        <w:rPr>
          <w:rFonts w:hint="eastAsia" w:cs="Times New Roman"/>
          <w:color w:val="auto"/>
          <w:highlight w:val="none"/>
        </w:rPr>
        <w:t>屠宰量为肉牛</w:t>
      </w:r>
      <w:r>
        <w:rPr>
          <w:rFonts w:hint="eastAsia" w:cs="Times New Roman"/>
          <w:color w:val="auto"/>
          <w:highlight w:val="none"/>
          <w:lang w:val="en-US" w:eastAsia="zh-CN"/>
        </w:rPr>
        <w:t>100</w:t>
      </w:r>
      <w:r>
        <w:rPr>
          <w:rFonts w:hint="eastAsia" w:cs="Times New Roman"/>
          <w:color w:val="auto"/>
          <w:highlight w:val="none"/>
        </w:rPr>
        <w:t>头/d，肉羊</w:t>
      </w:r>
      <w:r>
        <w:rPr>
          <w:rFonts w:hint="eastAsia" w:cs="Times New Roman"/>
          <w:color w:val="auto"/>
          <w:highlight w:val="none"/>
          <w:lang w:val="en-US" w:eastAsia="zh-CN"/>
        </w:rPr>
        <w:t>500</w:t>
      </w:r>
      <w:r>
        <w:rPr>
          <w:rFonts w:hint="eastAsia" w:cs="Times New Roman"/>
          <w:color w:val="auto"/>
          <w:highlight w:val="none"/>
        </w:rPr>
        <w:t>只/d</w:t>
      </w:r>
      <w:r>
        <w:rPr>
          <w:rFonts w:hint="eastAsia" w:cs="Times New Roman"/>
          <w:color w:val="auto"/>
          <w:highlight w:val="none"/>
          <w:lang w:eastAsia="zh-CN"/>
        </w:rPr>
        <w:t>，</w:t>
      </w:r>
      <w:r>
        <w:rPr>
          <w:rFonts w:hint="eastAsia" w:cs="Times New Roman"/>
          <w:color w:val="auto"/>
          <w:highlight w:val="none"/>
        </w:rPr>
        <w:t>按设计3</w:t>
      </w:r>
      <w:r>
        <w:rPr>
          <w:rFonts w:hint="eastAsia" w:cs="Times New Roman"/>
          <w:color w:val="auto"/>
          <w:highlight w:val="none"/>
          <w:lang w:val="en-US" w:eastAsia="zh-CN"/>
        </w:rPr>
        <w:t>1</w:t>
      </w:r>
      <w:r>
        <w:rPr>
          <w:rFonts w:cs="Times New Roman"/>
          <w:color w:val="auto"/>
          <w:highlight w:val="none"/>
        </w:rPr>
        <w:t>0</w:t>
      </w:r>
      <w:r>
        <w:rPr>
          <w:rFonts w:hint="eastAsia" w:cs="Times New Roman"/>
          <w:color w:val="auto"/>
          <w:highlight w:val="none"/>
        </w:rPr>
        <w:t>天工作计算，</w:t>
      </w:r>
      <w:r>
        <w:rPr>
          <w:rFonts w:hint="eastAsia" w:cs="Times New Roman"/>
          <w:color w:val="auto"/>
          <w:highlight w:val="none"/>
          <w:lang w:eastAsia="zh-CN"/>
        </w:rPr>
        <w:t>年屠宰肉牛</w:t>
      </w:r>
      <w:r>
        <w:rPr>
          <w:rFonts w:hint="eastAsia" w:cs="Times New Roman"/>
          <w:color w:val="auto"/>
          <w:highlight w:val="none"/>
          <w:lang w:val="en-US" w:eastAsia="zh-CN"/>
        </w:rPr>
        <w:t>31000</w:t>
      </w:r>
      <w:r>
        <w:rPr>
          <w:rFonts w:hint="eastAsia" w:cs="Times New Roman"/>
          <w:color w:val="auto"/>
          <w:highlight w:val="none"/>
          <w:lang w:eastAsia="zh-CN"/>
        </w:rPr>
        <w:t>头、肉羊</w:t>
      </w:r>
      <w:r>
        <w:rPr>
          <w:rFonts w:hint="eastAsia" w:cs="Times New Roman"/>
          <w:color w:val="auto"/>
          <w:highlight w:val="none"/>
          <w:lang w:val="en-US" w:eastAsia="zh-CN"/>
        </w:rPr>
        <w:t>155</w:t>
      </w:r>
      <w:r>
        <w:rPr>
          <w:rFonts w:hint="eastAsia" w:cs="Times New Roman"/>
          <w:color w:val="auto"/>
          <w:highlight w:val="none"/>
          <w:lang w:eastAsia="zh-CN"/>
        </w:rPr>
        <w:t>000只。</w:t>
      </w:r>
      <w:r>
        <w:rPr>
          <w:rFonts w:cs="Times New Roman"/>
          <w:snapToGrid w:val="0"/>
          <w:color w:val="auto"/>
          <w:kern w:val="0"/>
          <w:highlight w:val="none"/>
        </w:rPr>
        <w:t>根据</w:t>
      </w:r>
      <w:r>
        <w:rPr>
          <w:rFonts w:ascii="Times New Roman" w:hAnsi="Times New Roman" w:cs="Times New Roman"/>
          <w:color w:val="auto"/>
          <w:highlight w:val="none"/>
        </w:rPr>
        <w:t>《排放源统计调查产排污核算方法和系数手册》中</w:t>
      </w:r>
      <w:r>
        <w:rPr>
          <w:rFonts w:cs="Times New Roman"/>
          <w:snapToGrid w:val="0"/>
          <w:color w:val="auto"/>
          <w:kern w:val="0"/>
          <w:highlight w:val="none"/>
        </w:rPr>
        <w:t>《135屠宰及肉类加工行业系数手册》</w:t>
      </w:r>
      <w:r>
        <w:rPr>
          <w:rFonts w:hint="eastAsia" w:cs="Times New Roman"/>
          <w:snapToGrid w:val="0"/>
          <w:color w:val="auto"/>
          <w:kern w:val="0"/>
          <w:highlight w:val="none"/>
          <w:lang w:val="en-US" w:eastAsia="zh-CN"/>
        </w:rPr>
        <w:t>的</w:t>
      </w:r>
      <w:r>
        <w:rPr>
          <w:rFonts w:cs="Times New Roman"/>
          <w:snapToGrid w:val="0"/>
          <w:color w:val="auto"/>
          <w:kern w:val="0"/>
          <w:highlight w:val="none"/>
        </w:rPr>
        <w:t>1351牲畜屠宰行业产污系数表可知，牛：工业废水量为0.941吨/头牛，</w:t>
      </w:r>
      <w:r>
        <w:rPr>
          <w:rFonts w:cs="Times New Roman"/>
          <w:snapToGrid w:val="0"/>
          <w:color w:val="auto"/>
          <w:kern w:val="0"/>
          <w:szCs w:val="24"/>
          <w:highlight w:val="none"/>
        </w:rPr>
        <w:t>COD产污系数为3.87×10</w:t>
      </w:r>
      <w:r>
        <w:rPr>
          <w:rFonts w:cs="Times New Roman"/>
          <w:snapToGrid w:val="0"/>
          <w:color w:val="auto"/>
          <w:kern w:val="0"/>
          <w:szCs w:val="24"/>
          <w:highlight w:val="none"/>
          <w:vertAlign w:val="superscript"/>
        </w:rPr>
        <w:t>3</w:t>
      </w:r>
      <w:r>
        <w:rPr>
          <w:rFonts w:cs="Times New Roman"/>
          <w:snapToGrid w:val="0"/>
          <w:color w:val="auto"/>
          <w:kern w:val="0"/>
          <w:szCs w:val="24"/>
          <w:highlight w:val="none"/>
        </w:rPr>
        <w:t>克/头，氨氮产污系数为107克/头，总氮为226克/头，总磷为13克/头；羊：</w:t>
      </w:r>
      <w:r>
        <w:rPr>
          <w:rFonts w:cs="Times New Roman"/>
          <w:snapToGrid w:val="0"/>
          <w:color w:val="auto"/>
          <w:kern w:val="0"/>
          <w:highlight w:val="none"/>
        </w:rPr>
        <w:t>工业废水量为0.27吨/</w:t>
      </w:r>
      <w:r>
        <w:rPr>
          <w:rFonts w:hint="eastAsia" w:cs="Times New Roman"/>
          <w:snapToGrid w:val="0"/>
          <w:color w:val="auto"/>
          <w:kern w:val="0"/>
          <w:highlight w:val="none"/>
          <w:lang w:val="en-US" w:eastAsia="zh-CN"/>
        </w:rPr>
        <w:t>只羊</w:t>
      </w:r>
      <w:r>
        <w:rPr>
          <w:rFonts w:cs="Times New Roman"/>
          <w:snapToGrid w:val="0"/>
          <w:color w:val="auto"/>
          <w:kern w:val="0"/>
          <w:highlight w:val="none"/>
        </w:rPr>
        <w:t>，</w:t>
      </w:r>
      <w:r>
        <w:rPr>
          <w:rFonts w:cs="Times New Roman"/>
          <w:snapToGrid w:val="0"/>
          <w:color w:val="auto"/>
          <w:kern w:val="0"/>
          <w:szCs w:val="24"/>
          <w:highlight w:val="none"/>
        </w:rPr>
        <w:t>COD产污系数为471克/只，氨氮产污系数为18克/只，总氮为45克/只，总磷为5.8克/只。</w:t>
      </w:r>
    </w:p>
    <w:p w14:paraId="23651425">
      <w:pPr>
        <w:adjustRightInd/>
        <w:snapToGrid/>
        <w:spacing w:line="500" w:lineRule="exact"/>
        <w:ind w:firstLineChars="0"/>
        <w:rPr>
          <w:rFonts w:hint="eastAsia" w:ascii="Times New Roman" w:hAnsi="Times New Roman" w:eastAsia="宋体" w:cs="Times New Roman"/>
          <w:color w:val="auto"/>
          <w:sz w:val="24"/>
          <w:szCs w:val="24"/>
          <w:highlight w:val="none"/>
          <w:lang w:val="en-US" w:eastAsia="zh-CN"/>
        </w:rPr>
      </w:pPr>
      <w:r>
        <w:rPr>
          <w:rFonts w:cs="Times New Roman"/>
          <w:snapToGrid w:val="0"/>
          <w:color w:val="auto"/>
          <w:kern w:val="0"/>
          <w:highlight w:val="none"/>
        </w:rPr>
        <w:t>本项目屠宰过程中排水量约为</w:t>
      </w:r>
      <w:r>
        <w:rPr>
          <w:rFonts w:hint="eastAsia" w:cs="Times New Roman"/>
          <w:snapToGrid w:val="0"/>
          <w:color w:val="auto"/>
          <w:kern w:val="0"/>
          <w:highlight w:val="none"/>
          <w:lang w:val="en-US" w:eastAsia="zh-CN"/>
        </w:rPr>
        <w:t>71021</w:t>
      </w:r>
      <w:r>
        <w:rPr>
          <w:rFonts w:cs="Times New Roman"/>
          <w:snapToGrid w:val="0"/>
          <w:color w:val="auto"/>
          <w:kern w:val="0"/>
          <w:highlight w:val="none"/>
        </w:rPr>
        <w:t>t/a（</w:t>
      </w:r>
      <w:r>
        <w:rPr>
          <w:rFonts w:hint="eastAsia" w:cs="Times New Roman"/>
          <w:snapToGrid w:val="0"/>
          <w:color w:val="auto"/>
          <w:kern w:val="0"/>
          <w:highlight w:val="none"/>
          <w:lang w:val="en-US" w:eastAsia="zh-CN"/>
        </w:rPr>
        <w:t>229.1</w:t>
      </w:r>
      <w:r>
        <w:rPr>
          <w:rFonts w:cs="Times New Roman"/>
          <w:snapToGrid w:val="0"/>
          <w:color w:val="auto"/>
          <w:kern w:val="0"/>
          <w:highlight w:val="none"/>
        </w:rPr>
        <w:t>t/d），</w:t>
      </w:r>
      <w:r>
        <w:rPr>
          <w:rFonts w:cs="Times New Roman"/>
          <w:snapToGrid w:val="0"/>
          <w:color w:val="auto"/>
          <w:kern w:val="0"/>
          <w:szCs w:val="24"/>
          <w:highlight w:val="none"/>
        </w:rPr>
        <w:t>COD产生量为</w:t>
      </w:r>
      <w:r>
        <w:rPr>
          <w:rFonts w:hint="eastAsia" w:cs="Times New Roman"/>
          <w:snapToGrid w:val="0"/>
          <w:color w:val="auto"/>
          <w:kern w:val="0"/>
          <w:szCs w:val="24"/>
          <w:highlight w:val="none"/>
          <w:lang w:val="en-US" w:eastAsia="zh-CN"/>
        </w:rPr>
        <w:t>192.98</w:t>
      </w:r>
      <w:r>
        <w:rPr>
          <w:rFonts w:cs="Times New Roman"/>
          <w:snapToGrid w:val="0"/>
          <w:color w:val="auto"/>
          <w:kern w:val="0"/>
          <w:szCs w:val="24"/>
          <w:highlight w:val="none"/>
        </w:rPr>
        <w:t>t/a，氨氮产生量为</w:t>
      </w:r>
      <w:r>
        <w:rPr>
          <w:rFonts w:hint="eastAsia" w:cs="Times New Roman"/>
          <w:snapToGrid w:val="0"/>
          <w:color w:val="auto"/>
          <w:kern w:val="0"/>
          <w:szCs w:val="24"/>
          <w:highlight w:val="none"/>
          <w:lang w:val="en-US" w:eastAsia="zh-CN"/>
        </w:rPr>
        <w:t>6.11</w:t>
      </w:r>
      <w:r>
        <w:rPr>
          <w:rFonts w:cs="Times New Roman"/>
          <w:snapToGrid w:val="0"/>
          <w:color w:val="auto"/>
          <w:kern w:val="0"/>
          <w:szCs w:val="24"/>
          <w:highlight w:val="none"/>
        </w:rPr>
        <w:t>t/a，总氮产生量为</w:t>
      </w:r>
      <w:r>
        <w:rPr>
          <w:rFonts w:hint="eastAsia" w:cs="Times New Roman"/>
          <w:snapToGrid w:val="0"/>
          <w:color w:val="auto"/>
          <w:kern w:val="0"/>
          <w:szCs w:val="24"/>
          <w:highlight w:val="none"/>
          <w:lang w:val="en-US" w:eastAsia="zh-CN"/>
        </w:rPr>
        <w:t>13.98</w:t>
      </w:r>
      <w:r>
        <w:rPr>
          <w:rFonts w:cs="Times New Roman"/>
          <w:snapToGrid w:val="0"/>
          <w:color w:val="auto"/>
          <w:kern w:val="0"/>
          <w:szCs w:val="24"/>
          <w:highlight w:val="none"/>
        </w:rPr>
        <w:t>t/a，总磷产生量为</w:t>
      </w:r>
      <w:r>
        <w:rPr>
          <w:rFonts w:hint="eastAsia" w:cs="Times New Roman"/>
          <w:snapToGrid w:val="0"/>
          <w:color w:val="auto"/>
          <w:kern w:val="0"/>
          <w:szCs w:val="24"/>
          <w:highlight w:val="none"/>
          <w:lang w:val="en-US" w:eastAsia="zh-CN"/>
        </w:rPr>
        <w:t>1.30</w:t>
      </w:r>
      <w:r>
        <w:rPr>
          <w:rFonts w:cs="Times New Roman"/>
          <w:snapToGrid w:val="0"/>
          <w:color w:val="auto"/>
          <w:kern w:val="0"/>
          <w:szCs w:val="24"/>
          <w:highlight w:val="none"/>
        </w:rPr>
        <w:t>t/a。本项目屠宰废水COD产生浓度为</w:t>
      </w:r>
      <w:r>
        <w:rPr>
          <w:rFonts w:hint="eastAsia" w:cs="Times New Roman"/>
          <w:snapToGrid w:val="0"/>
          <w:color w:val="auto"/>
          <w:kern w:val="0"/>
          <w:szCs w:val="24"/>
          <w:highlight w:val="none"/>
          <w:lang w:val="en-US" w:eastAsia="zh-CN"/>
        </w:rPr>
        <w:t>2717</w:t>
      </w:r>
      <w:r>
        <w:rPr>
          <w:rFonts w:cs="Times New Roman"/>
          <w:snapToGrid w:val="0"/>
          <w:color w:val="auto"/>
          <w:kern w:val="0"/>
          <w:szCs w:val="24"/>
          <w:highlight w:val="none"/>
        </w:rPr>
        <w:t>mg/L，氨氮产生浓度为</w:t>
      </w:r>
      <w:r>
        <w:rPr>
          <w:rFonts w:hint="eastAsia" w:cs="Times New Roman"/>
          <w:snapToGrid w:val="0"/>
          <w:color w:val="auto"/>
          <w:kern w:val="0"/>
          <w:szCs w:val="24"/>
          <w:highlight w:val="none"/>
          <w:lang w:val="en-US" w:eastAsia="zh-CN"/>
        </w:rPr>
        <w:t>86</w:t>
      </w:r>
      <w:r>
        <w:rPr>
          <w:rFonts w:cs="Times New Roman"/>
          <w:snapToGrid w:val="0"/>
          <w:color w:val="auto"/>
          <w:kern w:val="0"/>
          <w:szCs w:val="24"/>
          <w:highlight w:val="none"/>
        </w:rPr>
        <w:t>mg/L，总氮产生浓度为</w:t>
      </w:r>
      <w:r>
        <w:rPr>
          <w:rFonts w:hint="eastAsia" w:cs="Times New Roman"/>
          <w:snapToGrid w:val="0"/>
          <w:color w:val="auto"/>
          <w:kern w:val="0"/>
          <w:szCs w:val="24"/>
          <w:highlight w:val="none"/>
          <w:lang w:val="en-US" w:eastAsia="zh-CN"/>
        </w:rPr>
        <w:t>197</w:t>
      </w:r>
      <w:r>
        <w:rPr>
          <w:rFonts w:cs="Times New Roman"/>
          <w:snapToGrid w:val="0"/>
          <w:color w:val="auto"/>
          <w:kern w:val="0"/>
          <w:szCs w:val="24"/>
          <w:highlight w:val="none"/>
        </w:rPr>
        <w:t>mg/L，总磷产生浓度为</w:t>
      </w:r>
      <w:r>
        <w:rPr>
          <w:rFonts w:hint="eastAsia" w:cs="Times New Roman"/>
          <w:snapToGrid w:val="0"/>
          <w:color w:val="auto"/>
          <w:kern w:val="0"/>
          <w:szCs w:val="24"/>
          <w:highlight w:val="none"/>
          <w:lang w:val="en-US" w:eastAsia="zh-CN"/>
        </w:rPr>
        <w:t>18</w:t>
      </w:r>
      <w:r>
        <w:rPr>
          <w:rFonts w:cs="Times New Roman"/>
          <w:snapToGrid w:val="0"/>
          <w:color w:val="auto"/>
          <w:kern w:val="0"/>
          <w:szCs w:val="24"/>
          <w:highlight w:val="none"/>
        </w:rPr>
        <w:t>mg/L。</w:t>
      </w:r>
      <w:r>
        <w:rPr>
          <w:rFonts w:cs="Times New Roman"/>
          <w:color w:val="auto"/>
          <w:szCs w:val="24"/>
          <w:highlight w:val="none"/>
        </w:rPr>
        <w:t>SS、BOD</w:t>
      </w:r>
      <w:r>
        <w:rPr>
          <w:rFonts w:cs="Times New Roman"/>
          <w:color w:val="auto"/>
          <w:szCs w:val="24"/>
          <w:highlight w:val="none"/>
          <w:vertAlign w:val="subscript"/>
        </w:rPr>
        <w:t>5</w:t>
      </w:r>
      <w:r>
        <w:rPr>
          <w:rFonts w:cs="Times New Roman"/>
          <w:color w:val="auto"/>
          <w:szCs w:val="24"/>
          <w:highlight w:val="none"/>
        </w:rPr>
        <w:t>及动植物油浓度参照《屠宰及肉类加工</w:t>
      </w:r>
      <w:r>
        <w:rPr>
          <w:rFonts w:hint="eastAsia" w:cs="Times New Roman"/>
          <w:color w:val="auto"/>
          <w:szCs w:val="24"/>
          <w:highlight w:val="none"/>
          <w:lang w:val="en-US" w:eastAsia="zh-CN"/>
        </w:rPr>
        <w:t>废水治理工程技术规范</w:t>
      </w:r>
      <w:r>
        <w:rPr>
          <w:rFonts w:cs="Times New Roman"/>
          <w:color w:val="auto"/>
          <w:szCs w:val="24"/>
          <w:highlight w:val="none"/>
        </w:rPr>
        <w:t>》（HJ</w:t>
      </w:r>
      <w:r>
        <w:rPr>
          <w:rFonts w:hint="eastAsia" w:cs="Times New Roman"/>
          <w:color w:val="auto"/>
          <w:szCs w:val="24"/>
          <w:highlight w:val="none"/>
          <w:lang w:val="en-US" w:eastAsia="zh-CN"/>
        </w:rPr>
        <w:t>2004</w:t>
      </w:r>
      <w:r>
        <w:rPr>
          <w:rFonts w:cs="Times New Roman"/>
          <w:color w:val="auto"/>
          <w:szCs w:val="24"/>
          <w:highlight w:val="none"/>
        </w:rPr>
        <w:t>-20</w:t>
      </w:r>
      <w:r>
        <w:rPr>
          <w:rFonts w:hint="eastAsia" w:cs="Times New Roman"/>
          <w:color w:val="auto"/>
          <w:szCs w:val="24"/>
          <w:highlight w:val="none"/>
          <w:lang w:val="en-US" w:eastAsia="zh-CN"/>
        </w:rPr>
        <w:t>10</w:t>
      </w:r>
      <w:r>
        <w:rPr>
          <w:rFonts w:cs="Times New Roman"/>
          <w:color w:val="auto"/>
          <w:szCs w:val="24"/>
          <w:highlight w:val="none"/>
        </w:rPr>
        <w:t>）中所建议的废水水质，BOD</w:t>
      </w:r>
      <w:r>
        <w:rPr>
          <w:rFonts w:cs="Times New Roman"/>
          <w:color w:val="auto"/>
          <w:szCs w:val="24"/>
          <w:highlight w:val="none"/>
          <w:vertAlign w:val="subscript"/>
        </w:rPr>
        <w:t>5</w:t>
      </w:r>
      <w:r>
        <w:rPr>
          <w:rFonts w:cs="Times New Roman"/>
          <w:color w:val="auto"/>
          <w:szCs w:val="24"/>
          <w:highlight w:val="none"/>
        </w:rPr>
        <w:t>1000mg/L、SS1000mg/L、动植物油200mg/L</w:t>
      </w:r>
      <w:r>
        <w:rPr>
          <w:rFonts w:hint="eastAsia" w:cs="Times New Roman"/>
          <w:color w:val="auto"/>
          <w:szCs w:val="24"/>
          <w:highlight w:val="none"/>
          <w:lang w:eastAsia="zh-CN"/>
        </w:rPr>
        <w:t>、</w:t>
      </w:r>
      <w:r>
        <w:rPr>
          <w:rFonts w:hint="eastAsia" w:cs="Times New Roman"/>
          <w:color w:val="auto"/>
          <w:szCs w:val="24"/>
          <w:highlight w:val="none"/>
          <w:lang w:val="en-US" w:eastAsia="zh-CN"/>
        </w:rPr>
        <w:t>pH6.5~7.5（无量纲）、</w:t>
      </w:r>
      <w:r>
        <w:rPr>
          <w:rFonts w:hint="eastAsia"/>
          <w:color w:val="auto"/>
          <w:highlight w:val="none"/>
        </w:rPr>
        <w:t>大肠菌群数取值参考《环境工程技术手册废水污染控制技术手册》中国内大型肉类联合加工企业生产废水水质大肠菌群数平均值3.83×10</w:t>
      </w:r>
      <w:r>
        <w:rPr>
          <w:rFonts w:hint="eastAsia"/>
          <w:color w:val="auto"/>
          <w:highlight w:val="none"/>
          <w:vertAlign w:val="superscript"/>
        </w:rPr>
        <w:t>5</w:t>
      </w:r>
      <w:r>
        <w:rPr>
          <w:rFonts w:hint="eastAsia"/>
          <w:color w:val="auto"/>
          <w:highlight w:val="none"/>
          <w:lang w:val="en-US" w:eastAsia="zh-CN"/>
        </w:rPr>
        <w:t>MPN</w:t>
      </w:r>
      <w:r>
        <w:rPr>
          <w:rFonts w:hint="eastAsia"/>
          <w:color w:val="auto"/>
          <w:highlight w:val="none"/>
        </w:rPr>
        <w:t>/L。</w:t>
      </w:r>
    </w:p>
    <w:p w14:paraId="5D002329">
      <w:pPr>
        <w:spacing w:line="500" w:lineRule="exact"/>
        <w:rPr>
          <w:rFonts w:hint="default"/>
          <w:color w:val="auto"/>
          <w:highlight w:val="none"/>
          <w:lang w:val="en-US" w:eastAsia="zh-CN"/>
        </w:rPr>
      </w:pPr>
      <w:r>
        <w:rPr>
          <w:rFonts w:hint="eastAsia" w:cs="Times New Roman"/>
          <w:snapToGrid w:val="0"/>
          <w:color w:val="auto"/>
          <w:kern w:val="0"/>
          <w:highlight w:val="none"/>
          <w:lang w:val="en-US" w:eastAsia="zh-CN"/>
        </w:rPr>
        <w:t>屠宰废水中隔离间废水和检疫室排水由于可能存在致病菌，需单独收集，经消毒后排入厂区内污水处理站处理。</w:t>
      </w:r>
    </w:p>
    <w:p w14:paraId="571E3EE5">
      <w:pPr>
        <w:pStyle w:val="117"/>
        <w:ind w:firstLine="0" w:firstLineChars="0"/>
        <w:jc w:val="right"/>
        <w:rPr>
          <w:rFonts w:hint="default" w:ascii="Times New Roman" w:hAnsi="Times New Roman" w:eastAsia="宋体" w:cs="Times New Roman"/>
          <w:b/>
          <w:color w:val="auto"/>
          <w:szCs w:val="24"/>
          <w:highlight w:val="none"/>
          <w:lang w:val="en-US" w:eastAsia="zh-CN"/>
        </w:rPr>
      </w:pPr>
      <w:r>
        <w:rPr>
          <w:rFonts w:ascii="Times New Roman" w:hAnsi="Times New Roman" w:eastAsia="宋体" w:cs="Times New Roman"/>
          <w:b/>
          <w:color w:val="auto"/>
          <w:szCs w:val="24"/>
          <w:highlight w:val="none"/>
        </w:rPr>
        <w:t>表3</w:t>
      </w:r>
      <w:r>
        <w:rPr>
          <w:rFonts w:hint="eastAsia" w:cs="Times New Roman"/>
          <w:b/>
          <w:color w:val="auto"/>
          <w:szCs w:val="24"/>
          <w:highlight w:val="none"/>
          <w:lang w:val="en-US" w:eastAsia="zh-CN"/>
        </w:rPr>
        <w:t>.</w:t>
      </w:r>
      <w:r>
        <w:rPr>
          <w:rFonts w:ascii="Times New Roman" w:hAnsi="Times New Roman" w:eastAsia="宋体" w:cs="Times New Roman"/>
          <w:b/>
          <w:color w:val="auto"/>
          <w:szCs w:val="24"/>
          <w:highlight w:val="none"/>
        </w:rPr>
        <w:t>4-</w:t>
      </w:r>
      <w:r>
        <w:rPr>
          <w:rFonts w:hint="eastAsia" w:cs="Times New Roman"/>
          <w:b/>
          <w:color w:val="auto"/>
          <w:szCs w:val="24"/>
          <w:highlight w:val="none"/>
          <w:lang w:val="en-US" w:eastAsia="zh-CN"/>
        </w:rPr>
        <w:t>10</w:t>
      </w:r>
      <w:r>
        <w:rPr>
          <w:rFonts w:ascii="Times New Roman" w:hAnsi="Times New Roman" w:eastAsia="宋体" w:cs="Times New Roman"/>
          <w:b/>
          <w:color w:val="auto"/>
          <w:szCs w:val="24"/>
          <w:highlight w:val="none"/>
        </w:rPr>
        <w:t xml:space="preserve">  屠宰废水水质一览表</w:t>
      </w:r>
      <w:r>
        <w:rPr>
          <w:rFonts w:hint="eastAsia" w:ascii="Times New Roman" w:hAnsi="Times New Roman" w:eastAsia="宋体" w:cs="Times New Roman"/>
          <w:b/>
          <w:color w:val="auto"/>
          <w:szCs w:val="24"/>
          <w:highlight w:val="none"/>
          <w:lang w:val="en-US" w:eastAsia="zh-CN"/>
        </w:rPr>
        <w:t xml:space="preserve">  </w:t>
      </w:r>
      <w:r>
        <w:rPr>
          <w:rFonts w:hint="eastAsia" w:ascii="Times New Roman" w:hAnsi="Times New Roman" w:eastAsia="宋体" w:cs="Times New Roman"/>
          <w:b/>
          <w:color w:val="auto"/>
          <w:sz w:val="21"/>
          <w:szCs w:val="21"/>
          <w:highlight w:val="none"/>
          <w:lang w:val="en-US" w:eastAsia="zh-CN"/>
        </w:rPr>
        <w:t>单位：pH值无量纲，大肠菌群数MPN/L</w:t>
      </w:r>
    </w:p>
    <w:tbl>
      <w:tblPr>
        <w:tblStyle w:val="47"/>
        <w:tblW w:w="8525"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shd w:val="clear" w:color="auto" w:fill="auto"/>
        <w:tblLayout w:type="fixed"/>
        <w:tblCellMar>
          <w:top w:w="0" w:type="dxa"/>
          <w:left w:w="108" w:type="dxa"/>
          <w:bottom w:w="0" w:type="dxa"/>
          <w:right w:w="108" w:type="dxa"/>
        </w:tblCellMar>
      </w:tblPr>
      <w:tblGrid>
        <w:gridCol w:w="881"/>
        <w:gridCol w:w="799"/>
        <w:gridCol w:w="709"/>
        <w:gridCol w:w="783"/>
        <w:gridCol w:w="639"/>
        <w:gridCol w:w="705"/>
        <w:gridCol w:w="694"/>
        <w:gridCol w:w="699"/>
        <w:gridCol w:w="693"/>
        <w:gridCol w:w="915"/>
        <w:gridCol w:w="1008"/>
      </w:tblGrid>
      <w:tr w14:paraId="3DF61736">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36" w:hRule="atLeast"/>
          <w:jc w:val="center"/>
        </w:trPr>
        <w:tc>
          <w:tcPr>
            <w:tcW w:w="881" w:type="dxa"/>
            <w:vMerge w:val="restart"/>
            <w:tcBorders>
              <w:tl2br w:val="nil"/>
              <w:tr2bl w:val="nil"/>
            </w:tcBorders>
            <w:shd w:val="clear" w:color="auto" w:fill="auto"/>
            <w:vAlign w:val="center"/>
          </w:tcPr>
          <w:p w14:paraId="5AB34FAE">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类别</w:t>
            </w:r>
          </w:p>
        </w:tc>
        <w:tc>
          <w:tcPr>
            <w:tcW w:w="799" w:type="dxa"/>
            <w:tcBorders>
              <w:tl2br w:val="nil"/>
              <w:tr2bl w:val="nil"/>
            </w:tcBorders>
            <w:shd w:val="clear" w:color="auto" w:fill="auto"/>
            <w:vAlign w:val="center"/>
          </w:tcPr>
          <w:p w14:paraId="4606B6E9">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排水量</w:t>
            </w:r>
          </w:p>
        </w:tc>
        <w:tc>
          <w:tcPr>
            <w:tcW w:w="6845" w:type="dxa"/>
            <w:gridSpan w:val="9"/>
            <w:tcBorders>
              <w:tl2br w:val="nil"/>
              <w:tr2bl w:val="nil"/>
            </w:tcBorders>
            <w:shd w:val="clear" w:color="auto" w:fill="auto"/>
            <w:vAlign w:val="center"/>
          </w:tcPr>
          <w:p w14:paraId="66199FA8">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主要污染物浓度（</w:t>
            </w:r>
            <w:r>
              <w:rPr>
                <w:rFonts w:hint="default" w:ascii="Times New Roman" w:hAnsi="Times New Roman" w:eastAsia="宋体" w:cs="Times New Roman"/>
                <w:color w:val="auto"/>
                <w:sz w:val="21"/>
                <w:szCs w:val="21"/>
                <w:highlight w:val="none"/>
                <w:lang w:val="en-US" w:eastAsia="zh-CN"/>
              </w:rPr>
              <w:t>mg/L</w:t>
            </w:r>
            <w:r>
              <w:rPr>
                <w:rFonts w:hint="eastAsia" w:ascii="Times New Roman" w:hAnsi="Times New Roman" w:eastAsia="宋体" w:cs="Times New Roman"/>
                <w:color w:val="auto"/>
                <w:sz w:val="21"/>
                <w:szCs w:val="21"/>
                <w:highlight w:val="none"/>
                <w:lang w:val="en-US" w:eastAsia="zh-CN"/>
              </w:rPr>
              <w:t>）</w:t>
            </w:r>
          </w:p>
        </w:tc>
      </w:tr>
      <w:tr w14:paraId="141C91EE">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57" w:hRule="atLeast"/>
          <w:jc w:val="center"/>
        </w:trPr>
        <w:tc>
          <w:tcPr>
            <w:tcW w:w="881" w:type="dxa"/>
            <w:vMerge w:val="continue"/>
            <w:tcBorders>
              <w:tl2br w:val="nil"/>
              <w:tr2bl w:val="nil"/>
            </w:tcBorders>
            <w:shd w:val="clear" w:color="auto" w:fill="auto"/>
            <w:vAlign w:val="center"/>
          </w:tcPr>
          <w:p w14:paraId="0BDE002E">
            <w:pPr>
              <w:pStyle w:val="303"/>
              <w:adjustRightInd w:val="0"/>
              <w:snapToGrid w:val="0"/>
              <w:rPr>
                <w:rFonts w:hint="eastAsia" w:ascii="Times New Roman" w:hAnsi="Times New Roman" w:eastAsia="宋体" w:cs="Times New Roman"/>
                <w:color w:val="auto"/>
                <w:sz w:val="21"/>
                <w:szCs w:val="21"/>
                <w:highlight w:val="none"/>
                <w:lang w:eastAsia="zh-CN"/>
              </w:rPr>
            </w:pPr>
          </w:p>
        </w:tc>
        <w:tc>
          <w:tcPr>
            <w:tcW w:w="799" w:type="dxa"/>
            <w:tcBorders>
              <w:tl2br w:val="nil"/>
              <w:tr2bl w:val="nil"/>
            </w:tcBorders>
            <w:shd w:val="clear" w:color="auto" w:fill="auto"/>
            <w:vAlign w:val="center"/>
          </w:tcPr>
          <w:p w14:paraId="3DCC024A">
            <w:pPr>
              <w:pStyle w:val="303"/>
              <w:adjustRightInd w:val="0"/>
              <w:snapToGrid w:val="0"/>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/d</w:t>
            </w:r>
          </w:p>
        </w:tc>
        <w:tc>
          <w:tcPr>
            <w:tcW w:w="709" w:type="dxa"/>
            <w:tcBorders>
              <w:tl2br w:val="nil"/>
              <w:tr2bl w:val="nil"/>
            </w:tcBorders>
            <w:shd w:val="clear" w:color="auto" w:fill="auto"/>
            <w:vAlign w:val="center"/>
          </w:tcPr>
          <w:p w14:paraId="06C2AF2B">
            <w:pPr>
              <w:pStyle w:val="303"/>
              <w:adjustRightInd w:val="0"/>
              <w:snapToGrid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COD</w:t>
            </w:r>
          </w:p>
        </w:tc>
        <w:tc>
          <w:tcPr>
            <w:tcW w:w="783" w:type="dxa"/>
            <w:tcBorders>
              <w:tl2br w:val="nil"/>
              <w:tr2bl w:val="nil"/>
            </w:tcBorders>
            <w:shd w:val="clear" w:color="auto" w:fill="auto"/>
            <w:vAlign w:val="center"/>
          </w:tcPr>
          <w:p w14:paraId="560C7EED">
            <w:pPr>
              <w:pStyle w:val="303"/>
              <w:adjustRightInd w:val="0"/>
              <w:snapToGrid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BOD</w:t>
            </w:r>
            <w:r>
              <w:rPr>
                <w:rFonts w:hint="default" w:ascii="Times New Roman" w:hAnsi="Times New Roman" w:eastAsia="宋体" w:cs="Times New Roman"/>
                <w:color w:val="auto"/>
                <w:sz w:val="21"/>
                <w:szCs w:val="21"/>
                <w:highlight w:val="none"/>
                <w:vertAlign w:val="subscript"/>
                <w:lang w:val="en-US" w:eastAsia="zh-CN"/>
              </w:rPr>
              <w:t>5</w:t>
            </w:r>
          </w:p>
        </w:tc>
        <w:tc>
          <w:tcPr>
            <w:tcW w:w="639" w:type="dxa"/>
            <w:tcBorders>
              <w:tl2br w:val="nil"/>
              <w:tr2bl w:val="nil"/>
            </w:tcBorders>
            <w:shd w:val="clear" w:color="auto" w:fill="auto"/>
            <w:vAlign w:val="center"/>
          </w:tcPr>
          <w:p w14:paraId="3F8CE620">
            <w:pPr>
              <w:pStyle w:val="303"/>
              <w:adjustRightInd w:val="0"/>
              <w:snapToGrid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SS</w:t>
            </w:r>
          </w:p>
        </w:tc>
        <w:tc>
          <w:tcPr>
            <w:tcW w:w="705" w:type="dxa"/>
            <w:tcBorders>
              <w:tl2br w:val="nil"/>
              <w:tr2bl w:val="nil"/>
            </w:tcBorders>
            <w:shd w:val="clear" w:color="auto" w:fill="auto"/>
            <w:vAlign w:val="center"/>
          </w:tcPr>
          <w:p w14:paraId="061739C7">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氨氮</w:t>
            </w:r>
          </w:p>
        </w:tc>
        <w:tc>
          <w:tcPr>
            <w:tcW w:w="694" w:type="dxa"/>
            <w:tcBorders>
              <w:tl2br w:val="nil"/>
              <w:tr2bl w:val="nil"/>
            </w:tcBorders>
            <w:shd w:val="clear" w:color="auto" w:fill="auto"/>
            <w:vAlign w:val="center"/>
          </w:tcPr>
          <w:p w14:paraId="4714B21D">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动植物油</w:t>
            </w:r>
          </w:p>
        </w:tc>
        <w:tc>
          <w:tcPr>
            <w:tcW w:w="699" w:type="dxa"/>
            <w:tcBorders>
              <w:tl2br w:val="nil"/>
              <w:tr2bl w:val="nil"/>
            </w:tcBorders>
            <w:shd w:val="clear" w:color="auto" w:fill="auto"/>
            <w:vAlign w:val="center"/>
          </w:tcPr>
          <w:p w14:paraId="00D36141">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总氮</w:t>
            </w:r>
          </w:p>
        </w:tc>
        <w:tc>
          <w:tcPr>
            <w:tcW w:w="693" w:type="dxa"/>
            <w:tcBorders>
              <w:tl2br w:val="nil"/>
              <w:tr2bl w:val="nil"/>
            </w:tcBorders>
            <w:shd w:val="clear" w:color="auto" w:fill="auto"/>
            <w:vAlign w:val="center"/>
          </w:tcPr>
          <w:p w14:paraId="7E61DA95">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总磷</w:t>
            </w:r>
          </w:p>
        </w:tc>
        <w:tc>
          <w:tcPr>
            <w:tcW w:w="915" w:type="dxa"/>
            <w:tcBorders>
              <w:tl2br w:val="nil"/>
              <w:tr2bl w:val="nil"/>
            </w:tcBorders>
            <w:shd w:val="clear" w:color="auto" w:fill="auto"/>
            <w:vAlign w:val="center"/>
          </w:tcPr>
          <w:p w14:paraId="74A51A31">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pH值</w:t>
            </w:r>
          </w:p>
        </w:tc>
        <w:tc>
          <w:tcPr>
            <w:tcW w:w="1008" w:type="dxa"/>
            <w:tcBorders>
              <w:tl2br w:val="nil"/>
              <w:tr2bl w:val="nil"/>
            </w:tcBorders>
            <w:shd w:val="clear" w:color="auto" w:fill="auto"/>
            <w:vAlign w:val="center"/>
          </w:tcPr>
          <w:p w14:paraId="38F7A10B">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大肠菌群数</w:t>
            </w:r>
          </w:p>
        </w:tc>
      </w:tr>
      <w:tr w14:paraId="7A8AF6D5">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26" w:hRule="atLeast"/>
          <w:jc w:val="center"/>
        </w:trPr>
        <w:tc>
          <w:tcPr>
            <w:tcW w:w="881" w:type="dxa"/>
            <w:tcBorders>
              <w:tl2br w:val="nil"/>
              <w:tr2bl w:val="nil"/>
            </w:tcBorders>
            <w:shd w:val="clear" w:color="auto" w:fill="auto"/>
            <w:vAlign w:val="center"/>
          </w:tcPr>
          <w:p w14:paraId="57BB8E91">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牛屠宰废水</w:t>
            </w:r>
          </w:p>
        </w:tc>
        <w:tc>
          <w:tcPr>
            <w:tcW w:w="799" w:type="dxa"/>
            <w:tcBorders>
              <w:tl2br w:val="nil"/>
              <w:tr2bl w:val="nil"/>
            </w:tcBorders>
            <w:shd w:val="clear" w:color="auto" w:fill="auto"/>
            <w:vAlign w:val="center"/>
          </w:tcPr>
          <w:p w14:paraId="1C7C2848">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94.1</w:t>
            </w:r>
          </w:p>
        </w:tc>
        <w:tc>
          <w:tcPr>
            <w:tcW w:w="709" w:type="dxa"/>
            <w:tcBorders>
              <w:tl2br w:val="nil"/>
              <w:tr2bl w:val="nil"/>
            </w:tcBorders>
            <w:shd w:val="clear" w:color="auto" w:fill="auto"/>
            <w:vAlign w:val="center"/>
          </w:tcPr>
          <w:p w14:paraId="1B8B9B07">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4113</w:t>
            </w:r>
          </w:p>
        </w:tc>
        <w:tc>
          <w:tcPr>
            <w:tcW w:w="783" w:type="dxa"/>
            <w:tcBorders>
              <w:tl2br w:val="nil"/>
              <w:tr2bl w:val="nil"/>
            </w:tcBorders>
            <w:shd w:val="clear" w:color="auto" w:fill="auto"/>
            <w:vAlign w:val="center"/>
          </w:tcPr>
          <w:p w14:paraId="3AF1FFAE">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1000</w:t>
            </w:r>
          </w:p>
        </w:tc>
        <w:tc>
          <w:tcPr>
            <w:tcW w:w="639" w:type="dxa"/>
            <w:tcBorders>
              <w:tl2br w:val="nil"/>
              <w:tr2bl w:val="nil"/>
            </w:tcBorders>
            <w:shd w:val="clear" w:color="auto" w:fill="auto"/>
            <w:vAlign w:val="center"/>
          </w:tcPr>
          <w:p w14:paraId="6D00CCC4">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1000</w:t>
            </w:r>
          </w:p>
        </w:tc>
        <w:tc>
          <w:tcPr>
            <w:tcW w:w="705" w:type="dxa"/>
            <w:tcBorders>
              <w:tl2br w:val="nil"/>
              <w:tr2bl w:val="nil"/>
            </w:tcBorders>
            <w:shd w:val="clear" w:color="auto" w:fill="auto"/>
            <w:vAlign w:val="center"/>
          </w:tcPr>
          <w:p w14:paraId="181A7CF7">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113.7</w:t>
            </w:r>
          </w:p>
        </w:tc>
        <w:tc>
          <w:tcPr>
            <w:tcW w:w="694" w:type="dxa"/>
            <w:tcBorders>
              <w:tl2br w:val="nil"/>
              <w:tr2bl w:val="nil"/>
            </w:tcBorders>
            <w:shd w:val="clear" w:color="auto" w:fill="auto"/>
            <w:vAlign w:val="center"/>
          </w:tcPr>
          <w:p w14:paraId="214661C8">
            <w:pPr>
              <w:pStyle w:val="303"/>
              <w:adjustRightInd w:val="0"/>
              <w:snapToGrid w:val="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200</w:t>
            </w:r>
          </w:p>
        </w:tc>
        <w:tc>
          <w:tcPr>
            <w:tcW w:w="699" w:type="dxa"/>
            <w:tcBorders>
              <w:tl2br w:val="nil"/>
              <w:tr2bl w:val="nil"/>
            </w:tcBorders>
            <w:shd w:val="clear" w:color="auto" w:fill="auto"/>
            <w:vAlign w:val="center"/>
          </w:tcPr>
          <w:p w14:paraId="37A9E1B9">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240.2</w:t>
            </w:r>
          </w:p>
        </w:tc>
        <w:tc>
          <w:tcPr>
            <w:tcW w:w="693" w:type="dxa"/>
            <w:tcBorders>
              <w:tl2br w:val="nil"/>
              <w:tr2bl w:val="nil"/>
            </w:tcBorders>
            <w:shd w:val="clear" w:color="auto" w:fill="auto"/>
            <w:vAlign w:val="center"/>
          </w:tcPr>
          <w:p w14:paraId="6F338BB0">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13.8</w:t>
            </w:r>
          </w:p>
        </w:tc>
        <w:tc>
          <w:tcPr>
            <w:tcW w:w="915" w:type="dxa"/>
            <w:tcBorders>
              <w:tl2br w:val="nil"/>
              <w:tr2bl w:val="nil"/>
            </w:tcBorders>
            <w:shd w:val="clear" w:color="auto" w:fill="auto"/>
            <w:vAlign w:val="center"/>
          </w:tcPr>
          <w:p w14:paraId="2F59EA6F">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7.5</w:t>
            </w:r>
          </w:p>
        </w:tc>
        <w:tc>
          <w:tcPr>
            <w:tcW w:w="1008" w:type="dxa"/>
            <w:tcBorders>
              <w:tl2br w:val="nil"/>
              <w:tr2bl w:val="nil"/>
            </w:tcBorders>
            <w:shd w:val="clear" w:color="auto" w:fill="auto"/>
            <w:vAlign w:val="center"/>
          </w:tcPr>
          <w:p w14:paraId="2BB89B01">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0B018910">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26" w:hRule="atLeast"/>
          <w:jc w:val="center"/>
        </w:trPr>
        <w:tc>
          <w:tcPr>
            <w:tcW w:w="881" w:type="dxa"/>
            <w:tcBorders>
              <w:tl2br w:val="nil"/>
              <w:tr2bl w:val="nil"/>
            </w:tcBorders>
            <w:shd w:val="clear" w:color="auto" w:fill="auto"/>
            <w:vAlign w:val="center"/>
          </w:tcPr>
          <w:p w14:paraId="3189700A">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羊屠宰废水</w:t>
            </w:r>
          </w:p>
        </w:tc>
        <w:tc>
          <w:tcPr>
            <w:tcW w:w="799" w:type="dxa"/>
            <w:tcBorders>
              <w:tl2br w:val="nil"/>
              <w:tr2bl w:val="nil"/>
            </w:tcBorders>
            <w:shd w:val="clear" w:color="auto" w:fill="auto"/>
            <w:vAlign w:val="center"/>
          </w:tcPr>
          <w:p w14:paraId="12F2A508">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135</w:t>
            </w:r>
          </w:p>
        </w:tc>
        <w:tc>
          <w:tcPr>
            <w:tcW w:w="709" w:type="dxa"/>
            <w:tcBorders>
              <w:tl2br w:val="nil"/>
              <w:tr2bl w:val="nil"/>
            </w:tcBorders>
            <w:shd w:val="clear" w:color="auto" w:fill="auto"/>
            <w:vAlign w:val="center"/>
          </w:tcPr>
          <w:p w14:paraId="2D16CBA7">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1744</w:t>
            </w:r>
          </w:p>
        </w:tc>
        <w:tc>
          <w:tcPr>
            <w:tcW w:w="783" w:type="dxa"/>
            <w:tcBorders>
              <w:tl2br w:val="nil"/>
              <w:tr2bl w:val="nil"/>
            </w:tcBorders>
            <w:shd w:val="clear" w:color="auto" w:fill="auto"/>
            <w:vAlign w:val="center"/>
          </w:tcPr>
          <w:p w14:paraId="406A3B81">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1000</w:t>
            </w:r>
          </w:p>
        </w:tc>
        <w:tc>
          <w:tcPr>
            <w:tcW w:w="639" w:type="dxa"/>
            <w:tcBorders>
              <w:tl2br w:val="nil"/>
              <w:tr2bl w:val="nil"/>
            </w:tcBorders>
            <w:shd w:val="clear" w:color="auto" w:fill="auto"/>
            <w:vAlign w:val="center"/>
          </w:tcPr>
          <w:p w14:paraId="733196CF">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1000</w:t>
            </w:r>
          </w:p>
        </w:tc>
        <w:tc>
          <w:tcPr>
            <w:tcW w:w="705" w:type="dxa"/>
            <w:tcBorders>
              <w:tl2br w:val="nil"/>
              <w:tr2bl w:val="nil"/>
            </w:tcBorders>
            <w:shd w:val="clear" w:color="auto" w:fill="auto"/>
            <w:vAlign w:val="center"/>
          </w:tcPr>
          <w:p w14:paraId="11ECB005">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66.7</w:t>
            </w:r>
          </w:p>
        </w:tc>
        <w:tc>
          <w:tcPr>
            <w:tcW w:w="694" w:type="dxa"/>
            <w:tcBorders>
              <w:tl2br w:val="nil"/>
              <w:tr2bl w:val="nil"/>
            </w:tcBorders>
            <w:shd w:val="clear" w:color="auto" w:fill="auto"/>
            <w:vAlign w:val="center"/>
          </w:tcPr>
          <w:p w14:paraId="668A7C2C">
            <w:pPr>
              <w:pStyle w:val="303"/>
              <w:adjustRightInd w:val="0"/>
              <w:snapToGrid w:val="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200</w:t>
            </w:r>
          </w:p>
        </w:tc>
        <w:tc>
          <w:tcPr>
            <w:tcW w:w="699" w:type="dxa"/>
            <w:tcBorders>
              <w:tl2br w:val="nil"/>
              <w:tr2bl w:val="nil"/>
            </w:tcBorders>
            <w:shd w:val="clear" w:color="auto" w:fill="auto"/>
            <w:vAlign w:val="center"/>
          </w:tcPr>
          <w:p w14:paraId="448D6E72">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166.7</w:t>
            </w:r>
          </w:p>
        </w:tc>
        <w:tc>
          <w:tcPr>
            <w:tcW w:w="693" w:type="dxa"/>
            <w:tcBorders>
              <w:tl2br w:val="nil"/>
              <w:tr2bl w:val="nil"/>
            </w:tcBorders>
            <w:shd w:val="clear" w:color="auto" w:fill="auto"/>
            <w:vAlign w:val="center"/>
          </w:tcPr>
          <w:p w14:paraId="7D7DD1F8">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21.5</w:t>
            </w:r>
          </w:p>
        </w:tc>
        <w:tc>
          <w:tcPr>
            <w:tcW w:w="915" w:type="dxa"/>
            <w:tcBorders>
              <w:tl2br w:val="nil"/>
              <w:tr2bl w:val="nil"/>
            </w:tcBorders>
            <w:shd w:val="clear" w:color="auto" w:fill="auto"/>
            <w:vAlign w:val="center"/>
          </w:tcPr>
          <w:p w14:paraId="015253FC">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6.</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7.5</w:t>
            </w:r>
          </w:p>
        </w:tc>
        <w:tc>
          <w:tcPr>
            <w:tcW w:w="1008" w:type="dxa"/>
            <w:tcBorders>
              <w:tl2br w:val="nil"/>
              <w:tr2bl w:val="nil"/>
            </w:tcBorders>
            <w:shd w:val="clear" w:color="auto" w:fill="auto"/>
            <w:vAlign w:val="center"/>
          </w:tcPr>
          <w:p w14:paraId="6AB6A4DD">
            <w:pPr>
              <w:pStyle w:val="303"/>
              <w:adjustRightInd w:val="0"/>
              <w:snapToGrid w:val="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0626BF33">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55" w:hRule="atLeast"/>
          <w:jc w:val="center"/>
        </w:trPr>
        <w:tc>
          <w:tcPr>
            <w:tcW w:w="881" w:type="dxa"/>
            <w:tcBorders>
              <w:tl2br w:val="nil"/>
              <w:tr2bl w:val="nil"/>
            </w:tcBorders>
            <w:shd w:val="clear" w:color="auto" w:fill="auto"/>
            <w:vAlign w:val="center"/>
          </w:tcPr>
          <w:p w14:paraId="35723A2C">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混合屠宰废水</w:t>
            </w:r>
          </w:p>
        </w:tc>
        <w:tc>
          <w:tcPr>
            <w:tcW w:w="799" w:type="dxa"/>
            <w:tcBorders>
              <w:tl2br w:val="nil"/>
              <w:tr2bl w:val="nil"/>
            </w:tcBorders>
            <w:shd w:val="clear" w:color="auto" w:fill="auto"/>
            <w:vAlign w:val="center"/>
          </w:tcPr>
          <w:p w14:paraId="78D080ED">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229.1</w:t>
            </w:r>
          </w:p>
        </w:tc>
        <w:tc>
          <w:tcPr>
            <w:tcW w:w="709" w:type="dxa"/>
            <w:tcBorders>
              <w:tl2br w:val="nil"/>
              <w:tr2bl w:val="nil"/>
            </w:tcBorders>
            <w:shd w:val="clear" w:color="auto" w:fill="auto"/>
            <w:vAlign w:val="center"/>
          </w:tcPr>
          <w:p w14:paraId="5A890E55">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2717</w:t>
            </w:r>
          </w:p>
        </w:tc>
        <w:tc>
          <w:tcPr>
            <w:tcW w:w="783" w:type="dxa"/>
            <w:tcBorders>
              <w:tl2br w:val="nil"/>
              <w:tr2bl w:val="nil"/>
            </w:tcBorders>
            <w:shd w:val="clear" w:color="auto" w:fill="auto"/>
            <w:vAlign w:val="center"/>
          </w:tcPr>
          <w:p w14:paraId="10D3F9AD">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w:t>
            </w:r>
          </w:p>
        </w:tc>
        <w:tc>
          <w:tcPr>
            <w:tcW w:w="639" w:type="dxa"/>
            <w:tcBorders>
              <w:tl2br w:val="nil"/>
              <w:tr2bl w:val="nil"/>
            </w:tcBorders>
            <w:shd w:val="clear" w:color="auto" w:fill="auto"/>
            <w:vAlign w:val="center"/>
          </w:tcPr>
          <w:p w14:paraId="1821B08C">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w:t>
            </w:r>
          </w:p>
        </w:tc>
        <w:tc>
          <w:tcPr>
            <w:tcW w:w="705" w:type="dxa"/>
            <w:tcBorders>
              <w:tl2br w:val="nil"/>
              <w:tr2bl w:val="nil"/>
            </w:tcBorders>
            <w:shd w:val="clear" w:color="auto" w:fill="auto"/>
            <w:vAlign w:val="center"/>
          </w:tcPr>
          <w:p w14:paraId="63568EA7">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86</w:t>
            </w:r>
          </w:p>
        </w:tc>
        <w:tc>
          <w:tcPr>
            <w:tcW w:w="694" w:type="dxa"/>
            <w:tcBorders>
              <w:tl2br w:val="nil"/>
              <w:tr2bl w:val="nil"/>
            </w:tcBorders>
            <w:shd w:val="clear" w:color="auto" w:fill="auto"/>
            <w:vAlign w:val="center"/>
          </w:tcPr>
          <w:p w14:paraId="1BBE79BE">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200</w:t>
            </w:r>
          </w:p>
        </w:tc>
        <w:tc>
          <w:tcPr>
            <w:tcW w:w="699" w:type="dxa"/>
            <w:tcBorders>
              <w:tl2br w:val="nil"/>
              <w:tr2bl w:val="nil"/>
            </w:tcBorders>
            <w:shd w:val="clear" w:color="auto" w:fill="auto"/>
            <w:vAlign w:val="center"/>
          </w:tcPr>
          <w:p w14:paraId="3FAE2B8A">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197</w:t>
            </w:r>
          </w:p>
        </w:tc>
        <w:tc>
          <w:tcPr>
            <w:tcW w:w="693" w:type="dxa"/>
            <w:tcBorders>
              <w:tl2br w:val="nil"/>
              <w:tr2bl w:val="nil"/>
            </w:tcBorders>
            <w:shd w:val="clear" w:color="auto" w:fill="auto"/>
            <w:vAlign w:val="center"/>
          </w:tcPr>
          <w:p w14:paraId="4BCA30C5">
            <w:pPr>
              <w:pStyle w:val="303"/>
              <w:adjustRightInd w:val="0"/>
              <w:snapToGrid w:val="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w:t>
            </w:r>
          </w:p>
        </w:tc>
        <w:tc>
          <w:tcPr>
            <w:tcW w:w="915" w:type="dxa"/>
            <w:tcBorders>
              <w:tl2br w:val="nil"/>
              <w:tr2bl w:val="nil"/>
            </w:tcBorders>
            <w:shd w:val="clear" w:color="auto" w:fill="auto"/>
            <w:vAlign w:val="center"/>
          </w:tcPr>
          <w:p w14:paraId="4C48B505">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6.</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7.5</w:t>
            </w:r>
          </w:p>
        </w:tc>
        <w:tc>
          <w:tcPr>
            <w:tcW w:w="1008" w:type="dxa"/>
            <w:tcBorders>
              <w:tl2br w:val="nil"/>
              <w:tr2bl w:val="nil"/>
            </w:tcBorders>
            <w:shd w:val="clear" w:color="auto" w:fill="auto"/>
            <w:vAlign w:val="center"/>
          </w:tcPr>
          <w:p w14:paraId="34CADAAB">
            <w:pPr>
              <w:pStyle w:val="303"/>
              <w:adjustRightInd w:val="0"/>
              <w:snapToGrid w:val="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bl>
    <w:p w14:paraId="7AD2F5D0">
      <w:pPr>
        <w:adjustRightInd/>
        <w:snapToGrid/>
        <w:spacing w:line="500" w:lineRule="exact"/>
        <w:ind w:firstLineChars="0"/>
        <w:rPr>
          <w:rFonts w:hint="eastAsia" w:cs="Times New Roman"/>
          <w:color w:val="auto"/>
          <w:szCs w:val="24"/>
          <w:highlight w:val="none"/>
          <w:lang w:val="en-US" w:eastAsia="zh-CN"/>
        </w:rPr>
      </w:pPr>
      <w:r>
        <w:rPr>
          <w:rFonts w:hint="eastAsia" w:cs="Times New Roman"/>
          <w:color w:val="auto"/>
          <w:szCs w:val="24"/>
          <w:highlight w:val="none"/>
          <w:lang w:val="en-US" w:eastAsia="zh-CN"/>
        </w:rPr>
        <w:t>（3）车辆冲洗废水</w:t>
      </w:r>
    </w:p>
    <w:p w14:paraId="2E1C9870">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Ansi="宋体"/>
          <w:color w:val="auto"/>
          <w:highlight w:val="none"/>
        </w:rPr>
      </w:pPr>
      <w:r>
        <w:rPr>
          <w:rFonts w:hint="eastAsia"/>
          <w:color w:val="auto"/>
          <w:highlight w:val="none"/>
          <w:lang w:val="en-US" w:eastAsia="zh-CN"/>
        </w:rPr>
        <w:t>运送牛羊</w:t>
      </w:r>
      <w:r>
        <w:rPr>
          <w:rFonts w:hint="eastAsia"/>
          <w:color w:val="auto"/>
          <w:highlight w:val="none"/>
        </w:rPr>
        <w:t>车辆清洗废水产生量为</w:t>
      </w:r>
      <w:r>
        <w:rPr>
          <w:rFonts w:hint="eastAsia"/>
          <w:color w:val="auto"/>
          <w:highlight w:val="none"/>
          <w:lang w:val="en-US" w:eastAsia="zh-CN"/>
        </w:rPr>
        <w:t>4</w:t>
      </w:r>
      <w:r>
        <w:rPr>
          <w:color w:val="auto"/>
          <w:highlight w:val="none"/>
        </w:rPr>
        <w:t>m</w:t>
      </w:r>
      <w:r>
        <w:rPr>
          <w:color w:val="auto"/>
          <w:highlight w:val="none"/>
          <w:vertAlign w:val="superscript"/>
        </w:rPr>
        <w:t>3</w:t>
      </w:r>
      <w:r>
        <w:rPr>
          <w:color w:val="auto"/>
          <w:highlight w:val="none"/>
        </w:rPr>
        <w:t>/d</w:t>
      </w:r>
      <w:r>
        <w:rPr>
          <w:rFonts w:hint="eastAsia"/>
          <w:color w:val="auto"/>
          <w:highlight w:val="none"/>
        </w:rPr>
        <w:t>、</w:t>
      </w:r>
      <w:r>
        <w:rPr>
          <w:rFonts w:hint="eastAsia"/>
          <w:color w:val="auto"/>
          <w:highlight w:val="none"/>
          <w:lang w:val="en-US" w:eastAsia="zh-CN"/>
        </w:rPr>
        <w:t>1240</w:t>
      </w:r>
      <w:r>
        <w:rPr>
          <w:color w:val="auto"/>
          <w:highlight w:val="none"/>
        </w:rPr>
        <w:t>m</w:t>
      </w:r>
      <w:r>
        <w:rPr>
          <w:color w:val="auto"/>
          <w:highlight w:val="none"/>
          <w:vertAlign w:val="superscript"/>
        </w:rPr>
        <w:t>3</w:t>
      </w:r>
      <w:r>
        <w:rPr>
          <w:color w:val="auto"/>
          <w:highlight w:val="none"/>
        </w:rPr>
        <w:t>/a</w:t>
      </w:r>
      <w:r>
        <w:rPr>
          <w:rFonts w:hint="eastAsia"/>
          <w:color w:val="auto"/>
          <w:highlight w:val="none"/>
        </w:rPr>
        <w:t>。</w:t>
      </w:r>
      <w:r>
        <w:rPr>
          <w:rFonts w:hint="eastAsia"/>
          <w:color w:val="auto"/>
          <w:highlight w:val="none"/>
          <w:lang w:val="en-US" w:eastAsia="zh-CN"/>
        </w:rPr>
        <w:t>该项目</w:t>
      </w:r>
      <w:r>
        <w:rPr>
          <w:rFonts w:hint="eastAsia" w:cs="Times New Roman"/>
          <w:color w:val="auto"/>
          <w:szCs w:val="24"/>
          <w:highlight w:val="none"/>
          <w:lang w:val="en-US" w:eastAsia="zh-CN"/>
        </w:rPr>
        <w:t>车辆冲洗废水含有少量粪便，因此确定车辆冲洗废水</w:t>
      </w:r>
      <w:r>
        <w:rPr>
          <w:rFonts w:hAnsi="宋体"/>
          <w:color w:val="auto"/>
          <w:highlight w:val="none"/>
        </w:rPr>
        <w:t>主要污染物为</w:t>
      </w:r>
      <w:r>
        <w:rPr>
          <w:color w:val="auto"/>
          <w:highlight w:val="none"/>
        </w:rPr>
        <w:t>COD1200mg/L</w:t>
      </w:r>
      <w:r>
        <w:rPr>
          <w:rFonts w:hAnsi="宋体"/>
          <w:color w:val="auto"/>
          <w:highlight w:val="none"/>
        </w:rPr>
        <w:t>、</w:t>
      </w:r>
      <w:r>
        <w:rPr>
          <w:color w:val="auto"/>
          <w:highlight w:val="none"/>
        </w:rPr>
        <w:t>BOD</w:t>
      </w:r>
      <w:r>
        <w:rPr>
          <w:color w:val="auto"/>
          <w:highlight w:val="none"/>
          <w:vertAlign w:val="subscript"/>
        </w:rPr>
        <w:t>5</w:t>
      </w:r>
      <w:r>
        <w:rPr>
          <w:color w:val="auto"/>
          <w:highlight w:val="none"/>
        </w:rPr>
        <w:t>500mg/L</w:t>
      </w:r>
      <w:r>
        <w:rPr>
          <w:rFonts w:hAnsi="宋体"/>
          <w:color w:val="auto"/>
          <w:highlight w:val="none"/>
        </w:rPr>
        <w:t>、</w:t>
      </w:r>
      <w:r>
        <w:rPr>
          <w:color w:val="auto"/>
          <w:highlight w:val="none"/>
        </w:rPr>
        <w:t>SS550mg/L</w:t>
      </w:r>
      <w:r>
        <w:rPr>
          <w:rFonts w:hAnsi="宋体"/>
          <w:color w:val="auto"/>
          <w:highlight w:val="none"/>
        </w:rPr>
        <w:t>、</w:t>
      </w:r>
      <w:r>
        <w:rPr>
          <w:color w:val="auto"/>
          <w:highlight w:val="none"/>
        </w:rPr>
        <w:t>NH</w:t>
      </w:r>
      <w:r>
        <w:rPr>
          <w:color w:val="auto"/>
          <w:highlight w:val="none"/>
          <w:vertAlign w:val="subscript"/>
        </w:rPr>
        <w:t>3</w:t>
      </w:r>
      <w:r>
        <w:rPr>
          <w:color w:val="auto"/>
          <w:highlight w:val="none"/>
        </w:rPr>
        <w:t>-N55mg/L</w:t>
      </w:r>
      <w:r>
        <w:rPr>
          <w:rFonts w:hAnsi="宋体"/>
          <w:color w:val="auto"/>
          <w:highlight w:val="none"/>
        </w:rPr>
        <w:t>。</w:t>
      </w:r>
    </w:p>
    <w:p w14:paraId="5AE5E7FA">
      <w:pPr>
        <w:pStyle w:val="117"/>
        <w:ind w:firstLine="0" w:firstLineChars="0"/>
        <w:jc w:val="right"/>
        <w:rPr>
          <w:rFonts w:hint="default" w:eastAsia="宋体" w:cs="Times New Roman"/>
          <w:b/>
          <w:color w:val="auto"/>
          <w:szCs w:val="24"/>
          <w:highlight w:val="none"/>
          <w:lang w:val="en-US" w:eastAsia="zh-CN"/>
        </w:rPr>
      </w:pPr>
      <w:r>
        <w:rPr>
          <w:rFonts w:cs="Times New Roman"/>
          <w:b/>
          <w:color w:val="auto"/>
          <w:szCs w:val="24"/>
          <w:highlight w:val="none"/>
        </w:rPr>
        <w:t>表3</w:t>
      </w:r>
      <w:r>
        <w:rPr>
          <w:rFonts w:hint="eastAsia" w:cs="Times New Roman"/>
          <w:b/>
          <w:color w:val="auto"/>
          <w:szCs w:val="24"/>
          <w:highlight w:val="none"/>
          <w:lang w:val="en-US" w:eastAsia="zh-CN"/>
        </w:rPr>
        <w:t>.</w:t>
      </w:r>
      <w:r>
        <w:rPr>
          <w:rFonts w:cs="Times New Roman"/>
          <w:b/>
          <w:color w:val="auto"/>
          <w:szCs w:val="24"/>
          <w:highlight w:val="none"/>
        </w:rPr>
        <w:t>4-</w:t>
      </w:r>
      <w:r>
        <w:rPr>
          <w:rFonts w:hint="eastAsia" w:cs="Times New Roman"/>
          <w:b/>
          <w:color w:val="auto"/>
          <w:szCs w:val="24"/>
          <w:highlight w:val="none"/>
          <w:lang w:val="en-US" w:eastAsia="zh-CN"/>
        </w:rPr>
        <w:t>11</w:t>
      </w:r>
      <w:r>
        <w:rPr>
          <w:rFonts w:cs="Times New Roman"/>
          <w:b/>
          <w:color w:val="auto"/>
          <w:szCs w:val="24"/>
          <w:highlight w:val="none"/>
        </w:rPr>
        <w:t xml:space="preserve"> </w:t>
      </w:r>
      <w:r>
        <w:rPr>
          <w:rFonts w:hint="eastAsia" w:cs="Times New Roman"/>
          <w:b/>
          <w:color w:val="auto"/>
          <w:szCs w:val="24"/>
          <w:highlight w:val="none"/>
          <w:lang w:val="en-US" w:eastAsia="zh-CN"/>
        </w:rPr>
        <w:t>污水处理站进水</w:t>
      </w:r>
      <w:r>
        <w:rPr>
          <w:rFonts w:cs="Times New Roman"/>
          <w:b/>
          <w:color w:val="auto"/>
          <w:szCs w:val="24"/>
          <w:highlight w:val="none"/>
        </w:rPr>
        <w:t>水质一览表</w:t>
      </w:r>
      <w:r>
        <w:rPr>
          <w:rFonts w:hint="eastAsia" w:cs="Times New Roman"/>
          <w:b/>
          <w:color w:val="auto"/>
          <w:szCs w:val="24"/>
          <w:highlight w:val="none"/>
          <w:lang w:val="en-US" w:eastAsia="zh-CN"/>
        </w:rPr>
        <w:t xml:space="preserve">  </w:t>
      </w:r>
      <w:r>
        <w:rPr>
          <w:rFonts w:hint="eastAsia" w:ascii="Times New Roman" w:hAnsi="Times New Roman" w:eastAsia="宋体" w:cs="Times New Roman"/>
          <w:b/>
          <w:color w:val="auto"/>
          <w:sz w:val="21"/>
          <w:szCs w:val="21"/>
          <w:highlight w:val="none"/>
          <w:lang w:val="en-US" w:eastAsia="zh-CN"/>
        </w:rPr>
        <w:t>单位：pH值无量纲，大肠菌群数MPN/L</w:t>
      </w:r>
    </w:p>
    <w:tbl>
      <w:tblPr>
        <w:tblStyle w:val="47"/>
        <w:tblW w:w="8596"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shd w:val="clear" w:color="auto" w:fill="auto"/>
        <w:tblLayout w:type="fixed"/>
        <w:tblCellMar>
          <w:top w:w="0" w:type="dxa"/>
          <w:left w:w="108" w:type="dxa"/>
          <w:bottom w:w="0" w:type="dxa"/>
          <w:right w:w="108" w:type="dxa"/>
        </w:tblCellMar>
      </w:tblPr>
      <w:tblGrid>
        <w:gridCol w:w="952"/>
        <w:gridCol w:w="799"/>
        <w:gridCol w:w="709"/>
        <w:gridCol w:w="783"/>
        <w:gridCol w:w="639"/>
        <w:gridCol w:w="705"/>
        <w:gridCol w:w="694"/>
        <w:gridCol w:w="699"/>
        <w:gridCol w:w="693"/>
        <w:gridCol w:w="915"/>
        <w:gridCol w:w="1008"/>
      </w:tblGrid>
      <w:tr w14:paraId="060644CD">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36" w:hRule="atLeast"/>
          <w:jc w:val="center"/>
        </w:trPr>
        <w:tc>
          <w:tcPr>
            <w:tcW w:w="952" w:type="dxa"/>
            <w:vMerge w:val="restart"/>
            <w:tcBorders>
              <w:tl2br w:val="nil"/>
              <w:tr2bl w:val="nil"/>
            </w:tcBorders>
            <w:shd w:val="clear" w:color="auto" w:fill="auto"/>
            <w:vAlign w:val="center"/>
          </w:tcPr>
          <w:p w14:paraId="44889C50">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类别</w:t>
            </w:r>
          </w:p>
        </w:tc>
        <w:tc>
          <w:tcPr>
            <w:tcW w:w="799" w:type="dxa"/>
            <w:tcBorders>
              <w:tl2br w:val="nil"/>
              <w:tr2bl w:val="nil"/>
            </w:tcBorders>
            <w:shd w:val="clear" w:color="auto" w:fill="auto"/>
            <w:vAlign w:val="center"/>
          </w:tcPr>
          <w:p w14:paraId="7C35563F">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排水量</w:t>
            </w:r>
          </w:p>
        </w:tc>
        <w:tc>
          <w:tcPr>
            <w:tcW w:w="6845" w:type="dxa"/>
            <w:gridSpan w:val="9"/>
            <w:tcBorders>
              <w:tl2br w:val="nil"/>
              <w:tr2bl w:val="nil"/>
            </w:tcBorders>
            <w:shd w:val="clear" w:color="auto" w:fill="auto"/>
            <w:vAlign w:val="center"/>
          </w:tcPr>
          <w:p w14:paraId="17B76F95">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主要污染物浓度（</w:t>
            </w:r>
            <w:r>
              <w:rPr>
                <w:rFonts w:hint="default" w:ascii="Times New Roman" w:hAnsi="Times New Roman" w:eastAsia="宋体" w:cs="Times New Roman"/>
                <w:color w:val="auto"/>
                <w:sz w:val="21"/>
                <w:szCs w:val="21"/>
                <w:highlight w:val="none"/>
                <w:lang w:val="en-US" w:eastAsia="zh-CN"/>
              </w:rPr>
              <w:t>mg/L</w:t>
            </w:r>
            <w:r>
              <w:rPr>
                <w:rFonts w:hint="eastAsia" w:ascii="Times New Roman" w:hAnsi="Times New Roman" w:eastAsia="宋体" w:cs="Times New Roman"/>
                <w:color w:val="auto"/>
                <w:sz w:val="21"/>
                <w:szCs w:val="21"/>
                <w:highlight w:val="none"/>
                <w:lang w:val="en-US" w:eastAsia="zh-CN"/>
              </w:rPr>
              <w:t>）</w:t>
            </w:r>
          </w:p>
        </w:tc>
      </w:tr>
      <w:tr w14:paraId="69D5CD4B">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57" w:hRule="atLeast"/>
          <w:jc w:val="center"/>
        </w:trPr>
        <w:tc>
          <w:tcPr>
            <w:tcW w:w="952" w:type="dxa"/>
            <w:vMerge w:val="continue"/>
            <w:tcBorders>
              <w:tl2br w:val="nil"/>
              <w:tr2bl w:val="nil"/>
            </w:tcBorders>
            <w:shd w:val="clear" w:color="auto" w:fill="auto"/>
            <w:vAlign w:val="center"/>
          </w:tcPr>
          <w:p w14:paraId="2EFCC036">
            <w:pPr>
              <w:pStyle w:val="303"/>
              <w:adjustRightInd w:val="0"/>
              <w:snapToGrid w:val="0"/>
              <w:rPr>
                <w:rFonts w:hint="eastAsia" w:ascii="Times New Roman" w:hAnsi="Times New Roman" w:eastAsia="宋体" w:cs="Times New Roman"/>
                <w:color w:val="auto"/>
                <w:sz w:val="21"/>
                <w:szCs w:val="21"/>
                <w:highlight w:val="none"/>
                <w:lang w:eastAsia="zh-CN"/>
              </w:rPr>
            </w:pPr>
          </w:p>
        </w:tc>
        <w:tc>
          <w:tcPr>
            <w:tcW w:w="799" w:type="dxa"/>
            <w:tcBorders>
              <w:tl2br w:val="nil"/>
              <w:tr2bl w:val="nil"/>
            </w:tcBorders>
            <w:shd w:val="clear" w:color="auto" w:fill="auto"/>
            <w:vAlign w:val="center"/>
          </w:tcPr>
          <w:p w14:paraId="65EE8F1D">
            <w:pPr>
              <w:pStyle w:val="303"/>
              <w:adjustRightInd w:val="0"/>
              <w:snapToGrid w:val="0"/>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/d</w:t>
            </w:r>
          </w:p>
        </w:tc>
        <w:tc>
          <w:tcPr>
            <w:tcW w:w="709" w:type="dxa"/>
            <w:tcBorders>
              <w:tl2br w:val="nil"/>
              <w:tr2bl w:val="nil"/>
            </w:tcBorders>
            <w:shd w:val="clear" w:color="auto" w:fill="auto"/>
            <w:vAlign w:val="center"/>
          </w:tcPr>
          <w:p w14:paraId="228282CE">
            <w:pPr>
              <w:pStyle w:val="303"/>
              <w:adjustRightInd w:val="0"/>
              <w:snapToGrid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COD</w:t>
            </w:r>
          </w:p>
        </w:tc>
        <w:tc>
          <w:tcPr>
            <w:tcW w:w="783" w:type="dxa"/>
            <w:tcBorders>
              <w:tl2br w:val="nil"/>
              <w:tr2bl w:val="nil"/>
            </w:tcBorders>
            <w:shd w:val="clear" w:color="auto" w:fill="auto"/>
            <w:vAlign w:val="center"/>
          </w:tcPr>
          <w:p w14:paraId="7A230128">
            <w:pPr>
              <w:pStyle w:val="303"/>
              <w:adjustRightInd w:val="0"/>
              <w:snapToGrid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BOD</w:t>
            </w:r>
            <w:r>
              <w:rPr>
                <w:rFonts w:hint="default" w:ascii="Times New Roman" w:hAnsi="Times New Roman" w:eastAsia="宋体" w:cs="Times New Roman"/>
                <w:color w:val="auto"/>
                <w:sz w:val="21"/>
                <w:szCs w:val="21"/>
                <w:highlight w:val="none"/>
                <w:vertAlign w:val="subscript"/>
                <w:lang w:val="en-US" w:eastAsia="zh-CN"/>
              </w:rPr>
              <w:t>5</w:t>
            </w:r>
          </w:p>
        </w:tc>
        <w:tc>
          <w:tcPr>
            <w:tcW w:w="639" w:type="dxa"/>
            <w:tcBorders>
              <w:tl2br w:val="nil"/>
              <w:tr2bl w:val="nil"/>
            </w:tcBorders>
            <w:shd w:val="clear" w:color="auto" w:fill="auto"/>
            <w:vAlign w:val="center"/>
          </w:tcPr>
          <w:p w14:paraId="6B9E6B56">
            <w:pPr>
              <w:pStyle w:val="303"/>
              <w:adjustRightInd w:val="0"/>
              <w:snapToGrid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SS</w:t>
            </w:r>
          </w:p>
        </w:tc>
        <w:tc>
          <w:tcPr>
            <w:tcW w:w="705" w:type="dxa"/>
            <w:tcBorders>
              <w:tl2br w:val="nil"/>
              <w:tr2bl w:val="nil"/>
            </w:tcBorders>
            <w:shd w:val="clear" w:color="auto" w:fill="auto"/>
            <w:vAlign w:val="center"/>
          </w:tcPr>
          <w:p w14:paraId="2E442781">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氨氮</w:t>
            </w:r>
          </w:p>
        </w:tc>
        <w:tc>
          <w:tcPr>
            <w:tcW w:w="694" w:type="dxa"/>
            <w:tcBorders>
              <w:tl2br w:val="nil"/>
              <w:tr2bl w:val="nil"/>
            </w:tcBorders>
            <w:shd w:val="clear" w:color="auto" w:fill="auto"/>
            <w:vAlign w:val="center"/>
          </w:tcPr>
          <w:p w14:paraId="6ADFFD35">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动植物油</w:t>
            </w:r>
          </w:p>
        </w:tc>
        <w:tc>
          <w:tcPr>
            <w:tcW w:w="699" w:type="dxa"/>
            <w:tcBorders>
              <w:tl2br w:val="nil"/>
              <w:tr2bl w:val="nil"/>
            </w:tcBorders>
            <w:shd w:val="clear" w:color="auto" w:fill="auto"/>
            <w:vAlign w:val="center"/>
          </w:tcPr>
          <w:p w14:paraId="5512A658">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总氮</w:t>
            </w:r>
          </w:p>
        </w:tc>
        <w:tc>
          <w:tcPr>
            <w:tcW w:w="693" w:type="dxa"/>
            <w:tcBorders>
              <w:tl2br w:val="nil"/>
              <w:tr2bl w:val="nil"/>
            </w:tcBorders>
            <w:shd w:val="clear" w:color="auto" w:fill="auto"/>
            <w:vAlign w:val="center"/>
          </w:tcPr>
          <w:p w14:paraId="7F14A43A">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总磷</w:t>
            </w:r>
          </w:p>
        </w:tc>
        <w:tc>
          <w:tcPr>
            <w:tcW w:w="915" w:type="dxa"/>
            <w:tcBorders>
              <w:tl2br w:val="nil"/>
              <w:tr2bl w:val="nil"/>
            </w:tcBorders>
            <w:shd w:val="clear" w:color="auto" w:fill="auto"/>
            <w:vAlign w:val="center"/>
          </w:tcPr>
          <w:p w14:paraId="5CE6D348">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pH值</w:t>
            </w:r>
          </w:p>
        </w:tc>
        <w:tc>
          <w:tcPr>
            <w:tcW w:w="1008" w:type="dxa"/>
            <w:tcBorders>
              <w:tl2br w:val="nil"/>
              <w:tr2bl w:val="nil"/>
            </w:tcBorders>
            <w:shd w:val="clear" w:color="auto" w:fill="auto"/>
            <w:vAlign w:val="center"/>
          </w:tcPr>
          <w:p w14:paraId="3F03E4F7">
            <w:pPr>
              <w:pStyle w:val="303"/>
              <w:adjustRightInd w:val="0"/>
              <w:snapToGrid w:val="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大肠菌群数</w:t>
            </w:r>
          </w:p>
        </w:tc>
      </w:tr>
      <w:tr w14:paraId="61FBF394">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26" w:hRule="atLeast"/>
          <w:jc w:val="center"/>
        </w:trPr>
        <w:tc>
          <w:tcPr>
            <w:tcW w:w="952" w:type="dxa"/>
            <w:tcBorders>
              <w:tl2br w:val="nil"/>
              <w:tr2bl w:val="nil"/>
            </w:tcBorders>
            <w:shd w:val="clear" w:color="auto" w:fill="auto"/>
            <w:vAlign w:val="center"/>
          </w:tcPr>
          <w:p w14:paraId="31B945BF">
            <w:pPr>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cs="Times New Roman"/>
                <w:color w:val="auto"/>
                <w:sz w:val="21"/>
                <w:szCs w:val="21"/>
                <w:highlight w:val="none"/>
              </w:rPr>
              <w:t>屠宰废水</w:t>
            </w:r>
          </w:p>
        </w:tc>
        <w:tc>
          <w:tcPr>
            <w:tcW w:w="799" w:type="dxa"/>
            <w:tcBorders>
              <w:tl2br w:val="nil"/>
              <w:tr2bl w:val="nil"/>
            </w:tcBorders>
            <w:shd w:val="clear" w:color="auto" w:fill="auto"/>
            <w:vAlign w:val="center"/>
          </w:tcPr>
          <w:p w14:paraId="4565AAD9">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229.1</w:t>
            </w:r>
          </w:p>
        </w:tc>
        <w:tc>
          <w:tcPr>
            <w:tcW w:w="709" w:type="dxa"/>
            <w:tcBorders>
              <w:tl2br w:val="nil"/>
              <w:tr2bl w:val="nil"/>
            </w:tcBorders>
            <w:shd w:val="clear" w:color="auto" w:fill="auto"/>
            <w:vAlign w:val="center"/>
          </w:tcPr>
          <w:p w14:paraId="5DE90B3E">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2717</w:t>
            </w:r>
          </w:p>
        </w:tc>
        <w:tc>
          <w:tcPr>
            <w:tcW w:w="783" w:type="dxa"/>
            <w:tcBorders>
              <w:tl2br w:val="nil"/>
              <w:tr2bl w:val="nil"/>
            </w:tcBorders>
            <w:shd w:val="clear" w:color="auto" w:fill="auto"/>
            <w:vAlign w:val="center"/>
          </w:tcPr>
          <w:p w14:paraId="5B101195">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1000</w:t>
            </w:r>
          </w:p>
        </w:tc>
        <w:tc>
          <w:tcPr>
            <w:tcW w:w="639" w:type="dxa"/>
            <w:tcBorders>
              <w:tl2br w:val="nil"/>
              <w:tr2bl w:val="nil"/>
            </w:tcBorders>
            <w:shd w:val="clear" w:color="auto" w:fill="auto"/>
            <w:vAlign w:val="center"/>
          </w:tcPr>
          <w:p w14:paraId="083B1B62">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1000</w:t>
            </w:r>
          </w:p>
        </w:tc>
        <w:tc>
          <w:tcPr>
            <w:tcW w:w="705" w:type="dxa"/>
            <w:tcBorders>
              <w:tl2br w:val="nil"/>
              <w:tr2bl w:val="nil"/>
            </w:tcBorders>
            <w:shd w:val="clear" w:color="auto" w:fill="auto"/>
            <w:vAlign w:val="center"/>
          </w:tcPr>
          <w:p w14:paraId="34C10A83">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86</w:t>
            </w:r>
          </w:p>
        </w:tc>
        <w:tc>
          <w:tcPr>
            <w:tcW w:w="694" w:type="dxa"/>
            <w:tcBorders>
              <w:tl2br w:val="nil"/>
              <w:tr2bl w:val="nil"/>
            </w:tcBorders>
            <w:shd w:val="clear" w:color="auto" w:fill="auto"/>
            <w:vAlign w:val="center"/>
          </w:tcPr>
          <w:p w14:paraId="39DE82AF">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200</w:t>
            </w:r>
          </w:p>
        </w:tc>
        <w:tc>
          <w:tcPr>
            <w:tcW w:w="699" w:type="dxa"/>
            <w:tcBorders>
              <w:tl2br w:val="nil"/>
              <w:tr2bl w:val="nil"/>
            </w:tcBorders>
            <w:shd w:val="clear" w:color="auto" w:fill="auto"/>
            <w:vAlign w:val="center"/>
          </w:tcPr>
          <w:p w14:paraId="3932E26D">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197</w:t>
            </w:r>
          </w:p>
        </w:tc>
        <w:tc>
          <w:tcPr>
            <w:tcW w:w="693" w:type="dxa"/>
            <w:tcBorders>
              <w:tl2br w:val="nil"/>
              <w:tr2bl w:val="nil"/>
            </w:tcBorders>
            <w:shd w:val="clear" w:color="auto" w:fill="auto"/>
            <w:vAlign w:val="center"/>
          </w:tcPr>
          <w:p w14:paraId="2057E58E">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18</w:t>
            </w:r>
          </w:p>
        </w:tc>
        <w:tc>
          <w:tcPr>
            <w:tcW w:w="915" w:type="dxa"/>
            <w:tcBorders>
              <w:tl2br w:val="nil"/>
              <w:tr2bl w:val="nil"/>
            </w:tcBorders>
            <w:shd w:val="clear" w:color="auto" w:fill="auto"/>
            <w:vAlign w:val="center"/>
          </w:tcPr>
          <w:p w14:paraId="330325DB">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6.</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7.5</w:t>
            </w:r>
          </w:p>
        </w:tc>
        <w:tc>
          <w:tcPr>
            <w:tcW w:w="1008" w:type="dxa"/>
            <w:tcBorders>
              <w:tl2br w:val="nil"/>
              <w:tr2bl w:val="nil"/>
            </w:tcBorders>
            <w:shd w:val="clear" w:color="auto" w:fill="auto"/>
            <w:vAlign w:val="center"/>
          </w:tcPr>
          <w:p w14:paraId="0A1FA26D">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195CF906">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26" w:hRule="atLeast"/>
          <w:jc w:val="center"/>
        </w:trPr>
        <w:tc>
          <w:tcPr>
            <w:tcW w:w="952" w:type="dxa"/>
            <w:tcBorders>
              <w:tl2br w:val="nil"/>
              <w:tr2bl w:val="nil"/>
            </w:tcBorders>
            <w:shd w:val="clear" w:color="auto" w:fill="auto"/>
            <w:vAlign w:val="center"/>
          </w:tcPr>
          <w:p w14:paraId="24E90651">
            <w:pPr>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cs="Times New Roman"/>
                <w:color w:val="auto"/>
                <w:spacing w:val="12"/>
                <w:sz w:val="21"/>
                <w:szCs w:val="21"/>
                <w:highlight w:val="none"/>
                <w:lang w:val="en-US" w:eastAsia="zh-CN"/>
              </w:rPr>
              <w:t>车辆冲洗</w:t>
            </w:r>
            <w:r>
              <w:rPr>
                <w:rFonts w:cs="Times New Roman"/>
                <w:color w:val="auto"/>
                <w:spacing w:val="12"/>
                <w:sz w:val="21"/>
                <w:szCs w:val="21"/>
                <w:highlight w:val="none"/>
              </w:rPr>
              <w:t>废水</w:t>
            </w:r>
          </w:p>
        </w:tc>
        <w:tc>
          <w:tcPr>
            <w:tcW w:w="799" w:type="dxa"/>
            <w:tcBorders>
              <w:tl2br w:val="nil"/>
              <w:tr2bl w:val="nil"/>
            </w:tcBorders>
            <w:shd w:val="clear" w:color="auto" w:fill="auto"/>
            <w:vAlign w:val="center"/>
          </w:tcPr>
          <w:p w14:paraId="3DD091E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w:t>
            </w:r>
          </w:p>
        </w:tc>
        <w:tc>
          <w:tcPr>
            <w:tcW w:w="709" w:type="dxa"/>
            <w:tcBorders>
              <w:tl2br w:val="nil"/>
              <w:tr2bl w:val="nil"/>
            </w:tcBorders>
            <w:shd w:val="clear" w:color="auto" w:fill="auto"/>
            <w:vAlign w:val="center"/>
          </w:tcPr>
          <w:p w14:paraId="064423DD">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1200</w:t>
            </w:r>
          </w:p>
        </w:tc>
        <w:tc>
          <w:tcPr>
            <w:tcW w:w="783" w:type="dxa"/>
            <w:tcBorders>
              <w:tl2br w:val="nil"/>
              <w:tr2bl w:val="nil"/>
            </w:tcBorders>
            <w:shd w:val="clear" w:color="auto" w:fill="auto"/>
            <w:vAlign w:val="center"/>
          </w:tcPr>
          <w:p w14:paraId="3DC87331">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500</w:t>
            </w:r>
          </w:p>
        </w:tc>
        <w:tc>
          <w:tcPr>
            <w:tcW w:w="639" w:type="dxa"/>
            <w:tcBorders>
              <w:tl2br w:val="nil"/>
              <w:tr2bl w:val="nil"/>
            </w:tcBorders>
            <w:shd w:val="clear" w:color="auto" w:fill="auto"/>
            <w:vAlign w:val="center"/>
          </w:tcPr>
          <w:p w14:paraId="14688E79">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550</w:t>
            </w:r>
          </w:p>
        </w:tc>
        <w:tc>
          <w:tcPr>
            <w:tcW w:w="705" w:type="dxa"/>
            <w:tcBorders>
              <w:tl2br w:val="nil"/>
              <w:tr2bl w:val="nil"/>
            </w:tcBorders>
            <w:shd w:val="clear" w:color="auto" w:fill="auto"/>
            <w:vAlign w:val="center"/>
          </w:tcPr>
          <w:p w14:paraId="1DBFB879">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55</w:t>
            </w:r>
          </w:p>
        </w:tc>
        <w:tc>
          <w:tcPr>
            <w:tcW w:w="694" w:type="dxa"/>
            <w:tcBorders>
              <w:tl2br w:val="nil"/>
              <w:tr2bl w:val="nil"/>
            </w:tcBorders>
            <w:shd w:val="clear" w:color="auto" w:fill="auto"/>
            <w:vAlign w:val="center"/>
          </w:tcPr>
          <w:p w14:paraId="227D115D">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w:t>
            </w:r>
          </w:p>
        </w:tc>
        <w:tc>
          <w:tcPr>
            <w:tcW w:w="699" w:type="dxa"/>
            <w:tcBorders>
              <w:tl2br w:val="nil"/>
              <w:tr2bl w:val="nil"/>
            </w:tcBorders>
            <w:shd w:val="clear" w:color="auto" w:fill="auto"/>
            <w:vAlign w:val="center"/>
          </w:tcPr>
          <w:p w14:paraId="10864562">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w:t>
            </w:r>
          </w:p>
        </w:tc>
        <w:tc>
          <w:tcPr>
            <w:tcW w:w="693" w:type="dxa"/>
            <w:tcBorders>
              <w:tl2br w:val="nil"/>
              <w:tr2bl w:val="nil"/>
            </w:tcBorders>
            <w:shd w:val="clear" w:color="auto" w:fill="auto"/>
            <w:vAlign w:val="center"/>
          </w:tcPr>
          <w:p w14:paraId="0E9CB030">
            <w:pPr>
              <w:spacing w:line="360" w:lineRule="exact"/>
              <w:ind w:firstLine="0" w:firstLineChars="0"/>
              <w:jc w:val="center"/>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w:t>
            </w:r>
          </w:p>
        </w:tc>
        <w:tc>
          <w:tcPr>
            <w:tcW w:w="915" w:type="dxa"/>
            <w:tcBorders>
              <w:tl2br w:val="nil"/>
              <w:tr2bl w:val="nil"/>
            </w:tcBorders>
            <w:shd w:val="clear" w:color="auto" w:fill="auto"/>
            <w:vAlign w:val="center"/>
          </w:tcPr>
          <w:p w14:paraId="49B5239D">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w:t>
            </w:r>
          </w:p>
        </w:tc>
        <w:tc>
          <w:tcPr>
            <w:tcW w:w="1008" w:type="dxa"/>
            <w:tcBorders>
              <w:tl2br w:val="nil"/>
              <w:tr2bl w:val="nil"/>
            </w:tcBorders>
            <w:shd w:val="clear" w:color="auto" w:fill="auto"/>
            <w:vAlign w:val="center"/>
          </w:tcPr>
          <w:p w14:paraId="1B8465B1">
            <w:pPr>
              <w:pStyle w:val="303"/>
              <w:adjustRightInd w:val="0"/>
              <w:snapToGrid w:val="0"/>
              <w:ind w:firstLine="0" w:firstLineChars="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3071F9EF">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55" w:hRule="atLeast"/>
          <w:jc w:val="center"/>
        </w:trPr>
        <w:tc>
          <w:tcPr>
            <w:tcW w:w="952" w:type="dxa"/>
            <w:tcBorders>
              <w:tl2br w:val="nil"/>
              <w:tr2bl w:val="nil"/>
            </w:tcBorders>
            <w:shd w:val="clear" w:color="auto" w:fill="auto"/>
            <w:vAlign w:val="center"/>
          </w:tcPr>
          <w:p w14:paraId="7634A424">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混合废水</w:t>
            </w:r>
          </w:p>
        </w:tc>
        <w:tc>
          <w:tcPr>
            <w:tcW w:w="799" w:type="dxa"/>
            <w:tcBorders>
              <w:tl2br w:val="nil"/>
              <w:tr2bl w:val="nil"/>
            </w:tcBorders>
            <w:shd w:val="clear" w:color="auto" w:fill="auto"/>
            <w:vAlign w:val="center"/>
          </w:tcPr>
          <w:p w14:paraId="6F1C87DF">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233.1</w:t>
            </w:r>
          </w:p>
        </w:tc>
        <w:tc>
          <w:tcPr>
            <w:tcW w:w="709" w:type="dxa"/>
            <w:tcBorders>
              <w:tl2br w:val="nil"/>
              <w:tr2bl w:val="nil"/>
            </w:tcBorders>
            <w:shd w:val="clear" w:color="auto" w:fill="auto"/>
            <w:vAlign w:val="center"/>
          </w:tcPr>
          <w:p w14:paraId="06BA7AC1">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2691</w:t>
            </w:r>
          </w:p>
        </w:tc>
        <w:tc>
          <w:tcPr>
            <w:tcW w:w="783" w:type="dxa"/>
            <w:tcBorders>
              <w:tl2br w:val="nil"/>
              <w:tr2bl w:val="nil"/>
            </w:tcBorders>
            <w:shd w:val="clear" w:color="auto" w:fill="auto"/>
            <w:vAlign w:val="center"/>
          </w:tcPr>
          <w:p w14:paraId="5A04C979">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991</w:t>
            </w:r>
          </w:p>
        </w:tc>
        <w:tc>
          <w:tcPr>
            <w:tcW w:w="639" w:type="dxa"/>
            <w:tcBorders>
              <w:tl2br w:val="nil"/>
              <w:tr2bl w:val="nil"/>
            </w:tcBorders>
            <w:shd w:val="clear" w:color="auto" w:fill="auto"/>
            <w:vAlign w:val="center"/>
          </w:tcPr>
          <w:p w14:paraId="6CDD974A">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992</w:t>
            </w:r>
          </w:p>
        </w:tc>
        <w:tc>
          <w:tcPr>
            <w:tcW w:w="705" w:type="dxa"/>
            <w:tcBorders>
              <w:tl2br w:val="nil"/>
              <w:tr2bl w:val="nil"/>
            </w:tcBorders>
            <w:shd w:val="clear" w:color="auto" w:fill="auto"/>
            <w:vAlign w:val="center"/>
          </w:tcPr>
          <w:p w14:paraId="1ADCB553">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85</w:t>
            </w:r>
          </w:p>
        </w:tc>
        <w:tc>
          <w:tcPr>
            <w:tcW w:w="694" w:type="dxa"/>
            <w:tcBorders>
              <w:tl2br w:val="nil"/>
              <w:tr2bl w:val="nil"/>
            </w:tcBorders>
            <w:shd w:val="clear" w:color="auto" w:fill="auto"/>
            <w:vAlign w:val="center"/>
          </w:tcPr>
          <w:p w14:paraId="6B77264D">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197</w:t>
            </w:r>
          </w:p>
        </w:tc>
        <w:tc>
          <w:tcPr>
            <w:tcW w:w="699" w:type="dxa"/>
            <w:tcBorders>
              <w:tl2br w:val="nil"/>
              <w:tr2bl w:val="nil"/>
            </w:tcBorders>
            <w:shd w:val="clear" w:color="auto" w:fill="auto"/>
            <w:vAlign w:val="center"/>
          </w:tcPr>
          <w:p w14:paraId="0C7C3D3F">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194</w:t>
            </w:r>
          </w:p>
        </w:tc>
        <w:tc>
          <w:tcPr>
            <w:tcW w:w="693" w:type="dxa"/>
            <w:tcBorders>
              <w:tl2br w:val="nil"/>
              <w:tr2bl w:val="nil"/>
            </w:tcBorders>
            <w:shd w:val="clear" w:color="auto" w:fill="auto"/>
            <w:vAlign w:val="center"/>
          </w:tcPr>
          <w:p w14:paraId="38D32356">
            <w:pPr>
              <w:spacing w:line="360" w:lineRule="exact"/>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18</w:t>
            </w:r>
          </w:p>
        </w:tc>
        <w:tc>
          <w:tcPr>
            <w:tcW w:w="915" w:type="dxa"/>
            <w:tcBorders>
              <w:tl2br w:val="nil"/>
              <w:tr2bl w:val="nil"/>
            </w:tcBorders>
            <w:shd w:val="clear" w:color="auto" w:fill="auto"/>
            <w:vAlign w:val="center"/>
          </w:tcPr>
          <w:p w14:paraId="4DE77A02">
            <w:pPr>
              <w:pStyle w:val="303"/>
              <w:adjustRightInd w:val="0"/>
              <w:snapToGrid w:val="0"/>
              <w:ind w:firstLine="0" w:firstLineChars="0"/>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6.5~7.5</w:t>
            </w:r>
          </w:p>
        </w:tc>
        <w:tc>
          <w:tcPr>
            <w:tcW w:w="1008" w:type="dxa"/>
            <w:tcBorders>
              <w:tl2br w:val="nil"/>
              <w:tr2bl w:val="nil"/>
            </w:tcBorders>
            <w:shd w:val="clear" w:color="auto" w:fill="auto"/>
            <w:vAlign w:val="center"/>
          </w:tcPr>
          <w:p w14:paraId="63E01A00">
            <w:pPr>
              <w:pStyle w:val="303"/>
              <w:adjustRightInd w:val="0"/>
              <w:snapToGrid w:val="0"/>
              <w:ind w:firstLine="0" w:firstLineChars="0"/>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5211E98B">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55" w:hRule="atLeast"/>
          <w:jc w:val="center"/>
        </w:trPr>
        <w:tc>
          <w:tcPr>
            <w:tcW w:w="952" w:type="dxa"/>
            <w:tcBorders>
              <w:tl2br w:val="nil"/>
              <w:tr2bl w:val="nil"/>
            </w:tcBorders>
            <w:shd w:val="clear" w:color="auto" w:fill="auto"/>
            <w:vAlign w:val="center"/>
          </w:tcPr>
          <w:p w14:paraId="5E25B81B">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cs="Times New Roman"/>
                <w:color w:val="auto"/>
                <w:sz w:val="21"/>
                <w:szCs w:val="21"/>
                <w:highlight w:val="none"/>
              </w:rPr>
              <w:t>污水处理站</w:t>
            </w:r>
          </w:p>
        </w:tc>
        <w:tc>
          <w:tcPr>
            <w:tcW w:w="7644" w:type="dxa"/>
            <w:gridSpan w:val="10"/>
            <w:tcBorders>
              <w:tl2br w:val="nil"/>
              <w:tr2bl w:val="nil"/>
            </w:tcBorders>
            <w:shd w:val="clear" w:color="auto" w:fill="auto"/>
            <w:vAlign w:val="center"/>
          </w:tcPr>
          <w:p w14:paraId="53E1BE7D">
            <w:pPr>
              <w:spacing w:line="360" w:lineRule="exact"/>
              <w:ind w:firstLine="0" w:firstLineChars="0"/>
              <w:jc w:val="center"/>
              <w:rPr>
                <w:rFonts w:hint="eastAsia" w:eastAsia="宋体" w:cs="Times New Roman"/>
                <w:color w:val="auto"/>
                <w:sz w:val="21"/>
                <w:szCs w:val="21"/>
                <w:highlight w:val="none"/>
                <w:lang w:val="en-US" w:eastAsia="zh-CN"/>
              </w:rPr>
            </w:pPr>
            <w:r>
              <w:rPr>
                <w:rFonts w:cs="Times New Roman"/>
                <w:color w:val="auto"/>
                <w:sz w:val="21"/>
                <w:szCs w:val="21"/>
                <w:highlight w:val="none"/>
              </w:rPr>
              <w:t>污水处理采</w:t>
            </w:r>
            <w:r>
              <w:rPr>
                <w:rFonts w:hint="eastAsia" w:eastAsia="宋体" w:cs="Times New Roman"/>
                <w:color w:val="auto"/>
                <w:sz w:val="21"/>
                <w:szCs w:val="21"/>
                <w:highlight w:val="none"/>
                <w:lang w:eastAsia="zh-CN"/>
              </w:rPr>
              <w:t>用“格栅+</w:t>
            </w:r>
            <w:r>
              <w:rPr>
                <w:rFonts w:hint="eastAsia" w:cs="Times New Roman"/>
                <w:color w:val="auto"/>
                <w:sz w:val="21"/>
                <w:szCs w:val="21"/>
                <w:highlight w:val="none"/>
                <w:lang w:val="en-US" w:eastAsia="zh-CN"/>
              </w:rPr>
              <w:t>隔油池+</w:t>
            </w:r>
            <w:r>
              <w:rPr>
                <w:rFonts w:hint="eastAsia" w:eastAsia="宋体" w:cs="Times New Roman"/>
                <w:color w:val="auto"/>
                <w:sz w:val="21"/>
                <w:szCs w:val="21"/>
                <w:highlight w:val="none"/>
                <w:lang w:val="en-US" w:eastAsia="zh-CN"/>
              </w:rPr>
              <w:t>调节池</w:t>
            </w:r>
            <w:r>
              <w:rPr>
                <w:rFonts w:hint="eastAsia" w:eastAsia="宋体" w:cs="Times New Roman"/>
                <w:color w:val="auto"/>
                <w:sz w:val="21"/>
                <w:szCs w:val="21"/>
                <w:highlight w:val="none"/>
                <w:lang w:eastAsia="zh-CN"/>
              </w:rPr>
              <w:t>+气浮+水解酸化+</w:t>
            </w:r>
            <w:r>
              <w:rPr>
                <w:rFonts w:hint="eastAsia" w:eastAsia="宋体" w:cs="Times New Roman"/>
                <w:color w:val="auto"/>
                <w:sz w:val="21"/>
                <w:szCs w:val="21"/>
                <w:highlight w:val="none"/>
                <w:lang w:val="en-US" w:eastAsia="zh-CN"/>
              </w:rPr>
              <w:t>反硝化缺氧+好氧</w:t>
            </w:r>
            <w:r>
              <w:rPr>
                <w:rFonts w:hint="eastAsia" w:eastAsia="宋体" w:cs="Times New Roman"/>
                <w:color w:val="auto"/>
                <w:sz w:val="21"/>
                <w:szCs w:val="21"/>
                <w:highlight w:val="none"/>
                <w:lang w:eastAsia="zh-CN"/>
              </w:rPr>
              <w:t>+沉淀+消毒（</w:t>
            </w:r>
            <w:r>
              <w:rPr>
                <w:rFonts w:hint="eastAsia" w:eastAsia="宋体" w:cs="Times New Roman"/>
                <w:color w:val="auto"/>
                <w:sz w:val="21"/>
                <w:szCs w:val="21"/>
                <w:highlight w:val="none"/>
                <w:lang w:val="en-US" w:eastAsia="zh-CN"/>
              </w:rPr>
              <w:t>次氯酸钠</w:t>
            </w:r>
            <w:r>
              <w:rPr>
                <w:rFonts w:hint="eastAsia" w:eastAsia="宋体" w:cs="Times New Roman"/>
                <w:color w:val="auto"/>
                <w:sz w:val="21"/>
                <w:szCs w:val="21"/>
                <w:highlight w:val="none"/>
                <w:lang w:eastAsia="zh-CN"/>
              </w:rPr>
              <w:t>）”，设计处理能</w:t>
            </w:r>
            <w:r>
              <w:rPr>
                <w:rFonts w:hint="eastAsia" w:cs="Times New Roman"/>
                <w:color w:val="auto"/>
                <w:sz w:val="21"/>
                <w:szCs w:val="21"/>
                <w:highlight w:val="none"/>
                <w:lang w:eastAsia="zh-CN"/>
              </w:rPr>
              <w:t>力为</w:t>
            </w:r>
            <w:r>
              <w:rPr>
                <w:rFonts w:hint="eastAsia" w:cs="Times New Roman"/>
                <w:color w:val="auto"/>
                <w:sz w:val="21"/>
                <w:szCs w:val="21"/>
                <w:highlight w:val="none"/>
                <w:lang w:val="en-US" w:eastAsia="zh-CN"/>
              </w:rPr>
              <w:t>2</w:t>
            </w:r>
            <w:r>
              <w:rPr>
                <w:rFonts w:hint="eastAsia" w:cs="Times New Roman"/>
                <w:color w:val="auto"/>
                <w:sz w:val="21"/>
                <w:szCs w:val="21"/>
                <w:highlight w:val="none"/>
                <w:lang w:eastAsia="zh-CN"/>
              </w:rPr>
              <w:t>50</w:t>
            </w:r>
            <w:r>
              <w:rPr>
                <w:rFonts w:cs="Times New Roman"/>
                <w:color w:val="auto"/>
                <w:sz w:val="21"/>
                <w:szCs w:val="21"/>
                <w:highlight w:val="none"/>
              </w:rPr>
              <w:t>m</w:t>
            </w:r>
            <w:r>
              <w:rPr>
                <w:rFonts w:cs="Times New Roman"/>
                <w:color w:val="auto"/>
                <w:sz w:val="21"/>
                <w:szCs w:val="21"/>
                <w:highlight w:val="none"/>
                <w:vertAlign w:val="superscript"/>
              </w:rPr>
              <w:t>3</w:t>
            </w:r>
            <w:r>
              <w:rPr>
                <w:rFonts w:cs="Times New Roman"/>
                <w:color w:val="auto"/>
                <w:sz w:val="21"/>
                <w:szCs w:val="21"/>
                <w:highlight w:val="none"/>
              </w:rPr>
              <w:t>/d</w:t>
            </w:r>
            <w:r>
              <w:rPr>
                <w:rFonts w:hint="eastAsia" w:cs="Times New Roman"/>
                <w:color w:val="auto"/>
                <w:sz w:val="21"/>
                <w:szCs w:val="21"/>
                <w:highlight w:val="none"/>
                <w:lang w:eastAsia="zh-CN"/>
              </w:rPr>
              <w:t>。</w:t>
            </w:r>
          </w:p>
        </w:tc>
      </w:tr>
    </w:tbl>
    <w:p w14:paraId="252087DB">
      <w:pPr>
        <w:pStyle w:val="117"/>
        <w:ind w:firstLine="0" w:firstLineChars="0"/>
        <w:jc w:val="center"/>
        <w:rPr>
          <w:rFonts w:cs="Times New Roman"/>
          <w:b/>
          <w:color w:val="auto"/>
          <w:szCs w:val="24"/>
          <w:highlight w:val="none"/>
        </w:rPr>
      </w:pPr>
      <w:r>
        <w:rPr>
          <w:rFonts w:cs="Times New Roman"/>
          <w:b/>
          <w:color w:val="auto"/>
          <w:szCs w:val="24"/>
          <w:highlight w:val="none"/>
        </w:rPr>
        <w:t>表3</w:t>
      </w:r>
      <w:r>
        <w:rPr>
          <w:rFonts w:hint="eastAsia" w:cs="Times New Roman"/>
          <w:b/>
          <w:color w:val="auto"/>
          <w:szCs w:val="24"/>
          <w:highlight w:val="none"/>
          <w:lang w:val="en-US" w:eastAsia="zh-CN"/>
        </w:rPr>
        <w:t>.</w:t>
      </w:r>
      <w:r>
        <w:rPr>
          <w:rFonts w:cs="Times New Roman"/>
          <w:b/>
          <w:color w:val="auto"/>
          <w:szCs w:val="24"/>
          <w:highlight w:val="none"/>
        </w:rPr>
        <w:t>4-</w:t>
      </w:r>
      <w:r>
        <w:rPr>
          <w:rFonts w:hint="eastAsia" w:cs="Times New Roman"/>
          <w:b/>
          <w:color w:val="auto"/>
          <w:szCs w:val="24"/>
          <w:highlight w:val="none"/>
          <w:lang w:val="en-US" w:eastAsia="zh-CN"/>
        </w:rPr>
        <w:t>12</w:t>
      </w:r>
      <w:r>
        <w:rPr>
          <w:rFonts w:cs="Times New Roman"/>
          <w:b/>
          <w:color w:val="auto"/>
          <w:szCs w:val="24"/>
          <w:highlight w:val="none"/>
        </w:rPr>
        <w:t xml:space="preserve">  本项目污水处理站进</w:t>
      </w:r>
      <w:r>
        <w:rPr>
          <w:rFonts w:hint="eastAsia" w:cs="Times New Roman"/>
          <w:b/>
          <w:color w:val="auto"/>
          <w:szCs w:val="24"/>
          <w:highlight w:val="none"/>
          <w:lang w:eastAsia="zh-CN"/>
        </w:rPr>
        <w:t>、</w:t>
      </w:r>
      <w:r>
        <w:rPr>
          <w:rFonts w:cs="Times New Roman"/>
          <w:b/>
          <w:color w:val="auto"/>
          <w:szCs w:val="24"/>
          <w:highlight w:val="none"/>
        </w:rPr>
        <w:t>出水水质</w:t>
      </w:r>
    </w:p>
    <w:tbl>
      <w:tblPr>
        <w:tblStyle w:val="47"/>
        <w:tblW w:w="926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847"/>
        <w:gridCol w:w="1198"/>
        <w:gridCol w:w="819"/>
        <w:gridCol w:w="745"/>
        <w:gridCol w:w="724"/>
        <w:gridCol w:w="724"/>
        <w:gridCol w:w="954"/>
        <w:gridCol w:w="757"/>
        <w:gridCol w:w="713"/>
        <w:gridCol w:w="849"/>
        <w:gridCol w:w="939"/>
      </w:tblGrid>
      <w:tr w14:paraId="0DF1BE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742" w:hRule="atLeast"/>
          <w:jc w:val="center"/>
        </w:trPr>
        <w:tc>
          <w:tcPr>
            <w:tcW w:w="2045" w:type="dxa"/>
            <w:gridSpan w:val="2"/>
            <w:vAlign w:val="center"/>
          </w:tcPr>
          <w:p w14:paraId="3E5ED657">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项目</w:t>
            </w:r>
          </w:p>
        </w:tc>
        <w:tc>
          <w:tcPr>
            <w:tcW w:w="819" w:type="dxa"/>
            <w:vAlign w:val="center"/>
          </w:tcPr>
          <w:p w14:paraId="6DC8E5F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COD</w:t>
            </w:r>
          </w:p>
          <w:p w14:paraId="6B75E397">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745" w:type="dxa"/>
            <w:vAlign w:val="center"/>
          </w:tcPr>
          <w:p w14:paraId="3C4E08C2">
            <w:pPr>
              <w:spacing w:line="240" w:lineRule="auto"/>
              <w:ind w:firstLine="0" w:firstLineChars="0"/>
              <w:jc w:val="center"/>
              <w:rPr>
                <w:rFonts w:cs="Times New Roman"/>
                <w:color w:val="auto"/>
                <w:sz w:val="21"/>
                <w:szCs w:val="21"/>
                <w:highlight w:val="none"/>
                <w:vertAlign w:val="subscript"/>
              </w:rPr>
            </w:pPr>
            <w:r>
              <w:rPr>
                <w:rFonts w:cs="Times New Roman"/>
                <w:color w:val="auto"/>
                <w:sz w:val="21"/>
                <w:szCs w:val="21"/>
                <w:highlight w:val="none"/>
              </w:rPr>
              <w:t>BOD</w:t>
            </w:r>
            <w:r>
              <w:rPr>
                <w:rFonts w:cs="Times New Roman"/>
                <w:color w:val="auto"/>
                <w:sz w:val="21"/>
                <w:szCs w:val="21"/>
                <w:highlight w:val="none"/>
                <w:vertAlign w:val="subscript"/>
              </w:rPr>
              <w:t>5</w:t>
            </w:r>
          </w:p>
          <w:p w14:paraId="670772A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724" w:type="dxa"/>
            <w:vAlign w:val="center"/>
          </w:tcPr>
          <w:p w14:paraId="6E09F1F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SS</w:t>
            </w:r>
          </w:p>
          <w:p w14:paraId="216D91AC">
            <w:pPr>
              <w:spacing w:line="240" w:lineRule="auto"/>
              <w:ind w:firstLine="0" w:firstLineChars="0"/>
              <w:jc w:val="center"/>
              <w:rPr>
                <w:rFonts w:cs="Times New Roman"/>
                <w:color w:val="auto"/>
                <w:sz w:val="21"/>
                <w:szCs w:val="21"/>
                <w:highlight w:val="none"/>
                <w:vertAlign w:val="subscript"/>
              </w:rPr>
            </w:pPr>
            <w:r>
              <w:rPr>
                <w:rFonts w:cs="Times New Roman"/>
                <w:color w:val="auto"/>
                <w:sz w:val="21"/>
                <w:szCs w:val="21"/>
                <w:highlight w:val="none"/>
              </w:rPr>
              <w:t>(mg/L)</w:t>
            </w:r>
          </w:p>
        </w:tc>
        <w:tc>
          <w:tcPr>
            <w:tcW w:w="724" w:type="dxa"/>
            <w:vAlign w:val="center"/>
          </w:tcPr>
          <w:p w14:paraId="21911DE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氨氮</w:t>
            </w:r>
          </w:p>
          <w:p w14:paraId="40C75D4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954" w:type="dxa"/>
            <w:vAlign w:val="center"/>
          </w:tcPr>
          <w:p w14:paraId="020D653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动植物油</w:t>
            </w:r>
          </w:p>
          <w:p w14:paraId="5485E9A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757" w:type="dxa"/>
            <w:vAlign w:val="center"/>
          </w:tcPr>
          <w:p w14:paraId="19A6E18A">
            <w:pPr>
              <w:pStyle w:val="303"/>
              <w:adjustRightInd w:val="0"/>
              <w:snapToGrid w:val="0"/>
              <w:spacing w:line="240" w:lineRule="auto"/>
              <w:rPr>
                <w:color w:val="auto"/>
                <w:sz w:val="21"/>
                <w:szCs w:val="21"/>
                <w:highlight w:val="none"/>
              </w:rPr>
            </w:pPr>
            <w:r>
              <w:rPr>
                <w:snapToGrid w:val="0"/>
                <w:color w:val="auto"/>
                <w:sz w:val="21"/>
                <w:szCs w:val="21"/>
                <w:highlight w:val="none"/>
              </w:rPr>
              <w:t>总氮</w:t>
            </w:r>
            <w:r>
              <w:rPr>
                <w:color w:val="auto"/>
                <w:sz w:val="21"/>
                <w:szCs w:val="21"/>
                <w:highlight w:val="none"/>
              </w:rPr>
              <w:t>(mg/L)</w:t>
            </w:r>
          </w:p>
        </w:tc>
        <w:tc>
          <w:tcPr>
            <w:tcW w:w="713" w:type="dxa"/>
            <w:vAlign w:val="center"/>
          </w:tcPr>
          <w:p w14:paraId="5F422BC2">
            <w:pPr>
              <w:pStyle w:val="303"/>
              <w:adjustRightInd w:val="0"/>
              <w:snapToGrid w:val="0"/>
              <w:spacing w:line="240" w:lineRule="auto"/>
              <w:rPr>
                <w:color w:val="auto"/>
                <w:sz w:val="21"/>
                <w:szCs w:val="21"/>
                <w:highlight w:val="none"/>
              </w:rPr>
            </w:pPr>
            <w:r>
              <w:rPr>
                <w:snapToGrid w:val="0"/>
                <w:color w:val="auto"/>
                <w:sz w:val="21"/>
                <w:szCs w:val="21"/>
                <w:highlight w:val="none"/>
              </w:rPr>
              <w:t>总磷</w:t>
            </w:r>
            <w:r>
              <w:rPr>
                <w:color w:val="auto"/>
                <w:sz w:val="21"/>
                <w:szCs w:val="21"/>
                <w:highlight w:val="none"/>
              </w:rPr>
              <w:t>(mg/L)</w:t>
            </w:r>
          </w:p>
        </w:tc>
        <w:tc>
          <w:tcPr>
            <w:tcW w:w="849" w:type="dxa"/>
            <w:vAlign w:val="center"/>
          </w:tcPr>
          <w:p w14:paraId="41C52B9A">
            <w:pPr>
              <w:pStyle w:val="303"/>
              <w:adjustRightInd w:val="0"/>
              <w:snapToGrid w:val="0"/>
              <w:ind w:firstLine="0" w:firstLineChars="0"/>
              <w:rPr>
                <w:snapToGrid w:val="0"/>
                <w:color w:val="auto"/>
                <w:sz w:val="21"/>
                <w:szCs w:val="21"/>
                <w:highlight w:val="none"/>
              </w:rPr>
            </w:pPr>
            <w:r>
              <w:rPr>
                <w:rFonts w:hint="eastAsia" w:ascii="Times New Roman" w:hAnsi="Times New Roman" w:eastAsia="宋体" w:cs="Times New Roman"/>
                <w:color w:val="auto"/>
                <w:sz w:val="21"/>
                <w:szCs w:val="21"/>
                <w:highlight w:val="none"/>
                <w:lang w:val="en-US" w:eastAsia="zh-CN"/>
              </w:rPr>
              <w:t>pH值</w:t>
            </w:r>
          </w:p>
        </w:tc>
        <w:tc>
          <w:tcPr>
            <w:tcW w:w="939" w:type="dxa"/>
            <w:vAlign w:val="center"/>
          </w:tcPr>
          <w:p w14:paraId="04D35495">
            <w:pPr>
              <w:pStyle w:val="303"/>
              <w:adjustRightInd w:val="0"/>
              <w:snapToGrid w:val="0"/>
              <w:ind w:firstLine="0" w:firstLineChars="0"/>
              <w:rPr>
                <w:snapToGrid w:val="0"/>
                <w:color w:val="auto"/>
                <w:sz w:val="21"/>
                <w:szCs w:val="21"/>
                <w:highlight w:val="none"/>
              </w:rPr>
            </w:pPr>
            <w:r>
              <w:rPr>
                <w:rFonts w:hint="eastAsia" w:ascii="Times New Roman" w:hAnsi="Times New Roman" w:eastAsia="宋体" w:cs="Times New Roman"/>
                <w:color w:val="auto"/>
                <w:sz w:val="21"/>
                <w:szCs w:val="21"/>
                <w:highlight w:val="none"/>
                <w:lang w:val="en-US" w:eastAsia="zh-CN"/>
              </w:rPr>
              <w:t>大肠菌群数</w:t>
            </w:r>
          </w:p>
        </w:tc>
      </w:tr>
      <w:tr w14:paraId="20D514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81" w:hRule="atLeast"/>
          <w:jc w:val="center"/>
        </w:trPr>
        <w:tc>
          <w:tcPr>
            <w:tcW w:w="847" w:type="dxa"/>
            <w:vMerge w:val="restart"/>
            <w:vAlign w:val="center"/>
          </w:tcPr>
          <w:p w14:paraId="2904E4D0">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调节池</w:t>
            </w:r>
            <w:r>
              <w:rPr>
                <w:rFonts w:cs="Times New Roman"/>
                <w:color w:val="auto"/>
                <w:sz w:val="21"/>
                <w:szCs w:val="21"/>
                <w:highlight w:val="none"/>
              </w:rPr>
              <w:t>+气浮+水解酸化</w:t>
            </w:r>
            <w:r>
              <w:rPr>
                <w:rFonts w:eastAsia="宋体" w:cs="Times New Roman"/>
                <w:color w:val="auto"/>
                <w:sz w:val="21"/>
                <w:szCs w:val="21"/>
                <w:highlight w:val="none"/>
              </w:rPr>
              <w:t>+</w:t>
            </w:r>
            <w:r>
              <w:rPr>
                <w:rFonts w:hint="eastAsia" w:eastAsia="宋体" w:cs="Times New Roman"/>
                <w:color w:val="auto"/>
                <w:sz w:val="21"/>
                <w:szCs w:val="21"/>
                <w:highlight w:val="none"/>
                <w:lang w:val="en-US" w:eastAsia="zh-CN"/>
              </w:rPr>
              <w:t>反硝化缺氧+好氧</w:t>
            </w:r>
          </w:p>
        </w:tc>
        <w:tc>
          <w:tcPr>
            <w:tcW w:w="1198" w:type="dxa"/>
            <w:vAlign w:val="center"/>
          </w:tcPr>
          <w:p w14:paraId="715C40C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混合后水质</w:t>
            </w:r>
          </w:p>
        </w:tc>
        <w:tc>
          <w:tcPr>
            <w:tcW w:w="819" w:type="dxa"/>
            <w:shd w:val="clear" w:color="auto" w:fill="auto"/>
            <w:vAlign w:val="center"/>
          </w:tcPr>
          <w:p w14:paraId="4AE844E8">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2691</w:t>
            </w:r>
          </w:p>
        </w:tc>
        <w:tc>
          <w:tcPr>
            <w:tcW w:w="745" w:type="dxa"/>
            <w:shd w:val="clear" w:color="auto" w:fill="auto"/>
            <w:vAlign w:val="center"/>
          </w:tcPr>
          <w:p w14:paraId="7E18CD60">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991</w:t>
            </w:r>
          </w:p>
        </w:tc>
        <w:tc>
          <w:tcPr>
            <w:tcW w:w="724" w:type="dxa"/>
            <w:shd w:val="clear" w:color="auto" w:fill="auto"/>
            <w:vAlign w:val="center"/>
          </w:tcPr>
          <w:p w14:paraId="22E07915">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992</w:t>
            </w:r>
          </w:p>
        </w:tc>
        <w:tc>
          <w:tcPr>
            <w:tcW w:w="724" w:type="dxa"/>
            <w:shd w:val="clear" w:color="auto" w:fill="auto"/>
            <w:vAlign w:val="center"/>
          </w:tcPr>
          <w:p w14:paraId="1ED9B3FC">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85</w:t>
            </w:r>
          </w:p>
        </w:tc>
        <w:tc>
          <w:tcPr>
            <w:tcW w:w="954" w:type="dxa"/>
            <w:shd w:val="clear" w:color="auto" w:fill="auto"/>
            <w:vAlign w:val="center"/>
          </w:tcPr>
          <w:p w14:paraId="46EF2CBE">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197</w:t>
            </w:r>
          </w:p>
        </w:tc>
        <w:tc>
          <w:tcPr>
            <w:tcW w:w="757" w:type="dxa"/>
            <w:shd w:val="clear" w:color="auto" w:fill="auto"/>
            <w:vAlign w:val="center"/>
          </w:tcPr>
          <w:p w14:paraId="65145115">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194</w:t>
            </w:r>
          </w:p>
        </w:tc>
        <w:tc>
          <w:tcPr>
            <w:tcW w:w="713" w:type="dxa"/>
            <w:shd w:val="clear" w:color="auto" w:fill="auto"/>
            <w:vAlign w:val="center"/>
          </w:tcPr>
          <w:p w14:paraId="03A139F0">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18</w:t>
            </w:r>
          </w:p>
        </w:tc>
        <w:tc>
          <w:tcPr>
            <w:tcW w:w="849" w:type="dxa"/>
            <w:shd w:val="clear" w:color="auto" w:fill="auto"/>
            <w:vAlign w:val="center"/>
          </w:tcPr>
          <w:p w14:paraId="4FB6B4A6">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eastAsia="宋体" w:cs="Times New Roman"/>
                <w:color w:val="auto"/>
                <w:kern w:val="0"/>
                <w:sz w:val="21"/>
                <w:szCs w:val="21"/>
                <w:highlight w:val="none"/>
                <w:lang w:val="en-US" w:eastAsia="zh-CN" w:bidi="ar-SA"/>
              </w:rPr>
              <w:t>6.5~7.5</w:t>
            </w:r>
          </w:p>
        </w:tc>
        <w:tc>
          <w:tcPr>
            <w:tcW w:w="939" w:type="dxa"/>
            <w:shd w:val="clear" w:color="auto" w:fill="auto"/>
            <w:vAlign w:val="center"/>
          </w:tcPr>
          <w:p w14:paraId="4F758F6F">
            <w:pPr>
              <w:pStyle w:val="303"/>
              <w:adjustRightInd w:val="0"/>
              <w:snapToGrid w:val="0"/>
              <w:ind w:firstLine="0" w:firstLineChars="0"/>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0A146D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03" w:hRule="atLeast"/>
          <w:jc w:val="center"/>
        </w:trPr>
        <w:tc>
          <w:tcPr>
            <w:tcW w:w="847" w:type="dxa"/>
            <w:vMerge w:val="continue"/>
            <w:vAlign w:val="center"/>
          </w:tcPr>
          <w:p w14:paraId="7BA7446C">
            <w:pPr>
              <w:spacing w:line="240" w:lineRule="auto"/>
              <w:ind w:firstLine="0" w:firstLineChars="0"/>
              <w:jc w:val="center"/>
              <w:rPr>
                <w:rFonts w:cs="Times New Roman"/>
                <w:color w:val="auto"/>
                <w:sz w:val="21"/>
                <w:szCs w:val="21"/>
                <w:highlight w:val="none"/>
              </w:rPr>
            </w:pPr>
            <w:bookmarkStart w:id="139" w:name="OLE_LINK1" w:colFirst="2" w:colLast="8"/>
          </w:p>
        </w:tc>
        <w:tc>
          <w:tcPr>
            <w:tcW w:w="1198" w:type="dxa"/>
            <w:vAlign w:val="center"/>
          </w:tcPr>
          <w:p w14:paraId="4933F9C0">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去除率（%）</w:t>
            </w:r>
          </w:p>
        </w:tc>
        <w:tc>
          <w:tcPr>
            <w:tcW w:w="819" w:type="dxa"/>
            <w:vAlign w:val="center"/>
          </w:tcPr>
          <w:p w14:paraId="1F1C0BA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90</w:t>
            </w:r>
          </w:p>
        </w:tc>
        <w:tc>
          <w:tcPr>
            <w:tcW w:w="745" w:type="dxa"/>
            <w:vAlign w:val="center"/>
          </w:tcPr>
          <w:p w14:paraId="1CA0BE65">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90</w:t>
            </w:r>
          </w:p>
        </w:tc>
        <w:tc>
          <w:tcPr>
            <w:tcW w:w="724" w:type="dxa"/>
            <w:vAlign w:val="center"/>
          </w:tcPr>
          <w:p w14:paraId="5ED3FB4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90</w:t>
            </w:r>
          </w:p>
        </w:tc>
        <w:tc>
          <w:tcPr>
            <w:tcW w:w="724" w:type="dxa"/>
            <w:vAlign w:val="center"/>
          </w:tcPr>
          <w:p w14:paraId="155BECF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60</w:t>
            </w:r>
          </w:p>
        </w:tc>
        <w:tc>
          <w:tcPr>
            <w:tcW w:w="954" w:type="dxa"/>
            <w:vAlign w:val="center"/>
          </w:tcPr>
          <w:p w14:paraId="4AF0618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75</w:t>
            </w:r>
          </w:p>
        </w:tc>
        <w:tc>
          <w:tcPr>
            <w:tcW w:w="757" w:type="dxa"/>
            <w:vAlign w:val="center"/>
          </w:tcPr>
          <w:p w14:paraId="736A0BC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75</w:t>
            </w:r>
          </w:p>
        </w:tc>
        <w:tc>
          <w:tcPr>
            <w:tcW w:w="713" w:type="dxa"/>
            <w:vAlign w:val="center"/>
          </w:tcPr>
          <w:p w14:paraId="220AA0E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70</w:t>
            </w:r>
          </w:p>
        </w:tc>
        <w:tc>
          <w:tcPr>
            <w:tcW w:w="849" w:type="dxa"/>
            <w:vAlign w:val="center"/>
          </w:tcPr>
          <w:p w14:paraId="0BAA1E65">
            <w:pPr>
              <w:spacing w:line="240" w:lineRule="auto"/>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39" w:type="dxa"/>
            <w:vAlign w:val="center"/>
          </w:tcPr>
          <w:p w14:paraId="35AEF8DB">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r>
      <w:bookmarkEnd w:id="139"/>
      <w:tr w14:paraId="05946A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03" w:hRule="atLeast"/>
          <w:jc w:val="center"/>
        </w:trPr>
        <w:tc>
          <w:tcPr>
            <w:tcW w:w="847" w:type="dxa"/>
            <w:vMerge w:val="continue"/>
            <w:vAlign w:val="center"/>
          </w:tcPr>
          <w:p w14:paraId="173F4D18">
            <w:pPr>
              <w:spacing w:line="240" w:lineRule="auto"/>
              <w:ind w:firstLine="0" w:firstLineChars="0"/>
              <w:jc w:val="center"/>
              <w:rPr>
                <w:rFonts w:cs="Times New Roman"/>
                <w:color w:val="auto"/>
                <w:sz w:val="21"/>
                <w:szCs w:val="21"/>
                <w:highlight w:val="none"/>
              </w:rPr>
            </w:pPr>
          </w:p>
        </w:tc>
        <w:tc>
          <w:tcPr>
            <w:tcW w:w="1198" w:type="dxa"/>
            <w:vAlign w:val="center"/>
          </w:tcPr>
          <w:p w14:paraId="3F86622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出水水质</w:t>
            </w:r>
          </w:p>
        </w:tc>
        <w:tc>
          <w:tcPr>
            <w:tcW w:w="819" w:type="dxa"/>
            <w:vAlign w:val="center"/>
          </w:tcPr>
          <w:p w14:paraId="729C7CBA">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269</w:t>
            </w:r>
          </w:p>
        </w:tc>
        <w:tc>
          <w:tcPr>
            <w:tcW w:w="745" w:type="dxa"/>
            <w:vAlign w:val="center"/>
          </w:tcPr>
          <w:p w14:paraId="46263386">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724" w:type="dxa"/>
            <w:vAlign w:val="center"/>
          </w:tcPr>
          <w:p w14:paraId="632E1530">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724" w:type="dxa"/>
            <w:vAlign w:val="center"/>
          </w:tcPr>
          <w:p w14:paraId="25BD3A1B">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34</w:t>
            </w:r>
          </w:p>
        </w:tc>
        <w:tc>
          <w:tcPr>
            <w:tcW w:w="954" w:type="dxa"/>
            <w:vAlign w:val="center"/>
          </w:tcPr>
          <w:p w14:paraId="575BD4FE">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49</w:t>
            </w:r>
          </w:p>
        </w:tc>
        <w:tc>
          <w:tcPr>
            <w:tcW w:w="757" w:type="dxa"/>
            <w:vAlign w:val="center"/>
          </w:tcPr>
          <w:p w14:paraId="1517AE17">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49</w:t>
            </w:r>
          </w:p>
        </w:tc>
        <w:tc>
          <w:tcPr>
            <w:tcW w:w="713" w:type="dxa"/>
            <w:vAlign w:val="center"/>
          </w:tcPr>
          <w:p w14:paraId="1B609E20">
            <w:pPr>
              <w:spacing w:line="240" w:lineRule="auto"/>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849" w:type="dxa"/>
            <w:vAlign w:val="center"/>
          </w:tcPr>
          <w:p w14:paraId="3AF745F8">
            <w:pPr>
              <w:pStyle w:val="303"/>
              <w:adjustRightInd w:val="0"/>
              <w:snapToGrid w:val="0"/>
              <w:ind w:firstLine="0" w:firstLineChars="0"/>
              <w:rPr>
                <w:rFonts w:cs="Times New Roman"/>
                <w:color w:val="auto"/>
                <w:sz w:val="21"/>
                <w:szCs w:val="21"/>
                <w:highlight w:val="none"/>
              </w:rPr>
            </w:pPr>
            <w:r>
              <w:rPr>
                <w:rFonts w:hint="eastAsia" w:eastAsia="宋体" w:cs="Times New Roman"/>
                <w:color w:val="auto"/>
                <w:kern w:val="0"/>
                <w:sz w:val="21"/>
                <w:szCs w:val="21"/>
                <w:highlight w:val="none"/>
                <w:lang w:val="en-US" w:eastAsia="zh-CN" w:bidi="ar-SA"/>
              </w:rPr>
              <w:t>6.5~7.5</w:t>
            </w:r>
          </w:p>
        </w:tc>
        <w:tc>
          <w:tcPr>
            <w:tcW w:w="939" w:type="dxa"/>
            <w:vAlign w:val="center"/>
          </w:tcPr>
          <w:p w14:paraId="6E85F428">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3830</w:t>
            </w:r>
          </w:p>
        </w:tc>
      </w:tr>
      <w:tr w14:paraId="3D42D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82" w:hRule="atLeast"/>
          <w:jc w:val="center"/>
        </w:trPr>
        <w:tc>
          <w:tcPr>
            <w:tcW w:w="2045" w:type="dxa"/>
            <w:gridSpan w:val="2"/>
            <w:vAlign w:val="center"/>
          </w:tcPr>
          <w:p w14:paraId="3FB998D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标准</w:t>
            </w:r>
          </w:p>
        </w:tc>
        <w:tc>
          <w:tcPr>
            <w:tcW w:w="819" w:type="dxa"/>
            <w:vAlign w:val="center"/>
          </w:tcPr>
          <w:p w14:paraId="66A8D8C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500</w:t>
            </w:r>
          </w:p>
        </w:tc>
        <w:tc>
          <w:tcPr>
            <w:tcW w:w="745" w:type="dxa"/>
            <w:vAlign w:val="center"/>
          </w:tcPr>
          <w:p w14:paraId="032EDD5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300</w:t>
            </w:r>
          </w:p>
        </w:tc>
        <w:tc>
          <w:tcPr>
            <w:tcW w:w="724" w:type="dxa"/>
            <w:vAlign w:val="center"/>
          </w:tcPr>
          <w:p w14:paraId="2F393DA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400</w:t>
            </w:r>
          </w:p>
        </w:tc>
        <w:tc>
          <w:tcPr>
            <w:tcW w:w="724" w:type="dxa"/>
            <w:vAlign w:val="center"/>
          </w:tcPr>
          <w:p w14:paraId="5DBD45F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45</w:t>
            </w:r>
          </w:p>
        </w:tc>
        <w:tc>
          <w:tcPr>
            <w:tcW w:w="954" w:type="dxa"/>
            <w:vAlign w:val="center"/>
          </w:tcPr>
          <w:p w14:paraId="663051F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60</w:t>
            </w:r>
          </w:p>
        </w:tc>
        <w:tc>
          <w:tcPr>
            <w:tcW w:w="757" w:type="dxa"/>
            <w:vAlign w:val="center"/>
          </w:tcPr>
          <w:p w14:paraId="0BA46BD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70</w:t>
            </w:r>
          </w:p>
        </w:tc>
        <w:tc>
          <w:tcPr>
            <w:tcW w:w="713" w:type="dxa"/>
            <w:vAlign w:val="center"/>
          </w:tcPr>
          <w:p w14:paraId="0F24FE5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8</w:t>
            </w:r>
          </w:p>
        </w:tc>
        <w:tc>
          <w:tcPr>
            <w:tcW w:w="849" w:type="dxa"/>
            <w:vAlign w:val="center"/>
          </w:tcPr>
          <w:p w14:paraId="3C7D50C8">
            <w:pPr>
              <w:spacing w:line="240" w:lineRule="auto"/>
              <w:ind w:firstLine="0" w:firstLineChars="0"/>
              <w:jc w:val="center"/>
              <w:rPr>
                <w:rFonts w:cs="Times New Roman"/>
                <w:color w:val="auto"/>
                <w:sz w:val="21"/>
                <w:szCs w:val="21"/>
                <w:highlight w:val="none"/>
              </w:rPr>
            </w:pPr>
            <w:r>
              <w:rPr>
                <w:rFonts w:ascii="Times New Roman" w:hAnsi="Times New Roman"/>
                <w:color w:val="auto"/>
                <w:sz w:val="21"/>
                <w:szCs w:val="21"/>
                <w:highlight w:val="none"/>
                <w:lang w:eastAsia="zh-CN"/>
              </w:rPr>
              <w:t>6.0-8.5</w:t>
            </w:r>
          </w:p>
        </w:tc>
        <w:tc>
          <w:tcPr>
            <w:tcW w:w="939" w:type="dxa"/>
            <w:vAlign w:val="center"/>
          </w:tcPr>
          <w:p w14:paraId="2C63B521">
            <w:pPr>
              <w:spacing w:line="240" w:lineRule="auto"/>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bl>
    <w:p w14:paraId="2D2EB678">
      <w:pPr>
        <w:pStyle w:val="117"/>
        <w:rPr>
          <w:rFonts w:cs="Times New Roman"/>
          <w:color w:val="auto"/>
          <w:kern w:val="0"/>
          <w:highlight w:val="none"/>
          <w:lang w:val="en-GB"/>
        </w:rPr>
      </w:pPr>
      <w:r>
        <w:rPr>
          <w:rFonts w:hint="eastAsia" w:cs="Times New Roman"/>
          <w:color w:val="auto"/>
          <w:kern w:val="0"/>
          <w:highlight w:val="none"/>
          <w:lang w:eastAsia="zh-CN"/>
        </w:rPr>
        <w:t>屠宰废水、车辆冲洗水经污水处理站处理后，</w:t>
      </w:r>
      <w:r>
        <w:rPr>
          <w:rFonts w:cs="Times New Roman"/>
          <w:color w:val="auto"/>
          <w:kern w:val="0"/>
          <w:highlight w:val="none"/>
        </w:rPr>
        <w:t>水污染物浓度均</w:t>
      </w:r>
      <w:r>
        <w:rPr>
          <w:rFonts w:cs="Times New Roman"/>
          <w:color w:val="auto"/>
          <w:kern w:val="0"/>
          <w:highlight w:val="none"/>
          <w:lang w:val="en-GB"/>
        </w:rPr>
        <w:t>达到《肉类加工工业水污染物排放标准》（GB13457-92）</w:t>
      </w:r>
      <w:r>
        <w:rPr>
          <w:rFonts w:cs="Times New Roman"/>
          <w:color w:val="auto"/>
          <w:kern w:val="0"/>
          <w:highlight w:val="none"/>
        </w:rPr>
        <w:t>表3</w:t>
      </w:r>
      <w:r>
        <w:rPr>
          <w:rFonts w:cs="Times New Roman"/>
          <w:color w:val="auto"/>
          <w:kern w:val="0"/>
          <w:highlight w:val="none"/>
          <w:lang w:val="en-GB"/>
        </w:rPr>
        <w:t>中畜类屠宰加工三级标准</w:t>
      </w:r>
      <w:r>
        <w:rPr>
          <w:rFonts w:cs="Times New Roman"/>
          <w:color w:val="auto"/>
          <w:kern w:val="0"/>
          <w:highlight w:val="none"/>
        </w:rPr>
        <w:t>与生活污水一同经污水管网进入</w:t>
      </w:r>
      <w:r>
        <w:rPr>
          <w:rFonts w:hint="eastAsia" w:cs="Times New Roman"/>
          <w:color w:val="auto"/>
          <w:kern w:val="0"/>
          <w:highlight w:val="none"/>
          <w:lang w:val="en-GB" w:eastAsia="zh-CN"/>
        </w:rPr>
        <w:t>双鸭山市畅源排水有限公司</w:t>
      </w:r>
      <w:r>
        <w:rPr>
          <w:rFonts w:cs="Times New Roman"/>
          <w:color w:val="auto"/>
          <w:kern w:val="0"/>
          <w:highlight w:val="none"/>
        </w:rPr>
        <w:t>处理，处理达标后排放。</w:t>
      </w:r>
    </w:p>
    <w:p w14:paraId="164FA570">
      <w:pPr>
        <w:pStyle w:val="117"/>
        <w:ind w:firstLine="0" w:firstLineChars="0"/>
        <w:jc w:val="center"/>
        <w:rPr>
          <w:rFonts w:ascii="Times New Roman" w:hAnsi="Times New Roman" w:eastAsia="宋体" w:cs="Times New Roman"/>
          <w:b/>
          <w:color w:val="auto"/>
          <w:szCs w:val="24"/>
          <w:highlight w:val="none"/>
        </w:rPr>
      </w:pPr>
      <w:r>
        <w:rPr>
          <w:rFonts w:ascii="Times New Roman" w:hAnsi="Times New Roman" w:eastAsia="宋体" w:cs="Times New Roman"/>
          <w:b/>
          <w:color w:val="auto"/>
          <w:szCs w:val="24"/>
          <w:highlight w:val="none"/>
        </w:rPr>
        <w:t>表3</w:t>
      </w:r>
      <w:r>
        <w:rPr>
          <w:rFonts w:hint="eastAsia" w:cs="Times New Roman"/>
          <w:b/>
          <w:color w:val="auto"/>
          <w:szCs w:val="24"/>
          <w:highlight w:val="none"/>
          <w:lang w:val="en-US" w:eastAsia="zh-CN"/>
        </w:rPr>
        <w:t>.</w:t>
      </w:r>
      <w:r>
        <w:rPr>
          <w:rFonts w:ascii="Times New Roman" w:hAnsi="Times New Roman" w:eastAsia="宋体" w:cs="Times New Roman"/>
          <w:b/>
          <w:color w:val="auto"/>
          <w:szCs w:val="24"/>
          <w:highlight w:val="none"/>
        </w:rPr>
        <w:t>4-</w:t>
      </w:r>
      <w:r>
        <w:rPr>
          <w:rFonts w:hint="eastAsia" w:cs="Times New Roman"/>
          <w:b/>
          <w:color w:val="auto"/>
          <w:szCs w:val="24"/>
          <w:highlight w:val="none"/>
          <w:lang w:val="en-US" w:eastAsia="zh-CN"/>
        </w:rPr>
        <w:t>13</w:t>
      </w:r>
      <w:r>
        <w:rPr>
          <w:rFonts w:ascii="Times New Roman" w:hAnsi="Times New Roman" w:eastAsia="宋体" w:cs="Times New Roman"/>
          <w:b/>
          <w:color w:val="auto"/>
          <w:szCs w:val="24"/>
          <w:highlight w:val="none"/>
        </w:rPr>
        <w:t xml:space="preserve">  排放总量和单位活屠量排水量情况一览表</w:t>
      </w:r>
    </w:p>
    <w:tbl>
      <w:tblPr>
        <w:tblStyle w:val="4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10"/>
        <w:gridCol w:w="873"/>
        <w:gridCol w:w="943"/>
        <w:gridCol w:w="711"/>
        <w:gridCol w:w="999"/>
        <w:gridCol w:w="942"/>
        <w:gridCol w:w="1244"/>
      </w:tblGrid>
      <w:tr w14:paraId="5725B9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648" w:type="pct"/>
            <w:noWrap w:val="0"/>
            <w:vAlign w:val="center"/>
          </w:tcPr>
          <w:p w14:paraId="61441488">
            <w:pPr>
              <w:pStyle w:val="73"/>
              <w:rPr>
                <w:snapToGrid w:val="0"/>
                <w:color w:val="auto"/>
                <w:kern w:val="2"/>
                <w:sz w:val="21"/>
                <w:szCs w:val="22"/>
                <w:highlight w:val="none"/>
              </w:rPr>
            </w:pPr>
            <w:r>
              <w:rPr>
                <w:snapToGrid w:val="0"/>
                <w:color w:val="auto"/>
                <w:kern w:val="2"/>
                <w:sz w:val="21"/>
                <w:szCs w:val="22"/>
                <w:highlight w:val="none"/>
              </w:rPr>
              <w:t>污染源名称</w:t>
            </w:r>
          </w:p>
        </w:tc>
        <w:tc>
          <w:tcPr>
            <w:tcW w:w="512" w:type="pct"/>
            <w:noWrap w:val="0"/>
            <w:vAlign w:val="center"/>
          </w:tcPr>
          <w:p w14:paraId="7F88FF44">
            <w:pPr>
              <w:pStyle w:val="73"/>
              <w:rPr>
                <w:snapToGrid w:val="0"/>
                <w:color w:val="auto"/>
                <w:kern w:val="2"/>
                <w:sz w:val="21"/>
                <w:szCs w:val="22"/>
                <w:highlight w:val="none"/>
              </w:rPr>
            </w:pPr>
            <w:r>
              <w:rPr>
                <w:snapToGrid w:val="0"/>
                <w:color w:val="auto"/>
                <w:kern w:val="2"/>
                <w:sz w:val="21"/>
                <w:szCs w:val="22"/>
                <w:highlight w:val="none"/>
              </w:rPr>
              <w:t>COD</w:t>
            </w:r>
          </w:p>
        </w:tc>
        <w:tc>
          <w:tcPr>
            <w:tcW w:w="553" w:type="pct"/>
            <w:noWrap w:val="0"/>
            <w:vAlign w:val="center"/>
          </w:tcPr>
          <w:p w14:paraId="1AC586C1">
            <w:pPr>
              <w:pStyle w:val="73"/>
              <w:rPr>
                <w:snapToGrid w:val="0"/>
                <w:color w:val="auto"/>
                <w:kern w:val="2"/>
                <w:sz w:val="21"/>
                <w:szCs w:val="22"/>
                <w:highlight w:val="none"/>
                <w:vertAlign w:val="subscript"/>
              </w:rPr>
            </w:pPr>
            <w:r>
              <w:rPr>
                <w:snapToGrid w:val="0"/>
                <w:color w:val="auto"/>
                <w:kern w:val="2"/>
                <w:sz w:val="21"/>
                <w:szCs w:val="22"/>
                <w:highlight w:val="none"/>
              </w:rPr>
              <w:t>BOD</w:t>
            </w:r>
            <w:r>
              <w:rPr>
                <w:snapToGrid w:val="0"/>
                <w:color w:val="auto"/>
                <w:kern w:val="2"/>
                <w:sz w:val="21"/>
                <w:szCs w:val="22"/>
                <w:highlight w:val="none"/>
                <w:vertAlign w:val="subscript"/>
              </w:rPr>
              <w:t>5</w:t>
            </w:r>
          </w:p>
        </w:tc>
        <w:tc>
          <w:tcPr>
            <w:tcW w:w="417" w:type="pct"/>
            <w:noWrap w:val="0"/>
            <w:vAlign w:val="center"/>
          </w:tcPr>
          <w:p w14:paraId="379B4391">
            <w:pPr>
              <w:pStyle w:val="73"/>
              <w:rPr>
                <w:snapToGrid w:val="0"/>
                <w:color w:val="auto"/>
                <w:kern w:val="2"/>
                <w:sz w:val="21"/>
                <w:szCs w:val="22"/>
                <w:highlight w:val="none"/>
              </w:rPr>
            </w:pPr>
            <w:r>
              <w:rPr>
                <w:snapToGrid w:val="0"/>
                <w:color w:val="auto"/>
                <w:kern w:val="2"/>
                <w:sz w:val="21"/>
                <w:szCs w:val="22"/>
                <w:highlight w:val="none"/>
              </w:rPr>
              <w:t>SS</w:t>
            </w:r>
          </w:p>
        </w:tc>
        <w:tc>
          <w:tcPr>
            <w:tcW w:w="586" w:type="pct"/>
            <w:noWrap w:val="0"/>
            <w:vAlign w:val="center"/>
          </w:tcPr>
          <w:p w14:paraId="07EDD686">
            <w:pPr>
              <w:pStyle w:val="73"/>
              <w:rPr>
                <w:snapToGrid w:val="0"/>
                <w:color w:val="auto"/>
                <w:kern w:val="2"/>
                <w:sz w:val="21"/>
                <w:szCs w:val="22"/>
                <w:highlight w:val="none"/>
              </w:rPr>
            </w:pPr>
            <w:r>
              <w:rPr>
                <w:snapToGrid w:val="0"/>
                <w:color w:val="auto"/>
                <w:kern w:val="2"/>
                <w:sz w:val="21"/>
                <w:szCs w:val="22"/>
                <w:highlight w:val="none"/>
              </w:rPr>
              <w:t>动植物油</w:t>
            </w:r>
          </w:p>
        </w:tc>
        <w:tc>
          <w:tcPr>
            <w:tcW w:w="552" w:type="pct"/>
            <w:noWrap w:val="0"/>
            <w:vAlign w:val="center"/>
          </w:tcPr>
          <w:p w14:paraId="325D9646">
            <w:pPr>
              <w:pStyle w:val="73"/>
              <w:rPr>
                <w:snapToGrid w:val="0"/>
                <w:color w:val="auto"/>
                <w:kern w:val="2"/>
                <w:sz w:val="21"/>
                <w:szCs w:val="22"/>
                <w:highlight w:val="none"/>
              </w:rPr>
            </w:pPr>
            <w:r>
              <w:rPr>
                <w:snapToGrid w:val="0"/>
                <w:color w:val="auto"/>
                <w:kern w:val="2"/>
                <w:sz w:val="21"/>
                <w:szCs w:val="22"/>
                <w:highlight w:val="none"/>
              </w:rPr>
              <w:t>氨氮</w:t>
            </w:r>
          </w:p>
        </w:tc>
        <w:tc>
          <w:tcPr>
            <w:tcW w:w="729" w:type="pct"/>
            <w:noWrap w:val="0"/>
            <w:vAlign w:val="center"/>
          </w:tcPr>
          <w:p w14:paraId="2AB74ADD">
            <w:pPr>
              <w:pStyle w:val="73"/>
              <w:rPr>
                <w:snapToGrid w:val="0"/>
                <w:color w:val="auto"/>
                <w:kern w:val="2"/>
                <w:sz w:val="21"/>
                <w:szCs w:val="22"/>
                <w:highlight w:val="none"/>
              </w:rPr>
            </w:pPr>
            <w:r>
              <w:rPr>
                <w:snapToGrid w:val="0"/>
                <w:color w:val="auto"/>
                <w:kern w:val="2"/>
                <w:sz w:val="21"/>
                <w:szCs w:val="22"/>
                <w:highlight w:val="none"/>
              </w:rPr>
              <w:t>排水量</w:t>
            </w:r>
          </w:p>
          <w:p w14:paraId="0F79F0E3">
            <w:pPr>
              <w:pStyle w:val="73"/>
              <w:rPr>
                <w:snapToGrid w:val="0"/>
                <w:color w:val="auto"/>
                <w:kern w:val="2"/>
                <w:sz w:val="21"/>
                <w:szCs w:val="22"/>
                <w:highlight w:val="none"/>
              </w:rPr>
            </w:pPr>
            <w:r>
              <w:rPr>
                <w:snapToGrid w:val="0"/>
                <w:color w:val="auto"/>
                <w:kern w:val="2"/>
                <w:sz w:val="21"/>
                <w:szCs w:val="22"/>
                <w:highlight w:val="none"/>
              </w:rPr>
              <w:t>m</w:t>
            </w:r>
            <w:r>
              <w:rPr>
                <w:snapToGrid w:val="0"/>
                <w:color w:val="auto"/>
                <w:kern w:val="2"/>
                <w:sz w:val="21"/>
                <w:szCs w:val="22"/>
                <w:highlight w:val="none"/>
                <w:vertAlign w:val="superscript"/>
              </w:rPr>
              <w:t>3</w:t>
            </w:r>
            <w:r>
              <w:rPr>
                <w:snapToGrid w:val="0"/>
                <w:color w:val="auto"/>
                <w:kern w:val="2"/>
                <w:sz w:val="21"/>
                <w:szCs w:val="22"/>
                <w:highlight w:val="none"/>
              </w:rPr>
              <w:t>/t活屠量</w:t>
            </w:r>
          </w:p>
        </w:tc>
      </w:tr>
      <w:tr w14:paraId="0674DF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648" w:type="pct"/>
            <w:noWrap w:val="0"/>
            <w:vAlign w:val="center"/>
          </w:tcPr>
          <w:p w14:paraId="0AAEB157">
            <w:pPr>
              <w:pStyle w:val="73"/>
              <w:rPr>
                <w:snapToGrid w:val="0"/>
                <w:color w:val="auto"/>
                <w:kern w:val="2"/>
                <w:sz w:val="21"/>
                <w:szCs w:val="22"/>
                <w:highlight w:val="none"/>
              </w:rPr>
            </w:pPr>
            <w:r>
              <w:rPr>
                <w:snapToGrid w:val="0"/>
                <w:color w:val="auto"/>
                <w:kern w:val="2"/>
                <w:sz w:val="21"/>
                <w:szCs w:val="22"/>
                <w:highlight w:val="none"/>
              </w:rPr>
              <w:t>本项目排放总量kg/t活屠量</w:t>
            </w:r>
          </w:p>
        </w:tc>
        <w:tc>
          <w:tcPr>
            <w:tcW w:w="873" w:type="dxa"/>
            <w:noWrap w:val="0"/>
            <w:vAlign w:val="center"/>
          </w:tcPr>
          <w:p w14:paraId="7CA6475B">
            <w:pPr>
              <w:pStyle w:val="73"/>
              <w:rPr>
                <w:rFonts w:hint="default"/>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0.82</w:t>
            </w:r>
          </w:p>
        </w:tc>
        <w:tc>
          <w:tcPr>
            <w:tcW w:w="943" w:type="dxa"/>
            <w:noWrap w:val="0"/>
            <w:vAlign w:val="center"/>
          </w:tcPr>
          <w:p w14:paraId="672A8568">
            <w:pPr>
              <w:pStyle w:val="73"/>
              <w:rPr>
                <w:rFonts w:hint="default"/>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0.30</w:t>
            </w:r>
          </w:p>
        </w:tc>
        <w:tc>
          <w:tcPr>
            <w:tcW w:w="711" w:type="dxa"/>
            <w:noWrap w:val="0"/>
            <w:vAlign w:val="center"/>
          </w:tcPr>
          <w:p w14:paraId="04359159">
            <w:pPr>
              <w:pStyle w:val="73"/>
              <w:rPr>
                <w:rFonts w:hint="default"/>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0.30</w:t>
            </w:r>
          </w:p>
        </w:tc>
        <w:tc>
          <w:tcPr>
            <w:tcW w:w="586" w:type="pct"/>
            <w:noWrap w:val="0"/>
            <w:vAlign w:val="center"/>
          </w:tcPr>
          <w:p w14:paraId="5E625F7C">
            <w:pPr>
              <w:pStyle w:val="73"/>
              <w:rPr>
                <w:rFonts w:hint="default" w:eastAsia="宋体"/>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0.15</w:t>
            </w:r>
          </w:p>
        </w:tc>
        <w:tc>
          <w:tcPr>
            <w:tcW w:w="552" w:type="pct"/>
            <w:noWrap w:val="0"/>
            <w:vAlign w:val="center"/>
          </w:tcPr>
          <w:p w14:paraId="79DC16E7">
            <w:pPr>
              <w:pStyle w:val="73"/>
              <w:rPr>
                <w:rFonts w:hint="default" w:eastAsia="宋体"/>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0.10</w:t>
            </w:r>
          </w:p>
        </w:tc>
        <w:tc>
          <w:tcPr>
            <w:tcW w:w="729" w:type="pct"/>
            <w:noWrap w:val="0"/>
            <w:vAlign w:val="center"/>
          </w:tcPr>
          <w:p w14:paraId="0488EBF0">
            <w:pPr>
              <w:pStyle w:val="73"/>
              <w:rPr>
                <w:rFonts w:hint="default" w:eastAsia="宋体"/>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3.05</w:t>
            </w:r>
          </w:p>
        </w:tc>
      </w:tr>
      <w:tr w14:paraId="471614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648" w:type="pct"/>
            <w:noWrap w:val="0"/>
            <w:vAlign w:val="center"/>
          </w:tcPr>
          <w:p w14:paraId="6B6ACE3E">
            <w:pPr>
              <w:pStyle w:val="73"/>
              <w:jc w:val="both"/>
              <w:rPr>
                <w:snapToGrid w:val="0"/>
                <w:color w:val="auto"/>
                <w:kern w:val="2"/>
                <w:sz w:val="21"/>
                <w:szCs w:val="22"/>
                <w:highlight w:val="none"/>
              </w:rPr>
            </w:pPr>
            <w:r>
              <w:rPr>
                <w:rFonts w:cs="Times New Roman"/>
                <w:color w:val="auto"/>
                <w:kern w:val="0"/>
                <w:highlight w:val="none"/>
                <w:lang w:val="en-GB"/>
              </w:rPr>
              <w:t>《肉类加工工业水污染物排放标准》（GB13457-92）</w:t>
            </w:r>
            <w:r>
              <w:rPr>
                <w:rFonts w:cs="Times New Roman"/>
                <w:color w:val="auto"/>
                <w:kern w:val="0"/>
                <w:highlight w:val="none"/>
              </w:rPr>
              <w:t>表3</w:t>
            </w:r>
            <w:r>
              <w:rPr>
                <w:rFonts w:cs="Times New Roman"/>
                <w:color w:val="auto"/>
                <w:kern w:val="0"/>
                <w:highlight w:val="none"/>
                <w:lang w:val="en-GB"/>
              </w:rPr>
              <w:t>中畜类屠宰加工三级标准</w:t>
            </w:r>
          </w:p>
        </w:tc>
        <w:tc>
          <w:tcPr>
            <w:tcW w:w="512" w:type="pct"/>
            <w:noWrap w:val="0"/>
            <w:vAlign w:val="center"/>
          </w:tcPr>
          <w:p w14:paraId="16BE16D0">
            <w:pPr>
              <w:pStyle w:val="73"/>
              <w:ind w:firstLine="0" w:firstLineChars="0"/>
              <w:rPr>
                <w:snapToGrid w:val="0"/>
                <w:color w:val="auto"/>
                <w:kern w:val="2"/>
                <w:sz w:val="21"/>
                <w:szCs w:val="22"/>
                <w:highlight w:val="none"/>
              </w:rPr>
            </w:pPr>
            <w:r>
              <w:rPr>
                <w:rFonts w:hint="eastAsia"/>
                <w:snapToGrid w:val="0"/>
                <w:color w:val="auto"/>
                <w:kern w:val="2"/>
                <w:sz w:val="21"/>
                <w:szCs w:val="22"/>
                <w:highlight w:val="none"/>
                <w:lang w:val="en-US" w:eastAsia="zh-CN"/>
              </w:rPr>
              <w:t>3.3</w:t>
            </w:r>
          </w:p>
        </w:tc>
        <w:tc>
          <w:tcPr>
            <w:tcW w:w="553" w:type="pct"/>
            <w:noWrap w:val="0"/>
            <w:vAlign w:val="center"/>
          </w:tcPr>
          <w:p w14:paraId="16ABA170">
            <w:pPr>
              <w:pStyle w:val="73"/>
              <w:ind w:firstLine="0" w:firstLineChars="0"/>
              <w:rPr>
                <w:snapToGrid w:val="0"/>
                <w:color w:val="auto"/>
                <w:kern w:val="2"/>
                <w:sz w:val="21"/>
                <w:szCs w:val="22"/>
                <w:highlight w:val="none"/>
              </w:rPr>
            </w:pPr>
            <w:r>
              <w:rPr>
                <w:rFonts w:hint="eastAsia"/>
                <w:snapToGrid w:val="0"/>
                <w:color w:val="auto"/>
                <w:kern w:val="2"/>
                <w:sz w:val="21"/>
                <w:szCs w:val="22"/>
                <w:highlight w:val="none"/>
                <w:lang w:val="en-US" w:eastAsia="zh-CN"/>
              </w:rPr>
              <w:t>2.0</w:t>
            </w:r>
          </w:p>
        </w:tc>
        <w:tc>
          <w:tcPr>
            <w:tcW w:w="417" w:type="pct"/>
            <w:noWrap w:val="0"/>
            <w:vAlign w:val="center"/>
          </w:tcPr>
          <w:p w14:paraId="4FF88751">
            <w:pPr>
              <w:pStyle w:val="73"/>
              <w:ind w:firstLine="0" w:firstLineChars="0"/>
              <w:rPr>
                <w:snapToGrid w:val="0"/>
                <w:color w:val="auto"/>
                <w:kern w:val="2"/>
                <w:sz w:val="21"/>
                <w:szCs w:val="22"/>
                <w:highlight w:val="none"/>
              </w:rPr>
            </w:pPr>
            <w:r>
              <w:rPr>
                <w:rFonts w:hint="eastAsia"/>
                <w:snapToGrid w:val="0"/>
                <w:color w:val="auto"/>
                <w:kern w:val="2"/>
                <w:sz w:val="21"/>
                <w:szCs w:val="22"/>
                <w:highlight w:val="none"/>
                <w:lang w:val="en-US" w:eastAsia="zh-CN"/>
              </w:rPr>
              <w:t>2.6</w:t>
            </w:r>
          </w:p>
        </w:tc>
        <w:tc>
          <w:tcPr>
            <w:tcW w:w="586" w:type="pct"/>
            <w:noWrap w:val="0"/>
            <w:vAlign w:val="center"/>
          </w:tcPr>
          <w:p w14:paraId="58A960F0">
            <w:pPr>
              <w:pStyle w:val="73"/>
              <w:ind w:firstLine="0" w:firstLineChars="0"/>
              <w:rPr>
                <w:snapToGrid w:val="0"/>
                <w:color w:val="auto"/>
                <w:kern w:val="2"/>
                <w:sz w:val="21"/>
                <w:szCs w:val="22"/>
                <w:highlight w:val="none"/>
              </w:rPr>
            </w:pPr>
            <w:r>
              <w:rPr>
                <w:rFonts w:hint="eastAsia"/>
                <w:snapToGrid w:val="0"/>
                <w:color w:val="auto"/>
                <w:kern w:val="2"/>
                <w:sz w:val="21"/>
                <w:szCs w:val="22"/>
                <w:highlight w:val="none"/>
                <w:lang w:val="en-US" w:eastAsia="zh-CN"/>
              </w:rPr>
              <w:t>0.4</w:t>
            </w:r>
          </w:p>
        </w:tc>
        <w:tc>
          <w:tcPr>
            <w:tcW w:w="552" w:type="pct"/>
            <w:noWrap w:val="0"/>
            <w:vAlign w:val="center"/>
          </w:tcPr>
          <w:p w14:paraId="1AFA2A50">
            <w:pPr>
              <w:pStyle w:val="73"/>
              <w:ind w:firstLine="0" w:firstLineChars="0"/>
              <w:rPr>
                <w:snapToGrid w:val="0"/>
                <w:color w:val="auto"/>
                <w:kern w:val="2"/>
                <w:sz w:val="21"/>
                <w:szCs w:val="22"/>
                <w:highlight w:val="none"/>
              </w:rPr>
            </w:pPr>
            <w:r>
              <w:rPr>
                <w:rFonts w:hint="eastAsia"/>
                <w:snapToGrid w:val="0"/>
                <w:color w:val="auto"/>
                <w:kern w:val="2"/>
                <w:sz w:val="21"/>
                <w:szCs w:val="22"/>
                <w:highlight w:val="none"/>
                <w:lang w:val="en-US" w:eastAsia="zh-CN"/>
              </w:rPr>
              <w:t>/</w:t>
            </w:r>
          </w:p>
        </w:tc>
        <w:tc>
          <w:tcPr>
            <w:tcW w:w="729" w:type="pct"/>
            <w:noWrap w:val="0"/>
            <w:vAlign w:val="center"/>
          </w:tcPr>
          <w:p w14:paraId="09DE6757">
            <w:pPr>
              <w:pStyle w:val="73"/>
              <w:rPr>
                <w:rFonts w:hint="default" w:eastAsia="宋体"/>
                <w:snapToGrid w:val="0"/>
                <w:color w:val="auto"/>
                <w:kern w:val="2"/>
                <w:sz w:val="21"/>
                <w:szCs w:val="22"/>
                <w:highlight w:val="none"/>
                <w:lang w:val="en-US" w:eastAsia="zh-CN"/>
              </w:rPr>
            </w:pPr>
            <w:r>
              <w:rPr>
                <w:rFonts w:hint="eastAsia"/>
                <w:snapToGrid w:val="0"/>
                <w:color w:val="auto"/>
                <w:kern w:val="2"/>
                <w:sz w:val="21"/>
                <w:szCs w:val="22"/>
                <w:highlight w:val="none"/>
                <w:lang w:val="en-US" w:eastAsia="zh-CN"/>
              </w:rPr>
              <w:t>6.5</w:t>
            </w:r>
          </w:p>
        </w:tc>
      </w:tr>
      <w:tr w14:paraId="318A91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648" w:type="pct"/>
            <w:noWrap w:val="0"/>
            <w:vAlign w:val="center"/>
          </w:tcPr>
          <w:p w14:paraId="45C7A3EF">
            <w:pPr>
              <w:pStyle w:val="73"/>
              <w:rPr>
                <w:snapToGrid w:val="0"/>
                <w:color w:val="auto"/>
                <w:kern w:val="2"/>
                <w:sz w:val="21"/>
                <w:szCs w:val="22"/>
                <w:highlight w:val="none"/>
              </w:rPr>
            </w:pPr>
            <w:r>
              <w:rPr>
                <w:snapToGrid w:val="0"/>
                <w:color w:val="auto"/>
                <w:kern w:val="2"/>
                <w:sz w:val="21"/>
                <w:szCs w:val="22"/>
                <w:highlight w:val="none"/>
              </w:rPr>
              <w:t>达标情况</w:t>
            </w:r>
          </w:p>
        </w:tc>
        <w:tc>
          <w:tcPr>
            <w:tcW w:w="512" w:type="pct"/>
            <w:noWrap w:val="0"/>
            <w:vAlign w:val="center"/>
          </w:tcPr>
          <w:p w14:paraId="3063F6DE">
            <w:pPr>
              <w:pStyle w:val="73"/>
              <w:rPr>
                <w:snapToGrid w:val="0"/>
                <w:color w:val="auto"/>
                <w:spacing w:val="-6"/>
                <w:kern w:val="2"/>
                <w:sz w:val="21"/>
                <w:szCs w:val="22"/>
                <w:highlight w:val="none"/>
              </w:rPr>
            </w:pPr>
            <w:r>
              <w:rPr>
                <w:snapToGrid w:val="0"/>
                <w:color w:val="auto"/>
                <w:spacing w:val="-6"/>
                <w:kern w:val="2"/>
                <w:sz w:val="21"/>
                <w:szCs w:val="22"/>
                <w:highlight w:val="none"/>
              </w:rPr>
              <w:t>达标</w:t>
            </w:r>
          </w:p>
        </w:tc>
        <w:tc>
          <w:tcPr>
            <w:tcW w:w="553" w:type="pct"/>
            <w:noWrap w:val="0"/>
            <w:vAlign w:val="center"/>
          </w:tcPr>
          <w:p w14:paraId="73403BF7">
            <w:pPr>
              <w:pStyle w:val="73"/>
              <w:rPr>
                <w:snapToGrid w:val="0"/>
                <w:color w:val="auto"/>
                <w:kern w:val="2"/>
                <w:sz w:val="21"/>
                <w:szCs w:val="22"/>
                <w:highlight w:val="none"/>
              </w:rPr>
            </w:pPr>
            <w:r>
              <w:rPr>
                <w:snapToGrid w:val="0"/>
                <w:color w:val="auto"/>
                <w:spacing w:val="-6"/>
                <w:kern w:val="2"/>
                <w:sz w:val="21"/>
                <w:szCs w:val="22"/>
                <w:highlight w:val="none"/>
              </w:rPr>
              <w:t>达标</w:t>
            </w:r>
          </w:p>
        </w:tc>
        <w:tc>
          <w:tcPr>
            <w:tcW w:w="417" w:type="pct"/>
            <w:noWrap w:val="0"/>
            <w:vAlign w:val="center"/>
          </w:tcPr>
          <w:p w14:paraId="040F09A3">
            <w:pPr>
              <w:pStyle w:val="73"/>
              <w:rPr>
                <w:snapToGrid w:val="0"/>
                <w:color w:val="auto"/>
                <w:kern w:val="2"/>
                <w:sz w:val="21"/>
                <w:szCs w:val="22"/>
                <w:highlight w:val="none"/>
              </w:rPr>
            </w:pPr>
            <w:r>
              <w:rPr>
                <w:snapToGrid w:val="0"/>
                <w:color w:val="auto"/>
                <w:spacing w:val="-6"/>
                <w:kern w:val="2"/>
                <w:sz w:val="21"/>
                <w:szCs w:val="22"/>
                <w:highlight w:val="none"/>
              </w:rPr>
              <w:t>达标</w:t>
            </w:r>
          </w:p>
        </w:tc>
        <w:tc>
          <w:tcPr>
            <w:tcW w:w="586" w:type="pct"/>
            <w:noWrap w:val="0"/>
            <w:vAlign w:val="center"/>
          </w:tcPr>
          <w:p w14:paraId="7961C505">
            <w:pPr>
              <w:pStyle w:val="73"/>
              <w:rPr>
                <w:snapToGrid w:val="0"/>
                <w:color w:val="auto"/>
                <w:kern w:val="2"/>
                <w:sz w:val="21"/>
                <w:szCs w:val="22"/>
                <w:highlight w:val="none"/>
              </w:rPr>
            </w:pPr>
            <w:r>
              <w:rPr>
                <w:snapToGrid w:val="0"/>
                <w:color w:val="auto"/>
                <w:spacing w:val="-6"/>
                <w:kern w:val="2"/>
                <w:sz w:val="21"/>
                <w:szCs w:val="22"/>
                <w:highlight w:val="none"/>
              </w:rPr>
              <w:t>达标</w:t>
            </w:r>
          </w:p>
        </w:tc>
        <w:tc>
          <w:tcPr>
            <w:tcW w:w="552" w:type="pct"/>
            <w:noWrap w:val="0"/>
            <w:vAlign w:val="center"/>
          </w:tcPr>
          <w:p w14:paraId="23B2B9FB">
            <w:pPr>
              <w:pStyle w:val="73"/>
              <w:rPr>
                <w:snapToGrid w:val="0"/>
                <w:color w:val="auto"/>
                <w:spacing w:val="-6"/>
                <w:kern w:val="2"/>
                <w:sz w:val="21"/>
                <w:szCs w:val="22"/>
                <w:highlight w:val="none"/>
              </w:rPr>
            </w:pPr>
            <w:r>
              <w:rPr>
                <w:snapToGrid w:val="0"/>
                <w:color w:val="auto"/>
                <w:kern w:val="2"/>
                <w:sz w:val="21"/>
                <w:szCs w:val="22"/>
                <w:highlight w:val="none"/>
              </w:rPr>
              <w:t>/</w:t>
            </w:r>
          </w:p>
        </w:tc>
        <w:tc>
          <w:tcPr>
            <w:tcW w:w="729" w:type="pct"/>
            <w:noWrap w:val="0"/>
            <w:vAlign w:val="center"/>
          </w:tcPr>
          <w:p w14:paraId="26D3C2D8">
            <w:pPr>
              <w:pStyle w:val="73"/>
              <w:rPr>
                <w:snapToGrid w:val="0"/>
                <w:color w:val="auto"/>
                <w:kern w:val="2"/>
                <w:sz w:val="21"/>
                <w:szCs w:val="22"/>
                <w:highlight w:val="none"/>
              </w:rPr>
            </w:pPr>
            <w:r>
              <w:rPr>
                <w:snapToGrid w:val="0"/>
                <w:color w:val="auto"/>
                <w:spacing w:val="-6"/>
                <w:kern w:val="2"/>
                <w:sz w:val="21"/>
                <w:szCs w:val="22"/>
                <w:highlight w:val="none"/>
              </w:rPr>
              <w:t>达标</w:t>
            </w:r>
          </w:p>
        </w:tc>
      </w:tr>
    </w:tbl>
    <w:p w14:paraId="51B604B7">
      <w:pPr>
        <w:pStyle w:val="117"/>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eastAsia="宋体" w:cs="Times New Roman"/>
          <w:b/>
          <w:bCs/>
          <w:snapToGrid w:val="0"/>
          <w:color w:val="auto"/>
          <w:sz w:val="21"/>
          <w:szCs w:val="21"/>
          <w:highlight w:val="none"/>
          <w:lang w:val="en-US" w:eastAsia="zh-CN"/>
        </w:rPr>
      </w:pPr>
      <w:r>
        <w:rPr>
          <w:rFonts w:hint="eastAsia" w:cs="Times New Roman"/>
          <w:b/>
          <w:bCs/>
          <w:snapToGrid w:val="0"/>
          <w:color w:val="auto"/>
          <w:sz w:val="21"/>
          <w:szCs w:val="21"/>
          <w:highlight w:val="none"/>
          <w:lang w:val="en-US" w:eastAsia="zh-CN"/>
        </w:rPr>
        <w:t>注：本项目屠宰牛、羊活屠重为23250t</w:t>
      </w:r>
    </w:p>
    <w:p w14:paraId="0745E975">
      <w:pPr>
        <w:pStyle w:val="117"/>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由上表可知，本项目废水污染物排放量满足</w:t>
      </w:r>
      <w:r>
        <w:rPr>
          <w:rFonts w:cs="Times New Roman"/>
          <w:color w:val="auto"/>
          <w:kern w:val="0"/>
          <w:highlight w:val="none"/>
          <w:lang w:val="en-GB"/>
        </w:rPr>
        <w:t>《肉类加工工业水污染物排放标准》（GB13457-92）</w:t>
      </w:r>
      <w:r>
        <w:rPr>
          <w:rFonts w:cs="Times New Roman"/>
          <w:color w:val="auto"/>
          <w:kern w:val="0"/>
          <w:highlight w:val="none"/>
        </w:rPr>
        <w:t>表3</w:t>
      </w:r>
      <w:r>
        <w:rPr>
          <w:rFonts w:cs="Times New Roman"/>
          <w:color w:val="auto"/>
          <w:kern w:val="0"/>
          <w:highlight w:val="none"/>
          <w:lang w:val="en-GB"/>
        </w:rPr>
        <w:t>中畜类屠宰加工三级标准</w:t>
      </w:r>
      <w:r>
        <w:rPr>
          <w:rFonts w:hint="eastAsia" w:cs="Times New Roman"/>
          <w:color w:val="auto"/>
          <w:kern w:val="0"/>
          <w:highlight w:val="none"/>
          <w:lang w:val="en-GB" w:eastAsia="zh-CN"/>
        </w:rPr>
        <w:t>。</w:t>
      </w:r>
    </w:p>
    <w:p w14:paraId="3CF37571">
      <w:pPr>
        <w:pStyle w:val="117"/>
        <w:ind w:firstLine="482"/>
        <w:rPr>
          <w:rFonts w:cs="Times New Roman"/>
          <w:b/>
          <w:bCs/>
          <w:snapToGrid w:val="0"/>
          <w:color w:val="auto"/>
          <w:highlight w:val="none"/>
        </w:rPr>
      </w:pPr>
      <w:r>
        <w:rPr>
          <w:rFonts w:cs="Times New Roman"/>
          <w:b/>
          <w:bCs/>
          <w:snapToGrid w:val="0"/>
          <w:color w:val="auto"/>
          <w:highlight w:val="none"/>
        </w:rPr>
        <w:t xml:space="preserve">2、非正常工况 </w:t>
      </w:r>
    </w:p>
    <w:p w14:paraId="76863329">
      <w:pPr>
        <w:pStyle w:val="117"/>
        <w:rPr>
          <w:rFonts w:cs="Times New Roman"/>
          <w:color w:val="auto"/>
          <w:kern w:val="0"/>
          <w:highlight w:val="none"/>
        </w:rPr>
      </w:pPr>
      <w:r>
        <w:rPr>
          <w:rFonts w:cs="Times New Roman"/>
          <w:color w:val="auto"/>
          <w:kern w:val="0"/>
          <w:highlight w:val="none"/>
        </w:rPr>
        <w:t>本项目污水处理站如果发生事故，不能达到接管要求则切断出水，停止生产，废水排入事故池，分批返回处理达到接管要求后再排放，故不考虑废水非正常排放情况。</w:t>
      </w:r>
    </w:p>
    <w:p w14:paraId="0CCBEC2E">
      <w:pPr>
        <w:numPr>
          <w:ilvl w:val="0"/>
          <w:numId w:val="0"/>
        </w:numPr>
        <w:ind w:leftChars="200"/>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rFonts w:cs="Times New Roman"/>
          <w:b/>
          <w:bCs/>
          <w:snapToGrid w:val="0"/>
          <w:color w:val="auto"/>
          <w:highlight w:val="none"/>
        </w:rPr>
        <w:t xml:space="preserve"> </w:t>
      </w:r>
    </w:p>
    <w:p w14:paraId="2A81D29D">
      <w:pPr>
        <w:pStyle w:val="66"/>
        <w:spacing w:line="240" w:lineRule="auto"/>
        <w:rPr>
          <w:rFonts w:eastAsia="宋体" w:cs="Times New Roman"/>
          <w:b/>
          <w:color w:val="auto"/>
          <w:szCs w:val="24"/>
          <w:highlight w:val="none"/>
        </w:rPr>
      </w:pPr>
      <w:r>
        <w:rPr>
          <w:rFonts w:eastAsia="宋体" w:cs="Times New Roman"/>
          <w:b/>
          <w:color w:val="auto"/>
          <w:szCs w:val="24"/>
          <w:highlight w:val="none"/>
        </w:rPr>
        <w:t>表</w:t>
      </w:r>
      <w:r>
        <w:rPr>
          <w:rFonts w:eastAsia="宋体" w:cs="Times New Roman"/>
          <w:b/>
          <w:color w:val="auto"/>
          <w:szCs w:val="24"/>
          <w:highlight w:val="none"/>
          <w:lang w:val="en-US"/>
        </w:rPr>
        <w:t>3</w:t>
      </w:r>
      <w:r>
        <w:rPr>
          <w:rFonts w:hint="eastAsia" w:eastAsia="宋体" w:cs="Times New Roman"/>
          <w:b/>
          <w:color w:val="auto"/>
          <w:szCs w:val="24"/>
          <w:highlight w:val="none"/>
          <w:lang w:val="en-US" w:eastAsia="zh-CN"/>
        </w:rPr>
        <w:t>.</w:t>
      </w:r>
      <w:r>
        <w:rPr>
          <w:rFonts w:eastAsia="宋体" w:cs="Times New Roman"/>
          <w:b/>
          <w:color w:val="auto"/>
          <w:szCs w:val="24"/>
          <w:highlight w:val="none"/>
          <w:lang w:val="en-US"/>
        </w:rPr>
        <w:t>4</w:t>
      </w:r>
      <w:r>
        <w:rPr>
          <w:rFonts w:eastAsia="宋体" w:cs="Times New Roman"/>
          <w:b/>
          <w:color w:val="auto"/>
          <w:szCs w:val="24"/>
          <w:highlight w:val="none"/>
        </w:rPr>
        <w:t>-</w:t>
      </w:r>
      <w:r>
        <w:rPr>
          <w:rFonts w:eastAsia="宋体" w:cs="Times New Roman"/>
          <w:b/>
          <w:color w:val="auto"/>
          <w:szCs w:val="24"/>
          <w:highlight w:val="none"/>
          <w:lang w:val="en-US"/>
        </w:rPr>
        <w:t>1</w:t>
      </w:r>
      <w:r>
        <w:rPr>
          <w:rFonts w:hint="eastAsia" w:eastAsia="宋体" w:cs="Times New Roman"/>
          <w:b/>
          <w:color w:val="auto"/>
          <w:szCs w:val="24"/>
          <w:highlight w:val="none"/>
          <w:lang w:val="en-US" w:eastAsia="zh-CN"/>
        </w:rPr>
        <w:t>4</w:t>
      </w:r>
      <w:r>
        <w:rPr>
          <w:rFonts w:eastAsia="宋体" w:cs="Times New Roman"/>
          <w:b/>
          <w:color w:val="auto"/>
          <w:szCs w:val="24"/>
          <w:highlight w:val="none"/>
          <w:lang w:val="en-US"/>
        </w:rPr>
        <w:t xml:space="preserve">  </w:t>
      </w:r>
      <w:r>
        <w:rPr>
          <w:rFonts w:eastAsia="宋体" w:cs="Times New Roman"/>
          <w:b/>
          <w:color w:val="auto"/>
          <w:szCs w:val="24"/>
          <w:highlight w:val="none"/>
        </w:rPr>
        <w:t>废水产生源强一览表</w:t>
      </w:r>
    </w:p>
    <w:tbl>
      <w:tblPr>
        <w:tblStyle w:val="47"/>
        <w:tblW w:w="13875"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770"/>
        <w:gridCol w:w="871"/>
        <w:gridCol w:w="841"/>
        <w:gridCol w:w="1278"/>
        <w:gridCol w:w="787"/>
        <w:gridCol w:w="898"/>
        <w:gridCol w:w="999"/>
        <w:gridCol w:w="958"/>
        <w:gridCol w:w="1227"/>
        <w:gridCol w:w="1001"/>
        <w:gridCol w:w="845"/>
        <w:gridCol w:w="898"/>
        <w:gridCol w:w="879"/>
        <w:gridCol w:w="899"/>
        <w:gridCol w:w="724"/>
      </w:tblGrid>
      <w:tr w14:paraId="1094F6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9" w:hRule="atLeast"/>
          <w:jc w:val="center"/>
        </w:trPr>
        <w:tc>
          <w:tcPr>
            <w:tcW w:w="770" w:type="dxa"/>
            <w:vMerge w:val="restart"/>
            <w:tcBorders>
              <w:tl2br w:val="nil"/>
              <w:tr2bl w:val="nil"/>
            </w:tcBorders>
            <w:shd w:val="clear" w:color="auto" w:fill="auto"/>
            <w:vAlign w:val="center"/>
          </w:tcPr>
          <w:p w14:paraId="3B6AD8A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工序/生产线</w:t>
            </w:r>
          </w:p>
        </w:tc>
        <w:tc>
          <w:tcPr>
            <w:tcW w:w="871" w:type="dxa"/>
            <w:vMerge w:val="restart"/>
            <w:tcBorders>
              <w:tl2br w:val="nil"/>
              <w:tr2bl w:val="nil"/>
            </w:tcBorders>
            <w:shd w:val="clear" w:color="auto" w:fill="auto"/>
            <w:vAlign w:val="center"/>
          </w:tcPr>
          <w:p w14:paraId="18A7F8B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装置</w:t>
            </w:r>
          </w:p>
        </w:tc>
        <w:tc>
          <w:tcPr>
            <w:tcW w:w="841" w:type="dxa"/>
            <w:vMerge w:val="restart"/>
            <w:tcBorders>
              <w:tl2br w:val="nil"/>
              <w:tr2bl w:val="nil"/>
            </w:tcBorders>
            <w:shd w:val="clear" w:color="auto" w:fill="auto"/>
            <w:vAlign w:val="center"/>
          </w:tcPr>
          <w:p w14:paraId="0DC04C0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排放源</w:t>
            </w:r>
          </w:p>
        </w:tc>
        <w:tc>
          <w:tcPr>
            <w:tcW w:w="1278" w:type="dxa"/>
            <w:vMerge w:val="restart"/>
            <w:tcBorders>
              <w:tl2br w:val="nil"/>
              <w:tr2bl w:val="nil"/>
            </w:tcBorders>
            <w:shd w:val="clear" w:color="auto" w:fill="auto"/>
            <w:vAlign w:val="center"/>
          </w:tcPr>
          <w:p w14:paraId="2B9E4EB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3642" w:type="dxa"/>
            <w:gridSpan w:val="4"/>
            <w:tcBorders>
              <w:tl2br w:val="nil"/>
              <w:tr2bl w:val="nil"/>
            </w:tcBorders>
            <w:shd w:val="clear" w:color="auto" w:fill="auto"/>
            <w:vAlign w:val="center"/>
          </w:tcPr>
          <w:p w14:paraId="1946221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污染物产生</w:t>
            </w:r>
          </w:p>
        </w:tc>
        <w:tc>
          <w:tcPr>
            <w:tcW w:w="2228" w:type="dxa"/>
            <w:gridSpan w:val="2"/>
            <w:tcBorders>
              <w:tl2br w:val="nil"/>
              <w:tr2bl w:val="nil"/>
            </w:tcBorders>
            <w:shd w:val="clear" w:color="auto" w:fill="auto"/>
            <w:vAlign w:val="center"/>
          </w:tcPr>
          <w:p w14:paraId="29BF629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治理措施</w:t>
            </w:r>
          </w:p>
        </w:tc>
        <w:tc>
          <w:tcPr>
            <w:tcW w:w="3521" w:type="dxa"/>
            <w:gridSpan w:val="4"/>
            <w:tcBorders>
              <w:tl2br w:val="nil"/>
              <w:tr2bl w:val="nil"/>
            </w:tcBorders>
            <w:shd w:val="clear" w:color="auto" w:fill="auto"/>
            <w:vAlign w:val="center"/>
          </w:tcPr>
          <w:p w14:paraId="7D7357D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污染物排放</w:t>
            </w:r>
          </w:p>
        </w:tc>
        <w:tc>
          <w:tcPr>
            <w:tcW w:w="724" w:type="dxa"/>
            <w:vMerge w:val="restart"/>
            <w:tcBorders>
              <w:tl2br w:val="nil"/>
              <w:tr2bl w:val="nil"/>
            </w:tcBorders>
            <w:shd w:val="clear" w:color="auto" w:fill="auto"/>
            <w:vAlign w:val="center"/>
          </w:tcPr>
          <w:p w14:paraId="15C6064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排放时间h</w:t>
            </w:r>
          </w:p>
        </w:tc>
      </w:tr>
      <w:tr w14:paraId="4D8B05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134" w:hRule="atLeast"/>
          <w:jc w:val="center"/>
        </w:trPr>
        <w:tc>
          <w:tcPr>
            <w:tcW w:w="770" w:type="dxa"/>
            <w:vMerge w:val="continue"/>
            <w:tcBorders>
              <w:tl2br w:val="nil"/>
              <w:tr2bl w:val="nil"/>
            </w:tcBorders>
            <w:shd w:val="clear" w:color="auto" w:fill="auto"/>
            <w:vAlign w:val="center"/>
          </w:tcPr>
          <w:p w14:paraId="76F2DC9C">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08DEC5D3">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54A74A63">
            <w:pPr>
              <w:spacing w:line="360" w:lineRule="exact"/>
              <w:ind w:firstLine="0" w:firstLineChars="0"/>
              <w:jc w:val="center"/>
              <w:rPr>
                <w:rFonts w:cs="Times New Roman"/>
                <w:color w:val="auto"/>
                <w:sz w:val="21"/>
                <w:szCs w:val="21"/>
                <w:highlight w:val="none"/>
              </w:rPr>
            </w:pPr>
          </w:p>
        </w:tc>
        <w:tc>
          <w:tcPr>
            <w:tcW w:w="1278" w:type="dxa"/>
            <w:vMerge w:val="continue"/>
            <w:tcBorders>
              <w:tl2br w:val="nil"/>
              <w:tr2bl w:val="nil"/>
            </w:tcBorders>
            <w:shd w:val="clear" w:color="auto" w:fill="auto"/>
            <w:vAlign w:val="center"/>
          </w:tcPr>
          <w:p w14:paraId="70BA6999">
            <w:pPr>
              <w:spacing w:line="360" w:lineRule="exact"/>
              <w:ind w:firstLine="0" w:firstLineChars="0"/>
              <w:jc w:val="center"/>
              <w:rPr>
                <w:rFonts w:cs="Times New Roman"/>
                <w:color w:val="auto"/>
                <w:sz w:val="21"/>
                <w:szCs w:val="21"/>
                <w:highlight w:val="none"/>
              </w:rPr>
            </w:pPr>
          </w:p>
        </w:tc>
        <w:tc>
          <w:tcPr>
            <w:tcW w:w="787" w:type="dxa"/>
            <w:tcBorders>
              <w:tl2br w:val="nil"/>
              <w:tr2bl w:val="nil"/>
            </w:tcBorders>
            <w:shd w:val="clear" w:color="auto" w:fill="auto"/>
            <w:vAlign w:val="center"/>
          </w:tcPr>
          <w:p w14:paraId="51BBDE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核算方法</w:t>
            </w:r>
          </w:p>
        </w:tc>
        <w:tc>
          <w:tcPr>
            <w:tcW w:w="898" w:type="dxa"/>
            <w:tcBorders>
              <w:tl2br w:val="nil"/>
              <w:tr2bl w:val="nil"/>
            </w:tcBorders>
            <w:shd w:val="clear" w:color="auto" w:fill="auto"/>
            <w:vAlign w:val="center"/>
          </w:tcPr>
          <w:p w14:paraId="133F81B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产生废水量m</w:t>
            </w:r>
            <w:r>
              <w:rPr>
                <w:rFonts w:cs="Times New Roman"/>
                <w:color w:val="auto"/>
                <w:sz w:val="21"/>
                <w:szCs w:val="21"/>
                <w:highlight w:val="none"/>
                <w:vertAlign w:val="superscript"/>
              </w:rPr>
              <w:t>3</w:t>
            </w:r>
            <w:r>
              <w:rPr>
                <w:rFonts w:cs="Times New Roman"/>
                <w:color w:val="auto"/>
                <w:sz w:val="21"/>
                <w:szCs w:val="21"/>
                <w:highlight w:val="none"/>
              </w:rPr>
              <w:t>/a</w:t>
            </w:r>
          </w:p>
        </w:tc>
        <w:tc>
          <w:tcPr>
            <w:tcW w:w="999" w:type="dxa"/>
            <w:tcBorders>
              <w:tl2br w:val="nil"/>
              <w:tr2bl w:val="nil"/>
            </w:tcBorders>
            <w:shd w:val="clear" w:color="auto" w:fill="auto"/>
            <w:vAlign w:val="center"/>
          </w:tcPr>
          <w:p w14:paraId="4F99A47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产生浓度mg/L</w:t>
            </w:r>
          </w:p>
        </w:tc>
        <w:tc>
          <w:tcPr>
            <w:tcW w:w="958" w:type="dxa"/>
            <w:tcBorders>
              <w:tl2br w:val="nil"/>
              <w:tr2bl w:val="nil"/>
            </w:tcBorders>
            <w:shd w:val="clear" w:color="auto" w:fill="auto"/>
            <w:vAlign w:val="center"/>
          </w:tcPr>
          <w:p w14:paraId="5D8CF00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产生量t/a</w:t>
            </w:r>
          </w:p>
        </w:tc>
        <w:tc>
          <w:tcPr>
            <w:tcW w:w="1227" w:type="dxa"/>
            <w:tcBorders>
              <w:tl2br w:val="nil"/>
              <w:tr2bl w:val="nil"/>
            </w:tcBorders>
            <w:shd w:val="clear" w:color="auto" w:fill="auto"/>
            <w:vAlign w:val="center"/>
          </w:tcPr>
          <w:p w14:paraId="7AC069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工艺</w:t>
            </w:r>
          </w:p>
        </w:tc>
        <w:tc>
          <w:tcPr>
            <w:tcW w:w="1001" w:type="dxa"/>
            <w:tcBorders>
              <w:tl2br w:val="nil"/>
              <w:tr2bl w:val="nil"/>
            </w:tcBorders>
            <w:shd w:val="clear" w:color="auto" w:fill="auto"/>
            <w:vAlign w:val="center"/>
          </w:tcPr>
          <w:p w14:paraId="14FED47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效率%</w:t>
            </w:r>
          </w:p>
        </w:tc>
        <w:tc>
          <w:tcPr>
            <w:tcW w:w="845" w:type="dxa"/>
            <w:tcBorders>
              <w:tl2br w:val="nil"/>
              <w:tr2bl w:val="nil"/>
            </w:tcBorders>
            <w:shd w:val="clear" w:color="auto" w:fill="auto"/>
            <w:vAlign w:val="center"/>
          </w:tcPr>
          <w:p w14:paraId="1056C21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核算方法</w:t>
            </w:r>
          </w:p>
        </w:tc>
        <w:tc>
          <w:tcPr>
            <w:tcW w:w="898" w:type="dxa"/>
            <w:tcBorders>
              <w:tl2br w:val="nil"/>
              <w:tr2bl w:val="nil"/>
            </w:tcBorders>
            <w:shd w:val="clear" w:color="auto" w:fill="auto"/>
            <w:vAlign w:val="center"/>
          </w:tcPr>
          <w:p w14:paraId="314AC74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排放废水量m</w:t>
            </w:r>
            <w:r>
              <w:rPr>
                <w:rFonts w:cs="Times New Roman"/>
                <w:color w:val="auto"/>
                <w:sz w:val="21"/>
                <w:szCs w:val="21"/>
                <w:highlight w:val="none"/>
                <w:vertAlign w:val="superscript"/>
              </w:rPr>
              <w:t>3</w:t>
            </w:r>
            <w:r>
              <w:rPr>
                <w:rFonts w:cs="Times New Roman"/>
                <w:color w:val="auto"/>
                <w:sz w:val="21"/>
                <w:szCs w:val="21"/>
                <w:highlight w:val="none"/>
              </w:rPr>
              <w:t>/a</w:t>
            </w:r>
          </w:p>
        </w:tc>
        <w:tc>
          <w:tcPr>
            <w:tcW w:w="879" w:type="dxa"/>
            <w:tcBorders>
              <w:tl2br w:val="nil"/>
              <w:tr2bl w:val="nil"/>
            </w:tcBorders>
            <w:shd w:val="clear" w:color="auto" w:fill="auto"/>
            <w:vAlign w:val="center"/>
          </w:tcPr>
          <w:p w14:paraId="35F20E0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排放浓度mg/L</w:t>
            </w:r>
          </w:p>
        </w:tc>
        <w:tc>
          <w:tcPr>
            <w:tcW w:w="899" w:type="dxa"/>
            <w:tcBorders>
              <w:tl2br w:val="nil"/>
              <w:tr2bl w:val="nil"/>
            </w:tcBorders>
            <w:shd w:val="clear" w:color="auto" w:fill="auto"/>
            <w:vAlign w:val="center"/>
          </w:tcPr>
          <w:p w14:paraId="26CF5F2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排放量t/a</w:t>
            </w:r>
          </w:p>
        </w:tc>
        <w:tc>
          <w:tcPr>
            <w:tcW w:w="724" w:type="dxa"/>
            <w:vMerge w:val="continue"/>
            <w:tcBorders>
              <w:tl2br w:val="nil"/>
              <w:tr2bl w:val="nil"/>
            </w:tcBorders>
            <w:shd w:val="clear" w:color="auto" w:fill="auto"/>
            <w:vAlign w:val="center"/>
          </w:tcPr>
          <w:p w14:paraId="67E500D0">
            <w:pPr>
              <w:spacing w:line="360" w:lineRule="exact"/>
              <w:ind w:firstLine="0" w:firstLineChars="0"/>
              <w:jc w:val="center"/>
              <w:rPr>
                <w:rFonts w:cs="Times New Roman"/>
                <w:color w:val="auto"/>
                <w:sz w:val="21"/>
                <w:szCs w:val="21"/>
                <w:highlight w:val="none"/>
              </w:rPr>
            </w:pPr>
          </w:p>
        </w:tc>
      </w:tr>
      <w:tr w14:paraId="26676A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restart"/>
            <w:tcBorders>
              <w:tl2br w:val="nil"/>
              <w:tr2bl w:val="nil"/>
            </w:tcBorders>
            <w:shd w:val="clear" w:color="auto" w:fill="auto"/>
            <w:vAlign w:val="center"/>
          </w:tcPr>
          <w:p w14:paraId="33092E0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生产</w:t>
            </w:r>
          </w:p>
        </w:tc>
        <w:tc>
          <w:tcPr>
            <w:tcW w:w="871" w:type="dxa"/>
            <w:vMerge w:val="restart"/>
            <w:tcBorders>
              <w:tl2br w:val="nil"/>
              <w:tr2bl w:val="nil"/>
            </w:tcBorders>
            <w:shd w:val="clear" w:color="auto" w:fill="auto"/>
            <w:vAlign w:val="center"/>
          </w:tcPr>
          <w:p w14:paraId="46F1A0FA">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屠宰</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车棚、</w:t>
            </w:r>
          </w:p>
        </w:tc>
        <w:tc>
          <w:tcPr>
            <w:tcW w:w="841" w:type="dxa"/>
            <w:vMerge w:val="restart"/>
            <w:tcBorders>
              <w:tl2br w:val="nil"/>
              <w:tr2bl w:val="nil"/>
            </w:tcBorders>
            <w:shd w:val="clear" w:color="auto" w:fill="auto"/>
            <w:vAlign w:val="center"/>
          </w:tcPr>
          <w:p w14:paraId="0702D4B7">
            <w:pPr>
              <w:spacing w:line="360" w:lineRule="exact"/>
              <w:ind w:firstLine="0" w:firstLineChars="0"/>
              <w:jc w:val="center"/>
              <w:rPr>
                <w:rFonts w:hint="default" w:cs="Times New Roman"/>
                <w:color w:val="auto"/>
                <w:sz w:val="21"/>
                <w:szCs w:val="21"/>
                <w:highlight w:val="none"/>
                <w:lang w:val="en-US"/>
              </w:rPr>
            </w:pPr>
            <w:r>
              <w:rPr>
                <w:rFonts w:cs="Times New Roman"/>
                <w:color w:val="auto"/>
                <w:sz w:val="21"/>
                <w:szCs w:val="21"/>
                <w:highlight w:val="none"/>
              </w:rPr>
              <w:t>屠宰</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车辆冲洗、综合废水</w:t>
            </w:r>
          </w:p>
        </w:tc>
        <w:tc>
          <w:tcPr>
            <w:tcW w:w="1278" w:type="dxa"/>
            <w:tcBorders>
              <w:tl2br w:val="nil"/>
              <w:tr2bl w:val="nil"/>
            </w:tcBorders>
            <w:shd w:val="clear" w:color="auto" w:fill="auto"/>
            <w:vAlign w:val="center"/>
          </w:tcPr>
          <w:p w14:paraId="678EC0E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w:t>
            </w:r>
          </w:p>
        </w:tc>
        <w:tc>
          <w:tcPr>
            <w:tcW w:w="787" w:type="dxa"/>
            <w:vMerge w:val="restart"/>
            <w:tcBorders>
              <w:tl2br w:val="nil"/>
              <w:tr2bl w:val="nil"/>
            </w:tcBorders>
            <w:shd w:val="clear" w:color="auto" w:fill="auto"/>
            <w:vAlign w:val="center"/>
          </w:tcPr>
          <w:p w14:paraId="5669F62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系数法</w:t>
            </w:r>
          </w:p>
        </w:tc>
        <w:tc>
          <w:tcPr>
            <w:tcW w:w="898" w:type="dxa"/>
            <w:vMerge w:val="restart"/>
            <w:tcBorders>
              <w:tl2br w:val="nil"/>
              <w:tr2bl w:val="nil"/>
            </w:tcBorders>
            <w:shd w:val="clear" w:color="auto" w:fill="auto"/>
            <w:vAlign w:val="center"/>
          </w:tcPr>
          <w:p w14:paraId="1BB5D789">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71021</w:t>
            </w:r>
          </w:p>
        </w:tc>
        <w:tc>
          <w:tcPr>
            <w:tcW w:w="999" w:type="dxa"/>
            <w:tcBorders>
              <w:tl2br w:val="nil"/>
              <w:tr2bl w:val="nil"/>
            </w:tcBorders>
            <w:shd w:val="clear" w:color="auto" w:fill="auto"/>
            <w:vAlign w:val="center"/>
          </w:tcPr>
          <w:p w14:paraId="1E56D6E2">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2691</w:t>
            </w:r>
          </w:p>
        </w:tc>
        <w:tc>
          <w:tcPr>
            <w:tcW w:w="958" w:type="dxa"/>
            <w:tcBorders>
              <w:tl2br w:val="nil"/>
              <w:tr2bl w:val="nil"/>
            </w:tcBorders>
            <w:shd w:val="clear" w:color="auto" w:fill="auto"/>
            <w:vAlign w:val="center"/>
          </w:tcPr>
          <w:p w14:paraId="3D87E8A2">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191.1 </w:t>
            </w:r>
          </w:p>
        </w:tc>
        <w:tc>
          <w:tcPr>
            <w:tcW w:w="1227" w:type="dxa"/>
            <w:vMerge w:val="restart"/>
            <w:tcBorders>
              <w:tl2br w:val="nil"/>
              <w:tr2bl w:val="nil"/>
            </w:tcBorders>
            <w:shd w:val="clear" w:color="auto" w:fill="auto"/>
            <w:vAlign w:val="center"/>
          </w:tcPr>
          <w:p w14:paraId="084928DD">
            <w:pPr>
              <w:spacing w:line="360" w:lineRule="exact"/>
              <w:ind w:firstLine="0" w:firstLineChars="0"/>
              <w:jc w:val="center"/>
              <w:rPr>
                <w:rFonts w:eastAsia="宋体" w:cs="Times New Roman"/>
                <w:color w:val="auto"/>
                <w:sz w:val="21"/>
                <w:szCs w:val="21"/>
                <w:highlight w:val="none"/>
              </w:rPr>
            </w:pPr>
            <w:r>
              <w:rPr>
                <w:rFonts w:hint="eastAsia" w:eastAsia="宋体" w:cs="Times New Roman"/>
                <w:color w:val="auto"/>
                <w:sz w:val="21"/>
                <w:szCs w:val="21"/>
                <w:highlight w:val="none"/>
                <w:lang w:eastAsia="zh-CN"/>
              </w:rPr>
              <w:t>格栅+</w:t>
            </w:r>
            <w:r>
              <w:rPr>
                <w:rFonts w:hint="eastAsia" w:eastAsia="宋体" w:cs="Times New Roman"/>
                <w:color w:val="auto"/>
                <w:sz w:val="21"/>
                <w:szCs w:val="21"/>
                <w:highlight w:val="none"/>
                <w:lang w:val="en-US" w:eastAsia="zh-CN"/>
              </w:rPr>
              <w:t>隔油池</w:t>
            </w:r>
            <w:r>
              <w:rPr>
                <w:rFonts w:hint="eastAsia" w:eastAsia="宋体" w:cs="Times New Roman"/>
                <w:color w:val="auto"/>
                <w:sz w:val="21"/>
                <w:szCs w:val="21"/>
                <w:highlight w:val="none"/>
                <w:lang w:eastAsia="zh-CN"/>
              </w:rPr>
              <w:t>+</w:t>
            </w:r>
            <w:r>
              <w:rPr>
                <w:rFonts w:hint="eastAsia" w:eastAsia="宋体" w:cs="Times New Roman"/>
                <w:color w:val="auto"/>
                <w:sz w:val="21"/>
                <w:szCs w:val="21"/>
                <w:highlight w:val="none"/>
                <w:lang w:val="en-US" w:eastAsia="zh-CN"/>
              </w:rPr>
              <w:t>调节池</w:t>
            </w:r>
            <w:r>
              <w:rPr>
                <w:rFonts w:hint="eastAsia" w:eastAsia="宋体" w:cs="Times New Roman"/>
                <w:color w:val="auto"/>
                <w:sz w:val="21"/>
                <w:szCs w:val="21"/>
                <w:highlight w:val="none"/>
                <w:lang w:eastAsia="zh-CN"/>
              </w:rPr>
              <w:t>+气浮+水解酸化+</w:t>
            </w:r>
            <w:r>
              <w:rPr>
                <w:rFonts w:hint="eastAsia" w:eastAsia="宋体" w:cs="Times New Roman"/>
                <w:color w:val="auto"/>
                <w:sz w:val="21"/>
                <w:szCs w:val="21"/>
                <w:highlight w:val="none"/>
                <w:lang w:val="en-US" w:eastAsia="zh-CN"/>
              </w:rPr>
              <w:t>反硝化缺氧+好氧</w:t>
            </w:r>
            <w:r>
              <w:rPr>
                <w:rFonts w:hint="eastAsia" w:eastAsia="宋体" w:cs="Times New Roman"/>
                <w:color w:val="auto"/>
                <w:sz w:val="21"/>
                <w:szCs w:val="21"/>
                <w:highlight w:val="none"/>
                <w:lang w:eastAsia="zh-CN"/>
              </w:rPr>
              <w:t>+沉淀+消毒（</w:t>
            </w:r>
            <w:r>
              <w:rPr>
                <w:rFonts w:hint="eastAsia" w:eastAsia="宋体" w:cs="Times New Roman"/>
                <w:color w:val="auto"/>
                <w:sz w:val="21"/>
                <w:szCs w:val="21"/>
                <w:highlight w:val="none"/>
                <w:lang w:val="en-US" w:eastAsia="zh-CN"/>
              </w:rPr>
              <w:t>次氯酸钠</w:t>
            </w:r>
            <w:r>
              <w:rPr>
                <w:rFonts w:hint="eastAsia" w:cs="Times New Roman"/>
                <w:color w:val="auto"/>
                <w:sz w:val="21"/>
                <w:szCs w:val="21"/>
                <w:highlight w:val="none"/>
                <w:lang w:val="en-US" w:eastAsia="zh-CN"/>
              </w:rPr>
              <w:t>）</w:t>
            </w:r>
          </w:p>
        </w:tc>
        <w:tc>
          <w:tcPr>
            <w:tcW w:w="1001" w:type="dxa"/>
            <w:tcBorders>
              <w:tl2br w:val="nil"/>
              <w:tr2bl w:val="nil"/>
            </w:tcBorders>
            <w:shd w:val="clear" w:color="auto" w:fill="auto"/>
            <w:vAlign w:val="center"/>
          </w:tcPr>
          <w:p w14:paraId="7643DE8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90</w:t>
            </w:r>
          </w:p>
        </w:tc>
        <w:tc>
          <w:tcPr>
            <w:tcW w:w="845" w:type="dxa"/>
            <w:vMerge w:val="restart"/>
            <w:tcBorders>
              <w:tl2br w:val="nil"/>
              <w:tr2bl w:val="nil"/>
            </w:tcBorders>
            <w:shd w:val="clear" w:color="auto" w:fill="auto"/>
            <w:vAlign w:val="center"/>
          </w:tcPr>
          <w:p w14:paraId="0629181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系数法</w:t>
            </w:r>
          </w:p>
        </w:tc>
        <w:tc>
          <w:tcPr>
            <w:tcW w:w="898" w:type="dxa"/>
            <w:vMerge w:val="restart"/>
            <w:tcBorders>
              <w:tl2br w:val="nil"/>
              <w:tr2bl w:val="nil"/>
            </w:tcBorders>
            <w:shd w:val="clear" w:color="auto" w:fill="auto"/>
            <w:vAlign w:val="center"/>
          </w:tcPr>
          <w:p w14:paraId="518F77DA">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71021</w:t>
            </w:r>
          </w:p>
        </w:tc>
        <w:tc>
          <w:tcPr>
            <w:tcW w:w="879" w:type="dxa"/>
            <w:tcBorders>
              <w:tl2br w:val="nil"/>
              <w:tr2bl w:val="nil"/>
            </w:tcBorders>
            <w:shd w:val="clear" w:color="auto" w:fill="auto"/>
            <w:vAlign w:val="center"/>
          </w:tcPr>
          <w:p w14:paraId="64C163BF">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269</w:t>
            </w:r>
          </w:p>
        </w:tc>
        <w:tc>
          <w:tcPr>
            <w:tcW w:w="899" w:type="dxa"/>
            <w:tcBorders>
              <w:tl2br w:val="nil"/>
              <w:tr2bl w:val="nil"/>
            </w:tcBorders>
            <w:shd w:val="clear" w:color="auto" w:fill="auto"/>
            <w:vAlign w:val="center"/>
          </w:tcPr>
          <w:p w14:paraId="204236D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19.1 </w:t>
            </w:r>
          </w:p>
        </w:tc>
        <w:tc>
          <w:tcPr>
            <w:tcW w:w="724" w:type="dxa"/>
            <w:vMerge w:val="restart"/>
            <w:tcBorders>
              <w:tl2br w:val="nil"/>
              <w:tr2bl w:val="nil"/>
            </w:tcBorders>
            <w:shd w:val="clear" w:color="auto" w:fill="auto"/>
            <w:vAlign w:val="center"/>
          </w:tcPr>
          <w:p w14:paraId="09988555">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2480</w:t>
            </w:r>
          </w:p>
        </w:tc>
      </w:tr>
      <w:tr w14:paraId="480453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continue"/>
            <w:tcBorders>
              <w:tl2br w:val="nil"/>
              <w:tr2bl w:val="nil"/>
            </w:tcBorders>
            <w:shd w:val="clear" w:color="auto" w:fill="auto"/>
            <w:vAlign w:val="center"/>
          </w:tcPr>
          <w:p w14:paraId="3CA7158C">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31CEE1A8">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66733830">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40F4AC5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BOD</w:t>
            </w:r>
            <w:r>
              <w:rPr>
                <w:rFonts w:cs="Times New Roman"/>
                <w:color w:val="auto"/>
                <w:sz w:val="21"/>
                <w:szCs w:val="21"/>
                <w:highlight w:val="none"/>
                <w:vertAlign w:val="subscript"/>
              </w:rPr>
              <w:t>5</w:t>
            </w:r>
          </w:p>
        </w:tc>
        <w:tc>
          <w:tcPr>
            <w:tcW w:w="787" w:type="dxa"/>
            <w:vMerge w:val="continue"/>
            <w:tcBorders>
              <w:tl2br w:val="nil"/>
              <w:tr2bl w:val="nil"/>
            </w:tcBorders>
            <w:shd w:val="clear" w:color="auto" w:fill="auto"/>
            <w:vAlign w:val="center"/>
          </w:tcPr>
          <w:p w14:paraId="29FAD474">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6B99102B">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5CDF57C6">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991</w:t>
            </w:r>
          </w:p>
        </w:tc>
        <w:tc>
          <w:tcPr>
            <w:tcW w:w="958" w:type="dxa"/>
            <w:tcBorders>
              <w:tl2br w:val="nil"/>
              <w:tr2bl w:val="nil"/>
            </w:tcBorders>
            <w:shd w:val="clear" w:color="auto" w:fill="auto"/>
            <w:vAlign w:val="center"/>
          </w:tcPr>
          <w:p w14:paraId="4251B613">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70.4 </w:t>
            </w:r>
          </w:p>
        </w:tc>
        <w:tc>
          <w:tcPr>
            <w:tcW w:w="1227" w:type="dxa"/>
            <w:vMerge w:val="continue"/>
            <w:tcBorders>
              <w:tl2br w:val="nil"/>
              <w:tr2bl w:val="nil"/>
            </w:tcBorders>
            <w:shd w:val="clear" w:color="auto" w:fill="auto"/>
            <w:vAlign w:val="center"/>
          </w:tcPr>
          <w:p w14:paraId="577078D5">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7625167D">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90</w:t>
            </w:r>
          </w:p>
        </w:tc>
        <w:tc>
          <w:tcPr>
            <w:tcW w:w="845" w:type="dxa"/>
            <w:vMerge w:val="continue"/>
            <w:tcBorders>
              <w:tl2br w:val="nil"/>
              <w:tr2bl w:val="nil"/>
            </w:tcBorders>
            <w:shd w:val="clear" w:color="auto" w:fill="auto"/>
            <w:vAlign w:val="center"/>
          </w:tcPr>
          <w:p w14:paraId="5041E565">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498EA086">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43D6377C">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899" w:type="dxa"/>
            <w:tcBorders>
              <w:tl2br w:val="nil"/>
              <w:tr2bl w:val="nil"/>
            </w:tcBorders>
            <w:shd w:val="clear" w:color="auto" w:fill="auto"/>
            <w:vAlign w:val="center"/>
          </w:tcPr>
          <w:p w14:paraId="16FF012D">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7.03 </w:t>
            </w:r>
          </w:p>
        </w:tc>
        <w:tc>
          <w:tcPr>
            <w:tcW w:w="724" w:type="dxa"/>
            <w:vMerge w:val="continue"/>
            <w:tcBorders>
              <w:tl2br w:val="nil"/>
              <w:tr2bl w:val="nil"/>
            </w:tcBorders>
            <w:shd w:val="clear" w:color="auto" w:fill="auto"/>
            <w:vAlign w:val="center"/>
          </w:tcPr>
          <w:p w14:paraId="1983BB7D">
            <w:pPr>
              <w:spacing w:line="360" w:lineRule="exact"/>
              <w:ind w:firstLine="0" w:firstLineChars="0"/>
              <w:jc w:val="center"/>
              <w:rPr>
                <w:rFonts w:cs="Times New Roman"/>
                <w:color w:val="auto"/>
                <w:sz w:val="21"/>
                <w:szCs w:val="21"/>
                <w:highlight w:val="none"/>
              </w:rPr>
            </w:pPr>
          </w:p>
        </w:tc>
      </w:tr>
      <w:tr w14:paraId="65E060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continue"/>
            <w:tcBorders>
              <w:tl2br w:val="nil"/>
              <w:tr2bl w:val="nil"/>
            </w:tcBorders>
            <w:shd w:val="clear" w:color="auto" w:fill="auto"/>
            <w:vAlign w:val="center"/>
          </w:tcPr>
          <w:p w14:paraId="0A4E0CD3">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18D03D19">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22FE046D">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2A5307B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SS</w:t>
            </w:r>
          </w:p>
        </w:tc>
        <w:tc>
          <w:tcPr>
            <w:tcW w:w="787" w:type="dxa"/>
            <w:vMerge w:val="continue"/>
            <w:tcBorders>
              <w:tl2br w:val="nil"/>
              <w:tr2bl w:val="nil"/>
            </w:tcBorders>
            <w:shd w:val="clear" w:color="auto" w:fill="auto"/>
            <w:vAlign w:val="center"/>
          </w:tcPr>
          <w:p w14:paraId="17B25D2D">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3153A32D">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0A0CD27B">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992</w:t>
            </w:r>
          </w:p>
        </w:tc>
        <w:tc>
          <w:tcPr>
            <w:tcW w:w="958" w:type="dxa"/>
            <w:tcBorders>
              <w:tl2br w:val="nil"/>
              <w:tr2bl w:val="nil"/>
            </w:tcBorders>
            <w:shd w:val="clear" w:color="auto" w:fill="auto"/>
            <w:vAlign w:val="center"/>
          </w:tcPr>
          <w:p w14:paraId="2396E7E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70.5 </w:t>
            </w:r>
          </w:p>
        </w:tc>
        <w:tc>
          <w:tcPr>
            <w:tcW w:w="1227" w:type="dxa"/>
            <w:vMerge w:val="continue"/>
            <w:tcBorders>
              <w:tl2br w:val="nil"/>
              <w:tr2bl w:val="nil"/>
            </w:tcBorders>
            <w:shd w:val="clear" w:color="auto" w:fill="auto"/>
            <w:vAlign w:val="center"/>
          </w:tcPr>
          <w:p w14:paraId="4A6148FD">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632F05C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90</w:t>
            </w:r>
          </w:p>
        </w:tc>
        <w:tc>
          <w:tcPr>
            <w:tcW w:w="845" w:type="dxa"/>
            <w:vMerge w:val="continue"/>
            <w:tcBorders>
              <w:tl2br w:val="nil"/>
              <w:tr2bl w:val="nil"/>
            </w:tcBorders>
            <w:shd w:val="clear" w:color="auto" w:fill="auto"/>
            <w:vAlign w:val="center"/>
          </w:tcPr>
          <w:p w14:paraId="6A8756E9">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1BD9E6B8">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7531E0E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899" w:type="dxa"/>
            <w:tcBorders>
              <w:tl2br w:val="nil"/>
              <w:tr2bl w:val="nil"/>
            </w:tcBorders>
            <w:shd w:val="clear" w:color="auto" w:fill="auto"/>
            <w:vAlign w:val="center"/>
          </w:tcPr>
          <w:p w14:paraId="5C7E5AA6">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7.03 </w:t>
            </w:r>
          </w:p>
        </w:tc>
        <w:tc>
          <w:tcPr>
            <w:tcW w:w="724" w:type="dxa"/>
            <w:vMerge w:val="continue"/>
            <w:tcBorders>
              <w:tl2br w:val="nil"/>
              <w:tr2bl w:val="nil"/>
            </w:tcBorders>
            <w:shd w:val="clear" w:color="auto" w:fill="auto"/>
            <w:vAlign w:val="center"/>
          </w:tcPr>
          <w:p w14:paraId="6054FAB5">
            <w:pPr>
              <w:spacing w:line="360" w:lineRule="exact"/>
              <w:ind w:firstLine="0" w:firstLineChars="0"/>
              <w:jc w:val="center"/>
              <w:rPr>
                <w:rFonts w:cs="Times New Roman"/>
                <w:color w:val="auto"/>
                <w:sz w:val="21"/>
                <w:szCs w:val="21"/>
                <w:highlight w:val="none"/>
              </w:rPr>
            </w:pPr>
          </w:p>
        </w:tc>
      </w:tr>
      <w:tr w14:paraId="37EDC49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continue"/>
            <w:tcBorders>
              <w:tl2br w:val="nil"/>
              <w:tr2bl w:val="nil"/>
            </w:tcBorders>
            <w:shd w:val="clear" w:color="auto" w:fill="auto"/>
            <w:vAlign w:val="center"/>
          </w:tcPr>
          <w:p w14:paraId="6A312C29">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3BB0601F">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2CC4463D">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0F99B4E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787" w:type="dxa"/>
            <w:vMerge w:val="continue"/>
            <w:tcBorders>
              <w:tl2br w:val="nil"/>
              <w:tr2bl w:val="nil"/>
            </w:tcBorders>
            <w:shd w:val="clear" w:color="auto" w:fill="auto"/>
            <w:vAlign w:val="center"/>
          </w:tcPr>
          <w:p w14:paraId="4AFBF594">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464A06EB">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080A9D77">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85</w:t>
            </w:r>
          </w:p>
        </w:tc>
        <w:tc>
          <w:tcPr>
            <w:tcW w:w="958" w:type="dxa"/>
            <w:tcBorders>
              <w:tl2br w:val="nil"/>
              <w:tr2bl w:val="nil"/>
            </w:tcBorders>
            <w:shd w:val="clear" w:color="auto" w:fill="auto"/>
            <w:vAlign w:val="center"/>
          </w:tcPr>
          <w:p w14:paraId="04CB44B8">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6.0 </w:t>
            </w:r>
          </w:p>
        </w:tc>
        <w:tc>
          <w:tcPr>
            <w:tcW w:w="1227" w:type="dxa"/>
            <w:vMerge w:val="continue"/>
            <w:tcBorders>
              <w:tl2br w:val="nil"/>
              <w:tr2bl w:val="nil"/>
            </w:tcBorders>
            <w:shd w:val="clear" w:color="auto" w:fill="auto"/>
            <w:vAlign w:val="center"/>
          </w:tcPr>
          <w:p w14:paraId="7EE671B1">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55E50EF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60</w:t>
            </w:r>
          </w:p>
        </w:tc>
        <w:tc>
          <w:tcPr>
            <w:tcW w:w="845" w:type="dxa"/>
            <w:vMerge w:val="continue"/>
            <w:tcBorders>
              <w:tl2br w:val="nil"/>
              <w:tr2bl w:val="nil"/>
            </w:tcBorders>
            <w:shd w:val="clear" w:color="auto" w:fill="auto"/>
            <w:vAlign w:val="center"/>
          </w:tcPr>
          <w:p w14:paraId="6DDA9A91">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4FB9745E">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01283BF2">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34</w:t>
            </w:r>
          </w:p>
        </w:tc>
        <w:tc>
          <w:tcPr>
            <w:tcW w:w="899" w:type="dxa"/>
            <w:tcBorders>
              <w:tl2br w:val="nil"/>
              <w:tr2bl w:val="nil"/>
            </w:tcBorders>
            <w:shd w:val="clear" w:color="auto" w:fill="auto"/>
            <w:vAlign w:val="center"/>
          </w:tcPr>
          <w:p w14:paraId="1C4A3206">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2.41 </w:t>
            </w:r>
          </w:p>
        </w:tc>
        <w:tc>
          <w:tcPr>
            <w:tcW w:w="724" w:type="dxa"/>
            <w:vMerge w:val="continue"/>
            <w:tcBorders>
              <w:tl2br w:val="nil"/>
              <w:tr2bl w:val="nil"/>
            </w:tcBorders>
            <w:shd w:val="clear" w:color="auto" w:fill="auto"/>
            <w:vAlign w:val="center"/>
          </w:tcPr>
          <w:p w14:paraId="69DFBE1E">
            <w:pPr>
              <w:spacing w:line="360" w:lineRule="exact"/>
              <w:ind w:firstLine="0" w:firstLineChars="0"/>
              <w:jc w:val="center"/>
              <w:rPr>
                <w:rFonts w:cs="Times New Roman"/>
                <w:color w:val="auto"/>
                <w:sz w:val="21"/>
                <w:szCs w:val="21"/>
                <w:highlight w:val="none"/>
              </w:rPr>
            </w:pPr>
          </w:p>
        </w:tc>
      </w:tr>
      <w:tr w14:paraId="746377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2" w:hRule="atLeast"/>
          <w:jc w:val="center"/>
        </w:trPr>
        <w:tc>
          <w:tcPr>
            <w:tcW w:w="770" w:type="dxa"/>
            <w:vMerge w:val="continue"/>
            <w:tcBorders>
              <w:tl2br w:val="nil"/>
              <w:tr2bl w:val="nil"/>
            </w:tcBorders>
            <w:shd w:val="clear" w:color="auto" w:fill="auto"/>
            <w:vAlign w:val="center"/>
          </w:tcPr>
          <w:p w14:paraId="46ECE5A5">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61318AFC">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50F6E7EE">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791445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动植物油</w:t>
            </w:r>
          </w:p>
        </w:tc>
        <w:tc>
          <w:tcPr>
            <w:tcW w:w="787" w:type="dxa"/>
            <w:vMerge w:val="continue"/>
            <w:tcBorders>
              <w:tl2br w:val="nil"/>
              <w:tr2bl w:val="nil"/>
            </w:tcBorders>
            <w:shd w:val="clear" w:color="auto" w:fill="auto"/>
            <w:vAlign w:val="center"/>
          </w:tcPr>
          <w:p w14:paraId="5B71E5EA">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3FBAD58E">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1407B7A6">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197</w:t>
            </w:r>
          </w:p>
        </w:tc>
        <w:tc>
          <w:tcPr>
            <w:tcW w:w="958" w:type="dxa"/>
            <w:tcBorders>
              <w:tl2br w:val="nil"/>
              <w:tr2bl w:val="nil"/>
            </w:tcBorders>
            <w:shd w:val="clear" w:color="auto" w:fill="auto"/>
            <w:vAlign w:val="center"/>
          </w:tcPr>
          <w:p w14:paraId="23A55CEA">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14.0 </w:t>
            </w:r>
          </w:p>
        </w:tc>
        <w:tc>
          <w:tcPr>
            <w:tcW w:w="1227" w:type="dxa"/>
            <w:vMerge w:val="continue"/>
            <w:tcBorders>
              <w:tl2br w:val="nil"/>
              <w:tr2bl w:val="nil"/>
            </w:tcBorders>
            <w:shd w:val="clear" w:color="auto" w:fill="auto"/>
            <w:vAlign w:val="center"/>
          </w:tcPr>
          <w:p w14:paraId="5F725EF8">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43CE52C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75</w:t>
            </w:r>
          </w:p>
        </w:tc>
        <w:tc>
          <w:tcPr>
            <w:tcW w:w="845" w:type="dxa"/>
            <w:vMerge w:val="continue"/>
            <w:tcBorders>
              <w:tl2br w:val="nil"/>
              <w:tr2bl w:val="nil"/>
            </w:tcBorders>
            <w:shd w:val="clear" w:color="auto" w:fill="auto"/>
            <w:vAlign w:val="center"/>
          </w:tcPr>
          <w:p w14:paraId="4D9CAC24">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027BED81">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6DF75C99">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49</w:t>
            </w:r>
          </w:p>
        </w:tc>
        <w:tc>
          <w:tcPr>
            <w:tcW w:w="899" w:type="dxa"/>
            <w:tcBorders>
              <w:tl2br w:val="nil"/>
              <w:tr2bl w:val="nil"/>
            </w:tcBorders>
            <w:shd w:val="clear" w:color="auto" w:fill="auto"/>
            <w:vAlign w:val="center"/>
          </w:tcPr>
          <w:p w14:paraId="12A97D85">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3.48 </w:t>
            </w:r>
          </w:p>
        </w:tc>
        <w:tc>
          <w:tcPr>
            <w:tcW w:w="724" w:type="dxa"/>
            <w:vMerge w:val="continue"/>
            <w:tcBorders>
              <w:tl2br w:val="nil"/>
              <w:tr2bl w:val="nil"/>
            </w:tcBorders>
            <w:shd w:val="clear" w:color="auto" w:fill="auto"/>
            <w:vAlign w:val="center"/>
          </w:tcPr>
          <w:p w14:paraId="3D5A43A6">
            <w:pPr>
              <w:spacing w:line="360" w:lineRule="exact"/>
              <w:ind w:firstLine="0" w:firstLineChars="0"/>
              <w:jc w:val="center"/>
              <w:rPr>
                <w:rFonts w:cs="Times New Roman"/>
                <w:color w:val="auto"/>
                <w:sz w:val="21"/>
                <w:szCs w:val="21"/>
                <w:highlight w:val="none"/>
              </w:rPr>
            </w:pPr>
          </w:p>
        </w:tc>
      </w:tr>
      <w:tr w14:paraId="51E2EB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continue"/>
            <w:tcBorders>
              <w:tl2br w:val="nil"/>
              <w:tr2bl w:val="nil"/>
            </w:tcBorders>
            <w:shd w:val="clear" w:color="auto" w:fill="auto"/>
            <w:vAlign w:val="center"/>
          </w:tcPr>
          <w:p w14:paraId="65BAD72A">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0E4ABE42">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102C3AD4">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1DEC50B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总氮</w:t>
            </w:r>
          </w:p>
        </w:tc>
        <w:tc>
          <w:tcPr>
            <w:tcW w:w="787" w:type="dxa"/>
            <w:vMerge w:val="continue"/>
            <w:tcBorders>
              <w:tl2br w:val="nil"/>
              <w:tr2bl w:val="nil"/>
            </w:tcBorders>
            <w:shd w:val="clear" w:color="auto" w:fill="auto"/>
            <w:vAlign w:val="center"/>
          </w:tcPr>
          <w:p w14:paraId="049FDBFC">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7230DF37">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3AD8B7D7">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194</w:t>
            </w:r>
          </w:p>
        </w:tc>
        <w:tc>
          <w:tcPr>
            <w:tcW w:w="958" w:type="dxa"/>
            <w:tcBorders>
              <w:tl2br w:val="nil"/>
              <w:tr2bl w:val="nil"/>
            </w:tcBorders>
            <w:shd w:val="clear" w:color="auto" w:fill="auto"/>
            <w:vAlign w:val="center"/>
          </w:tcPr>
          <w:p w14:paraId="15926BBF">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13.8 </w:t>
            </w:r>
          </w:p>
        </w:tc>
        <w:tc>
          <w:tcPr>
            <w:tcW w:w="1227" w:type="dxa"/>
            <w:vMerge w:val="continue"/>
            <w:tcBorders>
              <w:tl2br w:val="nil"/>
              <w:tr2bl w:val="nil"/>
            </w:tcBorders>
            <w:shd w:val="clear" w:color="auto" w:fill="auto"/>
            <w:vAlign w:val="center"/>
          </w:tcPr>
          <w:p w14:paraId="3C4EC739">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18D2763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75</w:t>
            </w:r>
          </w:p>
        </w:tc>
        <w:tc>
          <w:tcPr>
            <w:tcW w:w="845" w:type="dxa"/>
            <w:vMerge w:val="continue"/>
            <w:tcBorders>
              <w:tl2br w:val="nil"/>
              <w:tr2bl w:val="nil"/>
            </w:tcBorders>
            <w:shd w:val="clear" w:color="auto" w:fill="auto"/>
            <w:vAlign w:val="center"/>
          </w:tcPr>
          <w:p w14:paraId="7D04BD78">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2A10B67E">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43BB9F8D">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49</w:t>
            </w:r>
          </w:p>
        </w:tc>
        <w:tc>
          <w:tcPr>
            <w:tcW w:w="899" w:type="dxa"/>
            <w:tcBorders>
              <w:tl2br w:val="nil"/>
              <w:tr2bl w:val="nil"/>
            </w:tcBorders>
            <w:shd w:val="clear" w:color="auto" w:fill="auto"/>
            <w:vAlign w:val="center"/>
          </w:tcPr>
          <w:p w14:paraId="4BF7CC35">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3.48 </w:t>
            </w:r>
          </w:p>
        </w:tc>
        <w:tc>
          <w:tcPr>
            <w:tcW w:w="724" w:type="dxa"/>
            <w:vMerge w:val="continue"/>
            <w:tcBorders>
              <w:tl2br w:val="nil"/>
              <w:tr2bl w:val="nil"/>
            </w:tcBorders>
            <w:shd w:val="clear" w:color="auto" w:fill="auto"/>
            <w:vAlign w:val="center"/>
          </w:tcPr>
          <w:p w14:paraId="75772C94">
            <w:pPr>
              <w:spacing w:line="360" w:lineRule="exact"/>
              <w:ind w:firstLine="0" w:firstLineChars="0"/>
              <w:jc w:val="center"/>
              <w:rPr>
                <w:rFonts w:cs="Times New Roman"/>
                <w:color w:val="auto"/>
                <w:sz w:val="21"/>
                <w:szCs w:val="21"/>
                <w:highlight w:val="none"/>
              </w:rPr>
            </w:pPr>
          </w:p>
        </w:tc>
      </w:tr>
      <w:tr w14:paraId="214DD0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continue"/>
            <w:tcBorders>
              <w:tl2br w:val="nil"/>
              <w:tr2bl w:val="nil"/>
            </w:tcBorders>
            <w:shd w:val="clear" w:color="auto" w:fill="auto"/>
            <w:vAlign w:val="center"/>
          </w:tcPr>
          <w:p w14:paraId="3EF75A78">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7CE543F3">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21681808">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4D91377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总磷</w:t>
            </w:r>
          </w:p>
        </w:tc>
        <w:tc>
          <w:tcPr>
            <w:tcW w:w="787" w:type="dxa"/>
            <w:vMerge w:val="continue"/>
            <w:tcBorders>
              <w:tl2br w:val="nil"/>
              <w:tr2bl w:val="nil"/>
            </w:tcBorders>
            <w:shd w:val="clear" w:color="auto" w:fill="auto"/>
            <w:vAlign w:val="center"/>
          </w:tcPr>
          <w:p w14:paraId="39351013">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46F8585F">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4164F839">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w:t>
            </w:r>
          </w:p>
        </w:tc>
        <w:tc>
          <w:tcPr>
            <w:tcW w:w="958" w:type="dxa"/>
            <w:tcBorders>
              <w:tl2br w:val="nil"/>
              <w:tr2bl w:val="nil"/>
            </w:tcBorders>
            <w:shd w:val="clear" w:color="auto" w:fill="auto"/>
            <w:vAlign w:val="center"/>
          </w:tcPr>
          <w:p w14:paraId="6B1DC8B3">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1.3 </w:t>
            </w:r>
          </w:p>
        </w:tc>
        <w:tc>
          <w:tcPr>
            <w:tcW w:w="1227" w:type="dxa"/>
            <w:vMerge w:val="continue"/>
            <w:tcBorders>
              <w:tl2br w:val="nil"/>
              <w:tr2bl w:val="nil"/>
            </w:tcBorders>
            <w:shd w:val="clear" w:color="auto" w:fill="auto"/>
            <w:vAlign w:val="center"/>
          </w:tcPr>
          <w:p w14:paraId="3BD29D22">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3D299D8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70</w:t>
            </w:r>
          </w:p>
        </w:tc>
        <w:tc>
          <w:tcPr>
            <w:tcW w:w="845" w:type="dxa"/>
            <w:vMerge w:val="continue"/>
            <w:tcBorders>
              <w:tl2br w:val="nil"/>
              <w:tr2bl w:val="nil"/>
            </w:tcBorders>
            <w:shd w:val="clear" w:color="auto" w:fill="auto"/>
            <w:vAlign w:val="center"/>
          </w:tcPr>
          <w:p w14:paraId="30EE9539">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25CAA349">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6DEE15B8">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899" w:type="dxa"/>
            <w:tcBorders>
              <w:tl2br w:val="nil"/>
              <w:tr2bl w:val="nil"/>
            </w:tcBorders>
            <w:shd w:val="clear" w:color="auto" w:fill="auto"/>
            <w:vAlign w:val="center"/>
          </w:tcPr>
          <w:p w14:paraId="176BE935">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0.36 </w:t>
            </w:r>
          </w:p>
        </w:tc>
        <w:tc>
          <w:tcPr>
            <w:tcW w:w="724" w:type="dxa"/>
            <w:vMerge w:val="continue"/>
            <w:tcBorders>
              <w:tl2br w:val="nil"/>
              <w:tr2bl w:val="nil"/>
            </w:tcBorders>
            <w:shd w:val="clear" w:color="auto" w:fill="auto"/>
            <w:vAlign w:val="center"/>
          </w:tcPr>
          <w:p w14:paraId="36110808">
            <w:pPr>
              <w:spacing w:line="360" w:lineRule="exact"/>
              <w:ind w:firstLine="0" w:firstLineChars="0"/>
              <w:jc w:val="center"/>
              <w:rPr>
                <w:rFonts w:cs="Times New Roman"/>
                <w:color w:val="auto"/>
                <w:sz w:val="21"/>
                <w:szCs w:val="21"/>
                <w:highlight w:val="none"/>
              </w:rPr>
            </w:pPr>
          </w:p>
        </w:tc>
      </w:tr>
      <w:tr w14:paraId="5012ABE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continue"/>
            <w:tcBorders>
              <w:tl2br w:val="nil"/>
              <w:tr2bl w:val="nil"/>
            </w:tcBorders>
            <w:shd w:val="clear" w:color="auto" w:fill="auto"/>
            <w:vAlign w:val="center"/>
          </w:tcPr>
          <w:p w14:paraId="5BEBAF32">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342FBC69">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1300BFDA">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0BF6A8E2">
            <w:pPr>
              <w:spacing w:line="360" w:lineRule="exact"/>
              <w:ind w:firstLine="0" w:firstLineChars="0"/>
              <w:jc w:val="center"/>
              <w:rPr>
                <w:rFonts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pH值（无量纲）</w:t>
            </w:r>
          </w:p>
        </w:tc>
        <w:tc>
          <w:tcPr>
            <w:tcW w:w="787" w:type="dxa"/>
            <w:vMerge w:val="continue"/>
            <w:tcBorders>
              <w:tl2br w:val="nil"/>
              <w:tr2bl w:val="nil"/>
            </w:tcBorders>
            <w:shd w:val="clear" w:color="auto" w:fill="auto"/>
            <w:vAlign w:val="center"/>
          </w:tcPr>
          <w:p w14:paraId="0C998D6C">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42A091BA">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712B58E0">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6.5~7.5</w:t>
            </w:r>
          </w:p>
        </w:tc>
        <w:tc>
          <w:tcPr>
            <w:tcW w:w="958" w:type="dxa"/>
            <w:tcBorders>
              <w:tl2br w:val="nil"/>
              <w:tr2bl w:val="nil"/>
            </w:tcBorders>
            <w:shd w:val="clear" w:color="auto" w:fill="auto"/>
            <w:vAlign w:val="center"/>
          </w:tcPr>
          <w:p w14:paraId="497CB090">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227" w:type="dxa"/>
            <w:vMerge w:val="continue"/>
            <w:tcBorders>
              <w:tl2br w:val="nil"/>
              <w:tr2bl w:val="nil"/>
            </w:tcBorders>
            <w:shd w:val="clear" w:color="auto" w:fill="auto"/>
            <w:vAlign w:val="center"/>
          </w:tcPr>
          <w:p w14:paraId="16098FC4">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0A677F1C">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845" w:type="dxa"/>
            <w:vMerge w:val="continue"/>
            <w:tcBorders>
              <w:tl2br w:val="nil"/>
              <w:tr2bl w:val="nil"/>
            </w:tcBorders>
            <w:shd w:val="clear" w:color="auto" w:fill="auto"/>
            <w:vAlign w:val="center"/>
          </w:tcPr>
          <w:p w14:paraId="5AED4456">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334C52FF">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2409A2B7">
            <w:pPr>
              <w:spacing w:line="360" w:lineRule="exact"/>
              <w:ind w:firstLine="0" w:firstLineChars="0"/>
              <w:jc w:val="center"/>
              <w:rPr>
                <w:rFonts w:hint="default" w:cs="Times New Roman"/>
                <w:color w:val="auto"/>
                <w:sz w:val="21"/>
                <w:szCs w:val="21"/>
                <w:highlight w:val="none"/>
                <w:lang w:val="en-US"/>
              </w:rPr>
            </w:pPr>
            <w:r>
              <w:rPr>
                <w:rFonts w:hint="eastAsia" w:ascii="Times New Roman" w:hAnsi="Times New Roman" w:eastAsia="宋体" w:cs="Times New Roman"/>
                <w:color w:val="auto"/>
                <w:sz w:val="21"/>
                <w:szCs w:val="21"/>
                <w:highlight w:val="none"/>
                <w:lang w:val="en-US" w:eastAsia="zh-CN"/>
              </w:rPr>
              <w:t>6.</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7.5</w:t>
            </w:r>
          </w:p>
        </w:tc>
        <w:tc>
          <w:tcPr>
            <w:tcW w:w="899" w:type="dxa"/>
            <w:tcBorders>
              <w:tl2br w:val="nil"/>
              <w:tr2bl w:val="nil"/>
            </w:tcBorders>
            <w:shd w:val="clear" w:color="auto" w:fill="auto"/>
            <w:vAlign w:val="center"/>
          </w:tcPr>
          <w:p w14:paraId="68601F78">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724" w:type="dxa"/>
            <w:vMerge w:val="continue"/>
            <w:tcBorders>
              <w:tl2br w:val="nil"/>
              <w:tr2bl w:val="nil"/>
            </w:tcBorders>
            <w:shd w:val="clear" w:color="auto" w:fill="auto"/>
            <w:vAlign w:val="center"/>
          </w:tcPr>
          <w:p w14:paraId="1A80CFC2">
            <w:pPr>
              <w:spacing w:line="360" w:lineRule="exact"/>
              <w:ind w:firstLine="0" w:firstLineChars="0"/>
              <w:jc w:val="center"/>
              <w:rPr>
                <w:rFonts w:cs="Times New Roman"/>
                <w:color w:val="auto"/>
                <w:sz w:val="21"/>
                <w:szCs w:val="21"/>
                <w:highlight w:val="none"/>
              </w:rPr>
            </w:pPr>
          </w:p>
        </w:tc>
      </w:tr>
      <w:tr w14:paraId="6E0E0B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7" w:hRule="atLeast"/>
          <w:jc w:val="center"/>
        </w:trPr>
        <w:tc>
          <w:tcPr>
            <w:tcW w:w="770" w:type="dxa"/>
            <w:vMerge w:val="continue"/>
            <w:tcBorders>
              <w:tl2br w:val="nil"/>
              <w:tr2bl w:val="nil"/>
            </w:tcBorders>
            <w:shd w:val="clear" w:color="auto" w:fill="auto"/>
            <w:vAlign w:val="center"/>
          </w:tcPr>
          <w:p w14:paraId="0FEA65F1">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19684626">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47384764">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4FA804EF">
            <w:pPr>
              <w:spacing w:line="360" w:lineRule="exact"/>
              <w:ind w:firstLine="0" w:firstLineChars="0"/>
              <w:jc w:val="center"/>
              <w:rPr>
                <w:rFonts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大肠菌群数（MPN/L）</w:t>
            </w:r>
          </w:p>
        </w:tc>
        <w:tc>
          <w:tcPr>
            <w:tcW w:w="787" w:type="dxa"/>
            <w:vMerge w:val="continue"/>
            <w:tcBorders>
              <w:tl2br w:val="nil"/>
              <w:tr2bl w:val="nil"/>
            </w:tcBorders>
            <w:shd w:val="clear" w:color="auto" w:fill="auto"/>
            <w:vAlign w:val="center"/>
          </w:tcPr>
          <w:p w14:paraId="40AA6249">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2E8F2B4B">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6F8D5A9F">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c>
          <w:tcPr>
            <w:tcW w:w="958" w:type="dxa"/>
            <w:tcBorders>
              <w:tl2br w:val="nil"/>
              <w:tr2bl w:val="nil"/>
            </w:tcBorders>
            <w:shd w:val="clear" w:color="auto" w:fill="auto"/>
            <w:vAlign w:val="center"/>
          </w:tcPr>
          <w:p w14:paraId="24C36BE3">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227" w:type="dxa"/>
            <w:vMerge w:val="continue"/>
            <w:tcBorders>
              <w:tl2br w:val="nil"/>
              <w:tr2bl w:val="nil"/>
            </w:tcBorders>
            <w:shd w:val="clear" w:color="auto" w:fill="auto"/>
            <w:vAlign w:val="center"/>
          </w:tcPr>
          <w:p w14:paraId="55FC2322">
            <w:pPr>
              <w:spacing w:line="360" w:lineRule="exact"/>
              <w:ind w:firstLine="0" w:firstLineChars="0"/>
              <w:jc w:val="center"/>
              <w:rPr>
                <w:rFonts w:cs="Times New Roman"/>
                <w:color w:val="auto"/>
                <w:sz w:val="21"/>
                <w:szCs w:val="21"/>
                <w:highlight w:val="none"/>
              </w:rPr>
            </w:pPr>
          </w:p>
        </w:tc>
        <w:tc>
          <w:tcPr>
            <w:tcW w:w="1001" w:type="dxa"/>
            <w:tcBorders>
              <w:tl2br w:val="nil"/>
              <w:tr2bl w:val="nil"/>
            </w:tcBorders>
            <w:shd w:val="clear" w:color="auto" w:fill="auto"/>
            <w:vAlign w:val="center"/>
          </w:tcPr>
          <w:p w14:paraId="3B67454F">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845" w:type="dxa"/>
            <w:vMerge w:val="continue"/>
            <w:tcBorders>
              <w:tl2br w:val="nil"/>
              <w:tr2bl w:val="nil"/>
            </w:tcBorders>
            <w:shd w:val="clear" w:color="auto" w:fill="auto"/>
            <w:vAlign w:val="center"/>
          </w:tcPr>
          <w:p w14:paraId="19EAFA23">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7F82B312">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234B2EA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3830</w:t>
            </w:r>
          </w:p>
        </w:tc>
        <w:tc>
          <w:tcPr>
            <w:tcW w:w="899" w:type="dxa"/>
            <w:tcBorders>
              <w:tl2br w:val="nil"/>
              <w:tr2bl w:val="nil"/>
            </w:tcBorders>
            <w:shd w:val="clear" w:color="auto" w:fill="auto"/>
            <w:vAlign w:val="center"/>
          </w:tcPr>
          <w:p w14:paraId="6172B06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724" w:type="dxa"/>
            <w:vMerge w:val="continue"/>
            <w:tcBorders>
              <w:tl2br w:val="nil"/>
              <w:tr2bl w:val="nil"/>
            </w:tcBorders>
            <w:shd w:val="clear" w:color="auto" w:fill="auto"/>
            <w:vAlign w:val="center"/>
          </w:tcPr>
          <w:p w14:paraId="44C94A61">
            <w:pPr>
              <w:spacing w:line="360" w:lineRule="exact"/>
              <w:ind w:firstLine="0" w:firstLineChars="0"/>
              <w:jc w:val="center"/>
              <w:rPr>
                <w:rFonts w:cs="Times New Roman"/>
                <w:color w:val="auto"/>
                <w:sz w:val="21"/>
                <w:szCs w:val="21"/>
                <w:highlight w:val="none"/>
              </w:rPr>
            </w:pPr>
          </w:p>
        </w:tc>
      </w:tr>
      <w:tr w14:paraId="70440D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6" w:hRule="atLeast"/>
          <w:jc w:val="center"/>
        </w:trPr>
        <w:tc>
          <w:tcPr>
            <w:tcW w:w="770" w:type="dxa"/>
            <w:vMerge w:val="restart"/>
            <w:tcBorders>
              <w:tl2br w:val="nil"/>
              <w:tr2bl w:val="nil"/>
            </w:tcBorders>
            <w:shd w:val="clear" w:color="auto" w:fill="auto"/>
            <w:vAlign w:val="center"/>
          </w:tcPr>
          <w:p w14:paraId="6C3CCA0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w:t>
            </w:r>
          </w:p>
        </w:tc>
        <w:tc>
          <w:tcPr>
            <w:tcW w:w="871" w:type="dxa"/>
            <w:vMerge w:val="restart"/>
            <w:tcBorders>
              <w:tl2br w:val="nil"/>
              <w:tr2bl w:val="nil"/>
            </w:tcBorders>
            <w:shd w:val="clear" w:color="auto" w:fill="auto"/>
            <w:vAlign w:val="center"/>
          </w:tcPr>
          <w:p w14:paraId="6AA29F2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员工</w:t>
            </w:r>
          </w:p>
        </w:tc>
        <w:tc>
          <w:tcPr>
            <w:tcW w:w="841" w:type="dxa"/>
            <w:vMerge w:val="restart"/>
            <w:tcBorders>
              <w:tl2br w:val="nil"/>
              <w:tr2bl w:val="nil"/>
            </w:tcBorders>
            <w:shd w:val="clear" w:color="auto" w:fill="auto"/>
            <w:vAlign w:val="center"/>
          </w:tcPr>
          <w:p w14:paraId="41E4BDA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生活污水</w:t>
            </w:r>
          </w:p>
        </w:tc>
        <w:tc>
          <w:tcPr>
            <w:tcW w:w="1278" w:type="dxa"/>
            <w:tcBorders>
              <w:tl2br w:val="nil"/>
              <w:tr2bl w:val="nil"/>
            </w:tcBorders>
            <w:shd w:val="clear" w:color="auto" w:fill="auto"/>
            <w:vAlign w:val="center"/>
          </w:tcPr>
          <w:p w14:paraId="58C15EE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w:t>
            </w:r>
          </w:p>
        </w:tc>
        <w:tc>
          <w:tcPr>
            <w:tcW w:w="787" w:type="dxa"/>
            <w:vMerge w:val="restart"/>
            <w:tcBorders>
              <w:tl2br w:val="nil"/>
              <w:tr2bl w:val="nil"/>
            </w:tcBorders>
            <w:shd w:val="clear" w:color="auto" w:fill="auto"/>
            <w:vAlign w:val="center"/>
          </w:tcPr>
          <w:p w14:paraId="450866E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类比法</w:t>
            </w:r>
          </w:p>
        </w:tc>
        <w:tc>
          <w:tcPr>
            <w:tcW w:w="898" w:type="dxa"/>
            <w:vMerge w:val="restart"/>
            <w:tcBorders>
              <w:tl2br w:val="nil"/>
              <w:tr2bl w:val="nil"/>
            </w:tcBorders>
            <w:shd w:val="clear" w:color="auto" w:fill="auto"/>
            <w:vAlign w:val="center"/>
          </w:tcPr>
          <w:p w14:paraId="6ADAFFF5">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595.2</w:t>
            </w:r>
          </w:p>
        </w:tc>
        <w:tc>
          <w:tcPr>
            <w:tcW w:w="999" w:type="dxa"/>
            <w:tcBorders>
              <w:tl2br w:val="nil"/>
              <w:tr2bl w:val="nil"/>
            </w:tcBorders>
            <w:shd w:val="clear" w:color="auto" w:fill="auto"/>
            <w:vAlign w:val="center"/>
          </w:tcPr>
          <w:p w14:paraId="45751CF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300</w:t>
            </w:r>
          </w:p>
        </w:tc>
        <w:tc>
          <w:tcPr>
            <w:tcW w:w="958" w:type="dxa"/>
            <w:tcBorders>
              <w:tl2br w:val="nil"/>
              <w:tr2bl w:val="nil"/>
            </w:tcBorders>
            <w:shd w:val="clear" w:color="auto" w:fill="auto"/>
            <w:vAlign w:val="center"/>
          </w:tcPr>
          <w:p w14:paraId="08848F8B">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0.179</w:t>
            </w:r>
          </w:p>
        </w:tc>
        <w:tc>
          <w:tcPr>
            <w:tcW w:w="2228" w:type="dxa"/>
            <w:gridSpan w:val="2"/>
            <w:vMerge w:val="restart"/>
            <w:tcBorders>
              <w:tl2br w:val="nil"/>
              <w:tr2bl w:val="nil"/>
            </w:tcBorders>
            <w:shd w:val="clear" w:color="auto" w:fill="auto"/>
            <w:vAlign w:val="center"/>
          </w:tcPr>
          <w:p w14:paraId="2C89809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845" w:type="dxa"/>
            <w:vMerge w:val="restart"/>
            <w:tcBorders>
              <w:tl2br w:val="nil"/>
              <w:tr2bl w:val="nil"/>
            </w:tcBorders>
            <w:shd w:val="clear" w:color="auto" w:fill="auto"/>
            <w:vAlign w:val="center"/>
          </w:tcPr>
          <w:p w14:paraId="5A7C2C9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类比法</w:t>
            </w:r>
          </w:p>
        </w:tc>
        <w:tc>
          <w:tcPr>
            <w:tcW w:w="898" w:type="dxa"/>
            <w:vMerge w:val="restart"/>
            <w:tcBorders>
              <w:tl2br w:val="nil"/>
              <w:tr2bl w:val="nil"/>
            </w:tcBorders>
            <w:shd w:val="clear" w:color="auto" w:fill="auto"/>
            <w:vAlign w:val="center"/>
          </w:tcPr>
          <w:p w14:paraId="64E3C3DF">
            <w:pPr>
              <w:spacing w:line="360" w:lineRule="exact"/>
              <w:ind w:firstLine="0" w:firstLineChars="0"/>
              <w:jc w:val="center"/>
              <w:rPr>
                <w:rFonts w:hint="default" w:cs="Times New Roman"/>
                <w:color w:val="auto"/>
                <w:sz w:val="21"/>
                <w:szCs w:val="21"/>
                <w:highlight w:val="none"/>
                <w:lang w:val="en-US"/>
              </w:rPr>
            </w:pPr>
            <w:r>
              <w:rPr>
                <w:rFonts w:hint="eastAsia" w:cs="Times New Roman"/>
                <w:color w:val="auto"/>
                <w:sz w:val="21"/>
                <w:szCs w:val="21"/>
                <w:highlight w:val="none"/>
                <w:lang w:val="en-US" w:eastAsia="zh-CN"/>
              </w:rPr>
              <w:t>595.2</w:t>
            </w:r>
          </w:p>
        </w:tc>
        <w:tc>
          <w:tcPr>
            <w:tcW w:w="879" w:type="dxa"/>
            <w:tcBorders>
              <w:tl2br w:val="nil"/>
              <w:tr2bl w:val="nil"/>
            </w:tcBorders>
            <w:shd w:val="clear" w:color="auto" w:fill="auto"/>
            <w:vAlign w:val="center"/>
          </w:tcPr>
          <w:p w14:paraId="1847C6B8">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300</w:t>
            </w:r>
          </w:p>
        </w:tc>
        <w:tc>
          <w:tcPr>
            <w:tcW w:w="899" w:type="dxa"/>
            <w:tcBorders>
              <w:tl2br w:val="nil"/>
              <w:tr2bl w:val="nil"/>
            </w:tcBorders>
            <w:shd w:val="clear" w:color="auto" w:fill="auto"/>
            <w:vAlign w:val="center"/>
          </w:tcPr>
          <w:p w14:paraId="5313FB90">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0.179</w:t>
            </w:r>
          </w:p>
        </w:tc>
        <w:tc>
          <w:tcPr>
            <w:tcW w:w="724" w:type="dxa"/>
            <w:vMerge w:val="restart"/>
            <w:tcBorders>
              <w:tl2br w:val="nil"/>
              <w:tr2bl w:val="nil"/>
            </w:tcBorders>
            <w:shd w:val="clear" w:color="auto" w:fill="auto"/>
            <w:vAlign w:val="center"/>
          </w:tcPr>
          <w:p w14:paraId="1D474F3C">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2480</w:t>
            </w:r>
          </w:p>
        </w:tc>
      </w:tr>
      <w:tr w14:paraId="2EFD30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78" w:hRule="atLeast"/>
          <w:jc w:val="center"/>
        </w:trPr>
        <w:tc>
          <w:tcPr>
            <w:tcW w:w="770" w:type="dxa"/>
            <w:vMerge w:val="continue"/>
            <w:tcBorders>
              <w:tl2br w:val="nil"/>
              <w:tr2bl w:val="nil"/>
            </w:tcBorders>
            <w:shd w:val="clear" w:color="auto" w:fill="auto"/>
            <w:vAlign w:val="center"/>
          </w:tcPr>
          <w:p w14:paraId="43396358">
            <w:pPr>
              <w:spacing w:line="360" w:lineRule="exact"/>
              <w:ind w:firstLine="0" w:firstLineChars="0"/>
              <w:jc w:val="center"/>
              <w:rPr>
                <w:rFonts w:cs="Times New Roman"/>
                <w:color w:val="auto"/>
                <w:sz w:val="21"/>
                <w:szCs w:val="21"/>
                <w:highlight w:val="none"/>
              </w:rPr>
            </w:pPr>
          </w:p>
        </w:tc>
        <w:tc>
          <w:tcPr>
            <w:tcW w:w="871" w:type="dxa"/>
            <w:vMerge w:val="continue"/>
            <w:tcBorders>
              <w:tl2br w:val="nil"/>
              <w:tr2bl w:val="nil"/>
            </w:tcBorders>
            <w:shd w:val="clear" w:color="auto" w:fill="auto"/>
            <w:vAlign w:val="center"/>
          </w:tcPr>
          <w:p w14:paraId="3AA76BEE">
            <w:pPr>
              <w:spacing w:line="360" w:lineRule="exact"/>
              <w:ind w:firstLine="0" w:firstLineChars="0"/>
              <w:jc w:val="center"/>
              <w:rPr>
                <w:rFonts w:cs="Times New Roman"/>
                <w:color w:val="auto"/>
                <w:sz w:val="21"/>
                <w:szCs w:val="21"/>
                <w:highlight w:val="none"/>
              </w:rPr>
            </w:pPr>
          </w:p>
        </w:tc>
        <w:tc>
          <w:tcPr>
            <w:tcW w:w="841" w:type="dxa"/>
            <w:vMerge w:val="continue"/>
            <w:tcBorders>
              <w:tl2br w:val="nil"/>
              <w:tr2bl w:val="nil"/>
            </w:tcBorders>
            <w:shd w:val="clear" w:color="auto" w:fill="auto"/>
            <w:vAlign w:val="center"/>
          </w:tcPr>
          <w:p w14:paraId="07647526">
            <w:pPr>
              <w:spacing w:line="360" w:lineRule="exact"/>
              <w:ind w:firstLine="0" w:firstLineChars="0"/>
              <w:jc w:val="center"/>
              <w:rPr>
                <w:rFonts w:cs="Times New Roman"/>
                <w:color w:val="auto"/>
                <w:sz w:val="21"/>
                <w:szCs w:val="21"/>
                <w:highlight w:val="none"/>
              </w:rPr>
            </w:pPr>
          </w:p>
        </w:tc>
        <w:tc>
          <w:tcPr>
            <w:tcW w:w="1278" w:type="dxa"/>
            <w:tcBorders>
              <w:tl2br w:val="nil"/>
              <w:tr2bl w:val="nil"/>
            </w:tcBorders>
            <w:shd w:val="clear" w:color="auto" w:fill="auto"/>
            <w:vAlign w:val="center"/>
          </w:tcPr>
          <w:p w14:paraId="75B6E3E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787" w:type="dxa"/>
            <w:vMerge w:val="continue"/>
            <w:tcBorders>
              <w:tl2br w:val="nil"/>
              <w:tr2bl w:val="nil"/>
            </w:tcBorders>
            <w:shd w:val="clear" w:color="auto" w:fill="auto"/>
            <w:vAlign w:val="center"/>
          </w:tcPr>
          <w:p w14:paraId="2F23D331">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78C767D9">
            <w:pPr>
              <w:spacing w:line="360" w:lineRule="exact"/>
              <w:ind w:firstLine="0" w:firstLineChars="0"/>
              <w:jc w:val="center"/>
              <w:rPr>
                <w:rFonts w:cs="Times New Roman"/>
                <w:color w:val="auto"/>
                <w:sz w:val="21"/>
                <w:szCs w:val="21"/>
                <w:highlight w:val="none"/>
              </w:rPr>
            </w:pPr>
          </w:p>
        </w:tc>
        <w:tc>
          <w:tcPr>
            <w:tcW w:w="999" w:type="dxa"/>
            <w:tcBorders>
              <w:tl2br w:val="nil"/>
              <w:tr2bl w:val="nil"/>
            </w:tcBorders>
            <w:shd w:val="clear" w:color="auto" w:fill="auto"/>
            <w:vAlign w:val="center"/>
          </w:tcPr>
          <w:p w14:paraId="437FA35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30</w:t>
            </w:r>
          </w:p>
        </w:tc>
        <w:tc>
          <w:tcPr>
            <w:tcW w:w="958" w:type="dxa"/>
            <w:tcBorders>
              <w:tl2br w:val="nil"/>
              <w:tr2bl w:val="nil"/>
            </w:tcBorders>
            <w:shd w:val="clear" w:color="auto" w:fill="auto"/>
            <w:vAlign w:val="center"/>
          </w:tcPr>
          <w:p w14:paraId="32FD4C29">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0.018</w:t>
            </w:r>
          </w:p>
        </w:tc>
        <w:tc>
          <w:tcPr>
            <w:tcW w:w="2228" w:type="dxa"/>
            <w:gridSpan w:val="2"/>
            <w:vMerge w:val="continue"/>
            <w:tcBorders>
              <w:tl2br w:val="nil"/>
              <w:tr2bl w:val="nil"/>
            </w:tcBorders>
            <w:shd w:val="clear" w:color="auto" w:fill="auto"/>
            <w:vAlign w:val="center"/>
          </w:tcPr>
          <w:p w14:paraId="7FE5E32D">
            <w:pPr>
              <w:spacing w:line="360" w:lineRule="exact"/>
              <w:ind w:firstLine="0" w:firstLineChars="0"/>
              <w:jc w:val="center"/>
              <w:rPr>
                <w:rFonts w:cs="Times New Roman"/>
                <w:color w:val="auto"/>
                <w:sz w:val="21"/>
                <w:szCs w:val="21"/>
                <w:highlight w:val="none"/>
              </w:rPr>
            </w:pPr>
          </w:p>
        </w:tc>
        <w:tc>
          <w:tcPr>
            <w:tcW w:w="845" w:type="dxa"/>
            <w:vMerge w:val="continue"/>
            <w:tcBorders>
              <w:tl2br w:val="nil"/>
              <w:tr2bl w:val="nil"/>
            </w:tcBorders>
            <w:shd w:val="clear" w:color="auto" w:fill="auto"/>
            <w:vAlign w:val="center"/>
          </w:tcPr>
          <w:p w14:paraId="71EAC38E">
            <w:pPr>
              <w:spacing w:line="360" w:lineRule="exact"/>
              <w:ind w:firstLine="0" w:firstLineChars="0"/>
              <w:jc w:val="center"/>
              <w:rPr>
                <w:rFonts w:cs="Times New Roman"/>
                <w:color w:val="auto"/>
                <w:sz w:val="21"/>
                <w:szCs w:val="21"/>
                <w:highlight w:val="none"/>
              </w:rPr>
            </w:pPr>
          </w:p>
        </w:tc>
        <w:tc>
          <w:tcPr>
            <w:tcW w:w="898" w:type="dxa"/>
            <w:vMerge w:val="continue"/>
            <w:tcBorders>
              <w:tl2br w:val="nil"/>
              <w:tr2bl w:val="nil"/>
            </w:tcBorders>
            <w:shd w:val="clear" w:color="auto" w:fill="auto"/>
            <w:vAlign w:val="center"/>
          </w:tcPr>
          <w:p w14:paraId="2866FAFB">
            <w:pPr>
              <w:spacing w:line="360" w:lineRule="exact"/>
              <w:ind w:firstLine="0" w:firstLineChars="0"/>
              <w:jc w:val="center"/>
              <w:rPr>
                <w:rFonts w:cs="Times New Roman"/>
                <w:color w:val="auto"/>
                <w:sz w:val="21"/>
                <w:szCs w:val="21"/>
                <w:highlight w:val="none"/>
              </w:rPr>
            </w:pPr>
          </w:p>
        </w:tc>
        <w:tc>
          <w:tcPr>
            <w:tcW w:w="879" w:type="dxa"/>
            <w:tcBorders>
              <w:tl2br w:val="nil"/>
              <w:tr2bl w:val="nil"/>
            </w:tcBorders>
            <w:shd w:val="clear" w:color="auto" w:fill="auto"/>
            <w:vAlign w:val="center"/>
          </w:tcPr>
          <w:p w14:paraId="5917E28E">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30</w:t>
            </w:r>
          </w:p>
        </w:tc>
        <w:tc>
          <w:tcPr>
            <w:tcW w:w="899" w:type="dxa"/>
            <w:tcBorders>
              <w:tl2br w:val="nil"/>
              <w:tr2bl w:val="nil"/>
            </w:tcBorders>
            <w:shd w:val="clear" w:color="auto" w:fill="auto"/>
            <w:vAlign w:val="center"/>
          </w:tcPr>
          <w:p w14:paraId="2B5DA5F4">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0.018</w:t>
            </w:r>
          </w:p>
        </w:tc>
        <w:tc>
          <w:tcPr>
            <w:tcW w:w="724" w:type="dxa"/>
            <w:vMerge w:val="continue"/>
            <w:tcBorders>
              <w:tl2br w:val="nil"/>
              <w:tr2bl w:val="nil"/>
            </w:tcBorders>
            <w:shd w:val="clear" w:color="auto" w:fill="auto"/>
            <w:vAlign w:val="center"/>
          </w:tcPr>
          <w:p w14:paraId="57123517">
            <w:pPr>
              <w:spacing w:line="360" w:lineRule="exact"/>
              <w:ind w:firstLine="0" w:firstLineChars="0"/>
              <w:jc w:val="center"/>
              <w:rPr>
                <w:rFonts w:cs="Times New Roman"/>
                <w:color w:val="auto"/>
                <w:sz w:val="21"/>
                <w:szCs w:val="21"/>
                <w:highlight w:val="none"/>
              </w:rPr>
            </w:pPr>
          </w:p>
        </w:tc>
      </w:tr>
    </w:tbl>
    <w:p w14:paraId="2FBD2C5B">
      <w:pPr>
        <w:pStyle w:val="117"/>
        <w:ind w:firstLine="0" w:firstLineChars="0"/>
        <w:rPr>
          <w:rFonts w:cs="Times New Roman"/>
          <w:snapToGrid w:val="0"/>
          <w:color w:val="auto"/>
          <w:highlight w:val="none"/>
        </w:rPr>
      </w:pPr>
    </w:p>
    <w:p w14:paraId="61A4E581">
      <w:pPr>
        <w:pStyle w:val="117"/>
        <w:ind w:firstLine="0" w:firstLineChars="0"/>
        <w:rPr>
          <w:rFonts w:cs="Times New Roman"/>
          <w:snapToGrid w:val="0"/>
          <w:color w:val="auto"/>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4C161B77">
      <w:pPr>
        <w:pStyle w:val="5"/>
        <w:rPr>
          <w:color w:val="auto"/>
          <w:highlight w:val="none"/>
        </w:rPr>
      </w:pPr>
      <w:r>
        <w:rPr>
          <w:color w:val="auto"/>
          <w:highlight w:val="none"/>
        </w:rPr>
        <w:t>3.4.2.3噪声</w:t>
      </w:r>
    </w:p>
    <w:p w14:paraId="5624FD68">
      <w:pPr>
        <w:pStyle w:val="38"/>
        <w:spacing w:line="500" w:lineRule="exact"/>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本项目运营期噪声主要为设备噪声和牛、羊嚎叫，均为室内声源。</w:t>
      </w:r>
      <w:r>
        <w:rPr>
          <w:rFonts w:hint="eastAsia" w:ascii="Times New Roman" w:hAnsi="Times New Roman" w:eastAsia="宋体" w:cs="Times New Roman"/>
          <w:color w:val="auto"/>
          <w:sz w:val="24"/>
          <w:highlight w:val="none"/>
          <w:lang w:val="en-US" w:eastAsia="zh-CN"/>
        </w:rPr>
        <w:t>根据拟采买设备说明书，</w:t>
      </w:r>
      <w:r>
        <w:rPr>
          <w:rFonts w:ascii="Times New Roman" w:hAnsi="Times New Roman" w:eastAsia="宋体" w:cs="Times New Roman"/>
          <w:color w:val="auto"/>
          <w:sz w:val="24"/>
          <w:highlight w:val="none"/>
        </w:rPr>
        <w:t>噪声源强在70dB（A）~95B（A）之间，项目运营期采取的降噪措施主要为选用低噪声设备、安装减振垫、消声器及厂房隔声等。</w:t>
      </w:r>
    </w:p>
    <w:p w14:paraId="345E6821">
      <w:pPr>
        <w:spacing w:before="163" w:beforeLines="50" w:line="240" w:lineRule="auto"/>
        <w:ind w:firstLine="0" w:firstLineChars="0"/>
        <w:jc w:val="center"/>
        <w:rPr>
          <w:rFonts w:cs="Times New Roman"/>
          <w:b/>
          <w:color w:val="auto"/>
          <w:szCs w:val="24"/>
          <w:highlight w:val="none"/>
        </w:rPr>
      </w:pPr>
      <w:r>
        <w:rPr>
          <w:rFonts w:cs="Times New Roman"/>
          <w:b/>
          <w:color w:val="auto"/>
          <w:szCs w:val="24"/>
          <w:highlight w:val="none"/>
        </w:rPr>
        <w:t>表3</w:t>
      </w:r>
      <w:r>
        <w:rPr>
          <w:rFonts w:hint="eastAsia" w:cs="Times New Roman"/>
          <w:b/>
          <w:color w:val="auto"/>
          <w:szCs w:val="24"/>
          <w:highlight w:val="none"/>
          <w:lang w:val="en-US" w:eastAsia="zh-CN"/>
        </w:rPr>
        <w:t>.</w:t>
      </w:r>
      <w:r>
        <w:rPr>
          <w:rFonts w:cs="Times New Roman"/>
          <w:b/>
          <w:color w:val="auto"/>
          <w:szCs w:val="24"/>
          <w:highlight w:val="none"/>
        </w:rPr>
        <w:t>4-1</w:t>
      </w:r>
      <w:r>
        <w:rPr>
          <w:rFonts w:hint="eastAsia" w:cs="Times New Roman"/>
          <w:b/>
          <w:color w:val="auto"/>
          <w:szCs w:val="24"/>
          <w:highlight w:val="none"/>
          <w:lang w:val="en-US" w:eastAsia="zh-CN"/>
        </w:rPr>
        <w:t>5</w:t>
      </w:r>
      <w:r>
        <w:rPr>
          <w:rFonts w:hint="eastAsia" w:cs="Times New Roman"/>
          <w:b/>
          <w:color w:val="auto"/>
          <w:szCs w:val="24"/>
          <w:highlight w:val="none"/>
        </w:rPr>
        <w:t xml:space="preserve"> </w:t>
      </w:r>
      <w:r>
        <w:rPr>
          <w:rFonts w:cs="Times New Roman"/>
          <w:b/>
          <w:color w:val="auto"/>
          <w:szCs w:val="24"/>
          <w:highlight w:val="none"/>
        </w:rPr>
        <w:t>工业企业噪声源强调查清单（室内声源）</w:t>
      </w:r>
    </w:p>
    <w:tbl>
      <w:tblPr>
        <w:tblStyle w:val="48"/>
        <w:tblW w:w="1055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9"/>
        <w:gridCol w:w="542"/>
        <w:gridCol w:w="842"/>
        <w:gridCol w:w="586"/>
        <w:gridCol w:w="825"/>
        <w:gridCol w:w="690"/>
        <w:gridCol w:w="689"/>
        <w:gridCol w:w="652"/>
        <w:gridCol w:w="493"/>
        <w:gridCol w:w="800"/>
        <w:gridCol w:w="852"/>
        <w:gridCol w:w="636"/>
        <w:gridCol w:w="791"/>
        <w:gridCol w:w="852"/>
        <w:gridCol w:w="874"/>
      </w:tblGrid>
      <w:tr w14:paraId="4AB142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7" w:hRule="atLeast"/>
          <w:jc w:val="center"/>
        </w:trPr>
        <w:tc>
          <w:tcPr>
            <w:tcW w:w="429" w:type="dxa"/>
            <w:vMerge w:val="restart"/>
            <w:tcBorders>
              <w:tl2br w:val="nil"/>
              <w:tr2bl w:val="nil"/>
            </w:tcBorders>
            <w:vAlign w:val="center"/>
          </w:tcPr>
          <w:p w14:paraId="11BE2BD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序号</w:t>
            </w:r>
          </w:p>
        </w:tc>
        <w:tc>
          <w:tcPr>
            <w:tcW w:w="1384" w:type="dxa"/>
            <w:gridSpan w:val="2"/>
            <w:vMerge w:val="restart"/>
            <w:tcBorders>
              <w:tl2br w:val="nil"/>
              <w:tr2bl w:val="nil"/>
            </w:tcBorders>
            <w:vAlign w:val="center"/>
          </w:tcPr>
          <w:p w14:paraId="1C9B569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声源名称</w:t>
            </w:r>
          </w:p>
        </w:tc>
        <w:tc>
          <w:tcPr>
            <w:tcW w:w="586" w:type="dxa"/>
            <w:vMerge w:val="restart"/>
            <w:tcBorders>
              <w:tl2br w:val="nil"/>
              <w:tr2bl w:val="nil"/>
            </w:tcBorders>
            <w:vAlign w:val="center"/>
          </w:tcPr>
          <w:p w14:paraId="03C86FD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型号</w:t>
            </w:r>
          </w:p>
        </w:tc>
        <w:tc>
          <w:tcPr>
            <w:tcW w:w="825" w:type="dxa"/>
            <w:vMerge w:val="restart"/>
            <w:tcBorders>
              <w:tl2br w:val="nil"/>
              <w:tr2bl w:val="nil"/>
            </w:tcBorders>
            <w:vAlign w:val="center"/>
          </w:tcPr>
          <w:p w14:paraId="5B46B4F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声源源强/dB(A)</w:t>
            </w:r>
          </w:p>
        </w:tc>
        <w:tc>
          <w:tcPr>
            <w:tcW w:w="690" w:type="dxa"/>
            <w:vMerge w:val="restart"/>
            <w:tcBorders>
              <w:tl2br w:val="nil"/>
              <w:tr2bl w:val="nil"/>
            </w:tcBorders>
            <w:vAlign w:val="center"/>
          </w:tcPr>
          <w:p w14:paraId="1D90974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声源控制措施</w:t>
            </w:r>
          </w:p>
        </w:tc>
        <w:tc>
          <w:tcPr>
            <w:tcW w:w="1834" w:type="dxa"/>
            <w:gridSpan w:val="3"/>
            <w:tcBorders>
              <w:tl2br w:val="nil"/>
              <w:tr2bl w:val="nil"/>
            </w:tcBorders>
            <w:vAlign w:val="center"/>
          </w:tcPr>
          <w:p w14:paraId="0C686BB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空间相对位置/m</w:t>
            </w:r>
          </w:p>
        </w:tc>
        <w:tc>
          <w:tcPr>
            <w:tcW w:w="800" w:type="dxa"/>
            <w:vMerge w:val="restart"/>
            <w:tcBorders>
              <w:tl2br w:val="nil"/>
              <w:tr2bl w:val="nil"/>
            </w:tcBorders>
            <w:vAlign w:val="center"/>
          </w:tcPr>
          <w:p w14:paraId="26424AA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距室内边界距离/m</w:t>
            </w:r>
          </w:p>
        </w:tc>
        <w:tc>
          <w:tcPr>
            <w:tcW w:w="852" w:type="dxa"/>
            <w:vMerge w:val="restart"/>
            <w:tcBorders>
              <w:tl2br w:val="nil"/>
              <w:tr2bl w:val="nil"/>
            </w:tcBorders>
            <w:vAlign w:val="center"/>
          </w:tcPr>
          <w:p w14:paraId="2A99832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室内边界声级</w:t>
            </w:r>
          </w:p>
          <w:p w14:paraId="1EC2FF5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/dB(A)</w:t>
            </w:r>
          </w:p>
        </w:tc>
        <w:tc>
          <w:tcPr>
            <w:tcW w:w="636" w:type="dxa"/>
            <w:vMerge w:val="restart"/>
            <w:tcBorders>
              <w:tl2br w:val="nil"/>
              <w:tr2bl w:val="nil"/>
            </w:tcBorders>
            <w:vAlign w:val="center"/>
          </w:tcPr>
          <w:p w14:paraId="052776F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运行时</w:t>
            </w:r>
          </w:p>
          <w:p w14:paraId="1BFB2E3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段</w:t>
            </w:r>
          </w:p>
        </w:tc>
        <w:tc>
          <w:tcPr>
            <w:tcW w:w="791" w:type="dxa"/>
            <w:vMerge w:val="restart"/>
            <w:tcBorders>
              <w:tl2br w:val="nil"/>
              <w:tr2bl w:val="nil"/>
            </w:tcBorders>
            <w:vAlign w:val="center"/>
          </w:tcPr>
          <w:p w14:paraId="293CD0B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建筑物插入损失/</w:t>
            </w:r>
          </w:p>
          <w:p w14:paraId="07BA97D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dB(A)</w:t>
            </w:r>
          </w:p>
        </w:tc>
        <w:tc>
          <w:tcPr>
            <w:tcW w:w="1726" w:type="dxa"/>
            <w:gridSpan w:val="2"/>
            <w:tcBorders>
              <w:tl2br w:val="nil"/>
              <w:tr2bl w:val="nil"/>
            </w:tcBorders>
            <w:vAlign w:val="center"/>
          </w:tcPr>
          <w:p w14:paraId="51F9272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建筑物外噪声</w:t>
            </w:r>
          </w:p>
        </w:tc>
      </w:tr>
      <w:tr w14:paraId="50CA6E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86" w:hRule="atLeast"/>
          <w:jc w:val="center"/>
        </w:trPr>
        <w:tc>
          <w:tcPr>
            <w:tcW w:w="429" w:type="dxa"/>
            <w:vMerge w:val="continue"/>
            <w:tcBorders>
              <w:tl2br w:val="nil"/>
              <w:tr2bl w:val="nil"/>
            </w:tcBorders>
            <w:vAlign w:val="center"/>
          </w:tcPr>
          <w:p w14:paraId="498080F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1384" w:type="dxa"/>
            <w:gridSpan w:val="2"/>
            <w:vMerge w:val="continue"/>
            <w:tcBorders>
              <w:tl2br w:val="nil"/>
              <w:tr2bl w:val="nil"/>
            </w:tcBorders>
            <w:vAlign w:val="center"/>
          </w:tcPr>
          <w:p w14:paraId="4A6BBDB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586" w:type="dxa"/>
            <w:vMerge w:val="continue"/>
            <w:tcBorders>
              <w:tl2br w:val="nil"/>
              <w:tr2bl w:val="nil"/>
            </w:tcBorders>
            <w:vAlign w:val="center"/>
          </w:tcPr>
          <w:p w14:paraId="58733A0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25" w:type="dxa"/>
            <w:vMerge w:val="continue"/>
            <w:tcBorders>
              <w:tl2br w:val="nil"/>
              <w:tr2bl w:val="nil"/>
            </w:tcBorders>
            <w:vAlign w:val="center"/>
          </w:tcPr>
          <w:p w14:paraId="679DC70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90" w:type="dxa"/>
            <w:vMerge w:val="continue"/>
            <w:tcBorders>
              <w:tl2br w:val="nil"/>
              <w:tr2bl w:val="nil"/>
            </w:tcBorders>
            <w:vAlign w:val="center"/>
          </w:tcPr>
          <w:p w14:paraId="013EBC7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41B299C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X</w:t>
            </w:r>
          </w:p>
        </w:tc>
        <w:tc>
          <w:tcPr>
            <w:tcW w:w="652" w:type="dxa"/>
            <w:tcBorders>
              <w:tl2br w:val="nil"/>
              <w:tr2bl w:val="nil"/>
            </w:tcBorders>
            <w:vAlign w:val="center"/>
          </w:tcPr>
          <w:p w14:paraId="7B9FFC4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Y</w:t>
            </w:r>
          </w:p>
        </w:tc>
        <w:tc>
          <w:tcPr>
            <w:tcW w:w="493" w:type="dxa"/>
            <w:tcBorders>
              <w:tl2br w:val="nil"/>
              <w:tr2bl w:val="nil"/>
            </w:tcBorders>
            <w:vAlign w:val="center"/>
          </w:tcPr>
          <w:p w14:paraId="52DDA55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Z</w:t>
            </w:r>
          </w:p>
        </w:tc>
        <w:tc>
          <w:tcPr>
            <w:tcW w:w="800" w:type="dxa"/>
            <w:vMerge w:val="continue"/>
            <w:tcBorders>
              <w:tl2br w:val="nil"/>
              <w:tr2bl w:val="nil"/>
            </w:tcBorders>
            <w:vAlign w:val="center"/>
          </w:tcPr>
          <w:p w14:paraId="2A0A659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52" w:type="dxa"/>
            <w:vMerge w:val="continue"/>
            <w:tcBorders>
              <w:tl2br w:val="nil"/>
              <w:tr2bl w:val="nil"/>
            </w:tcBorders>
            <w:vAlign w:val="center"/>
          </w:tcPr>
          <w:p w14:paraId="1003B5F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36" w:type="dxa"/>
            <w:vMerge w:val="continue"/>
            <w:tcBorders>
              <w:tl2br w:val="nil"/>
              <w:tr2bl w:val="nil"/>
            </w:tcBorders>
            <w:vAlign w:val="center"/>
          </w:tcPr>
          <w:p w14:paraId="3EA1086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vMerge w:val="continue"/>
            <w:tcBorders>
              <w:tl2br w:val="nil"/>
              <w:tr2bl w:val="nil"/>
            </w:tcBorders>
            <w:vAlign w:val="center"/>
          </w:tcPr>
          <w:p w14:paraId="51F9027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52" w:type="dxa"/>
            <w:tcBorders>
              <w:tl2br w:val="nil"/>
              <w:tr2bl w:val="nil"/>
            </w:tcBorders>
            <w:vAlign w:val="center"/>
          </w:tcPr>
          <w:p w14:paraId="400B028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声压级</w:t>
            </w:r>
          </w:p>
          <w:p w14:paraId="28456F8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/dB(A)</w:t>
            </w:r>
          </w:p>
        </w:tc>
        <w:tc>
          <w:tcPr>
            <w:tcW w:w="874" w:type="dxa"/>
            <w:tcBorders>
              <w:tl2br w:val="nil"/>
              <w:tr2bl w:val="nil"/>
            </w:tcBorders>
            <w:vAlign w:val="center"/>
          </w:tcPr>
          <w:p w14:paraId="09A3D9D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建筑物</w:t>
            </w:r>
          </w:p>
          <w:p w14:paraId="0643226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外距离/m</w:t>
            </w:r>
          </w:p>
        </w:tc>
      </w:tr>
      <w:tr w14:paraId="3FDE1B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3" w:hRule="atLeast"/>
          <w:jc w:val="center"/>
        </w:trPr>
        <w:tc>
          <w:tcPr>
            <w:tcW w:w="429" w:type="dxa"/>
            <w:tcBorders>
              <w:tl2br w:val="nil"/>
              <w:tr2bl w:val="nil"/>
            </w:tcBorders>
            <w:vAlign w:val="center"/>
          </w:tcPr>
          <w:p w14:paraId="6DF1288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w:t>
            </w:r>
          </w:p>
        </w:tc>
        <w:tc>
          <w:tcPr>
            <w:tcW w:w="542" w:type="dxa"/>
            <w:vMerge w:val="restart"/>
            <w:tcBorders>
              <w:tl2br w:val="nil"/>
              <w:tr2bl w:val="nil"/>
            </w:tcBorders>
            <w:vAlign w:val="center"/>
          </w:tcPr>
          <w:p w14:paraId="0AD3438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屠宰加工</w:t>
            </w:r>
          </w:p>
        </w:tc>
        <w:tc>
          <w:tcPr>
            <w:tcW w:w="842" w:type="dxa"/>
            <w:tcBorders>
              <w:tl2br w:val="nil"/>
              <w:tr2bl w:val="nil"/>
            </w:tcBorders>
            <w:vAlign w:val="center"/>
          </w:tcPr>
          <w:p w14:paraId="6570C8F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牛、羊嚎叫</w:t>
            </w:r>
          </w:p>
        </w:tc>
        <w:tc>
          <w:tcPr>
            <w:tcW w:w="586" w:type="dxa"/>
            <w:tcBorders>
              <w:tl2br w:val="nil"/>
              <w:tr2bl w:val="nil"/>
            </w:tcBorders>
            <w:vAlign w:val="center"/>
          </w:tcPr>
          <w:p w14:paraId="70A9489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1178E1B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70</w:t>
            </w:r>
          </w:p>
        </w:tc>
        <w:tc>
          <w:tcPr>
            <w:tcW w:w="690" w:type="dxa"/>
            <w:vMerge w:val="restart"/>
            <w:tcBorders>
              <w:tl2br w:val="nil"/>
              <w:tr2bl w:val="nil"/>
            </w:tcBorders>
            <w:vAlign w:val="center"/>
          </w:tcPr>
          <w:p w14:paraId="2CE8435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厂房隔声</w:t>
            </w:r>
          </w:p>
        </w:tc>
        <w:tc>
          <w:tcPr>
            <w:tcW w:w="689" w:type="dxa"/>
            <w:tcBorders>
              <w:tl2br w:val="nil"/>
              <w:tr2bl w:val="nil"/>
            </w:tcBorders>
            <w:vAlign w:val="center"/>
          </w:tcPr>
          <w:p w14:paraId="43E3C3F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240.1</w:t>
            </w:r>
          </w:p>
        </w:tc>
        <w:tc>
          <w:tcPr>
            <w:tcW w:w="652" w:type="dxa"/>
            <w:tcBorders>
              <w:tl2br w:val="nil"/>
              <w:tr2bl w:val="nil"/>
            </w:tcBorders>
            <w:vAlign w:val="center"/>
          </w:tcPr>
          <w:p w14:paraId="75CFD49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74.5</w:t>
            </w:r>
          </w:p>
        </w:tc>
        <w:tc>
          <w:tcPr>
            <w:tcW w:w="493" w:type="dxa"/>
            <w:tcBorders>
              <w:tl2br w:val="nil"/>
              <w:tr2bl w:val="nil"/>
            </w:tcBorders>
            <w:vAlign w:val="center"/>
          </w:tcPr>
          <w:p w14:paraId="1589D59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1.5</w:t>
            </w:r>
          </w:p>
        </w:tc>
        <w:tc>
          <w:tcPr>
            <w:tcW w:w="800" w:type="dxa"/>
            <w:tcBorders>
              <w:tl2br w:val="nil"/>
              <w:tr2bl w:val="nil"/>
            </w:tcBorders>
            <w:vAlign w:val="center"/>
          </w:tcPr>
          <w:p w14:paraId="1A5D812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7.75</w:t>
            </w:r>
          </w:p>
        </w:tc>
        <w:tc>
          <w:tcPr>
            <w:tcW w:w="852" w:type="dxa"/>
            <w:tcBorders>
              <w:tl2br w:val="nil"/>
              <w:tr2bl w:val="nil"/>
            </w:tcBorders>
            <w:vAlign w:val="center"/>
          </w:tcPr>
          <w:p w14:paraId="3040205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47.3</w:t>
            </w:r>
          </w:p>
        </w:tc>
        <w:tc>
          <w:tcPr>
            <w:tcW w:w="636" w:type="dxa"/>
            <w:vMerge w:val="restart"/>
            <w:tcBorders>
              <w:tl2br w:val="nil"/>
              <w:tr2bl w:val="nil"/>
            </w:tcBorders>
            <w:vAlign w:val="center"/>
          </w:tcPr>
          <w:p w14:paraId="6C82606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昼间</w:t>
            </w:r>
          </w:p>
        </w:tc>
        <w:tc>
          <w:tcPr>
            <w:tcW w:w="791" w:type="dxa"/>
            <w:tcBorders>
              <w:tl2br w:val="nil"/>
              <w:tr2bl w:val="nil"/>
            </w:tcBorders>
            <w:vAlign w:val="center"/>
          </w:tcPr>
          <w:p w14:paraId="0E3B715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30</w:t>
            </w:r>
          </w:p>
        </w:tc>
        <w:tc>
          <w:tcPr>
            <w:tcW w:w="852" w:type="dxa"/>
            <w:tcBorders>
              <w:tl2br w:val="nil"/>
              <w:tr2bl w:val="nil"/>
            </w:tcBorders>
            <w:vAlign w:val="center"/>
          </w:tcPr>
          <w:p w14:paraId="253C9AE2">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33.39</w:t>
            </w:r>
          </w:p>
        </w:tc>
        <w:tc>
          <w:tcPr>
            <w:tcW w:w="874" w:type="dxa"/>
            <w:tcBorders>
              <w:tl2br w:val="nil"/>
              <w:tr2bl w:val="nil"/>
            </w:tcBorders>
            <w:vAlign w:val="center"/>
          </w:tcPr>
          <w:p w14:paraId="28E69F6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60C42D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vAlign w:val="center"/>
          </w:tcPr>
          <w:p w14:paraId="7053447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2</w:t>
            </w:r>
          </w:p>
        </w:tc>
        <w:tc>
          <w:tcPr>
            <w:tcW w:w="542" w:type="dxa"/>
            <w:vMerge w:val="continue"/>
            <w:tcBorders>
              <w:tl2br w:val="nil"/>
              <w:tr2bl w:val="nil"/>
            </w:tcBorders>
            <w:vAlign w:val="center"/>
          </w:tcPr>
          <w:p w14:paraId="3288768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45012D9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引风机</w:t>
            </w:r>
          </w:p>
        </w:tc>
        <w:tc>
          <w:tcPr>
            <w:tcW w:w="586" w:type="dxa"/>
            <w:tcBorders>
              <w:tl2br w:val="nil"/>
              <w:tr2bl w:val="nil"/>
            </w:tcBorders>
            <w:vAlign w:val="center"/>
          </w:tcPr>
          <w:p w14:paraId="5059649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7550A90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eastAsia="zh-CN"/>
              </w:rPr>
            </w:pPr>
            <w:r>
              <w:rPr>
                <w:rFonts w:hint="eastAsia" w:ascii="Times New Roman" w:hAnsi="Times New Roman" w:eastAsia="宋体" w:cs="Times New Roman"/>
                <w:snapToGrid w:val="0"/>
                <w:color w:val="auto"/>
                <w:sz w:val="21"/>
                <w:szCs w:val="21"/>
                <w:highlight w:val="none"/>
              </w:rPr>
              <w:t>8</w:t>
            </w:r>
            <w:r>
              <w:rPr>
                <w:rFonts w:hint="eastAsia" w:cs="Times New Roman"/>
                <w:snapToGrid w:val="0"/>
                <w:color w:val="auto"/>
                <w:sz w:val="21"/>
                <w:szCs w:val="21"/>
                <w:highlight w:val="none"/>
                <w:lang w:val="en-US" w:eastAsia="zh-CN"/>
              </w:rPr>
              <w:t>5</w:t>
            </w:r>
          </w:p>
        </w:tc>
        <w:tc>
          <w:tcPr>
            <w:tcW w:w="690" w:type="dxa"/>
            <w:vMerge w:val="continue"/>
            <w:tcBorders>
              <w:tl2br w:val="nil"/>
              <w:tr2bl w:val="nil"/>
            </w:tcBorders>
            <w:vAlign w:val="center"/>
          </w:tcPr>
          <w:p w14:paraId="7E31ECA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2AE9FE0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238.6</w:t>
            </w:r>
          </w:p>
        </w:tc>
        <w:tc>
          <w:tcPr>
            <w:tcW w:w="652" w:type="dxa"/>
            <w:tcBorders>
              <w:tl2br w:val="nil"/>
              <w:tr2bl w:val="nil"/>
            </w:tcBorders>
            <w:vAlign w:val="center"/>
          </w:tcPr>
          <w:p w14:paraId="4514B3F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79.5</w:t>
            </w:r>
          </w:p>
        </w:tc>
        <w:tc>
          <w:tcPr>
            <w:tcW w:w="493" w:type="dxa"/>
            <w:tcBorders>
              <w:tl2br w:val="nil"/>
              <w:tr2bl w:val="nil"/>
            </w:tcBorders>
            <w:vAlign w:val="center"/>
          </w:tcPr>
          <w:p w14:paraId="4CAF104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1.8</w:t>
            </w:r>
          </w:p>
        </w:tc>
        <w:tc>
          <w:tcPr>
            <w:tcW w:w="800" w:type="dxa"/>
            <w:tcBorders>
              <w:tl2br w:val="nil"/>
              <w:tr2bl w:val="nil"/>
            </w:tcBorders>
            <w:vAlign w:val="center"/>
          </w:tcPr>
          <w:p w14:paraId="30F5022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12.95</w:t>
            </w:r>
          </w:p>
        </w:tc>
        <w:tc>
          <w:tcPr>
            <w:tcW w:w="852" w:type="dxa"/>
            <w:tcBorders>
              <w:tl2br w:val="nil"/>
              <w:tr2bl w:val="nil"/>
            </w:tcBorders>
            <w:vAlign w:val="center"/>
          </w:tcPr>
          <w:p w14:paraId="608A8DA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55.65</w:t>
            </w:r>
          </w:p>
        </w:tc>
        <w:tc>
          <w:tcPr>
            <w:tcW w:w="636" w:type="dxa"/>
            <w:vMerge w:val="continue"/>
            <w:tcBorders>
              <w:tl2br w:val="nil"/>
              <w:tr2bl w:val="nil"/>
            </w:tcBorders>
            <w:vAlign w:val="center"/>
          </w:tcPr>
          <w:p w14:paraId="6FAA7F9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626BF91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30</w:t>
            </w:r>
          </w:p>
        </w:tc>
        <w:tc>
          <w:tcPr>
            <w:tcW w:w="852" w:type="dxa"/>
            <w:tcBorders>
              <w:tl2br w:val="nil"/>
              <w:tr2bl w:val="nil"/>
            </w:tcBorders>
            <w:vAlign w:val="center"/>
          </w:tcPr>
          <w:p w14:paraId="1D8E9183">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41.74</w:t>
            </w:r>
          </w:p>
        </w:tc>
        <w:tc>
          <w:tcPr>
            <w:tcW w:w="874" w:type="dxa"/>
            <w:tcBorders>
              <w:tl2br w:val="nil"/>
              <w:tr2bl w:val="nil"/>
            </w:tcBorders>
            <w:vAlign w:val="center"/>
          </w:tcPr>
          <w:p w14:paraId="27F8FEB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4CF16B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shd w:val="clear" w:color="auto" w:fill="auto"/>
            <w:vAlign w:val="center"/>
          </w:tcPr>
          <w:p w14:paraId="613075FE">
            <w:pPr>
              <w:pStyle w:val="117"/>
              <w:spacing w:line="360" w:lineRule="exact"/>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rPr>
              <w:t>3</w:t>
            </w:r>
          </w:p>
        </w:tc>
        <w:tc>
          <w:tcPr>
            <w:tcW w:w="542" w:type="dxa"/>
            <w:vMerge w:val="continue"/>
            <w:tcBorders>
              <w:tl2br w:val="nil"/>
              <w:tr2bl w:val="nil"/>
            </w:tcBorders>
            <w:vAlign w:val="center"/>
          </w:tcPr>
          <w:p w14:paraId="718D63E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225250D0">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牵牛机</w:t>
            </w:r>
          </w:p>
        </w:tc>
        <w:tc>
          <w:tcPr>
            <w:tcW w:w="586" w:type="dxa"/>
            <w:tcBorders>
              <w:tl2br w:val="nil"/>
              <w:tr2bl w:val="nil"/>
            </w:tcBorders>
            <w:vAlign w:val="center"/>
          </w:tcPr>
          <w:p w14:paraId="75CACEF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25" w:type="dxa"/>
            <w:tcBorders>
              <w:tl2br w:val="nil"/>
              <w:tr2bl w:val="nil"/>
            </w:tcBorders>
            <w:vAlign w:val="center"/>
          </w:tcPr>
          <w:p w14:paraId="1818C7E6">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70</w:t>
            </w:r>
          </w:p>
        </w:tc>
        <w:tc>
          <w:tcPr>
            <w:tcW w:w="690" w:type="dxa"/>
            <w:vMerge w:val="continue"/>
            <w:tcBorders>
              <w:tl2br w:val="nil"/>
              <w:tr2bl w:val="nil"/>
            </w:tcBorders>
            <w:vAlign w:val="center"/>
          </w:tcPr>
          <w:p w14:paraId="28E82EF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5B0C1AD1">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249.8</w:t>
            </w:r>
          </w:p>
        </w:tc>
        <w:tc>
          <w:tcPr>
            <w:tcW w:w="652" w:type="dxa"/>
            <w:tcBorders>
              <w:tl2br w:val="nil"/>
              <w:tr2bl w:val="nil"/>
            </w:tcBorders>
            <w:vAlign w:val="center"/>
          </w:tcPr>
          <w:p w14:paraId="769CF7D7">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71.6</w:t>
            </w:r>
          </w:p>
        </w:tc>
        <w:tc>
          <w:tcPr>
            <w:tcW w:w="493" w:type="dxa"/>
            <w:tcBorders>
              <w:tl2br w:val="nil"/>
              <w:tr2bl w:val="nil"/>
            </w:tcBorders>
            <w:vAlign w:val="center"/>
          </w:tcPr>
          <w:p w14:paraId="28EC2C5D">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1.8</w:t>
            </w:r>
          </w:p>
        </w:tc>
        <w:tc>
          <w:tcPr>
            <w:tcW w:w="800" w:type="dxa"/>
            <w:tcBorders>
              <w:tl2br w:val="nil"/>
              <w:tr2bl w:val="nil"/>
            </w:tcBorders>
            <w:vAlign w:val="center"/>
          </w:tcPr>
          <w:p w14:paraId="65044434">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27.28</w:t>
            </w:r>
          </w:p>
        </w:tc>
        <w:tc>
          <w:tcPr>
            <w:tcW w:w="852" w:type="dxa"/>
            <w:tcBorders>
              <w:tl2br w:val="nil"/>
              <w:tr2bl w:val="nil"/>
            </w:tcBorders>
            <w:vAlign w:val="center"/>
          </w:tcPr>
          <w:p w14:paraId="6189372D">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44.68</w:t>
            </w:r>
          </w:p>
        </w:tc>
        <w:tc>
          <w:tcPr>
            <w:tcW w:w="636" w:type="dxa"/>
            <w:vMerge w:val="continue"/>
            <w:tcBorders>
              <w:tl2br w:val="nil"/>
              <w:tr2bl w:val="nil"/>
            </w:tcBorders>
            <w:vAlign w:val="center"/>
          </w:tcPr>
          <w:p w14:paraId="2C94AE7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1E71AC26">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30</w:t>
            </w:r>
          </w:p>
        </w:tc>
        <w:tc>
          <w:tcPr>
            <w:tcW w:w="852" w:type="dxa"/>
            <w:tcBorders>
              <w:tl2br w:val="nil"/>
              <w:tr2bl w:val="nil"/>
            </w:tcBorders>
            <w:vAlign w:val="center"/>
          </w:tcPr>
          <w:p w14:paraId="70A39076">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30.77</w:t>
            </w:r>
          </w:p>
        </w:tc>
        <w:tc>
          <w:tcPr>
            <w:tcW w:w="874" w:type="dxa"/>
            <w:tcBorders>
              <w:tl2br w:val="nil"/>
              <w:tr2bl w:val="nil"/>
            </w:tcBorders>
            <w:vAlign w:val="center"/>
          </w:tcPr>
          <w:p w14:paraId="2039A556">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1.0</w:t>
            </w:r>
          </w:p>
        </w:tc>
      </w:tr>
      <w:tr w14:paraId="15C734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shd w:val="clear" w:color="auto" w:fill="auto"/>
            <w:vAlign w:val="center"/>
          </w:tcPr>
          <w:p w14:paraId="1B229801">
            <w:pPr>
              <w:pStyle w:val="117"/>
              <w:spacing w:line="360" w:lineRule="exact"/>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rPr>
              <w:t>4</w:t>
            </w:r>
          </w:p>
        </w:tc>
        <w:tc>
          <w:tcPr>
            <w:tcW w:w="542" w:type="dxa"/>
            <w:vMerge w:val="continue"/>
            <w:tcBorders>
              <w:tl2br w:val="nil"/>
              <w:tr2bl w:val="nil"/>
            </w:tcBorders>
            <w:vAlign w:val="center"/>
          </w:tcPr>
          <w:p w14:paraId="4FC03BC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22F7908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提升机</w:t>
            </w:r>
          </w:p>
        </w:tc>
        <w:tc>
          <w:tcPr>
            <w:tcW w:w="586" w:type="dxa"/>
            <w:tcBorders>
              <w:tl2br w:val="nil"/>
              <w:tr2bl w:val="nil"/>
            </w:tcBorders>
            <w:vAlign w:val="center"/>
          </w:tcPr>
          <w:p w14:paraId="081F3C4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08943EA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75</w:t>
            </w:r>
          </w:p>
        </w:tc>
        <w:tc>
          <w:tcPr>
            <w:tcW w:w="690" w:type="dxa"/>
            <w:vMerge w:val="continue"/>
            <w:tcBorders>
              <w:tl2br w:val="nil"/>
              <w:tr2bl w:val="nil"/>
            </w:tcBorders>
            <w:vAlign w:val="center"/>
          </w:tcPr>
          <w:p w14:paraId="2053A0C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3A07708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238.7</w:t>
            </w:r>
          </w:p>
        </w:tc>
        <w:tc>
          <w:tcPr>
            <w:tcW w:w="652" w:type="dxa"/>
            <w:tcBorders>
              <w:tl2br w:val="nil"/>
              <w:tr2bl w:val="nil"/>
            </w:tcBorders>
            <w:vAlign w:val="center"/>
          </w:tcPr>
          <w:p w14:paraId="483A569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85.4</w:t>
            </w:r>
          </w:p>
        </w:tc>
        <w:tc>
          <w:tcPr>
            <w:tcW w:w="493" w:type="dxa"/>
            <w:tcBorders>
              <w:tl2br w:val="nil"/>
              <w:tr2bl w:val="nil"/>
            </w:tcBorders>
            <w:vAlign w:val="center"/>
          </w:tcPr>
          <w:p w14:paraId="2E456F2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1.5</w:t>
            </w:r>
          </w:p>
        </w:tc>
        <w:tc>
          <w:tcPr>
            <w:tcW w:w="800" w:type="dxa"/>
            <w:tcBorders>
              <w:tl2br w:val="nil"/>
              <w:tr2bl w:val="nil"/>
            </w:tcBorders>
            <w:vAlign w:val="center"/>
          </w:tcPr>
          <w:p w14:paraId="7707F9D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13.05</w:t>
            </w:r>
          </w:p>
        </w:tc>
        <w:tc>
          <w:tcPr>
            <w:tcW w:w="852" w:type="dxa"/>
            <w:tcBorders>
              <w:tl2br w:val="nil"/>
              <w:tr2bl w:val="nil"/>
            </w:tcBorders>
            <w:vAlign w:val="center"/>
          </w:tcPr>
          <w:p w14:paraId="468397B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50.63</w:t>
            </w:r>
          </w:p>
        </w:tc>
        <w:tc>
          <w:tcPr>
            <w:tcW w:w="636" w:type="dxa"/>
            <w:vMerge w:val="continue"/>
            <w:tcBorders>
              <w:tl2br w:val="nil"/>
              <w:tr2bl w:val="nil"/>
            </w:tcBorders>
            <w:vAlign w:val="center"/>
          </w:tcPr>
          <w:p w14:paraId="56B5E8C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784FE4B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30</w:t>
            </w:r>
          </w:p>
        </w:tc>
        <w:tc>
          <w:tcPr>
            <w:tcW w:w="852" w:type="dxa"/>
            <w:tcBorders>
              <w:tl2br w:val="nil"/>
              <w:tr2bl w:val="nil"/>
            </w:tcBorders>
            <w:vAlign w:val="center"/>
          </w:tcPr>
          <w:p w14:paraId="304A9FAE">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36.72</w:t>
            </w:r>
          </w:p>
        </w:tc>
        <w:tc>
          <w:tcPr>
            <w:tcW w:w="874" w:type="dxa"/>
            <w:tcBorders>
              <w:tl2br w:val="nil"/>
              <w:tr2bl w:val="nil"/>
            </w:tcBorders>
            <w:vAlign w:val="center"/>
          </w:tcPr>
          <w:p w14:paraId="194BE94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6AAFA7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shd w:val="clear" w:color="auto" w:fill="auto"/>
            <w:vAlign w:val="center"/>
          </w:tcPr>
          <w:p w14:paraId="5615F484">
            <w:pPr>
              <w:pStyle w:val="117"/>
              <w:spacing w:line="360" w:lineRule="exact"/>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rPr>
              <w:t>5</w:t>
            </w:r>
          </w:p>
        </w:tc>
        <w:tc>
          <w:tcPr>
            <w:tcW w:w="542" w:type="dxa"/>
            <w:vMerge w:val="continue"/>
            <w:tcBorders>
              <w:tl2br w:val="nil"/>
              <w:tr2bl w:val="nil"/>
            </w:tcBorders>
            <w:vAlign w:val="center"/>
          </w:tcPr>
          <w:p w14:paraId="425E6E9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77F3101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扯皮机</w:t>
            </w:r>
          </w:p>
        </w:tc>
        <w:tc>
          <w:tcPr>
            <w:tcW w:w="586" w:type="dxa"/>
            <w:tcBorders>
              <w:tl2br w:val="nil"/>
              <w:tr2bl w:val="nil"/>
            </w:tcBorders>
            <w:vAlign w:val="center"/>
          </w:tcPr>
          <w:p w14:paraId="7733B06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6318682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70</w:t>
            </w:r>
          </w:p>
        </w:tc>
        <w:tc>
          <w:tcPr>
            <w:tcW w:w="690" w:type="dxa"/>
            <w:vMerge w:val="continue"/>
            <w:tcBorders>
              <w:tl2br w:val="nil"/>
              <w:tr2bl w:val="nil"/>
            </w:tcBorders>
            <w:vAlign w:val="center"/>
          </w:tcPr>
          <w:p w14:paraId="3640214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0DA4140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246.3</w:t>
            </w:r>
          </w:p>
        </w:tc>
        <w:tc>
          <w:tcPr>
            <w:tcW w:w="652" w:type="dxa"/>
            <w:tcBorders>
              <w:tl2br w:val="nil"/>
              <w:tr2bl w:val="nil"/>
            </w:tcBorders>
            <w:vAlign w:val="center"/>
          </w:tcPr>
          <w:p w14:paraId="2F64201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82</w:t>
            </w:r>
          </w:p>
        </w:tc>
        <w:tc>
          <w:tcPr>
            <w:tcW w:w="493" w:type="dxa"/>
            <w:tcBorders>
              <w:tl2br w:val="nil"/>
              <w:tr2bl w:val="nil"/>
            </w:tcBorders>
            <w:vAlign w:val="center"/>
          </w:tcPr>
          <w:p w14:paraId="2F5488E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1.5</w:t>
            </w:r>
          </w:p>
        </w:tc>
        <w:tc>
          <w:tcPr>
            <w:tcW w:w="800" w:type="dxa"/>
            <w:tcBorders>
              <w:tl2br w:val="nil"/>
              <w:tr2bl w:val="nil"/>
            </w:tcBorders>
            <w:vAlign w:val="center"/>
          </w:tcPr>
          <w:p w14:paraId="357826B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16.24</w:t>
            </w:r>
          </w:p>
        </w:tc>
        <w:tc>
          <w:tcPr>
            <w:tcW w:w="852" w:type="dxa"/>
            <w:tcBorders>
              <w:tl2br w:val="nil"/>
              <w:tr2bl w:val="nil"/>
            </w:tcBorders>
            <w:vAlign w:val="center"/>
          </w:tcPr>
          <w:p w14:paraId="3579DCD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45.22</w:t>
            </w:r>
          </w:p>
        </w:tc>
        <w:tc>
          <w:tcPr>
            <w:tcW w:w="636" w:type="dxa"/>
            <w:vMerge w:val="continue"/>
            <w:tcBorders>
              <w:tl2br w:val="nil"/>
              <w:tr2bl w:val="nil"/>
            </w:tcBorders>
            <w:vAlign w:val="center"/>
          </w:tcPr>
          <w:p w14:paraId="08E87D6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198BA9F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30</w:t>
            </w:r>
          </w:p>
        </w:tc>
        <w:tc>
          <w:tcPr>
            <w:tcW w:w="852" w:type="dxa"/>
            <w:tcBorders>
              <w:tl2br w:val="nil"/>
              <w:tr2bl w:val="nil"/>
            </w:tcBorders>
            <w:vAlign w:val="center"/>
          </w:tcPr>
          <w:p w14:paraId="31037283">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31.31</w:t>
            </w:r>
          </w:p>
        </w:tc>
        <w:tc>
          <w:tcPr>
            <w:tcW w:w="874" w:type="dxa"/>
            <w:tcBorders>
              <w:tl2br w:val="nil"/>
              <w:tr2bl w:val="nil"/>
            </w:tcBorders>
            <w:vAlign w:val="center"/>
          </w:tcPr>
          <w:p w14:paraId="0B460B4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4FE91A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shd w:val="clear" w:color="auto" w:fill="auto"/>
            <w:vAlign w:val="center"/>
          </w:tcPr>
          <w:p w14:paraId="7F7C9FE1">
            <w:pPr>
              <w:pStyle w:val="117"/>
              <w:spacing w:line="360" w:lineRule="exact"/>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rPr>
              <w:t>6</w:t>
            </w:r>
          </w:p>
        </w:tc>
        <w:tc>
          <w:tcPr>
            <w:tcW w:w="542" w:type="dxa"/>
            <w:vMerge w:val="continue"/>
            <w:tcBorders>
              <w:tl2br w:val="nil"/>
              <w:tr2bl w:val="nil"/>
            </w:tcBorders>
            <w:vAlign w:val="center"/>
          </w:tcPr>
          <w:p w14:paraId="220581F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5FF8D7A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输送机</w:t>
            </w:r>
          </w:p>
        </w:tc>
        <w:tc>
          <w:tcPr>
            <w:tcW w:w="586" w:type="dxa"/>
            <w:tcBorders>
              <w:tl2br w:val="nil"/>
              <w:tr2bl w:val="nil"/>
            </w:tcBorders>
            <w:vAlign w:val="center"/>
          </w:tcPr>
          <w:p w14:paraId="7FD33AF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28ABCE4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70</w:t>
            </w:r>
          </w:p>
        </w:tc>
        <w:tc>
          <w:tcPr>
            <w:tcW w:w="690" w:type="dxa"/>
            <w:vMerge w:val="continue"/>
            <w:tcBorders>
              <w:tl2br w:val="nil"/>
              <w:tr2bl w:val="nil"/>
            </w:tcBorders>
            <w:vAlign w:val="center"/>
          </w:tcPr>
          <w:p w14:paraId="29FC22C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7A1C59B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256.3</w:t>
            </w:r>
          </w:p>
        </w:tc>
        <w:tc>
          <w:tcPr>
            <w:tcW w:w="652" w:type="dxa"/>
            <w:tcBorders>
              <w:tl2br w:val="nil"/>
              <w:tr2bl w:val="nil"/>
            </w:tcBorders>
            <w:vAlign w:val="center"/>
          </w:tcPr>
          <w:p w14:paraId="5DD8177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84.4</w:t>
            </w:r>
          </w:p>
        </w:tc>
        <w:tc>
          <w:tcPr>
            <w:tcW w:w="493" w:type="dxa"/>
            <w:tcBorders>
              <w:tl2br w:val="nil"/>
              <w:tr2bl w:val="nil"/>
            </w:tcBorders>
            <w:vAlign w:val="center"/>
          </w:tcPr>
          <w:p w14:paraId="6DE62B9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1.3</w:t>
            </w:r>
          </w:p>
        </w:tc>
        <w:tc>
          <w:tcPr>
            <w:tcW w:w="800" w:type="dxa"/>
            <w:tcBorders>
              <w:tl2br w:val="nil"/>
              <w:tr2bl w:val="nil"/>
            </w:tcBorders>
            <w:vAlign w:val="center"/>
          </w:tcPr>
          <w:p w14:paraId="3ABD764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17.33</w:t>
            </w:r>
          </w:p>
        </w:tc>
        <w:tc>
          <w:tcPr>
            <w:tcW w:w="852" w:type="dxa"/>
            <w:tcBorders>
              <w:tl2br w:val="nil"/>
              <w:tr2bl w:val="nil"/>
            </w:tcBorders>
            <w:vAlign w:val="center"/>
          </w:tcPr>
          <w:p w14:paraId="5A65330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45.12</w:t>
            </w:r>
          </w:p>
        </w:tc>
        <w:tc>
          <w:tcPr>
            <w:tcW w:w="636" w:type="dxa"/>
            <w:vMerge w:val="continue"/>
            <w:tcBorders>
              <w:tl2br w:val="nil"/>
              <w:tr2bl w:val="nil"/>
            </w:tcBorders>
            <w:vAlign w:val="center"/>
          </w:tcPr>
          <w:p w14:paraId="7B41067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18D3EB7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30</w:t>
            </w:r>
          </w:p>
        </w:tc>
        <w:tc>
          <w:tcPr>
            <w:tcW w:w="852" w:type="dxa"/>
            <w:tcBorders>
              <w:tl2br w:val="nil"/>
              <w:tr2bl w:val="nil"/>
            </w:tcBorders>
            <w:vAlign w:val="center"/>
          </w:tcPr>
          <w:p w14:paraId="673902AD">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31.21</w:t>
            </w:r>
          </w:p>
        </w:tc>
        <w:tc>
          <w:tcPr>
            <w:tcW w:w="874" w:type="dxa"/>
            <w:tcBorders>
              <w:tl2br w:val="nil"/>
              <w:tr2bl w:val="nil"/>
            </w:tcBorders>
            <w:vAlign w:val="center"/>
          </w:tcPr>
          <w:p w14:paraId="65643FF1">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1.0</w:t>
            </w:r>
          </w:p>
        </w:tc>
      </w:tr>
      <w:tr w14:paraId="065EBE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vAlign w:val="center"/>
          </w:tcPr>
          <w:p w14:paraId="0E523D5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w:t>
            </w:r>
          </w:p>
        </w:tc>
        <w:tc>
          <w:tcPr>
            <w:tcW w:w="542" w:type="dxa"/>
            <w:vMerge w:val="continue"/>
            <w:tcBorders>
              <w:tl2br w:val="nil"/>
              <w:tr2bl w:val="nil"/>
            </w:tcBorders>
            <w:vAlign w:val="center"/>
          </w:tcPr>
          <w:p w14:paraId="7A675F2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5219673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劈半锯</w:t>
            </w:r>
          </w:p>
        </w:tc>
        <w:tc>
          <w:tcPr>
            <w:tcW w:w="586" w:type="dxa"/>
            <w:tcBorders>
              <w:tl2br w:val="nil"/>
              <w:tr2bl w:val="nil"/>
            </w:tcBorders>
            <w:vAlign w:val="center"/>
          </w:tcPr>
          <w:p w14:paraId="1320138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4BCB75A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70</w:t>
            </w:r>
          </w:p>
        </w:tc>
        <w:tc>
          <w:tcPr>
            <w:tcW w:w="690" w:type="dxa"/>
            <w:vMerge w:val="continue"/>
            <w:tcBorders>
              <w:tl2br w:val="nil"/>
              <w:tr2bl w:val="nil"/>
            </w:tcBorders>
            <w:vAlign w:val="center"/>
          </w:tcPr>
          <w:p w14:paraId="3737372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0C8BC8E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269.9</w:t>
            </w:r>
          </w:p>
        </w:tc>
        <w:tc>
          <w:tcPr>
            <w:tcW w:w="652" w:type="dxa"/>
            <w:tcBorders>
              <w:tl2br w:val="nil"/>
              <w:tr2bl w:val="nil"/>
            </w:tcBorders>
            <w:vAlign w:val="center"/>
          </w:tcPr>
          <w:p w14:paraId="1E8E93D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88.4</w:t>
            </w:r>
          </w:p>
        </w:tc>
        <w:tc>
          <w:tcPr>
            <w:tcW w:w="493" w:type="dxa"/>
            <w:tcBorders>
              <w:tl2br w:val="nil"/>
              <w:tr2bl w:val="nil"/>
            </w:tcBorders>
            <w:vAlign w:val="center"/>
          </w:tcPr>
          <w:p w14:paraId="5B1F3FC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1.3</w:t>
            </w:r>
          </w:p>
        </w:tc>
        <w:tc>
          <w:tcPr>
            <w:tcW w:w="800" w:type="dxa"/>
            <w:tcBorders>
              <w:tl2br w:val="nil"/>
              <w:tr2bl w:val="nil"/>
            </w:tcBorders>
            <w:vAlign w:val="center"/>
          </w:tcPr>
          <w:p w14:paraId="61B0CF6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17.13</w:t>
            </w:r>
          </w:p>
        </w:tc>
        <w:tc>
          <w:tcPr>
            <w:tcW w:w="852" w:type="dxa"/>
            <w:tcBorders>
              <w:tl2br w:val="nil"/>
              <w:tr2bl w:val="nil"/>
            </w:tcBorders>
            <w:vAlign w:val="center"/>
          </w:tcPr>
          <w:p w14:paraId="08806E2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45.14</w:t>
            </w:r>
          </w:p>
        </w:tc>
        <w:tc>
          <w:tcPr>
            <w:tcW w:w="636" w:type="dxa"/>
            <w:vMerge w:val="continue"/>
            <w:tcBorders>
              <w:tl2br w:val="nil"/>
              <w:tr2bl w:val="nil"/>
            </w:tcBorders>
            <w:vAlign w:val="center"/>
          </w:tcPr>
          <w:p w14:paraId="4C5C2CE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45B0B98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30</w:t>
            </w:r>
          </w:p>
        </w:tc>
        <w:tc>
          <w:tcPr>
            <w:tcW w:w="852" w:type="dxa"/>
            <w:tcBorders>
              <w:tl2br w:val="nil"/>
              <w:tr2bl w:val="nil"/>
            </w:tcBorders>
            <w:vAlign w:val="center"/>
          </w:tcPr>
          <w:p w14:paraId="1C65D3D9">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31.23</w:t>
            </w:r>
          </w:p>
        </w:tc>
        <w:tc>
          <w:tcPr>
            <w:tcW w:w="874" w:type="dxa"/>
            <w:tcBorders>
              <w:tl2br w:val="nil"/>
              <w:tr2bl w:val="nil"/>
            </w:tcBorders>
            <w:vAlign w:val="center"/>
          </w:tcPr>
          <w:p w14:paraId="0232C06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2F6287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vAlign w:val="center"/>
          </w:tcPr>
          <w:p w14:paraId="52D5387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8</w:t>
            </w:r>
          </w:p>
        </w:tc>
        <w:tc>
          <w:tcPr>
            <w:tcW w:w="542" w:type="dxa"/>
            <w:vMerge w:val="continue"/>
            <w:tcBorders>
              <w:tl2br w:val="nil"/>
              <w:tr2bl w:val="nil"/>
            </w:tcBorders>
            <w:vAlign w:val="center"/>
          </w:tcPr>
          <w:p w14:paraId="2CD8EFA1">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42E71C4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开胸锯</w:t>
            </w:r>
          </w:p>
        </w:tc>
        <w:tc>
          <w:tcPr>
            <w:tcW w:w="586" w:type="dxa"/>
            <w:tcBorders>
              <w:tl2br w:val="nil"/>
              <w:tr2bl w:val="nil"/>
            </w:tcBorders>
            <w:vAlign w:val="center"/>
          </w:tcPr>
          <w:p w14:paraId="333AC2E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w:t>
            </w:r>
          </w:p>
        </w:tc>
        <w:tc>
          <w:tcPr>
            <w:tcW w:w="825" w:type="dxa"/>
            <w:tcBorders>
              <w:tl2br w:val="nil"/>
              <w:tr2bl w:val="nil"/>
            </w:tcBorders>
            <w:vAlign w:val="center"/>
          </w:tcPr>
          <w:p w14:paraId="7E510B4C">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75</w:t>
            </w:r>
          </w:p>
        </w:tc>
        <w:tc>
          <w:tcPr>
            <w:tcW w:w="690" w:type="dxa"/>
            <w:vMerge w:val="continue"/>
            <w:tcBorders>
              <w:tl2br w:val="nil"/>
              <w:tr2bl w:val="nil"/>
            </w:tcBorders>
            <w:vAlign w:val="center"/>
          </w:tcPr>
          <w:p w14:paraId="5915289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577E7F55">
            <w:pPr>
              <w:pStyle w:val="117"/>
              <w:spacing w:line="360" w:lineRule="exact"/>
              <w:ind w:firstLine="0" w:firstLineChars="0"/>
              <w:jc w:val="center"/>
              <w:rPr>
                <w:rFonts w:hint="eastAsia"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263.4</w:t>
            </w:r>
          </w:p>
        </w:tc>
        <w:tc>
          <w:tcPr>
            <w:tcW w:w="652" w:type="dxa"/>
            <w:tcBorders>
              <w:tl2br w:val="nil"/>
              <w:tr2bl w:val="nil"/>
            </w:tcBorders>
            <w:vAlign w:val="center"/>
          </w:tcPr>
          <w:p w14:paraId="150B455A">
            <w:pPr>
              <w:pStyle w:val="117"/>
              <w:spacing w:line="360" w:lineRule="exact"/>
              <w:ind w:firstLine="0" w:firstLineChars="0"/>
              <w:jc w:val="center"/>
              <w:rPr>
                <w:rFonts w:hint="eastAsia"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86.9</w:t>
            </w:r>
          </w:p>
        </w:tc>
        <w:tc>
          <w:tcPr>
            <w:tcW w:w="493" w:type="dxa"/>
            <w:tcBorders>
              <w:tl2br w:val="nil"/>
              <w:tr2bl w:val="nil"/>
            </w:tcBorders>
            <w:vAlign w:val="center"/>
          </w:tcPr>
          <w:p w14:paraId="1CE08F57">
            <w:pPr>
              <w:pStyle w:val="117"/>
              <w:spacing w:line="360" w:lineRule="exact"/>
              <w:ind w:firstLine="0" w:firstLineChars="0"/>
              <w:jc w:val="center"/>
              <w:rPr>
                <w:rFonts w:hint="eastAsia"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1.5</w:t>
            </w:r>
          </w:p>
        </w:tc>
        <w:tc>
          <w:tcPr>
            <w:tcW w:w="800" w:type="dxa"/>
            <w:tcBorders>
              <w:tl2br w:val="nil"/>
              <w:tr2bl w:val="nil"/>
            </w:tcBorders>
            <w:vAlign w:val="center"/>
          </w:tcPr>
          <w:p w14:paraId="77555F70">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17.33</w:t>
            </w:r>
          </w:p>
        </w:tc>
        <w:tc>
          <w:tcPr>
            <w:tcW w:w="852" w:type="dxa"/>
            <w:tcBorders>
              <w:tl2br w:val="nil"/>
              <w:tr2bl w:val="nil"/>
            </w:tcBorders>
            <w:vAlign w:val="center"/>
          </w:tcPr>
          <w:p w14:paraId="5517B9C5">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50.12</w:t>
            </w:r>
          </w:p>
        </w:tc>
        <w:tc>
          <w:tcPr>
            <w:tcW w:w="636" w:type="dxa"/>
            <w:vMerge w:val="continue"/>
            <w:tcBorders>
              <w:tl2br w:val="nil"/>
              <w:tr2bl w:val="nil"/>
            </w:tcBorders>
            <w:vAlign w:val="center"/>
          </w:tcPr>
          <w:p w14:paraId="504EAB3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057EE96D">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30</w:t>
            </w:r>
          </w:p>
        </w:tc>
        <w:tc>
          <w:tcPr>
            <w:tcW w:w="852" w:type="dxa"/>
            <w:tcBorders>
              <w:tl2br w:val="nil"/>
              <w:tr2bl w:val="nil"/>
            </w:tcBorders>
            <w:vAlign w:val="center"/>
          </w:tcPr>
          <w:p w14:paraId="4037940A">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36.21</w:t>
            </w:r>
          </w:p>
        </w:tc>
        <w:tc>
          <w:tcPr>
            <w:tcW w:w="874" w:type="dxa"/>
            <w:tcBorders>
              <w:tl2br w:val="nil"/>
              <w:tr2bl w:val="nil"/>
            </w:tcBorders>
            <w:vAlign w:val="center"/>
          </w:tcPr>
          <w:p w14:paraId="744BAF45">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1.0</w:t>
            </w:r>
          </w:p>
        </w:tc>
      </w:tr>
      <w:tr w14:paraId="218E15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vAlign w:val="center"/>
          </w:tcPr>
          <w:p w14:paraId="45FABDF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9</w:t>
            </w:r>
          </w:p>
        </w:tc>
        <w:tc>
          <w:tcPr>
            <w:tcW w:w="542" w:type="dxa"/>
            <w:vMerge w:val="continue"/>
            <w:tcBorders>
              <w:tl2br w:val="nil"/>
              <w:tr2bl w:val="nil"/>
            </w:tcBorders>
            <w:vAlign w:val="center"/>
          </w:tcPr>
          <w:p w14:paraId="443158C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490095DC">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启动升降台</w:t>
            </w:r>
          </w:p>
        </w:tc>
        <w:tc>
          <w:tcPr>
            <w:tcW w:w="586" w:type="dxa"/>
            <w:tcBorders>
              <w:tl2br w:val="nil"/>
              <w:tr2bl w:val="nil"/>
            </w:tcBorders>
            <w:vAlign w:val="center"/>
          </w:tcPr>
          <w:p w14:paraId="6CD1828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w:t>
            </w:r>
          </w:p>
        </w:tc>
        <w:tc>
          <w:tcPr>
            <w:tcW w:w="825" w:type="dxa"/>
            <w:tcBorders>
              <w:tl2br w:val="nil"/>
              <w:tr2bl w:val="nil"/>
            </w:tcBorders>
            <w:vAlign w:val="center"/>
          </w:tcPr>
          <w:p w14:paraId="12316595">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75</w:t>
            </w:r>
          </w:p>
        </w:tc>
        <w:tc>
          <w:tcPr>
            <w:tcW w:w="690" w:type="dxa"/>
            <w:vMerge w:val="continue"/>
            <w:tcBorders>
              <w:tl2br w:val="nil"/>
              <w:tr2bl w:val="nil"/>
            </w:tcBorders>
            <w:vAlign w:val="center"/>
          </w:tcPr>
          <w:p w14:paraId="601B552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7815DDD5">
            <w:pPr>
              <w:pStyle w:val="117"/>
              <w:spacing w:line="360" w:lineRule="exact"/>
              <w:ind w:firstLine="0" w:firstLineChars="0"/>
              <w:jc w:val="center"/>
              <w:rPr>
                <w:rFonts w:hint="eastAsia"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258.1</w:t>
            </w:r>
          </w:p>
        </w:tc>
        <w:tc>
          <w:tcPr>
            <w:tcW w:w="652" w:type="dxa"/>
            <w:tcBorders>
              <w:tl2br w:val="nil"/>
              <w:tr2bl w:val="nil"/>
            </w:tcBorders>
            <w:vAlign w:val="center"/>
          </w:tcPr>
          <w:p w14:paraId="625F0741">
            <w:pPr>
              <w:pStyle w:val="117"/>
              <w:spacing w:line="360" w:lineRule="exact"/>
              <w:ind w:firstLine="0" w:firstLineChars="0"/>
              <w:jc w:val="center"/>
              <w:rPr>
                <w:rFonts w:hint="eastAsia"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92.1</w:t>
            </w:r>
          </w:p>
        </w:tc>
        <w:tc>
          <w:tcPr>
            <w:tcW w:w="493" w:type="dxa"/>
            <w:tcBorders>
              <w:tl2br w:val="nil"/>
              <w:tr2bl w:val="nil"/>
            </w:tcBorders>
            <w:vAlign w:val="center"/>
          </w:tcPr>
          <w:p w14:paraId="1F73CF01">
            <w:pPr>
              <w:pStyle w:val="117"/>
              <w:spacing w:line="360" w:lineRule="exact"/>
              <w:ind w:firstLine="0" w:firstLineChars="0"/>
              <w:jc w:val="center"/>
              <w:rPr>
                <w:rFonts w:hint="eastAsia"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1.2</w:t>
            </w:r>
          </w:p>
        </w:tc>
        <w:tc>
          <w:tcPr>
            <w:tcW w:w="800" w:type="dxa"/>
            <w:tcBorders>
              <w:tl2br w:val="nil"/>
              <w:tr2bl w:val="nil"/>
            </w:tcBorders>
            <w:vAlign w:val="center"/>
          </w:tcPr>
          <w:p w14:paraId="51E5A339">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10.66</w:t>
            </w:r>
          </w:p>
        </w:tc>
        <w:tc>
          <w:tcPr>
            <w:tcW w:w="852" w:type="dxa"/>
            <w:tcBorders>
              <w:tl2br w:val="nil"/>
              <w:tr2bl w:val="nil"/>
            </w:tcBorders>
            <w:vAlign w:val="center"/>
          </w:tcPr>
          <w:p w14:paraId="2027B5EE">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51.15</w:t>
            </w:r>
          </w:p>
        </w:tc>
        <w:tc>
          <w:tcPr>
            <w:tcW w:w="636" w:type="dxa"/>
            <w:vMerge w:val="continue"/>
            <w:tcBorders>
              <w:tl2br w:val="nil"/>
              <w:tr2bl w:val="nil"/>
            </w:tcBorders>
            <w:vAlign w:val="center"/>
          </w:tcPr>
          <w:p w14:paraId="5A5F9FA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7637A9F4">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30</w:t>
            </w:r>
          </w:p>
        </w:tc>
        <w:tc>
          <w:tcPr>
            <w:tcW w:w="852" w:type="dxa"/>
            <w:tcBorders>
              <w:tl2br w:val="nil"/>
              <w:tr2bl w:val="nil"/>
            </w:tcBorders>
            <w:vAlign w:val="center"/>
          </w:tcPr>
          <w:p w14:paraId="6CCB73F0">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37.24</w:t>
            </w:r>
          </w:p>
        </w:tc>
        <w:tc>
          <w:tcPr>
            <w:tcW w:w="874" w:type="dxa"/>
            <w:tcBorders>
              <w:tl2br w:val="nil"/>
              <w:tr2bl w:val="nil"/>
            </w:tcBorders>
            <w:vAlign w:val="center"/>
          </w:tcPr>
          <w:p w14:paraId="72480BFF">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1.0</w:t>
            </w:r>
          </w:p>
        </w:tc>
      </w:tr>
      <w:tr w14:paraId="5DB7A1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9" w:type="dxa"/>
            <w:tcBorders>
              <w:tl2br w:val="nil"/>
              <w:tr2bl w:val="nil"/>
            </w:tcBorders>
            <w:vAlign w:val="center"/>
          </w:tcPr>
          <w:p w14:paraId="0D2D543F">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10</w:t>
            </w:r>
          </w:p>
        </w:tc>
        <w:tc>
          <w:tcPr>
            <w:tcW w:w="542" w:type="dxa"/>
            <w:vMerge w:val="continue"/>
            <w:tcBorders>
              <w:tl2br w:val="nil"/>
              <w:tr2bl w:val="nil"/>
            </w:tcBorders>
            <w:vAlign w:val="center"/>
          </w:tcPr>
          <w:p w14:paraId="037F9A0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4359068E">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鼓风机</w:t>
            </w:r>
          </w:p>
        </w:tc>
        <w:tc>
          <w:tcPr>
            <w:tcW w:w="586" w:type="dxa"/>
            <w:tcBorders>
              <w:tl2br w:val="nil"/>
              <w:tr2bl w:val="nil"/>
            </w:tcBorders>
            <w:vAlign w:val="center"/>
          </w:tcPr>
          <w:p w14:paraId="00949379">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w:t>
            </w:r>
          </w:p>
        </w:tc>
        <w:tc>
          <w:tcPr>
            <w:tcW w:w="825" w:type="dxa"/>
            <w:tcBorders>
              <w:tl2br w:val="nil"/>
              <w:tr2bl w:val="nil"/>
            </w:tcBorders>
            <w:vAlign w:val="center"/>
          </w:tcPr>
          <w:p w14:paraId="1CD9C3F0">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90</w:t>
            </w:r>
          </w:p>
        </w:tc>
        <w:tc>
          <w:tcPr>
            <w:tcW w:w="690" w:type="dxa"/>
            <w:vMerge w:val="continue"/>
            <w:tcBorders>
              <w:tl2br w:val="nil"/>
              <w:tr2bl w:val="nil"/>
            </w:tcBorders>
            <w:vAlign w:val="center"/>
          </w:tcPr>
          <w:p w14:paraId="680F16A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09ECFCA5">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265.8</w:t>
            </w:r>
          </w:p>
        </w:tc>
        <w:tc>
          <w:tcPr>
            <w:tcW w:w="652" w:type="dxa"/>
            <w:tcBorders>
              <w:tl2br w:val="nil"/>
              <w:tr2bl w:val="nil"/>
            </w:tcBorders>
            <w:vAlign w:val="center"/>
          </w:tcPr>
          <w:p w14:paraId="67DA1790">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87.6</w:t>
            </w:r>
          </w:p>
        </w:tc>
        <w:tc>
          <w:tcPr>
            <w:tcW w:w="493" w:type="dxa"/>
            <w:tcBorders>
              <w:tl2br w:val="nil"/>
              <w:tr2bl w:val="nil"/>
            </w:tcBorders>
            <w:vAlign w:val="center"/>
          </w:tcPr>
          <w:p w14:paraId="1183EF5C">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1.2</w:t>
            </w:r>
          </w:p>
        </w:tc>
        <w:tc>
          <w:tcPr>
            <w:tcW w:w="800" w:type="dxa"/>
            <w:tcBorders>
              <w:tl2br w:val="nil"/>
              <w:tr2bl w:val="nil"/>
            </w:tcBorders>
            <w:vAlign w:val="center"/>
          </w:tcPr>
          <w:p w14:paraId="3586DAE4">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17.26</w:t>
            </w:r>
          </w:p>
        </w:tc>
        <w:tc>
          <w:tcPr>
            <w:tcW w:w="852" w:type="dxa"/>
            <w:tcBorders>
              <w:tl2br w:val="nil"/>
              <w:tr2bl w:val="nil"/>
            </w:tcBorders>
            <w:vAlign w:val="center"/>
          </w:tcPr>
          <w:p w14:paraId="6F55B5BA">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50.06</w:t>
            </w:r>
          </w:p>
        </w:tc>
        <w:tc>
          <w:tcPr>
            <w:tcW w:w="636" w:type="dxa"/>
            <w:vMerge w:val="continue"/>
            <w:tcBorders>
              <w:tl2br w:val="nil"/>
              <w:tr2bl w:val="nil"/>
            </w:tcBorders>
            <w:vAlign w:val="center"/>
          </w:tcPr>
          <w:p w14:paraId="1BD91BC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17299090">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30</w:t>
            </w:r>
          </w:p>
        </w:tc>
        <w:tc>
          <w:tcPr>
            <w:tcW w:w="852" w:type="dxa"/>
            <w:tcBorders>
              <w:tl2br w:val="nil"/>
              <w:tr2bl w:val="nil"/>
            </w:tcBorders>
            <w:vAlign w:val="center"/>
          </w:tcPr>
          <w:p w14:paraId="04B859A9">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46.24</w:t>
            </w:r>
          </w:p>
        </w:tc>
        <w:tc>
          <w:tcPr>
            <w:tcW w:w="874" w:type="dxa"/>
            <w:tcBorders>
              <w:tl2br w:val="nil"/>
              <w:tr2bl w:val="nil"/>
            </w:tcBorders>
            <w:vAlign w:val="center"/>
          </w:tcPr>
          <w:p w14:paraId="12D055F0">
            <w:pPr>
              <w:pStyle w:val="117"/>
              <w:spacing w:line="360" w:lineRule="exact"/>
              <w:ind w:firstLine="0" w:firstLineChars="0"/>
              <w:jc w:val="center"/>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1.0</w:t>
            </w:r>
          </w:p>
        </w:tc>
      </w:tr>
      <w:tr w14:paraId="6405DF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15" w:hRule="atLeast"/>
          <w:jc w:val="center"/>
        </w:trPr>
        <w:tc>
          <w:tcPr>
            <w:tcW w:w="429" w:type="dxa"/>
            <w:tcBorders>
              <w:tl2br w:val="nil"/>
              <w:tr2bl w:val="nil"/>
            </w:tcBorders>
            <w:vAlign w:val="center"/>
          </w:tcPr>
          <w:p w14:paraId="2A0703E3">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11</w:t>
            </w:r>
          </w:p>
        </w:tc>
        <w:tc>
          <w:tcPr>
            <w:tcW w:w="542" w:type="dxa"/>
            <w:tcBorders>
              <w:tl2br w:val="nil"/>
              <w:tr2bl w:val="nil"/>
            </w:tcBorders>
            <w:vAlign w:val="center"/>
          </w:tcPr>
          <w:p w14:paraId="0C90673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制冷机房</w:t>
            </w:r>
          </w:p>
        </w:tc>
        <w:tc>
          <w:tcPr>
            <w:tcW w:w="842" w:type="dxa"/>
            <w:tcBorders>
              <w:tl2br w:val="nil"/>
              <w:tr2bl w:val="nil"/>
            </w:tcBorders>
            <w:vAlign w:val="center"/>
          </w:tcPr>
          <w:p w14:paraId="50DB65C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压缩机</w:t>
            </w:r>
          </w:p>
        </w:tc>
        <w:tc>
          <w:tcPr>
            <w:tcW w:w="586" w:type="dxa"/>
            <w:tcBorders>
              <w:tl2br w:val="nil"/>
              <w:tr2bl w:val="nil"/>
            </w:tcBorders>
            <w:vAlign w:val="center"/>
          </w:tcPr>
          <w:p w14:paraId="26A1636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18059B9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95</w:t>
            </w:r>
          </w:p>
        </w:tc>
        <w:tc>
          <w:tcPr>
            <w:tcW w:w="690" w:type="dxa"/>
            <w:tcBorders>
              <w:tl2br w:val="nil"/>
              <w:tr2bl w:val="nil"/>
            </w:tcBorders>
            <w:vAlign w:val="center"/>
          </w:tcPr>
          <w:p w14:paraId="3AC7ACC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厂房隔声、基础减震</w:t>
            </w:r>
          </w:p>
        </w:tc>
        <w:tc>
          <w:tcPr>
            <w:tcW w:w="689" w:type="dxa"/>
            <w:tcBorders>
              <w:tl2br w:val="nil"/>
              <w:tr2bl w:val="nil"/>
            </w:tcBorders>
            <w:vAlign w:val="center"/>
          </w:tcPr>
          <w:p w14:paraId="2A4CCFB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303.7</w:t>
            </w:r>
          </w:p>
        </w:tc>
        <w:tc>
          <w:tcPr>
            <w:tcW w:w="652" w:type="dxa"/>
            <w:tcBorders>
              <w:tl2br w:val="nil"/>
              <w:tr2bl w:val="nil"/>
            </w:tcBorders>
            <w:vAlign w:val="center"/>
          </w:tcPr>
          <w:p w14:paraId="7C93537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95.1</w:t>
            </w:r>
          </w:p>
        </w:tc>
        <w:tc>
          <w:tcPr>
            <w:tcW w:w="493" w:type="dxa"/>
            <w:tcBorders>
              <w:tl2br w:val="nil"/>
              <w:tr2bl w:val="nil"/>
            </w:tcBorders>
            <w:vAlign w:val="center"/>
          </w:tcPr>
          <w:p w14:paraId="20BC1E47">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rPr>
            </w:pPr>
            <w:r>
              <w:rPr>
                <w:rFonts w:hint="eastAsia" w:ascii="Times New Roman" w:hAnsi="Times New Roman" w:eastAsia="宋体" w:cs="Times New Roman"/>
                <w:snapToGrid w:val="0"/>
                <w:color w:val="auto"/>
                <w:sz w:val="21"/>
                <w:szCs w:val="21"/>
                <w:highlight w:val="none"/>
                <w:lang w:val="en-US" w:eastAsia="zh-CN"/>
              </w:rPr>
              <w:t>1.0</w:t>
            </w:r>
          </w:p>
        </w:tc>
        <w:tc>
          <w:tcPr>
            <w:tcW w:w="800" w:type="dxa"/>
            <w:tcBorders>
              <w:tl2br w:val="nil"/>
              <w:tr2bl w:val="nil"/>
            </w:tcBorders>
            <w:vAlign w:val="center"/>
          </w:tcPr>
          <w:p w14:paraId="2920242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23.13</w:t>
            </w:r>
          </w:p>
        </w:tc>
        <w:tc>
          <w:tcPr>
            <w:tcW w:w="852" w:type="dxa"/>
            <w:tcBorders>
              <w:tl2br w:val="nil"/>
              <w:tr2bl w:val="nil"/>
            </w:tcBorders>
            <w:vAlign w:val="center"/>
          </w:tcPr>
          <w:p w14:paraId="17D86B18">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69.8</w:t>
            </w:r>
          </w:p>
        </w:tc>
        <w:tc>
          <w:tcPr>
            <w:tcW w:w="636" w:type="dxa"/>
            <w:tcBorders>
              <w:tl2br w:val="nil"/>
              <w:tr2bl w:val="nil"/>
            </w:tcBorders>
            <w:vAlign w:val="center"/>
          </w:tcPr>
          <w:p w14:paraId="46C76714">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昼间、夜间</w:t>
            </w:r>
          </w:p>
        </w:tc>
        <w:tc>
          <w:tcPr>
            <w:tcW w:w="791" w:type="dxa"/>
            <w:tcBorders>
              <w:tl2br w:val="nil"/>
              <w:tr2bl w:val="nil"/>
            </w:tcBorders>
            <w:vAlign w:val="center"/>
          </w:tcPr>
          <w:p w14:paraId="7785F6B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eastAsia="zh-CN"/>
              </w:rPr>
            </w:pPr>
            <w:r>
              <w:rPr>
                <w:rFonts w:hint="eastAsia" w:ascii="Times New Roman" w:hAnsi="Times New Roman" w:eastAsia="宋体" w:cs="Times New Roman"/>
                <w:snapToGrid w:val="0"/>
                <w:color w:val="auto"/>
                <w:sz w:val="21"/>
                <w:szCs w:val="21"/>
                <w:highlight w:val="none"/>
              </w:rPr>
              <w:t>3</w:t>
            </w:r>
            <w:r>
              <w:rPr>
                <w:rFonts w:hint="eastAsia" w:ascii="Times New Roman" w:hAnsi="Times New Roman" w:eastAsia="宋体" w:cs="Times New Roman"/>
                <w:snapToGrid w:val="0"/>
                <w:color w:val="auto"/>
                <w:sz w:val="21"/>
                <w:szCs w:val="21"/>
                <w:highlight w:val="none"/>
                <w:lang w:val="en-US" w:eastAsia="zh-CN"/>
              </w:rPr>
              <w:t>0</w:t>
            </w:r>
          </w:p>
        </w:tc>
        <w:tc>
          <w:tcPr>
            <w:tcW w:w="852" w:type="dxa"/>
            <w:tcBorders>
              <w:tl2br w:val="nil"/>
              <w:tr2bl w:val="nil"/>
            </w:tcBorders>
            <w:vAlign w:val="center"/>
          </w:tcPr>
          <w:p w14:paraId="34DE2C3A">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55.89</w:t>
            </w:r>
          </w:p>
        </w:tc>
        <w:tc>
          <w:tcPr>
            <w:tcW w:w="874" w:type="dxa"/>
            <w:tcBorders>
              <w:tl2br w:val="nil"/>
              <w:tr2bl w:val="nil"/>
            </w:tcBorders>
            <w:vAlign w:val="center"/>
          </w:tcPr>
          <w:p w14:paraId="26DD2AE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3BEE7B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429" w:type="dxa"/>
            <w:tcBorders>
              <w:tl2br w:val="nil"/>
              <w:tr2bl w:val="nil"/>
            </w:tcBorders>
            <w:vAlign w:val="center"/>
          </w:tcPr>
          <w:p w14:paraId="345142D4">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12</w:t>
            </w:r>
          </w:p>
        </w:tc>
        <w:tc>
          <w:tcPr>
            <w:tcW w:w="542" w:type="dxa"/>
            <w:vMerge w:val="restart"/>
            <w:tcBorders>
              <w:tl2br w:val="nil"/>
              <w:tr2bl w:val="nil"/>
            </w:tcBorders>
            <w:vAlign w:val="center"/>
          </w:tcPr>
          <w:p w14:paraId="2A99173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污水处理</w:t>
            </w:r>
          </w:p>
        </w:tc>
        <w:tc>
          <w:tcPr>
            <w:tcW w:w="842" w:type="dxa"/>
            <w:tcBorders>
              <w:tl2br w:val="nil"/>
              <w:tr2bl w:val="nil"/>
            </w:tcBorders>
            <w:vAlign w:val="center"/>
          </w:tcPr>
          <w:p w14:paraId="02956E6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风机</w:t>
            </w:r>
          </w:p>
        </w:tc>
        <w:tc>
          <w:tcPr>
            <w:tcW w:w="586" w:type="dxa"/>
            <w:tcBorders>
              <w:tl2br w:val="nil"/>
              <w:tr2bl w:val="nil"/>
            </w:tcBorders>
            <w:vAlign w:val="center"/>
          </w:tcPr>
          <w:p w14:paraId="4CB8816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1BEBCE7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eastAsia="zh-CN"/>
              </w:rPr>
            </w:pPr>
            <w:r>
              <w:rPr>
                <w:rFonts w:hint="eastAsia" w:ascii="Times New Roman" w:hAnsi="Times New Roman" w:eastAsia="宋体" w:cs="Times New Roman"/>
                <w:snapToGrid w:val="0"/>
                <w:color w:val="auto"/>
                <w:sz w:val="21"/>
                <w:szCs w:val="21"/>
                <w:highlight w:val="none"/>
              </w:rPr>
              <w:t>8</w:t>
            </w:r>
            <w:r>
              <w:rPr>
                <w:rFonts w:hint="eastAsia" w:cs="Times New Roman"/>
                <w:snapToGrid w:val="0"/>
                <w:color w:val="auto"/>
                <w:sz w:val="21"/>
                <w:szCs w:val="21"/>
                <w:highlight w:val="none"/>
                <w:lang w:val="en-US" w:eastAsia="zh-CN"/>
              </w:rPr>
              <w:t>5</w:t>
            </w:r>
          </w:p>
        </w:tc>
        <w:tc>
          <w:tcPr>
            <w:tcW w:w="690" w:type="dxa"/>
            <w:vMerge w:val="restart"/>
            <w:tcBorders>
              <w:tl2br w:val="nil"/>
              <w:tr2bl w:val="nil"/>
            </w:tcBorders>
            <w:vAlign w:val="center"/>
          </w:tcPr>
          <w:p w14:paraId="6079900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厂房隔声、基础减震</w:t>
            </w:r>
          </w:p>
        </w:tc>
        <w:tc>
          <w:tcPr>
            <w:tcW w:w="689" w:type="dxa"/>
            <w:tcBorders>
              <w:tl2br w:val="nil"/>
              <w:tr2bl w:val="nil"/>
            </w:tcBorders>
            <w:vAlign w:val="center"/>
          </w:tcPr>
          <w:p w14:paraId="701CAAB9">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317.1</w:t>
            </w:r>
          </w:p>
        </w:tc>
        <w:tc>
          <w:tcPr>
            <w:tcW w:w="652" w:type="dxa"/>
            <w:tcBorders>
              <w:tl2br w:val="nil"/>
              <w:tr2bl w:val="nil"/>
            </w:tcBorders>
            <w:vAlign w:val="center"/>
          </w:tcPr>
          <w:p w14:paraId="4F1F909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87.5</w:t>
            </w:r>
          </w:p>
        </w:tc>
        <w:tc>
          <w:tcPr>
            <w:tcW w:w="493" w:type="dxa"/>
            <w:tcBorders>
              <w:tl2br w:val="nil"/>
              <w:tr2bl w:val="nil"/>
            </w:tcBorders>
            <w:vAlign w:val="center"/>
          </w:tcPr>
          <w:p w14:paraId="6D5E60E7">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rPr>
            </w:pPr>
            <w:r>
              <w:rPr>
                <w:rFonts w:hint="eastAsia" w:ascii="Times New Roman" w:hAnsi="Times New Roman" w:eastAsia="宋体" w:cs="Times New Roman"/>
                <w:snapToGrid w:val="0"/>
                <w:color w:val="auto"/>
                <w:sz w:val="21"/>
                <w:szCs w:val="21"/>
                <w:highlight w:val="none"/>
                <w:lang w:val="en-US" w:eastAsia="zh-CN"/>
              </w:rPr>
              <w:t>1.0</w:t>
            </w:r>
          </w:p>
        </w:tc>
        <w:tc>
          <w:tcPr>
            <w:tcW w:w="800" w:type="dxa"/>
            <w:tcBorders>
              <w:tl2br w:val="nil"/>
              <w:tr2bl w:val="nil"/>
            </w:tcBorders>
            <w:vAlign w:val="center"/>
          </w:tcPr>
          <w:p w14:paraId="1DC5BD1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0.92</w:t>
            </w:r>
          </w:p>
        </w:tc>
        <w:tc>
          <w:tcPr>
            <w:tcW w:w="852" w:type="dxa"/>
            <w:tcBorders>
              <w:tl2br w:val="nil"/>
              <w:tr2bl w:val="nil"/>
            </w:tcBorders>
            <w:vAlign w:val="center"/>
          </w:tcPr>
          <w:p w14:paraId="4654131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73.65</w:t>
            </w:r>
          </w:p>
        </w:tc>
        <w:tc>
          <w:tcPr>
            <w:tcW w:w="636" w:type="dxa"/>
            <w:vMerge w:val="restart"/>
            <w:tcBorders>
              <w:tl2br w:val="nil"/>
              <w:tr2bl w:val="nil"/>
            </w:tcBorders>
            <w:vAlign w:val="center"/>
          </w:tcPr>
          <w:p w14:paraId="18AC4A9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昼间、夜间</w:t>
            </w:r>
          </w:p>
        </w:tc>
        <w:tc>
          <w:tcPr>
            <w:tcW w:w="791" w:type="dxa"/>
            <w:tcBorders>
              <w:tl2br w:val="nil"/>
              <w:tr2bl w:val="nil"/>
            </w:tcBorders>
            <w:vAlign w:val="center"/>
          </w:tcPr>
          <w:p w14:paraId="0069640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25</w:t>
            </w:r>
          </w:p>
        </w:tc>
        <w:tc>
          <w:tcPr>
            <w:tcW w:w="852" w:type="dxa"/>
            <w:tcBorders>
              <w:tl2br w:val="nil"/>
              <w:tr2bl w:val="nil"/>
            </w:tcBorders>
            <w:vAlign w:val="center"/>
          </w:tcPr>
          <w:p w14:paraId="12CD39C1">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55.06</w:t>
            </w:r>
          </w:p>
        </w:tc>
        <w:tc>
          <w:tcPr>
            <w:tcW w:w="874" w:type="dxa"/>
            <w:tcBorders>
              <w:tl2br w:val="nil"/>
              <w:tr2bl w:val="nil"/>
            </w:tcBorders>
            <w:vAlign w:val="center"/>
          </w:tcPr>
          <w:p w14:paraId="27C1533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r w14:paraId="5F4E85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06" w:hRule="atLeast"/>
          <w:jc w:val="center"/>
        </w:trPr>
        <w:tc>
          <w:tcPr>
            <w:tcW w:w="429" w:type="dxa"/>
            <w:tcBorders>
              <w:tl2br w:val="nil"/>
              <w:tr2bl w:val="nil"/>
            </w:tcBorders>
            <w:vAlign w:val="center"/>
          </w:tcPr>
          <w:p w14:paraId="219B62D0">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13</w:t>
            </w:r>
          </w:p>
        </w:tc>
        <w:tc>
          <w:tcPr>
            <w:tcW w:w="542" w:type="dxa"/>
            <w:vMerge w:val="continue"/>
            <w:tcBorders>
              <w:tl2br w:val="nil"/>
              <w:tr2bl w:val="nil"/>
            </w:tcBorders>
            <w:vAlign w:val="center"/>
          </w:tcPr>
          <w:p w14:paraId="13858AB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842" w:type="dxa"/>
            <w:tcBorders>
              <w:tl2br w:val="nil"/>
              <w:tr2bl w:val="nil"/>
            </w:tcBorders>
            <w:vAlign w:val="center"/>
          </w:tcPr>
          <w:p w14:paraId="7C4A61DE">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泵类</w:t>
            </w:r>
          </w:p>
        </w:tc>
        <w:tc>
          <w:tcPr>
            <w:tcW w:w="586" w:type="dxa"/>
            <w:tcBorders>
              <w:tl2br w:val="nil"/>
              <w:tr2bl w:val="nil"/>
            </w:tcBorders>
            <w:vAlign w:val="center"/>
          </w:tcPr>
          <w:p w14:paraId="748A20E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825" w:type="dxa"/>
            <w:tcBorders>
              <w:tl2br w:val="nil"/>
              <w:tr2bl w:val="nil"/>
            </w:tcBorders>
            <w:vAlign w:val="center"/>
          </w:tcPr>
          <w:p w14:paraId="65B0F92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75</w:t>
            </w:r>
          </w:p>
        </w:tc>
        <w:tc>
          <w:tcPr>
            <w:tcW w:w="690" w:type="dxa"/>
            <w:vMerge w:val="continue"/>
            <w:tcBorders>
              <w:tl2br w:val="nil"/>
              <w:tr2bl w:val="nil"/>
            </w:tcBorders>
            <w:vAlign w:val="center"/>
          </w:tcPr>
          <w:p w14:paraId="4D26EBC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689" w:type="dxa"/>
            <w:tcBorders>
              <w:tl2br w:val="nil"/>
              <w:tr2bl w:val="nil"/>
            </w:tcBorders>
            <w:vAlign w:val="center"/>
          </w:tcPr>
          <w:p w14:paraId="42336C9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318.7</w:t>
            </w:r>
          </w:p>
        </w:tc>
        <w:tc>
          <w:tcPr>
            <w:tcW w:w="652" w:type="dxa"/>
            <w:tcBorders>
              <w:tl2br w:val="nil"/>
              <w:tr2bl w:val="nil"/>
            </w:tcBorders>
            <w:vAlign w:val="center"/>
          </w:tcPr>
          <w:p w14:paraId="61A84ED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82.6</w:t>
            </w:r>
          </w:p>
        </w:tc>
        <w:tc>
          <w:tcPr>
            <w:tcW w:w="493" w:type="dxa"/>
            <w:tcBorders>
              <w:tl2br w:val="nil"/>
              <w:tr2bl w:val="nil"/>
            </w:tcBorders>
            <w:vAlign w:val="center"/>
          </w:tcPr>
          <w:p w14:paraId="1B379176">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0.5</w:t>
            </w:r>
          </w:p>
        </w:tc>
        <w:tc>
          <w:tcPr>
            <w:tcW w:w="800" w:type="dxa"/>
            <w:tcBorders>
              <w:tl2br w:val="nil"/>
              <w:tr2bl w:val="nil"/>
            </w:tcBorders>
            <w:vAlign w:val="center"/>
          </w:tcPr>
          <w:p w14:paraId="0A26864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6.02</w:t>
            </w:r>
          </w:p>
        </w:tc>
        <w:tc>
          <w:tcPr>
            <w:tcW w:w="852" w:type="dxa"/>
            <w:tcBorders>
              <w:tl2br w:val="nil"/>
              <w:tr2bl w:val="nil"/>
            </w:tcBorders>
            <w:vAlign w:val="center"/>
          </w:tcPr>
          <w:p w14:paraId="090056F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61.7</w:t>
            </w:r>
          </w:p>
        </w:tc>
        <w:tc>
          <w:tcPr>
            <w:tcW w:w="636" w:type="dxa"/>
            <w:vMerge w:val="continue"/>
            <w:tcBorders>
              <w:tl2br w:val="nil"/>
              <w:tr2bl w:val="nil"/>
            </w:tcBorders>
            <w:vAlign w:val="center"/>
          </w:tcPr>
          <w:p w14:paraId="2D2A1EE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c>
          <w:tcPr>
            <w:tcW w:w="791" w:type="dxa"/>
            <w:tcBorders>
              <w:tl2br w:val="nil"/>
              <w:tr2bl w:val="nil"/>
            </w:tcBorders>
            <w:vAlign w:val="center"/>
          </w:tcPr>
          <w:p w14:paraId="7473A1A2">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25</w:t>
            </w:r>
          </w:p>
        </w:tc>
        <w:tc>
          <w:tcPr>
            <w:tcW w:w="852" w:type="dxa"/>
            <w:tcBorders>
              <w:tl2br w:val="nil"/>
              <w:tr2bl w:val="nil"/>
            </w:tcBorders>
            <w:vAlign w:val="center"/>
          </w:tcPr>
          <w:p w14:paraId="5CDD6DC4">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43.11</w:t>
            </w:r>
          </w:p>
        </w:tc>
        <w:tc>
          <w:tcPr>
            <w:tcW w:w="874" w:type="dxa"/>
            <w:tcBorders>
              <w:tl2br w:val="nil"/>
              <w:tr2bl w:val="nil"/>
            </w:tcBorders>
            <w:vAlign w:val="center"/>
          </w:tcPr>
          <w:p w14:paraId="55F206C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1.0</w:t>
            </w:r>
          </w:p>
        </w:tc>
      </w:tr>
    </w:tbl>
    <w:p w14:paraId="631255B8">
      <w:pPr>
        <w:pStyle w:val="38"/>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注：</w:t>
      </w:r>
      <w:r>
        <w:rPr>
          <w:rFonts w:hint="default" w:ascii="Times New Roman" w:hAnsi="Times New Roman" w:eastAsia="宋体" w:cs="Times New Roman"/>
          <w:color w:val="auto"/>
          <w:sz w:val="21"/>
          <w:szCs w:val="21"/>
          <w:highlight w:val="none"/>
          <w:lang w:val="en-US" w:eastAsia="zh-CN"/>
        </w:rPr>
        <w:t>①</w:t>
      </w:r>
      <w:r>
        <w:rPr>
          <w:rFonts w:hint="eastAsia" w:ascii="Times New Roman" w:hAnsi="Times New Roman" w:eastAsia="宋体" w:cs="Times New Roman"/>
          <w:color w:val="auto"/>
          <w:sz w:val="21"/>
          <w:szCs w:val="21"/>
          <w:highlight w:val="none"/>
          <w:lang w:val="en-US" w:eastAsia="zh-CN"/>
        </w:rPr>
        <w:t>生产车间门、窗、墙等围护结构的隔声量为30dB(A)；制冷机房门、窗、墙等围护结构的隔声量为35dB(A)；污水处理间门、窗、墙等围护结构的隔声量为25dB(A)；</w:t>
      </w:r>
    </w:p>
    <w:p w14:paraId="02F19AA9">
      <w:pPr>
        <w:pStyle w:val="38"/>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②</w:t>
      </w:r>
      <w:r>
        <w:rPr>
          <w:rFonts w:hint="eastAsia" w:ascii="Times New Roman" w:hAnsi="Times New Roman" w:eastAsia="宋体" w:cs="Times New Roman"/>
          <w:color w:val="auto"/>
          <w:sz w:val="21"/>
          <w:szCs w:val="21"/>
          <w:highlight w:val="none"/>
          <w:lang w:val="en-US" w:eastAsia="zh-CN"/>
        </w:rPr>
        <w:t>室内平均吸声系数为0.1468。</w:t>
      </w:r>
    </w:p>
    <w:p w14:paraId="63E72E87">
      <w:pPr>
        <w:spacing w:before="163" w:beforeLines="50" w:line="240" w:lineRule="auto"/>
        <w:ind w:firstLine="0" w:firstLineChars="0"/>
        <w:jc w:val="center"/>
        <w:rPr>
          <w:rFonts w:hint="eastAsia" w:ascii="Times New Roman" w:hAnsi="Times New Roman" w:eastAsia="宋体" w:cs="Times New Roman"/>
          <w:b/>
          <w:color w:val="auto"/>
          <w:szCs w:val="24"/>
          <w:highlight w:val="none"/>
        </w:rPr>
      </w:pPr>
      <w:r>
        <w:rPr>
          <w:rFonts w:hint="eastAsia" w:ascii="Times New Roman" w:hAnsi="Times New Roman" w:eastAsia="宋体" w:cs="Times New Roman"/>
          <w:b/>
          <w:color w:val="auto"/>
          <w:szCs w:val="24"/>
          <w:highlight w:val="none"/>
        </w:rPr>
        <w:t>表</w:t>
      </w:r>
      <w:r>
        <w:rPr>
          <w:rFonts w:hint="eastAsia" w:ascii="Times New Roman" w:hAnsi="Times New Roman" w:eastAsia="宋体" w:cs="Times New Roman"/>
          <w:b/>
          <w:color w:val="auto"/>
          <w:szCs w:val="24"/>
          <w:highlight w:val="none"/>
          <w:lang w:val="en-US" w:eastAsia="zh-CN"/>
        </w:rPr>
        <w:t>3</w:t>
      </w:r>
      <w:r>
        <w:rPr>
          <w:rFonts w:hint="eastAsia" w:cs="Times New Roman"/>
          <w:b/>
          <w:color w:val="auto"/>
          <w:szCs w:val="24"/>
          <w:highlight w:val="none"/>
          <w:lang w:val="en-US" w:eastAsia="zh-CN"/>
        </w:rPr>
        <w:t>.</w:t>
      </w:r>
      <w:r>
        <w:rPr>
          <w:rFonts w:hint="eastAsia" w:ascii="Times New Roman" w:hAnsi="Times New Roman" w:eastAsia="宋体" w:cs="Times New Roman"/>
          <w:b/>
          <w:color w:val="auto"/>
          <w:szCs w:val="24"/>
          <w:highlight w:val="none"/>
          <w:lang w:val="en-US" w:eastAsia="zh-CN"/>
        </w:rPr>
        <w:t>4-1</w:t>
      </w:r>
      <w:r>
        <w:rPr>
          <w:rFonts w:hint="eastAsia" w:cs="Times New Roman"/>
          <w:b/>
          <w:color w:val="auto"/>
          <w:szCs w:val="24"/>
          <w:highlight w:val="none"/>
          <w:lang w:val="en-US" w:eastAsia="zh-CN"/>
        </w:rPr>
        <w:t>6</w:t>
      </w:r>
      <w:r>
        <w:rPr>
          <w:rFonts w:hint="eastAsia" w:ascii="Times New Roman" w:hAnsi="Times New Roman" w:eastAsia="宋体" w:cs="Times New Roman"/>
          <w:b/>
          <w:color w:val="auto"/>
          <w:szCs w:val="24"/>
          <w:highlight w:val="none"/>
        </w:rPr>
        <w:t xml:space="preserve">  工业企业噪声源强调查清单（室外声源）</w:t>
      </w:r>
    </w:p>
    <w:tbl>
      <w:tblPr>
        <w:tblStyle w:val="47"/>
        <w:tblW w:w="840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14"/>
        <w:gridCol w:w="823"/>
        <w:gridCol w:w="450"/>
        <w:gridCol w:w="747"/>
        <w:gridCol w:w="1204"/>
        <w:gridCol w:w="635"/>
        <w:gridCol w:w="891"/>
        <w:gridCol w:w="751"/>
        <w:gridCol w:w="836"/>
        <w:gridCol w:w="903"/>
        <w:gridCol w:w="646"/>
      </w:tblGrid>
      <w:tr w14:paraId="2AE7BD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4" w:type="dxa"/>
            <w:vMerge w:val="restart"/>
            <w:noWrap w:val="0"/>
            <w:vAlign w:val="center"/>
          </w:tcPr>
          <w:p w14:paraId="6E27528A">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序号</w:t>
            </w:r>
          </w:p>
        </w:tc>
        <w:tc>
          <w:tcPr>
            <w:tcW w:w="823" w:type="dxa"/>
            <w:vMerge w:val="restart"/>
            <w:noWrap w:val="0"/>
            <w:vAlign w:val="center"/>
          </w:tcPr>
          <w:p w14:paraId="265F4153">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声源名称</w:t>
            </w:r>
          </w:p>
        </w:tc>
        <w:tc>
          <w:tcPr>
            <w:tcW w:w="450" w:type="dxa"/>
            <w:vMerge w:val="restart"/>
            <w:noWrap w:val="0"/>
            <w:vAlign w:val="center"/>
          </w:tcPr>
          <w:p w14:paraId="4503A99E">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型号</w:t>
            </w:r>
          </w:p>
        </w:tc>
        <w:tc>
          <w:tcPr>
            <w:tcW w:w="2586" w:type="dxa"/>
            <w:gridSpan w:val="3"/>
            <w:noWrap w:val="0"/>
            <w:vAlign w:val="center"/>
          </w:tcPr>
          <w:p w14:paraId="287BCACD">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空间相对位置/m</w:t>
            </w:r>
          </w:p>
        </w:tc>
        <w:tc>
          <w:tcPr>
            <w:tcW w:w="891" w:type="dxa"/>
            <w:noWrap w:val="0"/>
            <w:vAlign w:val="center"/>
          </w:tcPr>
          <w:p w14:paraId="26439196">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产生声源源强</w:t>
            </w:r>
          </w:p>
        </w:tc>
        <w:tc>
          <w:tcPr>
            <w:tcW w:w="751" w:type="dxa"/>
            <w:vMerge w:val="restart"/>
            <w:noWrap w:val="0"/>
            <w:vAlign w:val="center"/>
          </w:tcPr>
          <w:p w14:paraId="4B935AE2">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声源控制措施</w:t>
            </w:r>
          </w:p>
        </w:tc>
        <w:tc>
          <w:tcPr>
            <w:tcW w:w="836" w:type="dxa"/>
            <w:vMerge w:val="restart"/>
            <w:noWrap w:val="0"/>
            <w:vAlign w:val="center"/>
          </w:tcPr>
          <w:p w14:paraId="1389ED25">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降噪后衰减量dB（A）</w:t>
            </w:r>
          </w:p>
        </w:tc>
        <w:tc>
          <w:tcPr>
            <w:tcW w:w="903" w:type="dxa"/>
            <w:noWrap w:val="0"/>
            <w:vAlign w:val="center"/>
          </w:tcPr>
          <w:p w14:paraId="4487293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产生声源源强</w:t>
            </w:r>
          </w:p>
        </w:tc>
        <w:tc>
          <w:tcPr>
            <w:tcW w:w="646" w:type="dxa"/>
            <w:vMerge w:val="restart"/>
            <w:noWrap w:val="0"/>
            <w:vAlign w:val="center"/>
          </w:tcPr>
          <w:p w14:paraId="6C3B518C">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ascii="Times New Roman" w:hAnsi="Times New Roman" w:eastAsia="宋体" w:cs="Times New Roman"/>
                <w:snapToGrid w:val="0"/>
                <w:color w:val="auto"/>
                <w:sz w:val="21"/>
                <w:szCs w:val="21"/>
                <w:highlight w:val="none"/>
              </w:rPr>
              <w:t>持续时间/h</w:t>
            </w:r>
          </w:p>
        </w:tc>
      </w:tr>
      <w:tr w14:paraId="1F5CD5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4" w:type="dxa"/>
            <w:vMerge w:val="continue"/>
            <w:noWrap w:val="0"/>
            <w:vAlign w:val="center"/>
          </w:tcPr>
          <w:p w14:paraId="3915B4F3">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823" w:type="dxa"/>
            <w:vMerge w:val="continue"/>
            <w:noWrap w:val="0"/>
            <w:vAlign w:val="center"/>
          </w:tcPr>
          <w:p w14:paraId="6D9C0254">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450" w:type="dxa"/>
            <w:vMerge w:val="continue"/>
            <w:noWrap w:val="0"/>
            <w:vAlign w:val="center"/>
          </w:tcPr>
          <w:p w14:paraId="33837430">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747" w:type="dxa"/>
            <w:noWrap w:val="0"/>
            <w:vAlign w:val="center"/>
          </w:tcPr>
          <w:p w14:paraId="4B7F212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X</w:t>
            </w:r>
          </w:p>
        </w:tc>
        <w:tc>
          <w:tcPr>
            <w:tcW w:w="1204" w:type="dxa"/>
            <w:noWrap w:val="0"/>
            <w:vAlign w:val="center"/>
          </w:tcPr>
          <w:p w14:paraId="47CD001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Y</w:t>
            </w:r>
          </w:p>
        </w:tc>
        <w:tc>
          <w:tcPr>
            <w:tcW w:w="635" w:type="dxa"/>
            <w:noWrap w:val="0"/>
            <w:vAlign w:val="center"/>
          </w:tcPr>
          <w:p w14:paraId="573889F5">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Z</w:t>
            </w:r>
          </w:p>
        </w:tc>
        <w:tc>
          <w:tcPr>
            <w:tcW w:w="891" w:type="dxa"/>
            <w:noWrap w:val="0"/>
            <w:vAlign w:val="center"/>
          </w:tcPr>
          <w:p w14:paraId="4C172FC3">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声功率级/dB（A）</w:t>
            </w:r>
          </w:p>
        </w:tc>
        <w:tc>
          <w:tcPr>
            <w:tcW w:w="751" w:type="dxa"/>
            <w:vMerge w:val="continue"/>
            <w:noWrap w:val="0"/>
            <w:vAlign w:val="center"/>
          </w:tcPr>
          <w:p w14:paraId="0505BF0A">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836" w:type="dxa"/>
            <w:vMerge w:val="continue"/>
            <w:noWrap w:val="0"/>
            <w:vAlign w:val="center"/>
          </w:tcPr>
          <w:p w14:paraId="06631B19">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903" w:type="dxa"/>
            <w:noWrap w:val="0"/>
            <w:vAlign w:val="center"/>
          </w:tcPr>
          <w:p w14:paraId="2E2A199F">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声功率级/dB（A）</w:t>
            </w:r>
          </w:p>
        </w:tc>
        <w:tc>
          <w:tcPr>
            <w:tcW w:w="646" w:type="dxa"/>
            <w:vMerge w:val="continue"/>
            <w:noWrap w:val="0"/>
            <w:vAlign w:val="center"/>
          </w:tcPr>
          <w:p w14:paraId="58ED258E">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r>
      <w:tr w14:paraId="5F77F3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4" w:hRule="atLeast"/>
          <w:jc w:val="center"/>
        </w:trPr>
        <w:tc>
          <w:tcPr>
            <w:tcW w:w="514" w:type="dxa"/>
            <w:noWrap w:val="0"/>
            <w:vAlign w:val="center"/>
          </w:tcPr>
          <w:p w14:paraId="7F681CBF">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1</w:t>
            </w:r>
          </w:p>
        </w:tc>
        <w:tc>
          <w:tcPr>
            <w:tcW w:w="823" w:type="dxa"/>
            <w:noWrap w:val="0"/>
            <w:vAlign w:val="center"/>
          </w:tcPr>
          <w:p w14:paraId="12EA9D37">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rPr>
            </w:pPr>
            <w:r>
              <w:rPr>
                <w:rFonts w:hint="eastAsia" w:ascii="Times New Roman" w:hAnsi="Times New Roman" w:eastAsia="宋体" w:cs="Times New Roman"/>
                <w:snapToGrid w:val="0"/>
                <w:color w:val="auto"/>
                <w:sz w:val="21"/>
                <w:szCs w:val="21"/>
                <w:highlight w:val="none"/>
                <w:lang w:val="en-US" w:eastAsia="zh-CN"/>
              </w:rPr>
              <w:t>待宰圈牛、羊嚎叫</w:t>
            </w:r>
          </w:p>
        </w:tc>
        <w:tc>
          <w:tcPr>
            <w:tcW w:w="450" w:type="dxa"/>
            <w:noWrap w:val="0"/>
            <w:vAlign w:val="center"/>
          </w:tcPr>
          <w:p w14:paraId="2429CC8B">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747" w:type="dxa"/>
            <w:noWrap w:val="0"/>
            <w:vAlign w:val="center"/>
          </w:tcPr>
          <w:p w14:paraId="7D157CC6">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250.1</w:t>
            </w:r>
          </w:p>
        </w:tc>
        <w:tc>
          <w:tcPr>
            <w:tcW w:w="1204" w:type="dxa"/>
            <w:noWrap w:val="0"/>
            <w:vAlign w:val="center"/>
          </w:tcPr>
          <w:p w14:paraId="60FA89E3">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62.7</w:t>
            </w:r>
          </w:p>
        </w:tc>
        <w:tc>
          <w:tcPr>
            <w:tcW w:w="635" w:type="dxa"/>
            <w:noWrap w:val="0"/>
            <w:vAlign w:val="center"/>
          </w:tcPr>
          <w:p w14:paraId="705023B9">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1.2</w:t>
            </w:r>
          </w:p>
        </w:tc>
        <w:tc>
          <w:tcPr>
            <w:tcW w:w="891" w:type="dxa"/>
            <w:noWrap w:val="0"/>
            <w:vAlign w:val="center"/>
          </w:tcPr>
          <w:p w14:paraId="3C4B0282">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75</w:t>
            </w:r>
          </w:p>
        </w:tc>
        <w:tc>
          <w:tcPr>
            <w:tcW w:w="751" w:type="dxa"/>
            <w:vMerge w:val="restart"/>
            <w:noWrap w:val="0"/>
            <w:vAlign w:val="center"/>
          </w:tcPr>
          <w:p w14:paraId="77E7C5D3">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ascii="Times New Roman" w:hAnsi="Times New Roman" w:eastAsia="宋体" w:cs="Times New Roman"/>
                <w:snapToGrid w:val="0"/>
                <w:color w:val="auto"/>
                <w:sz w:val="21"/>
                <w:szCs w:val="21"/>
                <w:highlight w:val="none"/>
              </w:rPr>
              <w:t>低噪设备、</w:t>
            </w:r>
            <w:r>
              <w:rPr>
                <w:rFonts w:hint="eastAsia" w:ascii="Times New Roman" w:hAnsi="Times New Roman" w:eastAsia="宋体" w:cs="Times New Roman"/>
                <w:snapToGrid w:val="0"/>
                <w:color w:val="auto"/>
                <w:sz w:val="21"/>
                <w:szCs w:val="21"/>
                <w:highlight w:val="none"/>
              </w:rPr>
              <w:t>加强维护、减速</w:t>
            </w:r>
          </w:p>
        </w:tc>
        <w:tc>
          <w:tcPr>
            <w:tcW w:w="836" w:type="dxa"/>
            <w:noWrap w:val="0"/>
            <w:vAlign w:val="center"/>
          </w:tcPr>
          <w:p w14:paraId="75B1CD1F">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20</w:t>
            </w:r>
          </w:p>
        </w:tc>
        <w:tc>
          <w:tcPr>
            <w:tcW w:w="903" w:type="dxa"/>
            <w:noWrap w:val="0"/>
            <w:vAlign w:val="center"/>
          </w:tcPr>
          <w:p w14:paraId="20741935">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55</w:t>
            </w:r>
          </w:p>
        </w:tc>
        <w:tc>
          <w:tcPr>
            <w:tcW w:w="646" w:type="dxa"/>
            <w:vMerge w:val="restart"/>
            <w:noWrap w:val="0"/>
            <w:vAlign w:val="center"/>
          </w:tcPr>
          <w:p w14:paraId="438692B1">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7</w:t>
            </w:r>
            <w:r>
              <w:rPr>
                <w:rFonts w:hint="eastAsia" w:cs="Times New Roman"/>
                <w:snapToGrid w:val="0"/>
                <w:color w:val="auto"/>
                <w:sz w:val="21"/>
                <w:szCs w:val="21"/>
                <w:highlight w:val="none"/>
                <w:lang w:val="en-US" w:eastAsia="zh-CN"/>
              </w:rPr>
              <w:t>440</w:t>
            </w:r>
          </w:p>
        </w:tc>
      </w:tr>
      <w:tr w14:paraId="2376E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514" w:type="dxa"/>
            <w:noWrap w:val="0"/>
            <w:vAlign w:val="center"/>
          </w:tcPr>
          <w:p w14:paraId="6787B62A">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2</w:t>
            </w:r>
          </w:p>
        </w:tc>
        <w:tc>
          <w:tcPr>
            <w:tcW w:w="823" w:type="dxa"/>
            <w:noWrap w:val="0"/>
            <w:vAlign w:val="center"/>
          </w:tcPr>
          <w:p w14:paraId="2D165AD7">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固废风机</w:t>
            </w:r>
          </w:p>
        </w:tc>
        <w:tc>
          <w:tcPr>
            <w:tcW w:w="450" w:type="dxa"/>
            <w:noWrap w:val="0"/>
            <w:vAlign w:val="center"/>
          </w:tcPr>
          <w:p w14:paraId="364818FC">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w:t>
            </w:r>
          </w:p>
        </w:tc>
        <w:tc>
          <w:tcPr>
            <w:tcW w:w="747" w:type="dxa"/>
            <w:noWrap w:val="0"/>
            <w:vAlign w:val="center"/>
          </w:tcPr>
          <w:p w14:paraId="1661C2B2">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255</w:t>
            </w:r>
          </w:p>
        </w:tc>
        <w:tc>
          <w:tcPr>
            <w:tcW w:w="1204" w:type="dxa"/>
            <w:noWrap w:val="0"/>
            <w:vAlign w:val="center"/>
          </w:tcPr>
          <w:p w14:paraId="3A901881">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63.8</w:t>
            </w:r>
          </w:p>
        </w:tc>
        <w:tc>
          <w:tcPr>
            <w:tcW w:w="635" w:type="dxa"/>
            <w:noWrap w:val="0"/>
            <w:vAlign w:val="center"/>
          </w:tcPr>
          <w:p w14:paraId="245C2D30">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0.5</w:t>
            </w:r>
          </w:p>
        </w:tc>
        <w:tc>
          <w:tcPr>
            <w:tcW w:w="891" w:type="dxa"/>
            <w:noWrap w:val="0"/>
            <w:vAlign w:val="center"/>
          </w:tcPr>
          <w:p w14:paraId="5F993563">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8</w:t>
            </w:r>
            <w:r>
              <w:rPr>
                <w:rFonts w:hint="eastAsia" w:cs="Times New Roman"/>
                <w:snapToGrid w:val="0"/>
                <w:color w:val="auto"/>
                <w:sz w:val="21"/>
                <w:szCs w:val="21"/>
                <w:highlight w:val="none"/>
                <w:lang w:val="en-US" w:eastAsia="zh-CN"/>
              </w:rPr>
              <w:t>5</w:t>
            </w:r>
          </w:p>
        </w:tc>
        <w:tc>
          <w:tcPr>
            <w:tcW w:w="751" w:type="dxa"/>
            <w:vMerge w:val="continue"/>
            <w:noWrap w:val="0"/>
            <w:vAlign w:val="center"/>
          </w:tcPr>
          <w:p w14:paraId="502501B8">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836" w:type="dxa"/>
            <w:noWrap w:val="0"/>
            <w:vAlign w:val="center"/>
          </w:tcPr>
          <w:p w14:paraId="4DB96F7B">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rPr>
              <w:t>20</w:t>
            </w:r>
          </w:p>
        </w:tc>
        <w:tc>
          <w:tcPr>
            <w:tcW w:w="903" w:type="dxa"/>
            <w:noWrap w:val="0"/>
            <w:vAlign w:val="center"/>
          </w:tcPr>
          <w:p w14:paraId="20D919F9">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6</w:t>
            </w:r>
            <w:r>
              <w:rPr>
                <w:rFonts w:hint="eastAsia" w:cs="Times New Roman"/>
                <w:snapToGrid w:val="0"/>
                <w:color w:val="auto"/>
                <w:sz w:val="21"/>
                <w:szCs w:val="21"/>
                <w:highlight w:val="none"/>
                <w:lang w:val="en-US" w:eastAsia="zh-CN"/>
              </w:rPr>
              <w:t>5</w:t>
            </w:r>
          </w:p>
        </w:tc>
        <w:tc>
          <w:tcPr>
            <w:tcW w:w="646" w:type="dxa"/>
            <w:vMerge w:val="continue"/>
            <w:noWrap w:val="0"/>
            <w:vAlign w:val="center"/>
          </w:tcPr>
          <w:p w14:paraId="69149DA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rPr>
            </w:pPr>
          </w:p>
        </w:tc>
      </w:tr>
      <w:tr w14:paraId="7BDF22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514" w:type="dxa"/>
            <w:noWrap w:val="0"/>
            <w:vAlign w:val="center"/>
          </w:tcPr>
          <w:p w14:paraId="6CD6931E">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w:t>
            </w:r>
          </w:p>
        </w:tc>
        <w:tc>
          <w:tcPr>
            <w:tcW w:w="823" w:type="dxa"/>
            <w:noWrap w:val="0"/>
            <w:vAlign w:val="center"/>
          </w:tcPr>
          <w:p w14:paraId="11B91FA0">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车辆运输</w:t>
            </w:r>
          </w:p>
        </w:tc>
        <w:tc>
          <w:tcPr>
            <w:tcW w:w="450" w:type="dxa"/>
            <w:noWrap w:val="0"/>
            <w:vAlign w:val="center"/>
          </w:tcPr>
          <w:p w14:paraId="0C13195D">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w:t>
            </w:r>
          </w:p>
        </w:tc>
        <w:tc>
          <w:tcPr>
            <w:tcW w:w="747" w:type="dxa"/>
            <w:noWrap w:val="0"/>
            <w:vAlign w:val="center"/>
          </w:tcPr>
          <w:p w14:paraId="50BDDE77">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250.8</w:t>
            </w:r>
          </w:p>
        </w:tc>
        <w:tc>
          <w:tcPr>
            <w:tcW w:w="1204" w:type="dxa"/>
            <w:noWrap w:val="0"/>
            <w:vAlign w:val="center"/>
          </w:tcPr>
          <w:p w14:paraId="69C649E0">
            <w:pPr>
              <w:pStyle w:val="117"/>
              <w:spacing w:line="360" w:lineRule="exact"/>
              <w:ind w:firstLine="0" w:firstLineChars="0"/>
              <w:jc w:val="center"/>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265.4|310.3</w:t>
            </w:r>
          </w:p>
        </w:tc>
        <w:tc>
          <w:tcPr>
            <w:tcW w:w="635" w:type="dxa"/>
            <w:noWrap w:val="0"/>
            <w:vAlign w:val="center"/>
          </w:tcPr>
          <w:p w14:paraId="56303DC8">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1.8</w:t>
            </w:r>
          </w:p>
        </w:tc>
        <w:tc>
          <w:tcPr>
            <w:tcW w:w="891" w:type="dxa"/>
            <w:noWrap w:val="0"/>
            <w:vAlign w:val="center"/>
          </w:tcPr>
          <w:p w14:paraId="43C2B261">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70</w:t>
            </w:r>
          </w:p>
        </w:tc>
        <w:tc>
          <w:tcPr>
            <w:tcW w:w="751" w:type="dxa"/>
            <w:vMerge w:val="continue"/>
            <w:noWrap w:val="0"/>
            <w:vAlign w:val="center"/>
          </w:tcPr>
          <w:p w14:paraId="7591F507">
            <w:pPr>
              <w:pStyle w:val="117"/>
              <w:spacing w:line="360" w:lineRule="exact"/>
              <w:ind w:firstLine="0" w:firstLineChars="0"/>
              <w:jc w:val="center"/>
              <w:rPr>
                <w:rFonts w:ascii="Times New Roman" w:hAnsi="Times New Roman" w:eastAsia="宋体" w:cs="Times New Roman"/>
                <w:snapToGrid w:val="0"/>
                <w:color w:val="auto"/>
                <w:sz w:val="21"/>
                <w:szCs w:val="21"/>
                <w:highlight w:val="none"/>
              </w:rPr>
            </w:pPr>
          </w:p>
        </w:tc>
        <w:tc>
          <w:tcPr>
            <w:tcW w:w="836" w:type="dxa"/>
            <w:noWrap w:val="0"/>
            <w:vAlign w:val="center"/>
          </w:tcPr>
          <w:p w14:paraId="13E3F45D">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20</w:t>
            </w:r>
          </w:p>
        </w:tc>
        <w:tc>
          <w:tcPr>
            <w:tcW w:w="903" w:type="dxa"/>
            <w:noWrap w:val="0"/>
            <w:vAlign w:val="center"/>
          </w:tcPr>
          <w:p w14:paraId="145E048C">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50</w:t>
            </w:r>
          </w:p>
        </w:tc>
        <w:tc>
          <w:tcPr>
            <w:tcW w:w="646" w:type="dxa"/>
            <w:noWrap w:val="0"/>
            <w:vAlign w:val="center"/>
          </w:tcPr>
          <w:p w14:paraId="29DCD7FB">
            <w:pPr>
              <w:pStyle w:val="117"/>
              <w:spacing w:line="360" w:lineRule="exact"/>
              <w:ind w:firstLine="0" w:firstLineChars="0"/>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620</w:t>
            </w:r>
          </w:p>
        </w:tc>
      </w:tr>
    </w:tbl>
    <w:p w14:paraId="548AC4DC">
      <w:pPr>
        <w:pStyle w:val="5"/>
        <w:ind w:firstLine="241" w:firstLineChars="100"/>
        <w:rPr>
          <w:snapToGrid w:val="0"/>
          <w:color w:val="auto"/>
          <w:kern w:val="0"/>
          <w:szCs w:val="24"/>
          <w:highlight w:val="none"/>
        </w:rPr>
      </w:pPr>
      <w:r>
        <w:rPr>
          <w:color w:val="auto"/>
          <w:highlight w:val="none"/>
        </w:rPr>
        <w:t>3.4.2.4固体废物</w:t>
      </w:r>
    </w:p>
    <w:p w14:paraId="12048DD2">
      <w:pPr>
        <w:pStyle w:val="117"/>
        <w:rPr>
          <w:rFonts w:cs="Times New Roman"/>
          <w:color w:val="auto"/>
          <w:highlight w:val="none"/>
        </w:rPr>
      </w:pPr>
      <w:r>
        <w:rPr>
          <w:rFonts w:cs="Times New Roman"/>
          <w:snapToGrid w:val="0"/>
          <w:color w:val="auto"/>
          <w:kern w:val="0"/>
          <w:szCs w:val="24"/>
          <w:highlight w:val="none"/>
        </w:rPr>
        <w:t>本项目运营期产生的固体废物为一般固体废物及危险废物，一般固体废物主要包括检疫不合格品、病死牛羊、粪便、边角料、胃容物及肠内物、</w:t>
      </w:r>
      <w:r>
        <w:rPr>
          <w:rFonts w:hint="eastAsia" w:cs="Times New Roman"/>
          <w:snapToGrid w:val="0"/>
          <w:color w:val="auto"/>
          <w:kern w:val="0"/>
          <w:szCs w:val="24"/>
          <w:highlight w:val="none"/>
          <w:lang w:val="en-US" w:eastAsia="zh-CN"/>
        </w:rPr>
        <w:t>隔油池废油脂、</w:t>
      </w:r>
      <w:r>
        <w:rPr>
          <w:rFonts w:cs="Times New Roman"/>
          <w:snapToGrid w:val="0"/>
          <w:color w:val="auto"/>
          <w:kern w:val="0"/>
          <w:szCs w:val="24"/>
          <w:highlight w:val="none"/>
        </w:rPr>
        <w:t>污泥（含栅渣）、废包装以及生活垃圾；危险废物主要为检疫废物、废活性炭</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lang w:val="en-US" w:eastAsia="zh-CN"/>
        </w:rPr>
        <w:t>废润滑油及含油抹布、</w:t>
      </w:r>
      <w:r>
        <w:rPr>
          <w:rFonts w:hint="eastAsia" w:cs="Times New Roman"/>
          <w:snapToGrid w:val="0"/>
          <w:color w:val="auto"/>
          <w:kern w:val="0"/>
          <w:szCs w:val="24"/>
          <w:highlight w:val="none"/>
          <w:lang w:val="en-US" w:eastAsia="zh-CN"/>
        </w:rPr>
        <w:t>在线监测废液、</w:t>
      </w:r>
      <w:r>
        <w:rPr>
          <w:rFonts w:hint="eastAsia" w:cs="Times New Roman"/>
          <w:snapToGrid w:val="0"/>
          <w:color w:val="auto"/>
          <w:kern w:val="0"/>
          <w:szCs w:val="24"/>
          <w:highlight w:val="none"/>
          <w:lang w:val="en-US" w:eastAsia="zh-CN"/>
        </w:rPr>
        <w:t>劳保手套</w:t>
      </w:r>
      <w:r>
        <w:rPr>
          <w:rFonts w:cs="Times New Roman"/>
          <w:snapToGrid w:val="0"/>
          <w:color w:val="auto"/>
          <w:kern w:val="0"/>
          <w:szCs w:val="24"/>
          <w:highlight w:val="none"/>
        </w:rPr>
        <w:t>。</w:t>
      </w:r>
    </w:p>
    <w:p w14:paraId="60A6CCF6">
      <w:pPr>
        <w:spacing w:line="500" w:lineRule="exact"/>
        <w:ind w:firstLine="482"/>
        <w:rPr>
          <w:rFonts w:cs="Times New Roman"/>
          <w:b/>
          <w:bCs/>
          <w:snapToGrid w:val="0"/>
          <w:color w:val="auto"/>
          <w:kern w:val="0"/>
          <w:szCs w:val="24"/>
          <w:highlight w:val="none"/>
        </w:rPr>
      </w:pPr>
      <w:r>
        <w:rPr>
          <w:rFonts w:cs="Times New Roman"/>
          <w:b/>
          <w:bCs/>
          <w:snapToGrid w:val="0"/>
          <w:color w:val="auto"/>
          <w:kern w:val="0"/>
          <w:szCs w:val="24"/>
          <w:highlight w:val="none"/>
        </w:rPr>
        <w:t>1、一般固体废物</w:t>
      </w:r>
    </w:p>
    <w:p w14:paraId="41583D85">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（1）检疫不合格品</w:t>
      </w:r>
    </w:p>
    <w:p w14:paraId="4D3FBB28">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检验检疫过程中会产生不合格品。</w:t>
      </w:r>
      <w:r>
        <w:rPr>
          <w:rFonts w:hint="eastAsia" w:cs="Times New Roman"/>
          <w:snapToGrid w:val="0"/>
          <w:color w:val="auto"/>
          <w:kern w:val="0"/>
          <w:szCs w:val="24"/>
          <w:highlight w:val="none"/>
          <w:lang w:val="en-US" w:eastAsia="zh-CN"/>
        </w:rPr>
        <w:t>如宰前检疫不合格牛羊及宰后检验不可使用产品等，</w:t>
      </w:r>
      <w:r>
        <w:rPr>
          <w:rFonts w:cs="Times New Roman"/>
          <w:snapToGrid w:val="0"/>
          <w:color w:val="auto"/>
          <w:kern w:val="0"/>
          <w:szCs w:val="24"/>
          <w:highlight w:val="none"/>
        </w:rPr>
        <w:t>根据物料平衡可知，本项目运营期检疫不合格品的产生量为</w:t>
      </w:r>
      <w:r>
        <w:rPr>
          <w:rFonts w:hint="eastAsia" w:cs="Times New Roman"/>
          <w:snapToGrid w:val="0"/>
          <w:color w:val="auto"/>
          <w:kern w:val="0"/>
          <w:szCs w:val="24"/>
          <w:highlight w:val="none"/>
          <w:lang w:val="en-US" w:eastAsia="zh-CN"/>
        </w:rPr>
        <w:t>130</w:t>
      </w:r>
      <w:r>
        <w:rPr>
          <w:rFonts w:cs="Times New Roman"/>
          <w:snapToGrid w:val="0"/>
          <w:color w:val="auto"/>
          <w:kern w:val="0"/>
          <w:szCs w:val="24"/>
          <w:highlight w:val="none"/>
        </w:rPr>
        <w:t>t/a，经收集后暂存于废物暂存间，当天</w:t>
      </w:r>
      <w:r>
        <w:rPr>
          <w:rFonts w:hint="eastAsia" w:cs="Times New Roman"/>
          <w:snapToGrid w:val="0"/>
          <w:color w:val="auto"/>
          <w:kern w:val="0"/>
          <w:szCs w:val="24"/>
          <w:highlight w:val="none"/>
          <w:lang w:eastAsia="zh-CN"/>
        </w:rPr>
        <w:t>由双鸭山百奥迈斯生物科技有限公司</w:t>
      </w:r>
      <w:r>
        <w:rPr>
          <w:rFonts w:hint="eastAsia" w:cs="Times New Roman"/>
          <w:snapToGrid w:val="0"/>
          <w:color w:val="auto"/>
          <w:kern w:val="0"/>
          <w:szCs w:val="24"/>
          <w:highlight w:val="none"/>
          <w:lang w:val="en-US" w:eastAsia="zh-CN"/>
        </w:rPr>
        <w:t>拉运处理</w:t>
      </w:r>
      <w:r>
        <w:rPr>
          <w:rFonts w:cs="Times New Roman"/>
          <w:snapToGrid w:val="0"/>
          <w:color w:val="auto"/>
          <w:kern w:val="0"/>
          <w:szCs w:val="24"/>
          <w:highlight w:val="none"/>
        </w:rPr>
        <w:t>。</w:t>
      </w:r>
    </w:p>
    <w:p w14:paraId="3C0C89B6">
      <w:pPr>
        <w:numPr>
          <w:ilvl w:val="0"/>
          <w:numId w:val="12"/>
        </w:numPr>
        <w:spacing w:line="500" w:lineRule="exact"/>
        <w:rPr>
          <w:rFonts w:cs="Times New Roman"/>
          <w:snapToGrid w:val="0"/>
          <w:color w:val="auto"/>
          <w:kern w:val="0"/>
          <w:szCs w:val="24"/>
          <w:highlight w:val="none"/>
        </w:rPr>
      </w:pPr>
      <w:r>
        <w:rPr>
          <w:rFonts w:cs="Times New Roman"/>
          <w:snapToGrid w:val="0"/>
          <w:color w:val="auto"/>
          <w:kern w:val="0"/>
          <w:szCs w:val="24"/>
          <w:highlight w:val="none"/>
        </w:rPr>
        <w:t>病死牛羊</w:t>
      </w:r>
    </w:p>
    <w:p w14:paraId="65662A08">
      <w:pPr>
        <w:spacing w:line="500" w:lineRule="exact"/>
        <w:rPr>
          <w:rFonts w:cs="Times New Roman"/>
          <w:color w:val="auto"/>
          <w:highlight w:val="none"/>
        </w:rPr>
      </w:pPr>
      <w:r>
        <w:rPr>
          <w:rFonts w:cs="Times New Roman"/>
          <w:color w:val="auto"/>
          <w:highlight w:val="none"/>
        </w:rPr>
        <w:t>在运输过程中及待宰圈由于多种原因会产生一些病死牛羊，根据物料平衡可知，病死牛羊的产生量为</w:t>
      </w:r>
      <w:r>
        <w:rPr>
          <w:rFonts w:hint="eastAsia" w:cs="Times New Roman"/>
          <w:color w:val="auto"/>
          <w:highlight w:val="none"/>
          <w:lang w:val="en-US" w:eastAsia="zh-CN"/>
        </w:rPr>
        <w:t>150</w:t>
      </w:r>
      <w:r>
        <w:rPr>
          <w:rFonts w:cs="Times New Roman"/>
          <w:color w:val="auto"/>
          <w:highlight w:val="none"/>
        </w:rPr>
        <w:t>t/a</w:t>
      </w:r>
      <w:r>
        <w:rPr>
          <w:rFonts w:hint="eastAsia" w:cs="Times New Roman"/>
          <w:color w:val="auto"/>
          <w:highlight w:val="none"/>
          <w:lang w:eastAsia="zh-CN"/>
        </w:rPr>
        <w:t>，</w:t>
      </w:r>
      <w:r>
        <w:rPr>
          <w:rFonts w:hint="eastAsia" w:cs="Times New Roman"/>
          <w:color w:val="auto"/>
          <w:highlight w:val="none"/>
          <w:lang w:val="en-US" w:eastAsia="zh-CN"/>
        </w:rPr>
        <w:t>暂存于危险废物暂存点冷藏箱内，</w:t>
      </w:r>
      <w:r>
        <w:rPr>
          <w:rFonts w:cs="Times New Roman"/>
          <w:color w:val="auto"/>
          <w:highlight w:val="none"/>
        </w:rPr>
        <w:t>产生后</w:t>
      </w:r>
      <w:r>
        <w:rPr>
          <w:rFonts w:cs="Times New Roman"/>
          <w:snapToGrid w:val="0"/>
          <w:color w:val="auto"/>
          <w:kern w:val="0"/>
          <w:szCs w:val="24"/>
          <w:highlight w:val="none"/>
        </w:rPr>
        <w:t>当天</w:t>
      </w:r>
      <w:r>
        <w:rPr>
          <w:rFonts w:hint="eastAsia" w:cs="Times New Roman"/>
          <w:snapToGrid w:val="0"/>
          <w:color w:val="auto"/>
          <w:kern w:val="0"/>
          <w:szCs w:val="24"/>
          <w:highlight w:val="none"/>
          <w:lang w:eastAsia="zh-CN"/>
        </w:rPr>
        <w:t>由双鸭山百奥迈斯生物科技有限公司</w:t>
      </w:r>
      <w:r>
        <w:rPr>
          <w:rFonts w:hint="eastAsia" w:cs="Times New Roman"/>
          <w:snapToGrid w:val="0"/>
          <w:color w:val="auto"/>
          <w:kern w:val="0"/>
          <w:szCs w:val="24"/>
          <w:highlight w:val="none"/>
          <w:lang w:val="en-US" w:eastAsia="zh-CN"/>
        </w:rPr>
        <w:t>拉运处理，见附件5</w:t>
      </w:r>
      <w:r>
        <w:rPr>
          <w:rFonts w:cs="Times New Roman"/>
          <w:snapToGrid w:val="0"/>
          <w:color w:val="auto"/>
          <w:kern w:val="0"/>
          <w:szCs w:val="24"/>
          <w:highlight w:val="none"/>
        </w:rPr>
        <w:t>。</w:t>
      </w:r>
    </w:p>
    <w:p w14:paraId="1F11421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（3）粪便</w:t>
      </w:r>
    </w:p>
    <w:p w14:paraId="144AB7A9">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牛羊在</w:t>
      </w:r>
      <w:r>
        <w:rPr>
          <w:rFonts w:hint="eastAsia" w:cs="Times New Roman"/>
          <w:snapToGrid w:val="0"/>
          <w:color w:val="auto"/>
          <w:kern w:val="0"/>
          <w:szCs w:val="24"/>
          <w:highlight w:val="none"/>
          <w:lang w:eastAsia="zh-CN"/>
        </w:rPr>
        <w:t>待宰圈</w:t>
      </w:r>
      <w:r>
        <w:rPr>
          <w:rFonts w:cs="Times New Roman"/>
          <w:snapToGrid w:val="0"/>
          <w:color w:val="auto"/>
          <w:kern w:val="0"/>
          <w:szCs w:val="24"/>
          <w:highlight w:val="none"/>
        </w:rPr>
        <w:t>中会产生粪便，根据物料平衡可知，粪便产生量为</w:t>
      </w:r>
      <w:r>
        <w:rPr>
          <w:rFonts w:hint="eastAsia" w:cs="Times New Roman"/>
          <w:snapToGrid w:val="0"/>
          <w:color w:val="auto"/>
          <w:kern w:val="0"/>
          <w:szCs w:val="24"/>
          <w:highlight w:val="none"/>
          <w:lang w:val="en-US" w:eastAsia="zh-CN"/>
        </w:rPr>
        <w:t>650</w:t>
      </w:r>
      <w:r>
        <w:rPr>
          <w:rFonts w:cs="Times New Roman"/>
          <w:snapToGrid w:val="0"/>
          <w:color w:val="auto"/>
          <w:kern w:val="0"/>
          <w:szCs w:val="24"/>
          <w:highlight w:val="none"/>
        </w:rPr>
        <w:t>t/a，牛、羊粪在</w:t>
      </w:r>
      <w:r>
        <w:rPr>
          <w:rFonts w:hint="eastAsia" w:cs="Times New Roman"/>
          <w:snapToGrid w:val="0"/>
          <w:color w:val="auto"/>
          <w:kern w:val="0"/>
          <w:szCs w:val="24"/>
          <w:highlight w:val="none"/>
          <w:lang w:eastAsia="zh-CN"/>
        </w:rPr>
        <w:t>待宰圈</w:t>
      </w:r>
      <w:r>
        <w:rPr>
          <w:rFonts w:cs="Times New Roman"/>
          <w:snapToGrid w:val="0"/>
          <w:color w:val="auto"/>
          <w:kern w:val="0"/>
          <w:szCs w:val="24"/>
          <w:highlight w:val="none"/>
        </w:rPr>
        <w:t>牛、羊粪暂存池内收集后，每</w:t>
      </w:r>
      <w:r>
        <w:rPr>
          <w:rFonts w:hint="eastAsia" w:cs="Times New Roman"/>
          <w:snapToGrid w:val="0"/>
          <w:color w:val="auto"/>
          <w:kern w:val="0"/>
          <w:szCs w:val="24"/>
          <w:highlight w:val="none"/>
          <w:lang w:val="en-US" w:eastAsia="zh-CN"/>
        </w:rPr>
        <w:t>2</w:t>
      </w:r>
      <w:r>
        <w:rPr>
          <w:rFonts w:cs="Times New Roman"/>
          <w:snapToGrid w:val="0"/>
          <w:color w:val="auto"/>
          <w:kern w:val="0"/>
          <w:szCs w:val="24"/>
          <w:highlight w:val="none"/>
        </w:rPr>
        <w:t>天清运一次，</w:t>
      </w:r>
      <w:r>
        <w:rPr>
          <w:rFonts w:hint="eastAsia" w:cs="Times New Roman"/>
          <w:snapToGrid w:val="0"/>
          <w:color w:val="auto"/>
          <w:kern w:val="0"/>
          <w:szCs w:val="24"/>
          <w:highlight w:val="none"/>
          <w:lang w:val="en-US" w:eastAsia="zh-CN"/>
        </w:rPr>
        <w:t>资源化利用，</w:t>
      </w:r>
      <w:r>
        <w:rPr>
          <w:rFonts w:hint="eastAsia" w:cs="Times New Roman"/>
          <w:color w:val="auto"/>
          <w:szCs w:val="24"/>
          <w:highlight w:val="none"/>
          <w:lang w:val="en-US" w:eastAsia="zh-CN"/>
        </w:rPr>
        <w:t>外售作为</w:t>
      </w:r>
      <w:r>
        <w:rPr>
          <w:rFonts w:cs="Times New Roman"/>
          <w:color w:val="auto"/>
          <w:szCs w:val="24"/>
          <w:highlight w:val="none"/>
        </w:rPr>
        <w:t>优质的有机肥原料</w:t>
      </w:r>
      <w:r>
        <w:rPr>
          <w:rFonts w:cs="Times New Roman"/>
          <w:snapToGrid w:val="0"/>
          <w:color w:val="auto"/>
          <w:kern w:val="0"/>
          <w:szCs w:val="24"/>
          <w:highlight w:val="none"/>
        </w:rPr>
        <w:t>。</w:t>
      </w:r>
    </w:p>
    <w:p w14:paraId="09020DDE">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（4）边角料、胃容物及肠内物</w:t>
      </w:r>
    </w:p>
    <w:p w14:paraId="6C2C1DFF">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根据物料平衡可知，本项目运营期边角料产生量为</w:t>
      </w:r>
      <w:r>
        <w:rPr>
          <w:rFonts w:hint="eastAsia" w:cs="Times New Roman"/>
          <w:snapToGrid w:val="0"/>
          <w:color w:val="auto"/>
          <w:kern w:val="0"/>
          <w:szCs w:val="24"/>
          <w:highlight w:val="none"/>
          <w:lang w:val="en-US" w:eastAsia="zh-CN"/>
        </w:rPr>
        <w:t>225</w:t>
      </w:r>
      <w:r>
        <w:rPr>
          <w:rFonts w:cs="Times New Roman"/>
          <w:snapToGrid w:val="0"/>
          <w:color w:val="auto"/>
          <w:kern w:val="0"/>
          <w:szCs w:val="24"/>
          <w:highlight w:val="none"/>
        </w:rPr>
        <w:t>t/a，</w:t>
      </w:r>
      <w:r>
        <w:rPr>
          <w:rFonts w:hint="eastAsia" w:cs="Times New Roman"/>
          <w:snapToGrid w:val="0"/>
          <w:color w:val="auto"/>
          <w:kern w:val="0"/>
          <w:szCs w:val="24"/>
          <w:highlight w:val="none"/>
          <w:lang w:val="en-US" w:eastAsia="zh-CN"/>
        </w:rPr>
        <w:t>包含牛、羊</w:t>
      </w:r>
      <w:r>
        <w:rPr>
          <w:rFonts w:hint="eastAsia" w:ascii="Times New Roman" w:hAnsi="Times New Roman" w:eastAsia="宋体" w:cs="Times New Roman"/>
          <w:snapToGrid w:val="0"/>
          <w:color w:val="auto"/>
          <w:kern w:val="0"/>
          <w:szCs w:val="24"/>
          <w:highlight w:val="none"/>
          <w:lang w:val="en-US" w:eastAsia="zh-CN"/>
        </w:rPr>
        <w:t>指甲、淋巴腺、病变部分、清理下来的碎肉渣等不可食用的废弃物</w:t>
      </w:r>
      <w:r>
        <w:rPr>
          <w:rFonts w:hint="eastAsia" w:cs="Times New Roman"/>
          <w:snapToGrid w:val="0"/>
          <w:color w:val="auto"/>
          <w:kern w:val="0"/>
          <w:szCs w:val="24"/>
          <w:highlight w:val="none"/>
          <w:lang w:val="en-US" w:eastAsia="zh-CN"/>
        </w:rPr>
        <w:t>，</w:t>
      </w:r>
      <w:r>
        <w:rPr>
          <w:rFonts w:cs="Times New Roman"/>
          <w:snapToGrid w:val="0"/>
          <w:color w:val="auto"/>
          <w:kern w:val="0"/>
          <w:szCs w:val="24"/>
          <w:highlight w:val="none"/>
        </w:rPr>
        <w:t>胃容物及肠内物产生量为</w:t>
      </w:r>
      <w:r>
        <w:rPr>
          <w:rFonts w:hint="eastAsia" w:cs="Times New Roman"/>
          <w:snapToGrid w:val="0"/>
          <w:color w:val="auto"/>
          <w:kern w:val="0"/>
          <w:szCs w:val="24"/>
          <w:highlight w:val="none"/>
          <w:lang w:val="en-US" w:eastAsia="zh-CN"/>
        </w:rPr>
        <w:t>595</w:t>
      </w:r>
      <w:r>
        <w:rPr>
          <w:rFonts w:cs="Times New Roman"/>
          <w:snapToGrid w:val="0"/>
          <w:color w:val="auto"/>
          <w:kern w:val="0"/>
          <w:szCs w:val="24"/>
          <w:highlight w:val="none"/>
        </w:rPr>
        <w:t>t/a。分别储存在固体废物暂存间加盖的</w:t>
      </w:r>
      <w:r>
        <w:rPr>
          <w:rFonts w:hint="eastAsia" w:cs="Times New Roman"/>
          <w:snapToGrid w:val="0"/>
          <w:color w:val="auto"/>
          <w:kern w:val="0"/>
          <w:szCs w:val="24"/>
          <w:highlight w:val="none"/>
          <w:lang w:val="en-US" w:eastAsia="zh-CN"/>
        </w:rPr>
        <w:t>转运桶</w:t>
      </w:r>
      <w:r>
        <w:rPr>
          <w:rFonts w:cs="Times New Roman"/>
          <w:snapToGrid w:val="0"/>
          <w:color w:val="auto"/>
          <w:kern w:val="0"/>
          <w:szCs w:val="24"/>
          <w:highlight w:val="none"/>
        </w:rPr>
        <w:t>内，边角料、胃容物及肠内物，</w:t>
      </w:r>
      <w:r>
        <w:rPr>
          <w:rFonts w:hint="eastAsia" w:cs="Times New Roman"/>
          <w:color w:val="auto"/>
          <w:szCs w:val="24"/>
          <w:highlight w:val="none"/>
          <w:lang w:val="en-US" w:eastAsia="zh-CN"/>
        </w:rPr>
        <w:t>外售作为</w:t>
      </w:r>
      <w:r>
        <w:rPr>
          <w:rFonts w:cs="Times New Roman"/>
          <w:color w:val="auto"/>
          <w:szCs w:val="24"/>
          <w:highlight w:val="none"/>
        </w:rPr>
        <w:t>优质的有机肥原料</w:t>
      </w:r>
      <w:r>
        <w:rPr>
          <w:rFonts w:cs="Times New Roman"/>
          <w:snapToGrid w:val="0"/>
          <w:color w:val="auto"/>
          <w:kern w:val="0"/>
          <w:szCs w:val="24"/>
          <w:highlight w:val="none"/>
        </w:rPr>
        <w:t>。</w:t>
      </w:r>
    </w:p>
    <w:p w14:paraId="01D11B0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（5）污泥（含栅渣）</w:t>
      </w:r>
    </w:p>
    <w:p w14:paraId="49C6023E">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污泥是</w:t>
      </w:r>
      <w:r>
        <w:rPr>
          <w:rFonts w:hint="eastAsia" w:cs="Times New Roman"/>
          <w:snapToGrid w:val="0"/>
          <w:color w:val="auto"/>
          <w:kern w:val="0"/>
          <w:szCs w:val="24"/>
          <w:highlight w:val="none"/>
          <w:lang w:val="en-US" w:eastAsia="zh-CN"/>
        </w:rPr>
        <w:t>污水处理站</w:t>
      </w:r>
      <w:r>
        <w:rPr>
          <w:rFonts w:hint="eastAsia" w:cs="Times New Roman"/>
          <w:snapToGrid w:val="0"/>
          <w:color w:val="auto"/>
          <w:kern w:val="0"/>
          <w:szCs w:val="24"/>
          <w:highlight w:val="none"/>
        </w:rPr>
        <w:t>运营过程中产生的主要固体废物。处理前的污泥含水率约99.2%，经浓缩脱水后的污泥含水率降至约75-80%，达到《城镇污水处理厂污染物排放标准》(GB18918-2002)中有关污泥的控制标准。污泥主要来自于水解酸化池、生化反应池产生的污泥。</w:t>
      </w:r>
    </w:p>
    <w:p w14:paraId="7FD70F12">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①水解酸化池污泥量。</w:t>
      </w:r>
    </w:p>
    <w:p w14:paraId="26873DD3">
      <w:pPr>
        <w:spacing w:line="500" w:lineRule="exact"/>
        <w:rPr>
          <w:rFonts w:hint="eastAsia" w:eastAsia="宋体" w:cs="Times New Roman"/>
          <w:snapToGrid w:val="0"/>
          <w:color w:val="auto"/>
          <w:kern w:val="0"/>
          <w:szCs w:val="24"/>
          <w:highlight w:val="none"/>
          <w:lang w:eastAsia="zh-CN"/>
        </w:rPr>
      </w:pPr>
      <w:r>
        <w:rPr>
          <w:rFonts w:hint="eastAsia" w:cs="Times New Roman"/>
          <w:snapToGrid w:val="0"/>
          <w:color w:val="auto"/>
          <w:kern w:val="0"/>
          <w:szCs w:val="24"/>
          <w:highlight w:val="none"/>
        </w:rPr>
        <w:t>根据设计资料，本项目设计流量</w:t>
      </w:r>
      <w:r>
        <w:rPr>
          <w:rFonts w:hint="eastAsia" w:cs="Times New Roman"/>
          <w:snapToGrid w:val="0"/>
          <w:color w:val="auto"/>
          <w:kern w:val="0"/>
          <w:szCs w:val="24"/>
          <w:highlight w:val="none"/>
          <w:lang w:val="en-US" w:eastAsia="zh-CN"/>
        </w:rPr>
        <w:t>250</w:t>
      </w:r>
      <w:r>
        <w:rPr>
          <w:rFonts w:hint="eastAsia" w:cs="Times New Roman"/>
          <w:snapToGrid w:val="0"/>
          <w:color w:val="auto"/>
          <w:kern w:val="0"/>
          <w:szCs w:val="24"/>
          <w:highlight w:val="none"/>
        </w:rPr>
        <w:t>m</w:t>
      </w:r>
      <w:r>
        <w:rPr>
          <w:rFonts w:hint="eastAsia" w:cs="Times New Roman"/>
          <w:snapToGrid w:val="0"/>
          <w:color w:val="auto"/>
          <w:kern w:val="0"/>
          <w:szCs w:val="24"/>
          <w:highlight w:val="none"/>
          <w:vertAlign w:val="superscript"/>
          <w:lang w:val="en-US" w:eastAsia="zh-CN"/>
        </w:rPr>
        <w:t>3</w:t>
      </w:r>
      <w:r>
        <w:rPr>
          <w:rFonts w:hint="eastAsia" w:cs="Times New Roman"/>
          <w:snapToGrid w:val="0"/>
          <w:color w:val="auto"/>
          <w:kern w:val="0"/>
          <w:szCs w:val="24"/>
          <w:highlight w:val="none"/>
        </w:rPr>
        <w:t>/d，水解酸化池进水COD浓度</w:t>
      </w:r>
      <w:r>
        <w:rPr>
          <w:rFonts w:hint="eastAsia" w:cs="Times New Roman"/>
          <w:snapToGrid w:val="0"/>
          <w:color w:val="auto"/>
          <w:kern w:val="0"/>
          <w:szCs w:val="24"/>
          <w:highlight w:val="none"/>
          <w:lang w:val="en-US" w:eastAsia="zh-CN"/>
        </w:rPr>
        <w:t>2691</w:t>
      </w:r>
      <w:r>
        <w:rPr>
          <w:rFonts w:hint="eastAsia" w:cs="Times New Roman"/>
          <w:snapToGrid w:val="0"/>
          <w:color w:val="auto"/>
          <w:kern w:val="0"/>
          <w:szCs w:val="24"/>
          <w:highlight w:val="none"/>
        </w:rPr>
        <w:t>mg</w:t>
      </w:r>
      <w:r>
        <w:rPr>
          <w:rFonts w:hint="eastAsia" w:cs="Times New Roman"/>
          <w:snapToGrid w:val="0"/>
          <w:color w:val="auto"/>
          <w:kern w:val="0"/>
          <w:szCs w:val="24"/>
          <w:highlight w:val="none"/>
          <w:lang w:val="en-US" w:eastAsia="zh-CN"/>
        </w:rPr>
        <w:t>/L</w:t>
      </w:r>
      <w:r>
        <w:rPr>
          <w:rFonts w:hint="eastAsia" w:cs="Times New Roman"/>
          <w:snapToGrid w:val="0"/>
          <w:color w:val="auto"/>
          <w:kern w:val="0"/>
          <w:szCs w:val="24"/>
          <w:highlight w:val="none"/>
        </w:rPr>
        <w:t>，COD去除率</w:t>
      </w:r>
      <w:r>
        <w:rPr>
          <w:rFonts w:hint="eastAsia" w:cs="Times New Roman"/>
          <w:snapToGrid w:val="0"/>
          <w:color w:val="auto"/>
          <w:kern w:val="0"/>
          <w:szCs w:val="24"/>
          <w:highlight w:val="none"/>
          <w:lang w:val="en-US" w:eastAsia="zh-CN"/>
        </w:rPr>
        <w:t>9</w:t>
      </w:r>
      <w:r>
        <w:rPr>
          <w:rFonts w:hint="eastAsia" w:cs="Times New Roman"/>
          <w:snapToGrid w:val="0"/>
          <w:color w:val="auto"/>
          <w:kern w:val="0"/>
          <w:szCs w:val="24"/>
          <w:highlight w:val="none"/>
        </w:rPr>
        <w:t>0%，污泥产生量按每</w:t>
      </w:r>
      <w:r>
        <w:rPr>
          <w:rFonts w:hint="eastAsia" w:cs="Times New Roman"/>
          <w:snapToGrid w:val="0"/>
          <w:color w:val="auto"/>
          <w:kern w:val="0"/>
          <w:szCs w:val="24"/>
          <w:highlight w:val="none"/>
          <w:lang w:val="en-US" w:eastAsia="zh-CN"/>
        </w:rPr>
        <w:t>kg</w:t>
      </w:r>
      <w:r>
        <w:rPr>
          <w:rFonts w:hint="eastAsia" w:cs="Times New Roman"/>
          <w:snapToGrid w:val="0"/>
          <w:color w:val="auto"/>
          <w:kern w:val="0"/>
          <w:szCs w:val="24"/>
          <w:highlight w:val="none"/>
        </w:rPr>
        <w:t>COD产生0.2kg干污泥计算</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rPr>
        <w:t>则水解酸化池干污泥量</w:t>
      </w:r>
      <w:r>
        <w:rPr>
          <w:rFonts w:hint="eastAsia" w:cs="Times New Roman"/>
          <w:snapToGrid w:val="0"/>
          <w:color w:val="auto"/>
          <w:kern w:val="0"/>
          <w:szCs w:val="24"/>
          <w:highlight w:val="none"/>
          <w:lang w:eastAsia="zh-CN"/>
        </w:rPr>
        <w:t>：</w:t>
      </w:r>
    </w:p>
    <w:p w14:paraId="25D0B966">
      <w:pPr>
        <w:spacing w:line="500" w:lineRule="exact"/>
        <w:rPr>
          <w:rFonts w:hint="eastAsia" w:cs="Times New Roman"/>
          <w:snapToGrid w:val="0"/>
          <w:color w:val="auto"/>
          <w:kern w:val="0"/>
          <w:szCs w:val="24"/>
          <w:highlight w:val="none"/>
        </w:rPr>
      </w:pPr>
      <w:r>
        <w:rPr>
          <w:rFonts w:hint="eastAsia" w:ascii="宋体" w:hAnsi="宋体" w:eastAsia="宋体" w:cs="宋体"/>
          <w:snapToGrid w:val="0"/>
          <w:color w:val="auto"/>
          <w:kern w:val="0"/>
          <w:szCs w:val="24"/>
          <w:highlight w:val="none"/>
        </w:rPr>
        <w:t>△</w:t>
      </w:r>
      <w:r>
        <w:rPr>
          <w:rFonts w:hint="eastAsia" w:cs="Times New Roman"/>
          <w:snapToGrid w:val="0"/>
          <w:color w:val="auto"/>
          <w:kern w:val="0"/>
          <w:szCs w:val="24"/>
          <w:highlight w:val="none"/>
        </w:rPr>
        <w:t>X1=</w:t>
      </w:r>
      <w:r>
        <w:rPr>
          <w:rFonts w:hint="eastAsia" w:cs="Times New Roman"/>
          <w:snapToGrid w:val="0"/>
          <w:color w:val="auto"/>
          <w:kern w:val="0"/>
          <w:szCs w:val="24"/>
          <w:highlight w:val="none"/>
          <w:lang w:val="en-US" w:eastAsia="zh-CN"/>
        </w:rPr>
        <w:t>250</w:t>
      </w:r>
      <w:r>
        <w:rPr>
          <w:rFonts w:hint="default" w:ascii="Arial" w:hAnsi="Arial" w:cs="Arial"/>
          <w:snapToGrid w:val="0"/>
          <w:color w:val="auto"/>
          <w:kern w:val="0"/>
          <w:szCs w:val="24"/>
          <w:highlight w:val="none"/>
        </w:rPr>
        <w:t>×</w:t>
      </w:r>
      <w:r>
        <w:rPr>
          <w:rFonts w:hint="eastAsia" w:cs="Times New Roman"/>
          <w:snapToGrid w:val="0"/>
          <w:color w:val="auto"/>
          <w:kern w:val="0"/>
          <w:szCs w:val="24"/>
          <w:highlight w:val="none"/>
          <w:lang w:val="en-US" w:eastAsia="zh-CN"/>
        </w:rPr>
        <w:t>2691</w:t>
      </w:r>
      <w:r>
        <w:rPr>
          <w:rFonts w:hint="default" w:ascii="Arial" w:hAnsi="Arial" w:cs="Arial"/>
          <w:snapToGrid w:val="0"/>
          <w:color w:val="auto"/>
          <w:kern w:val="0"/>
          <w:szCs w:val="24"/>
          <w:highlight w:val="none"/>
        </w:rPr>
        <w:t>×</w:t>
      </w:r>
      <w:r>
        <w:rPr>
          <w:rFonts w:hint="eastAsia" w:cs="Times New Roman"/>
          <w:snapToGrid w:val="0"/>
          <w:color w:val="auto"/>
          <w:kern w:val="0"/>
          <w:szCs w:val="24"/>
          <w:highlight w:val="none"/>
          <w:lang w:val="en-US" w:eastAsia="zh-CN"/>
        </w:rPr>
        <w:t>9</w:t>
      </w:r>
      <w:r>
        <w:rPr>
          <w:rFonts w:hint="eastAsia" w:cs="Times New Roman"/>
          <w:snapToGrid w:val="0"/>
          <w:color w:val="auto"/>
          <w:kern w:val="0"/>
          <w:szCs w:val="24"/>
          <w:highlight w:val="none"/>
        </w:rPr>
        <w:t>0%</w:t>
      </w:r>
      <w:r>
        <w:rPr>
          <w:rFonts w:hint="default" w:ascii="Arial" w:hAnsi="Arial" w:cs="Arial"/>
          <w:snapToGrid w:val="0"/>
          <w:color w:val="auto"/>
          <w:kern w:val="0"/>
          <w:szCs w:val="24"/>
          <w:highlight w:val="none"/>
          <w:lang w:val="en-US" w:eastAsia="zh-CN"/>
        </w:rPr>
        <w:t>÷</w:t>
      </w:r>
      <w:r>
        <w:rPr>
          <w:rFonts w:hint="eastAsia" w:cs="Times New Roman"/>
          <w:snapToGrid w:val="0"/>
          <w:color w:val="auto"/>
          <w:kern w:val="0"/>
          <w:szCs w:val="24"/>
          <w:highlight w:val="none"/>
        </w:rPr>
        <w:t>1000</w:t>
      </w:r>
      <w:r>
        <w:rPr>
          <w:rFonts w:hint="default" w:ascii="Arial" w:hAnsi="Arial" w:cs="Arial"/>
          <w:snapToGrid w:val="0"/>
          <w:color w:val="auto"/>
          <w:kern w:val="0"/>
          <w:szCs w:val="24"/>
          <w:highlight w:val="none"/>
        </w:rPr>
        <w:t>×</w:t>
      </w:r>
      <w:r>
        <w:rPr>
          <w:rFonts w:hint="eastAsia" w:cs="Times New Roman"/>
          <w:snapToGrid w:val="0"/>
          <w:color w:val="auto"/>
          <w:kern w:val="0"/>
          <w:szCs w:val="24"/>
          <w:highlight w:val="none"/>
        </w:rPr>
        <w:t>0.2=</w:t>
      </w:r>
      <w:r>
        <w:rPr>
          <w:rFonts w:hint="eastAsia" w:cs="Times New Roman"/>
          <w:snapToGrid w:val="0"/>
          <w:color w:val="auto"/>
          <w:kern w:val="0"/>
          <w:szCs w:val="24"/>
          <w:highlight w:val="none"/>
          <w:lang w:val="en-US" w:eastAsia="zh-CN"/>
        </w:rPr>
        <w:t>121.1</w:t>
      </w:r>
      <w:r>
        <w:rPr>
          <w:rFonts w:hint="eastAsia" w:cs="Times New Roman"/>
          <w:snapToGrid w:val="0"/>
          <w:color w:val="auto"/>
          <w:kern w:val="0"/>
          <w:szCs w:val="24"/>
          <w:highlight w:val="none"/>
        </w:rPr>
        <w:t>kg/d(</w:t>
      </w:r>
      <w:r>
        <w:rPr>
          <w:rFonts w:hint="eastAsia" w:cs="Times New Roman"/>
          <w:snapToGrid w:val="0"/>
          <w:color w:val="auto"/>
          <w:kern w:val="0"/>
          <w:szCs w:val="24"/>
          <w:highlight w:val="none"/>
          <w:lang w:val="en-US" w:eastAsia="zh-CN"/>
        </w:rPr>
        <w:t>37.5</w:t>
      </w:r>
      <w:r>
        <w:rPr>
          <w:rFonts w:hint="eastAsia" w:cs="Times New Roman"/>
          <w:snapToGrid w:val="0"/>
          <w:color w:val="auto"/>
          <w:kern w:val="0"/>
          <w:szCs w:val="24"/>
          <w:highlight w:val="none"/>
        </w:rPr>
        <w:t>t/a)</w:t>
      </w:r>
    </w:p>
    <w:p w14:paraId="40D49A78">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②生化反应池剩余污泥量。</w:t>
      </w:r>
    </w:p>
    <w:p w14:paraId="2EED7B98">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工程采用</w:t>
      </w:r>
      <w:r>
        <w:rPr>
          <w:rFonts w:hint="eastAsia" w:cs="Times New Roman"/>
          <w:snapToGrid w:val="0"/>
          <w:color w:val="auto"/>
          <w:kern w:val="0"/>
          <w:szCs w:val="24"/>
          <w:highlight w:val="none"/>
          <w:lang w:val="en-US" w:eastAsia="zh-CN"/>
        </w:rPr>
        <w:t>反硝化缺氧+好氧</w:t>
      </w:r>
      <w:r>
        <w:rPr>
          <w:rFonts w:hint="eastAsia" w:cs="Times New Roman"/>
          <w:snapToGrid w:val="0"/>
          <w:color w:val="auto"/>
          <w:kern w:val="0"/>
          <w:szCs w:val="24"/>
          <w:highlight w:val="none"/>
        </w:rPr>
        <w:t>生化处理工艺，生化处理工艺剩余污泥产量可参照《室外排水设计规范》(2014版)中的计算公式，公式如下:</w:t>
      </w:r>
    </w:p>
    <w:p w14:paraId="0A3139F4">
      <w:pPr>
        <w:spacing w:line="500" w:lineRule="exact"/>
        <w:rPr>
          <w:rFonts w:hint="eastAsia" w:cs="Times New Roman"/>
          <w:snapToGrid w:val="0"/>
          <w:color w:val="auto"/>
          <w:kern w:val="0"/>
          <w:szCs w:val="24"/>
          <w:highlight w:val="none"/>
        </w:rPr>
      </w:pPr>
      <w:r>
        <w:rPr>
          <w:color w:val="auto"/>
          <w:highlight w:val="none"/>
        </w:rPr>
        <w:drawing>
          <wp:anchor distT="0" distB="0" distL="114300" distR="114300" simplePos="0" relativeHeight="251767808" behindDoc="0" locked="0" layoutInCell="1" allowOverlap="1">
            <wp:simplePos x="0" y="0"/>
            <wp:positionH relativeFrom="column">
              <wp:posOffset>2218690</wp:posOffset>
            </wp:positionH>
            <wp:positionV relativeFrom="paragraph">
              <wp:posOffset>13335</wp:posOffset>
            </wp:positionV>
            <wp:extent cx="1362075" cy="542925"/>
            <wp:effectExtent l="0" t="0" r="9525" b="9525"/>
            <wp:wrapNone/>
            <wp:docPr id="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
                    <pic:cNvPicPr>
                      <a:picLocks noChangeAspect="1"/>
                    </pic:cNvPicPr>
                  </pic:nvPicPr>
                  <pic:blipFill>
                    <a:blip r:embed="rId32"/>
                    <a:stretch>
                      <a:fillRect/>
                    </a:stretch>
                  </pic:blipFill>
                  <pic:spPr>
                    <a:xfrm>
                      <a:off x="0" y="0"/>
                      <a:ext cx="1362075" cy="542925"/>
                    </a:xfrm>
                    <a:prstGeom prst="rect">
                      <a:avLst/>
                    </a:prstGeom>
                    <a:noFill/>
                    <a:ln>
                      <a:noFill/>
                    </a:ln>
                  </pic:spPr>
                </pic:pic>
              </a:graphicData>
            </a:graphic>
          </wp:anchor>
        </w:drawing>
      </w:r>
    </w:p>
    <w:p w14:paraId="3FFAC613">
      <w:pPr>
        <w:spacing w:line="500" w:lineRule="exact"/>
        <w:rPr>
          <w:rFonts w:cs="Times New Roman"/>
          <w:snapToGrid w:val="0"/>
          <w:color w:val="auto"/>
          <w:kern w:val="0"/>
          <w:szCs w:val="24"/>
          <w:highlight w:val="none"/>
        </w:rPr>
      </w:pPr>
    </w:p>
    <w:p w14:paraId="17D6A332">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式中:</w:t>
      </w:r>
      <w:r>
        <w:rPr>
          <w:rFonts w:hint="eastAsia" w:ascii="宋体" w:hAnsi="宋体" w:eastAsia="宋体" w:cs="宋体"/>
          <w:snapToGrid w:val="0"/>
          <w:color w:val="auto"/>
          <w:kern w:val="0"/>
          <w:szCs w:val="24"/>
          <w:highlight w:val="none"/>
        </w:rPr>
        <w:t>△</w:t>
      </w:r>
      <w:r>
        <w:rPr>
          <w:rFonts w:hint="eastAsia" w:cs="Times New Roman"/>
          <w:snapToGrid w:val="0"/>
          <w:color w:val="auto"/>
          <w:kern w:val="0"/>
          <w:szCs w:val="24"/>
          <w:highlight w:val="none"/>
        </w:rPr>
        <w:t>X</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rPr>
        <w:t>剩余污泥量(kgS</w:t>
      </w:r>
      <w:r>
        <w:rPr>
          <w:rFonts w:hint="eastAsia" w:cs="Times New Roman"/>
          <w:snapToGrid w:val="0"/>
          <w:color w:val="auto"/>
          <w:kern w:val="0"/>
          <w:szCs w:val="24"/>
          <w:highlight w:val="none"/>
          <w:lang w:val="en-US" w:eastAsia="zh-CN"/>
        </w:rPr>
        <w:t>S</w:t>
      </w:r>
      <w:r>
        <w:rPr>
          <w:rFonts w:hint="eastAsia" w:cs="Times New Roman"/>
          <w:snapToGrid w:val="0"/>
          <w:color w:val="auto"/>
          <w:kern w:val="0"/>
          <w:szCs w:val="24"/>
          <w:highlight w:val="none"/>
        </w:rPr>
        <w:t>/d);</w:t>
      </w:r>
    </w:p>
    <w:p w14:paraId="646B83EE">
      <w:pPr>
        <w:spacing w:line="500" w:lineRule="exact"/>
        <w:ind w:firstLine="1200" w:firstLineChars="500"/>
        <w:rPr>
          <w:rFonts w:hint="eastAsia" w:cs="Times New Roman"/>
          <w:snapToGrid w:val="0"/>
          <w:color w:val="auto"/>
          <w:kern w:val="0"/>
          <w:szCs w:val="24"/>
          <w:highlight w:val="none"/>
        </w:rPr>
      </w:pPr>
      <w:r>
        <w:rPr>
          <w:rFonts w:hint="eastAsia" w:cs="Times New Roman"/>
          <w:snapToGrid w:val="0"/>
          <w:color w:val="auto"/>
          <w:kern w:val="0"/>
          <w:szCs w:val="24"/>
          <w:highlight w:val="none"/>
        </w:rPr>
        <w:t>V</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rPr>
        <w:t>生物反应池的容积(m</w:t>
      </w:r>
      <w:r>
        <w:rPr>
          <w:rFonts w:hint="eastAsia" w:cs="Times New Roman"/>
          <w:snapToGrid w:val="0"/>
          <w:color w:val="auto"/>
          <w:kern w:val="0"/>
          <w:szCs w:val="24"/>
          <w:highlight w:val="none"/>
          <w:vertAlign w:val="superscript"/>
        </w:rPr>
        <w:t>3</w:t>
      </w:r>
      <w:r>
        <w:rPr>
          <w:rFonts w:hint="eastAsia" w:cs="Times New Roman"/>
          <w:snapToGrid w:val="0"/>
          <w:color w:val="auto"/>
          <w:kern w:val="0"/>
          <w:szCs w:val="24"/>
          <w:highlight w:val="none"/>
        </w:rPr>
        <w:t>);</w:t>
      </w:r>
    </w:p>
    <w:p w14:paraId="7C2D0CDD">
      <w:pPr>
        <w:spacing w:line="500" w:lineRule="exact"/>
        <w:ind w:firstLine="1200" w:firstLineChars="500"/>
        <w:rPr>
          <w:rFonts w:hint="eastAsia" w:cs="Times New Roman"/>
          <w:snapToGrid w:val="0"/>
          <w:color w:val="auto"/>
          <w:kern w:val="0"/>
          <w:szCs w:val="24"/>
          <w:highlight w:val="none"/>
        </w:rPr>
      </w:pPr>
      <w:r>
        <w:rPr>
          <w:rFonts w:hint="eastAsia" w:cs="Times New Roman"/>
          <w:snapToGrid w:val="0"/>
          <w:color w:val="auto"/>
          <w:kern w:val="0"/>
          <w:szCs w:val="24"/>
          <w:highlight w:val="none"/>
          <w:lang w:val="en-US" w:eastAsia="zh-CN"/>
        </w:rPr>
        <w:t>X—</w:t>
      </w:r>
      <w:r>
        <w:rPr>
          <w:rFonts w:hint="eastAsia" w:cs="Times New Roman"/>
          <w:snapToGrid w:val="0"/>
          <w:color w:val="auto"/>
          <w:kern w:val="0"/>
          <w:szCs w:val="24"/>
          <w:highlight w:val="none"/>
        </w:rPr>
        <w:t>生物反应池内混合液悬浮固体平均浓度(gM</w:t>
      </w:r>
      <w:r>
        <w:rPr>
          <w:rFonts w:hint="eastAsia" w:cs="Times New Roman"/>
          <w:snapToGrid w:val="0"/>
          <w:color w:val="auto"/>
          <w:kern w:val="0"/>
          <w:szCs w:val="24"/>
          <w:highlight w:val="none"/>
          <w:lang w:val="en-US" w:eastAsia="zh-CN"/>
        </w:rPr>
        <w:t>LSS/m</w:t>
      </w:r>
      <w:r>
        <w:rPr>
          <w:rFonts w:hint="eastAsia" w:cs="Times New Roman"/>
          <w:snapToGrid w:val="0"/>
          <w:color w:val="auto"/>
          <w:kern w:val="0"/>
          <w:szCs w:val="24"/>
          <w:highlight w:val="none"/>
          <w:vertAlign w:val="superscript"/>
          <w:lang w:val="en-US" w:eastAsia="zh-CN"/>
        </w:rPr>
        <w:t>3</w:t>
      </w:r>
      <w:r>
        <w:rPr>
          <w:rFonts w:hint="eastAsia" w:cs="Times New Roman"/>
          <w:snapToGrid w:val="0"/>
          <w:color w:val="auto"/>
          <w:kern w:val="0"/>
          <w:szCs w:val="24"/>
          <w:highlight w:val="none"/>
        </w:rPr>
        <w:t>);</w:t>
      </w:r>
    </w:p>
    <w:p w14:paraId="6C052569">
      <w:pPr>
        <w:spacing w:line="500" w:lineRule="exact"/>
        <w:ind w:firstLine="1200" w:firstLineChars="500"/>
        <w:rPr>
          <w:rFonts w:hint="eastAsia" w:cs="Times New Roman"/>
          <w:snapToGrid w:val="0"/>
          <w:color w:val="auto"/>
          <w:kern w:val="0"/>
          <w:szCs w:val="24"/>
          <w:highlight w:val="none"/>
        </w:rPr>
      </w:pPr>
      <w:r>
        <w:rPr>
          <w:rFonts w:hint="default" w:ascii="Times New Roman" w:hAnsi="Times New Roman" w:cs="Times New Roman"/>
          <w:snapToGrid w:val="0"/>
          <w:color w:val="auto"/>
          <w:kern w:val="0"/>
          <w:szCs w:val="24"/>
          <w:highlight w:val="none"/>
        </w:rPr>
        <w:t>ɵ</w:t>
      </w:r>
      <w:r>
        <w:rPr>
          <w:rFonts w:hint="eastAsia" w:cs="Times New Roman"/>
          <w:snapToGrid w:val="0"/>
          <w:color w:val="auto"/>
          <w:kern w:val="0"/>
          <w:szCs w:val="24"/>
          <w:highlight w:val="none"/>
        </w:rPr>
        <w:t>c</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rPr>
        <w:t>污泥龄，d。</w:t>
      </w:r>
    </w:p>
    <w:p w14:paraId="05908D6B">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根据项目设计资料，</w:t>
      </w:r>
      <w:r>
        <w:rPr>
          <w:rFonts w:hint="eastAsia" w:cs="Times New Roman"/>
          <w:snapToGrid w:val="0"/>
          <w:color w:val="auto"/>
          <w:kern w:val="0"/>
          <w:szCs w:val="24"/>
          <w:highlight w:val="none"/>
          <w:lang w:val="en-US" w:eastAsia="zh-CN"/>
        </w:rPr>
        <w:t>生化</w:t>
      </w:r>
      <w:r>
        <w:rPr>
          <w:rFonts w:hint="eastAsia" w:cs="Times New Roman"/>
          <w:snapToGrid w:val="0"/>
          <w:color w:val="auto"/>
          <w:kern w:val="0"/>
          <w:szCs w:val="24"/>
          <w:highlight w:val="none"/>
        </w:rPr>
        <w:t>反应池有效总容积</w:t>
      </w:r>
      <w:r>
        <w:rPr>
          <w:rFonts w:hint="eastAsia" w:cs="Times New Roman"/>
          <w:snapToGrid w:val="0"/>
          <w:color w:val="auto"/>
          <w:kern w:val="0"/>
          <w:szCs w:val="24"/>
          <w:highlight w:val="none"/>
          <w:lang w:val="en-US" w:eastAsia="zh-CN"/>
        </w:rPr>
        <w:t>300</w:t>
      </w:r>
      <w:r>
        <w:rPr>
          <w:rFonts w:hint="eastAsia" w:cs="Times New Roman"/>
          <w:snapToGrid w:val="0"/>
          <w:color w:val="auto"/>
          <w:kern w:val="0"/>
          <w:szCs w:val="24"/>
          <w:highlight w:val="none"/>
        </w:rPr>
        <w:t>m</w:t>
      </w:r>
      <w:r>
        <w:rPr>
          <w:rFonts w:hint="eastAsia" w:cs="Times New Roman"/>
          <w:snapToGrid w:val="0"/>
          <w:color w:val="auto"/>
          <w:kern w:val="0"/>
          <w:szCs w:val="24"/>
          <w:highlight w:val="none"/>
          <w:vertAlign w:val="superscript"/>
        </w:rPr>
        <w:t>3</w:t>
      </w:r>
      <w:r>
        <w:rPr>
          <w:rFonts w:hint="eastAsia" w:cs="Times New Roman"/>
          <w:snapToGrid w:val="0"/>
          <w:color w:val="auto"/>
          <w:kern w:val="0"/>
          <w:szCs w:val="24"/>
          <w:highlight w:val="none"/>
        </w:rPr>
        <w:t>，反应池污泥龄</w:t>
      </w:r>
      <w:r>
        <w:rPr>
          <w:rFonts w:hint="eastAsia" w:cs="Times New Roman"/>
          <w:snapToGrid w:val="0"/>
          <w:color w:val="auto"/>
          <w:kern w:val="0"/>
          <w:szCs w:val="24"/>
          <w:highlight w:val="none"/>
          <w:lang w:val="en-US" w:eastAsia="zh-CN"/>
        </w:rPr>
        <w:t>15</w:t>
      </w:r>
      <w:r>
        <w:rPr>
          <w:rFonts w:hint="eastAsia" w:cs="Times New Roman"/>
          <w:snapToGrid w:val="0"/>
          <w:color w:val="auto"/>
          <w:kern w:val="0"/>
          <w:szCs w:val="24"/>
          <w:highlight w:val="none"/>
        </w:rPr>
        <w:t>d，混合液悬浮固体平均浓度</w:t>
      </w:r>
      <w:r>
        <w:rPr>
          <w:rFonts w:hint="eastAsia" w:cs="Times New Roman"/>
          <w:snapToGrid w:val="0"/>
          <w:color w:val="auto"/>
          <w:kern w:val="0"/>
          <w:szCs w:val="24"/>
          <w:highlight w:val="none"/>
          <w:lang w:val="en-US" w:eastAsia="zh-CN"/>
        </w:rPr>
        <w:t>2</w:t>
      </w:r>
      <w:r>
        <w:rPr>
          <w:rFonts w:hint="eastAsia" w:cs="Times New Roman"/>
          <w:snapToGrid w:val="0"/>
          <w:color w:val="auto"/>
          <w:kern w:val="0"/>
          <w:szCs w:val="24"/>
          <w:highlight w:val="none"/>
        </w:rPr>
        <w:t>000</w:t>
      </w:r>
      <w:r>
        <w:rPr>
          <w:rFonts w:hint="eastAsia" w:cs="Times New Roman"/>
          <w:snapToGrid w:val="0"/>
          <w:color w:val="auto"/>
          <w:kern w:val="0"/>
          <w:szCs w:val="24"/>
          <w:highlight w:val="none"/>
          <w:lang w:val="en-US" w:eastAsia="zh-CN"/>
        </w:rPr>
        <w:t>g/m</w:t>
      </w:r>
      <w:r>
        <w:rPr>
          <w:rFonts w:hint="eastAsia" w:cs="Times New Roman"/>
          <w:snapToGrid w:val="0"/>
          <w:color w:val="auto"/>
          <w:kern w:val="0"/>
          <w:szCs w:val="24"/>
          <w:highlight w:val="none"/>
          <w:vertAlign w:val="superscript"/>
          <w:lang w:val="en-US" w:eastAsia="zh-CN"/>
        </w:rPr>
        <w:t>3</w:t>
      </w:r>
      <w:r>
        <w:rPr>
          <w:rFonts w:hint="eastAsia" w:cs="Times New Roman"/>
          <w:snapToGrid w:val="0"/>
          <w:color w:val="auto"/>
          <w:kern w:val="0"/>
          <w:szCs w:val="24"/>
          <w:highlight w:val="none"/>
        </w:rPr>
        <w:t>。</w:t>
      </w:r>
    </w:p>
    <w:p w14:paraId="38E3CD4E">
      <w:pPr>
        <w:spacing w:line="500" w:lineRule="exact"/>
        <w:jc w:val="both"/>
        <w:rPr>
          <w:rFonts w:cs="Times New Roman"/>
          <w:snapToGrid w:val="0"/>
          <w:color w:val="auto"/>
          <w:kern w:val="0"/>
          <w:szCs w:val="24"/>
          <w:highlight w:val="none"/>
        </w:rPr>
      </w:pPr>
      <w:r>
        <w:rPr>
          <w:rFonts w:hint="eastAsia" w:cs="Times New Roman"/>
          <w:snapToGrid w:val="0"/>
          <w:color w:val="auto"/>
          <w:kern w:val="0"/>
          <w:szCs w:val="24"/>
          <w:highlight w:val="none"/>
        </w:rPr>
        <w:t>则根据上述公式估算</w:t>
      </w:r>
      <w:r>
        <w:rPr>
          <w:rFonts w:hint="eastAsia" w:cs="Times New Roman"/>
          <w:snapToGrid w:val="0"/>
          <w:color w:val="auto"/>
          <w:kern w:val="0"/>
          <w:szCs w:val="24"/>
          <w:highlight w:val="none"/>
          <w:lang w:val="en-US" w:eastAsia="zh-CN"/>
        </w:rPr>
        <w:t>生化</w:t>
      </w:r>
      <w:r>
        <w:rPr>
          <w:rFonts w:hint="eastAsia" w:cs="Times New Roman"/>
          <w:snapToGrid w:val="0"/>
          <w:color w:val="auto"/>
          <w:kern w:val="0"/>
          <w:szCs w:val="24"/>
          <w:highlight w:val="none"/>
        </w:rPr>
        <w:t>反应池剩余干污泥产生量</w:t>
      </w:r>
      <w:r>
        <w:rPr>
          <w:rFonts w:hint="eastAsia" w:cs="Times New Roman"/>
          <w:snapToGrid w:val="0"/>
          <w:color w:val="auto"/>
          <w:kern w:val="0"/>
          <w:szCs w:val="24"/>
          <w:highlight w:val="none"/>
          <w:lang w:eastAsia="zh-CN"/>
        </w:rPr>
        <w:t>：</w:t>
      </w:r>
      <w:r>
        <w:rPr>
          <w:rFonts w:hint="eastAsia" w:ascii="宋体" w:hAnsi="宋体" w:eastAsia="宋体" w:cs="宋体"/>
          <w:snapToGrid w:val="0"/>
          <w:color w:val="auto"/>
          <w:kern w:val="0"/>
          <w:szCs w:val="24"/>
          <w:highlight w:val="none"/>
        </w:rPr>
        <w:t>△</w:t>
      </w:r>
      <w:r>
        <w:rPr>
          <w:rFonts w:hint="eastAsia" w:cs="Times New Roman"/>
          <w:snapToGrid w:val="0"/>
          <w:color w:val="auto"/>
          <w:kern w:val="0"/>
          <w:szCs w:val="24"/>
          <w:highlight w:val="none"/>
        </w:rPr>
        <w:t>X2=</w:t>
      </w:r>
      <w:r>
        <w:rPr>
          <w:rFonts w:hint="eastAsia" w:cs="Times New Roman"/>
          <w:snapToGrid w:val="0"/>
          <w:color w:val="auto"/>
          <w:kern w:val="0"/>
          <w:szCs w:val="24"/>
          <w:highlight w:val="none"/>
          <w:lang w:val="en-US" w:eastAsia="zh-CN"/>
        </w:rPr>
        <w:t>300</w:t>
      </w:r>
      <w:r>
        <w:rPr>
          <w:rFonts w:hint="default" w:ascii="Arial" w:hAnsi="Arial" w:cs="Arial"/>
          <w:snapToGrid w:val="0"/>
          <w:color w:val="auto"/>
          <w:kern w:val="0"/>
          <w:szCs w:val="24"/>
          <w:highlight w:val="none"/>
        </w:rPr>
        <w:t>×</w:t>
      </w:r>
      <w:r>
        <w:rPr>
          <w:rFonts w:hint="eastAsia" w:cs="Times New Roman"/>
          <w:snapToGrid w:val="0"/>
          <w:color w:val="auto"/>
          <w:kern w:val="0"/>
          <w:szCs w:val="24"/>
          <w:highlight w:val="none"/>
          <w:lang w:val="en-US" w:eastAsia="zh-CN"/>
        </w:rPr>
        <w:t>2</w:t>
      </w:r>
      <w:r>
        <w:rPr>
          <w:rFonts w:hint="eastAsia" w:cs="Times New Roman"/>
          <w:snapToGrid w:val="0"/>
          <w:color w:val="auto"/>
          <w:kern w:val="0"/>
          <w:szCs w:val="24"/>
          <w:highlight w:val="none"/>
        </w:rPr>
        <w:t>000</w:t>
      </w:r>
      <w:r>
        <w:rPr>
          <w:rFonts w:hint="default" w:ascii="Arial" w:hAnsi="Arial" w:cs="Arial"/>
          <w:snapToGrid w:val="0"/>
          <w:color w:val="auto"/>
          <w:kern w:val="0"/>
          <w:szCs w:val="24"/>
          <w:highlight w:val="none"/>
        </w:rPr>
        <w:t>÷</w:t>
      </w:r>
      <w:r>
        <w:rPr>
          <w:rFonts w:hint="eastAsia" w:cs="Times New Roman"/>
          <w:snapToGrid w:val="0"/>
          <w:color w:val="auto"/>
          <w:kern w:val="0"/>
          <w:szCs w:val="24"/>
          <w:highlight w:val="none"/>
        </w:rPr>
        <w:t>1</w:t>
      </w:r>
      <w:r>
        <w:rPr>
          <w:rFonts w:hint="eastAsia" w:cs="Times New Roman"/>
          <w:snapToGrid w:val="0"/>
          <w:color w:val="auto"/>
          <w:kern w:val="0"/>
          <w:szCs w:val="24"/>
          <w:highlight w:val="none"/>
          <w:lang w:val="en-US" w:eastAsia="zh-CN"/>
        </w:rPr>
        <w:t>5</w:t>
      </w:r>
      <w:r>
        <w:rPr>
          <w:rFonts w:hint="default" w:ascii="Arial" w:hAnsi="Arial" w:cs="Arial"/>
          <w:snapToGrid w:val="0"/>
          <w:color w:val="auto"/>
          <w:kern w:val="0"/>
          <w:szCs w:val="24"/>
          <w:highlight w:val="none"/>
        </w:rPr>
        <w:t>÷</w:t>
      </w:r>
      <w:r>
        <w:rPr>
          <w:rFonts w:hint="eastAsia" w:cs="Times New Roman"/>
          <w:snapToGrid w:val="0"/>
          <w:color w:val="auto"/>
          <w:kern w:val="0"/>
          <w:szCs w:val="24"/>
          <w:highlight w:val="none"/>
        </w:rPr>
        <w:t>1000=</w:t>
      </w:r>
      <w:r>
        <w:rPr>
          <w:rFonts w:hint="eastAsia" w:cs="Times New Roman"/>
          <w:snapToGrid w:val="0"/>
          <w:color w:val="auto"/>
          <w:kern w:val="0"/>
          <w:szCs w:val="24"/>
          <w:highlight w:val="none"/>
          <w:lang w:val="en-US" w:eastAsia="zh-CN"/>
        </w:rPr>
        <w:t>40</w:t>
      </w:r>
      <w:r>
        <w:rPr>
          <w:rFonts w:hint="eastAsia" w:cs="Times New Roman"/>
          <w:snapToGrid w:val="0"/>
          <w:color w:val="auto"/>
          <w:kern w:val="0"/>
          <w:szCs w:val="24"/>
          <w:highlight w:val="none"/>
        </w:rPr>
        <w:t>kg/d(</w:t>
      </w:r>
      <w:r>
        <w:rPr>
          <w:rFonts w:hint="eastAsia" w:cs="Times New Roman"/>
          <w:snapToGrid w:val="0"/>
          <w:color w:val="auto"/>
          <w:kern w:val="0"/>
          <w:szCs w:val="24"/>
          <w:highlight w:val="none"/>
          <w:lang w:val="en-US" w:eastAsia="zh-CN"/>
        </w:rPr>
        <w:t>12.4</w:t>
      </w:r>
      <w:r>
        <w:rPr>
          <w:rFonts w:hint="eastAsia" w:cs="Times New Roman"/>
          <w:snapToGrid w:val="0"/>
          <w:color w:val="auto"/>
          <w:kern w:val="0"/>
          <w:szCs w:val="24"/>
          <w:highlight w:val="none"/>
        </w:rPr>
        <w:t>t/a)，</w:t>
      </w:r>
    </w:p>
    <w:p w14:paraId="4E192983">
      <w:pPr>
        <w:spacing w:line="500" w:lineRule="exact"/>
        <w:rPr>
          <w:rFonts w:hint="eastAsia" w:cs="Times New Roman"/>
          <w:snapToGrid w:val="0"/>
          <w:color w:val="auto"/>
          <w:kern w:val="0"/>
          <w:szCs w:val="24"/>
          <w:highlight w:val="none"/>
        </w:rPr>
      </w:pPr>
      <w:r>
        <w:rPr>
          <w:rFonts w:hint="eastAsia" w:cs="Times New Roman"/>
          <w:snapToGrid w:val="0"/>
          <w:color w:val="auto"/>
          <w:kern w:val="0"/>
          <w:szCs w:val="24"/>
          <w:highlight w:val="none"/>
        </w:rPr>
        <w:t>污泥经脱水后的含水率降至80%，则本项目脱水污泥产生量约为(</w:t>
      </w:r>
      <w:r>
        <w:rPr>
          <w:rFonts w:hint="eastAsia" w:cs="Times New Roman"/>
          <w:snapToGrid w:val="0"/>
          <w:color w:val="auto"/>
          <w:kern w:val="0"/>
          <w:szCs w:val="24"/>
          <w:highlight w:val="none"/>
          <w:lang w:val="en-US" w:eastAsia="zh-CN"/>
        </w:rPr>
        <w:t>121.1+40</w:t>
      </w:r>
      <w:r>
        <w:rPr>
          <w:rFonts w:hint="eastAsia" w:cs="Times New Roman"/>
          <w:snapToGrid w:val="0"/>
          <w:color w:val="auto"/>
          <w:kern w:val="0"/>
          <w:szCs w:val="24"/>
          <w:highlight w:val="none"/>
        </w:rPr>
        <w:t>)÷(1-80%)=</w:t>
      </w:r>
      <w:r>
        <w:rPr>
          <w:rFonts w:hint="eastAsia" w:cs="Times New Roman"/>
          <w:snapToGrid w:val="0"/>
          <w:color w:val="auto"/>
          <w:kern w:val="0"/>
          <w:szCs w:val="24"/>
          <w:highlight w:val="none"/>
          <w:lang w:val="en-US" w:eastAsia="zh-CN"/>
        </w:rPr>
        <w:t>806</w:t>
      </w:r>
      <w:r>
        <w:rPr>
          <w:rFonts w:hint="eastAsia" w:cs="Times New Roman"/>
          <w:snapToGrid w:val="0"/>
          <w:color w:val="auto"/>
          <w:kern w:val="0"/>
          <w:szCs w:val="24"/>
          <w:highlight w:val="none"/>
        </w:rPr>
        <w:t>kg/d(</w:t>
      </w:r>
      <w:r>
        <w:rPr>
          <w:rFonts w:hint="eastAsia" w:cs="Times New Roman"/>
          <w:snapToGrid w:val="0"/>
          <w:color w:val="auto"/>
          <w:kern w:val="0"/>
          <w:szCs w:val="24"/>
          <w:highlight w:val="none"/>
          <w:lang w:val="en-US" w:eastAsia="zh-CN"/>
        </w:rPr>
        <w:t>249.7</w:t>
      </w:r>
      <w:r>
        <w:rPr>
          <w:rFonts w:hint="eastAsia" w:cs="Times New Roman"/>
          <w:snapToGrid w:val="0"/>
          <w:color w:val="auto"/>
          <w:kern w:val="0"/>
          <w:szCs w:val="24"/>
          <w:highlight w:val="none"/>
        </w:rPr>
        <w:t>t/a)。</w:t>
      </w:r>
    </w:p>
    <w:p w14:paraId="5F3A9047">
      <w:pPr>
        <w:spacing w:line="500" w:lineRule="exact"/>
        <w:rPr>
          <w:rFonts w:cs="Times New Roman"/>
          <w:snapToGrid w:val="0"/>
          <w:color w:val="auto"/>
          <w:kern w:val="0"/>
          <w:szCs w:val="24"/>
          <w:highlight w:val="none"/>
        </w:rPr>
      </w:pPr>
      <w:r>
        <w:rPr>
          <w:rFonts w:hint="eastAsia" w:cs="Times New Roman"/>
          <w:snapToGrid w:val="0"/>
          <w:color w:val="auto"/>
          <w:kern w:val="0"/>
          <w:szCs w:val="24"/>
          <w:highlight w:val="none"/>
        </w:rPr>
        <w:t>综上，本项目污泥产生总量为</w:t>
      </w:r>
      <w:r>
        <w:rPr>
          <w:rFonts w:hint="eastAsia" w:cs="Times New Roman"/>
          <w:snapToGrid w:val="0"/>
          <w:color w:val="auto"/>
          <w:kern w:val="0"/>
          <w:szCs w:val="24"/>
          <w:highlight w:val="none"/>
          <w:lang w:val="en-US" w:eastAsia="zh-CN"/>
        </w:rPr>
        <w:t>806</w:t>
      </w:r>
      <w:r>
        <w:rPr>
          <w:rFonts w:hint="eastAsia" w:cs="Times New Roman"/>
          <w:snapToGrid w:val="0"/>
          <w:color w:val="auto"/>
          <w:kern w:val="0"/>
          <w:szCs w:val="24"/>
          <w:highlight w:val="none"/>
        </w:rPr>
        <w:t>kg/d(</w:t>
      </w:r>
      <w:r>
        <w:rPr>
          <w:rFonts w:hint="eastAsia" w:cs="Times New Roman"/>
          <w:snapToGrid w:val="0"/>
          <w:color w:val="auto"/>
          <w:kern w:val="0"/>
          <w:szCs w:val="24"/>
          <w:highlight w:val="none"/>
          <w:lang w:val="en-US" w:eastAsia="zh-CN"/>
        </w:rPr>
        <w:t>249.7</w:t>
      </w:r>
      <w:r>
        <w:rPr>
          <w:rFonts w:hint="eastAsia" w:cs="Times New Roman"/>
          <w:snapToGrid w:val="0"/>
          <w:color w:val="auto"/>
          <w:kern w:val="0"/>
          <w:szCs w:val="24"/>
          <w:highlight w:val="none"/>
        </w:rPr>
        <w:t>t/a)。</w:t>
      </w:r>
    </w:p>
    <w:p w14:paraId="4767A032">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w:t>
      </w:r>
      <w:r>
        <w:rPr>
          <w:rFonts w:hint="eastAsia" w:cs="Times New Roman"/>
          <w:snapToGrid w:val="0"/>
          <w:color w:val="auto"/>
          <w:kern w:val="0"/>
          <w:szCs w:val="24"/>
          <w:highlight w:val="none"/>
          <w:lang w:val="en-US" w:eastAsia="zh-CN"/>
        </w:rPr>
        <w:t>6</w:t>
      </w:r>
      <w:r>
        <w:rPr>
          <w:rFonts w:cs="Times New Roman"/>
          <w:snapToGrid w:val="0"/>
          <w:color w:val="auto"/>
          <w:kern w:val="0"/>
          <w:szCs w:val="24"/>
          <w:highlight w:val="none"/>
        </w:rPr>
        <w:t>）废包装</w:t>
      </w:r>
    </w:p>
    <w:p w14:paraId="782333B5">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本项目包装过程中和辅料消耗过程中会产生废包装，废包装的产生量为</w:t>
      </w:r>
      <w:r>
        <w:rPr>
          <w:rFonts w:hint="eastAsia" w:cs="Times New Roman"/>
          <w:snapToGrid w:val="0"/>
          <w:color w:val="auto"/>
          <w:kern w:val="0"/>
          <w:szCs w:val="24"/>
          <w:highlight w:val="none"/>
          <w:lang w:val="en-US" w:eastAsia="zh-CN"/>
        </w:rPr>
        <w:t>1.6</w:t>
      </w:r>
      <w:r>
        <w:rPr>
          <w:rFonts w:cs="Times New Roman"/>
          <w:snapToGrid w:val="0"/>
          <w:color w:val="auto"/>
          <w:kern w:val="0"/>
          <w:szCs w:val="24"/>
          <w:highlight w:val="none"/>
        </w:rPr>
        <w:t>t/a，集中收集，定期外售综合利用。</w:t>
      </w:r>
    </w:p>
    <w:p w14:paraId="627385D1">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w:t>
      </w:r>
      <w:r>
        <w:rPr>
          <w:rFonts w:hint="eastAsia" w:cs="Times New Roman"/>
          <w:snapToGrid w:val="0"/>
          <w:color w:val="auto"/>
          <w:kern w:val="0"/>
          <w:szCs w:val="24"/>
          <w:highlight w:val="none"/>
          <w:lang w:val="en-US" w:eastAsia="zh-CN"/>
        </w:rPr>
        <w:t>7</w:t>
      </w:r>
      <w:r>
        <w:rPr>
          <w:rFonts w:cs="Times New Roman"/>
          <w:snapToGrid w:val="0"/>
          <w:color w:val="auto"/>
          <w:kern w:val="0"/>
          <w:szCs w:val="24"/>
          <w:highlight w:val="none"/>
        </w:rPr>
        <w:t>）生活垃圾</w:t>
      </w:r>
    </w:p>
    <w:p w14:paraId="4D322267">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本项目运营期职工人数为</w:t>
      </w:r>
      <w:r>
        <w:rPr>
          <w:rFonts w:hint="eastAsia" w:cs="Times New Roman"/>
          <w:snapToGrid w:val="0"/>
          <w:color w:val="auto"/>
          <w:kern w:val="0"/>
          <w:szCs w:val="24"/>
          <w:highlight w:val="none"/>
          <w:lang w:val="en-US" w:eastAsia="zh-CN"/>
        </w:rPr>
        <w:t>3</w:t>
      </w:r>
      <w:r>
        <w:rPr>
          <w:rFonts w:cs="Times New Roman"/>
          <w:snapToGrid w:val="0"/>
          <w:color w:val="auto"/>
          <w:kern w:val="0"/>
          <w:szCs w:val="24"/>
          <w:highlight w:val="none"/>
        </w:rPr>
        <w:t>0人，运行时间为3</w:t>
      </w:r>
      <w:r>
        <w:rPr>
          <w:rFonts w:hint="eastAsia" w:cs="Times New Roman"/>
          <w:snapToGrid w:val="0"/>
          <w:color w:val="auto"/>
          <w:kern w:val="0"/>
          <w:szCs w:val="24"/>
          <w:highlight w:val="none"/>
          <w:lang w:val="en-US" w:eastAsia="zh-CN"/>
        </w:rPr>
        <w:t>1</w:t>
      </w:r>
      <w:r>
        <w:rPr>
          <w:rFonts w:cs="Times New Roman"/>
          <w:snapToGrid w:val="0"/>
          <w:color w:val="auto"/>
          <w:kern w:val="0"/>
          <w:szCs w:val="24"/>
          <w:highlight w:val="none"/>
        </w:rPr>
        <w:t>0d/a，员工生活垃圾产生量按0.5kg/（人·d）计，则本项目生活垃圾产生量约为</w:t>
      </w:r>
      <w:r>
        <w:rPr>
          <w:rFonts w:hint="eastAsia" w:cs="Times New Roman"/>
          <w:snapToGrid w:val="0"/>
          <w:color w:val="auto"/>
          <w:kern w:val="0"/>
          <w:szCs w:val="24"/>
          <w:highlight w:val="none"/>
          <w:lang w:val="en-US" w:eastAsia="zh-CN"/>
        </w:rPr>
        <w:t>4.65</w:t>
      </w:r>
      <w:r>
        <w:rPr>
          <w:rFonts w:cs="Times New Roman"/>
          <w:snapToGrid w:val="0"/>
          <w:color w:val="auto"/>
          <w:kern w:val="0"/>
          <w:szCs w:val="24"/>
          <w:highlight w:val="none"/>
        </w:rPr>
        <w:t>t/a，收集于专用垃圾桶后，</w:t>
      </w:r>
      <w:r>
        <w:rPr>
          <w:rFonts w:hint="eastAsia" w:cs="Times New Roman"/>
          <w:snapToGrid w:val="0"/>
          <w:color w:val="auto"/>
          <w:kern w:val="0"/>
          <w:szCs w:val="24"/>
          <w:highlight w:val="none"/>
          <w:lang w:eastAsia="zh-CN"/>
        </w:rPr>
        <w:t>由市政环卫部门统一清运</w:t>
      </w:r>
      <w:r>
        <w:rPr>
          <w:rFonts w:cs="Times New Roman"/>
          <w:snapToGrid w:val="0"/>
          <w:color w:val="auto"/>
          <w:kern w:val="0"/>
          <w:szCs w:val="24"/>
          <w:highlight w:val="none"/>
        </w:rPr>
        <w:t>。</w:t>
      </w:r>
    </w:p>
    <w:p w14:paraId="281D9955">
      <w:pPr>
        <w:numPr>
          <w:ilvl w:val="0"/>
          <w:numId w:val="13"/>
        </w:numPr>
        <w:spacing w:line="500" w:lineRule="exact"/>
        <w:rPr>
          <w:rFonts w:hint="eastAsia" w:cs="Times New Roman"/>
          <w:snapToGrid w:val="0"/>
          <w:color w:val="auto"/>
          <w:kern w:val="0"/>
          <w:szCs w:val="24"/>
          <w:highlight w:val="none"/>
          <w:lang w:val="en-US" w:eastAsia="zh-CN"/>
        </w:rPr>
      </w:pPr>
      <w:r>
        <w:rPr>
          <w:rFonts w:hint="eastAsia" w:cs="Times New Roman"/>
          <w:snapToGrid w:val="0"/>
          <w:color w:val="auto"/>
          <w:kern w:val="0"/>
          <w:szCs w:val="24"/>
          <w:highlight w:val="none"/>
          <w:lang w:val="en-US" w:eastAsia="zh-CN"/>
        </w:rPr>
        <w:t>废油脂</w:t>
      </w:r>
    </w:p>
    <w:p w14:paraId="60CE27F1">
      <w:pPr>
        <w:numPr>
          <w:ilvl w:val="0"/>
          <w:numId w:val="0"/>
        </w:numPr>
        <w:spacing w:line="500" w:lineRule="exact"/>
        <w:rPr>
          <w:rFonts w:hint="default" w:cs="Times New Roman"/>
          <w:snapToGrid w:val="0"/>
          <w:color w:val="auto"/>
          <w:kern w:val="0"/>
          <w:szCs w:val="24"/>
          <w:highlight w:val="none"/>
          <w:lang w:val="en-US" w:eastAsia="zh-CN"/>
        </w:rPr>
      </w:pPr>
      <w:r>
        <w:rPr>
          <w:rFonts w:hint="eastAsia" w:cs="Times New Roman"/>
          <w:snapToGrid w:val="0"/>
          <w:color w:val="auto"/>
          <w:kern w:val="0"/>
          <w:szCs w:val="24"/>
          <w:highlight w:val="none"/>
          <w:lang w:val="en-US" w:eastAsia="zh-CN"/>
        </w:rPr>
        <w:t xml:space="preserve">    本项目污水处理站隔油池废油脂产生量约0.8t/a，</w:t>
      </w:r>
      <w:r>
        <w:rPr>
          <w:rFonts w:hint="eastAsia" w:cs="Times New Roman"/>
          <w:color w:val="auto"/>
          <w:szCs w:val="24"/>
          <w:highlight w:val="none"/>
          <w:lang w:val="en-US" w:eastAsia="zh-CN"/>
        </w:rPr>
        <w:t>收集后交由有能力处置单位运输处置。</w:t>
      </w:r>
    </w:p>
    <w:p w14:paraId="05015EDF">
      <w:pPr>
        <w:spacing w:line="500" w:lineRule="exact"/>
        <w:ind w:firstLine="482"/>
        <w:rPr>
          <w:rFonts w:cs="Times New Roman"/>
          <w:b/>
          <w:bCs/>
          <w:snapToGrid w:val="0"/>
          <w:color w:val="auto"/>
          <w:kern w:val="0"/>
          <w:szCs w:val="24"/>
          <w:highlight w:val="none"/>
        </w:rPr>
      </w:pPr>
      <w:bookmarkStart w:id="140" w:name="_Toc61529200"/>
      <w:r>
        <w:rPr>
          <w:rFonts w:cs="Times New Roman"/>
          <w:b/>
          <w:bCs/>
          <w:snapToGrid w:val="0"/>
          <w:color w:val="auto"/>
          <w:kern w:val="0"/>
          <w:szCs w:val="24"/>
          <w:highlight w:val="none"/>
        </w:rPr>
        <w:t>2、危险废物</w:t>
      </w:r>
    </w:p>
    <w:p w14:paraId="2BDC3036">
      <w:pPr>
        <w:spacing w:line="500" w:lineRule="exact"/>
        <w:rPr>
          <w:rFonts w:hint="eastAsia" w:cs="Times New Roman"/>
          <w:color w:val="auto"/>
          <w:szCs w:val="24"/>
          <w:highlight w:val="none"/>
          <w:lang w:eastAsia="zh-CN"/>
        </w:rPr>
      </w:pPr>
      <w:r>
        <w:rPr>
          <w:rFonts w:cs="Times New Roman"/>
          <w:color w:val="auto"/>
          <w:szCs w:val="24"/>
          <w:highlight w:val="none"/>
        </w:rPr>
        <w:t>本项目产生的</w:t>
      </w:r>
      <w:r>
        <w:rPr>
          <w:rFonts w:hint="eastAsia" w:cs="Times New Roman"/>
          <w:color w:val="auto"/>
          <w:szCs w:val="24"/>
          <w:highlight w:val="none"/>
          <w:lang w:eastAsia="zh-CN"/>
        </w:rPr>
        <w:t>危险废物主要为检疫废物、废润滑油及含油抹布、劳保手套。</w:t>
      </w:r>
    </w:p>
    <w:p w14:paraId="3CF5FDCE">
      <w:pPr>
        <w:spacing w:line="500" w:lineRule="exact"/>
        <w:rPr>
          <w:rFonts w:hint="default" w:cs="Times New Roman"/>
          <w:color w:val="auto"/>
          <w:szCs w:val="24"/>
          <w:highlight w:val="none"/>
          <w:lang w:val="en-US" w:eastAsia="zh-CN"/>
        </w:rPr>
      </w:pPr>
      <w:r>
        <w:rPr>
          <w:rFonts w:hint="eastAsia" w:cs="Times New Roman"/>
          <w:color w:val="auto"/>
          <w:szCs w:val="24"/>
          <w:highlight w:val="none"/>
          <w:lang w:val="en-US" w:eastAsia="zh-CN"/>
        </w:rPr>
        <w:t>（1）检疫废物</w:t>
      </w:r>
    </w:p>
    <w:p w14:paraId="09AC4D30">
      <w:pPr>
        <w:spacing w:line="500" w:lineRule="exact"/>
        <w:rPr>
          <w:rFonts w:cs="Times New Roman"/>
          <w:b/>
          <w:color w:val="auto"/>
          <w:highlight w:val="none"/>
        </w:rPr>
      </w:pPr>
      <w:r>
        <w:rPr>
          <w:rFonts w:cs="Times New Roman"/>
          <w:color w:val="auto"/>
          <w:szCs w:val="24"/>
          <w:highlight w:val="none"/>
        </w:rPr>
        <w:t>检疫废物</w:t>
      </w:r>
      <w:r>
        <w:rPr>
          <w:rFonts w:hint="eastAsia" w:cs="Times New Roman"/>
          <w:color w:val="auto"/>
          <w:szCs w:val="24"/>
          <w:highlight w:val="none"/>
          <w:lang w:val="en-US" w:eastAsia="zh-CN"/>
        </w:rPr>
        <w:t>主要为废弃载玻片</w:t>
      </w:r>
      <w:r>
        <w:rPr>
          <w:rFonts w:cs="Times New Roman"/>
          <w:color w:val="auto"/>
          <w:szCs w:val="24"/>
          <w:highlight w:val="none"/>
        </w:rPr>
        <w:t>，产生量约0.</w:t>
      </w:r>
      <w:r>
        <w:rPr>
          <w:rFonts w:hint="eastAsia" w:cs="Times New Roman"/>
          <w:color w:val="auto"/>
          <w:szCs w:val="24"/>
          <w:highlight w:val="none"/>
          <w:lang w:val="en-US" w:eastAsia="zh-CN"/>
        </w:rPr>
        <w:t>3</w:t>
      </w:r>
      <w:r>
        <w:rPr>
          <w:rFonts w:cs="Times New Roman"/>
          <w:color w:val="auto"/>
          <w:szCs w:val="24"/>
          <w:highlight w:val="none"/>
        </w:rPr>
        <w:t>t/a。主要在检疫检测实验室产生，桶装收集，</w:t>
      </w:r>
      <w:r>
        <w:rPr>
          <w:rFonts w:hint="eastAsia" w:cs="Times New Roman"/>
          <w:color w:val="auto"/>
          <w:szCs w:val="24"/>
          <w:highlight w:val="none"/>
          <w:lang w:eastAsia="zh-CN"/>
        </w:rPr>
        <w:t>含有感染性危险废物的容器</w:t>
      </w:r>
      <w:r>
        <w:rPr>
          <w:rFonts w:cs="Times New Roman"/>
          <w:color w:val="auto"/>
          <w:szCs w:val="24"/>
          <w:highlight w:val="none"/>
        </w:rPr>
        <w:t>，根据《国家危险废物名录（202</w:t>
      </w:r>
      <w:r>
        <w:rPr>
          <w:rFonts w:hint="eastAsia" w:cs="Times New Roman"/>
          <w:color w:val="auto"/>
          <w:szCs w:val="24"/>
          <w:highlight w:val="none"/>
          <w:lang w:val="en-US" w:eastAsia="zh-CN"/>
        </w:rPr>
        <w:t>5</w:t>
      </w:r>
      <w:r>
        <w:rPr>
          <w:rFonts w:cs="Times New Roman"/>
          <w:color w:val="auto"/>
          <w:szCs w:val="24"/>
          <w:highlight w:val="none"/>
        </w:rPr>
        <w:t>版》，属于HW49其他废物，代码</w:t>
      </w:r>
      <w:r>
        <w:rPr>
          <w:rFonts w:hint="eastAsia" w:cs="Times New Roman"/>
          <w:color w:val="auto"/>
          <w:szCs w:val="24"/>
          <w:highlight w:val="none"/>
          <w:lang w:eastAsia="zh-CN"/>
        </w:rPr>
        <w:t>900-041-49</w:t>
      </w:r>
      <w:r>
        <w:rPr>
          <w:rFonts w:cs="Times New Roman"/>
          <w:color w:val="auto"/>
          <w:szCs w:val="24"/>
          <w:highlight w:val="none"/>
        </w:rPr>
        <w:t>，在</w:t>
      </w:r>
      <w:r>
        <w:rPr>
          <w:rFonts w:hint="eastAsia" w:cs="Times New Roman"/>
          <w:color w:val="auto"/>
          <w:szCs w:val="24"/>
          <w:highlight w:val="none"/>
          <w:lang w:eastAsia="zh-CN"/>
        </w:rPr>
        <w:t>危险废物贮存点</w:t>
      </w:r>
      <w:r>
        <w:rPr>
          <w:rFonts w:cs="Times New Roman"/>
          <w:color w:val="auto"/>
          <w:szCs w:val="24"/>
          <w:highlight w:val="none"/>
        </w:rPr>
        <w:t>内暂存，定期交由有资质单位处理。</w:t>
      </w:r>
    </w:p>
    <w:p w14:paraId="4A9DB712">
      <w:pPr>
        <w:spacing w:line="500" w:lineRule="exact"/>
        <w:rPr>
          <w:rFonts w:hint="eastAsia" w:ascii="Times New Roman" w:hAnsi="Times New Roman" w:eastAsia="宋体" w:cs="Times New Roman"/>
          <w:color w:val="auto"/>
          <w:szCs w:val="24"/>
          <w:highlight w:val="none"/>
          <w:lang w:val="en-US" w:eastAsia="zh-CN"/>
        </w:rPr>
      </w:pPr>
      <w:r>
        <w:rPr>
          <w:rFonts w:hint="eastAsia" w:ascii="Times New Roman" w:hAnsi="Times New Roman" w:eastAsia="宋体" w:cs="Times New Roman"/>
          <w:color w:val="auto"/>
          <w:szCs w:val="24"/>
          <w:highlight w:val="none"/>
          <w:lang w:val="en-US" w:eastAsia="zh-CN"/>
        </w:rPr>
        <w:t>（2）废润滑油</w:t>
      </w:r>
    </w:p>
    <w:p w14:paraId="7A4E5E26">
      <w:pPr>
        <w:spacing w:line="500" w:lineRule="exact"/>
        <w:rPr>
          <w:rFonts w:ascii="Times New Roman" w:hAnsi="Times New Roman" w:eastAsia="宋体" w:cs="Times New Roman"/>
          <w:color w:val="auto"/>
          <w:szCs w:val="24"/>
          <w:highlight w:val="none"/>
        </w:rPr>
      </w:pPr>
      <w:r>
        <w:rPr>
          <w:rFonts w:hint="eastAsia" w:ascii="Times New Roman" w:hAnsi="Times New Roman" w:eastAsia="宋体" w:cs="Times New Roman"/>
          <w:color w:val="auto"/>
          <w:szCs w:val="24"/>
          <w:highlight w:val="none"/>
          <w:lang w:val="en-US" w:eastAsia="zh-CN"/>
        </w:rPr>
        <w:t>项目设备检修时会产生废润滑油，废润滑油产生量约为0.0</w:t>
      </w:r>
      <w:r>
        <w:rPr>
          <w:rFonts w:hint="eastAsia" w:cs="Times New Roman"/>
          <w:color w:val="auto"/>
          <w:szCs w:val="24"/>
          <w:highlight w:val="none"/>
          <w:lang w:val="en-US" w:eastAsia="zh-CN"/>
        </w:rPr>
        <w:t>8</w:t>
      </w:r>
      <w:r>
        <w:rPr>
          <w:rFonts w:hint="eastAsia" w:ascii="Times New Roman" w:hAnsi="Times New Roman" w:eastAsia="宋体" w:cs="Times New Roman"/>
          <w:color w:val="auto"/>
          <w:szCs w:val="24"/>
          <w:highlight w:val="none"/>
          <w:lang w:val="en-US" w:eastAsia="zh-CN"/>
        </w:rPr>
        <w:t>t/a，桶装收集，</w:t>
      </w:r>
      <w:r>
        <w:rPr>
          <w:rFonts w:ascii="Times New Roman" w:hAnsi="Times New Roman" w:eastAsia="宋体" w:cs="Times New Roman"/>
          <w:color w:val="auto"/>
          <w:szCs w:val="24"/>
          <w:highlight w:val="none"/>
        </w:rPr>
        <w:t>根据《国家危险废物名录（202</w:t>
      </w:r>
      <w:r>
        <w:rPr>
          <w:rFonts w:hint="eastAsia" w:cs="Times New Roman"/>
          <w:color w:val="auto"/>
          <w:szCs w:val="24"/>
          <w:highlight w:val="none"/>
          <w:lang w:val="en-US" w:eastAsia="zh-CN"/>
        </w:rPr>
        <w:t>5</w:t>
      </w:r>
      <w:r>
        <w:rPr>
          <w:rFonts w:ascii="Times New Roman" w:hAnsi="Times New Roman" w:eastAsia="宋体" w:cs="Times New Roman"/>
          <w:color w:val="auto"/>
          <w:szCs w:val="24"/>
          <w:highlight w:val="none"/>
        </w:rPr>
        <w:t>版》，属于HW49其他废物，代码</w:t>
      </w:r>
      <w:r>
        <w:rPr>
          <w:rFonts w:hint="eastAsia" w:ascii="Times New Roman" w:hAnsi="Times New Roman" w:eastAsia="宋体" w:cs="Times New Roman"/>
          <w:color w:val="auto"/>
          <w:szCs w:val="24"/>
          <w:highlight w:val="none"/>
          <w:lang w:eastAsia="zh-CN"/>
        </w:rPr>
        <w:t>900-041-49</w:t>
      </w:r>
      <w:r>
        <w:rPr>
          <w:rFonts w:ascii="Times New Roman" w:hAnsi="Times New Roman" w:eastAsia="宋体" w:cs="Times New Roman"/>
          <w:color w:val="auto"/>
          <w:szCs w:val="24"/>
          <w:highlight w:val="none"/>
        </w:rPr>
        <w:t>，在</w:t>
      </w:r>
      <w:r>
        <w:rPr>
          <w:rFonts w:hint="eastAsia" w:cs="Times New Roman"/>
          <w:color w:val="auto"/>
          <w:szCs w:val="24"/>
          <w:highlight w:val="none"/>
          <w:lang w:eastAsia="zh-CN"/>
        </w:rPr>
        <w:t>危险废物贮存点</w:t>
      </w:r>
      <w:r>
        <w:rPr>
          <w:rFonts w:ascii="Times New Roman" w:hAnsi="Times New Roman" w:eastAsia="宋体" w:cs="Times New Roman"/>
          <w:color w:val="auto"/>
          <w:szCs w:val="24"/>
          <w:highlight w:val="none"/>
        </w:rPr>
        <w:t>内暂存，定期交由有资质单位处理。</w:t>
      </w:r>
    </w:p>
    <w:p w14:paraId="416981D9">
      <w:pPr>
        <w:spacing w:line="500" w:lineRule="exact"/>
        <w:rPr>
          <w:rFonts w:hint="eastAsia" w:ascii="Times New Roman" w:hAnsi="Times New Roman" w:eastAsia="宋体" w:cs="Times New Roman"/>
          <w:color w:val="auto"/>
          <w:szCs w:val="24"/>
          <w:highlight w:val="none"/>
          <w:lang w:val="en-US" w:eastAsia="zh-CN"/>
        </w:rPr>
      </w:pPr>
      <w:r>
        <w:rPr>
          <w:rFonts w:hint="eastAsia" w:ascii="Times New Roman" w:hAnsi="Times New Roman" w:eastAsia="宋体" w:cs="Times New Roman"/>
          <w:color w:val="auto"/>
          <w:szCs w:val="24"/>
          <w:highlight w:val="none"/>
          <w:lang w:val="en-US" w:eastAsia="zh-CN"/>
        </w:rPr>
        <w:t>（3）含油抹布、劳保手套</w:t>
      </w:r>
    </w:p>
    <w:p w14:paraId="3A9B0DA5">
      <w:pPr>
        <w:spacing w:line="500" w:lineRule="exact"/>
        <w:rPr>
          <w:rFonts w:hint="eastAsia" w:cs="Times New Roman"/>
          <w:snapToGrid w:val="0"/>
          <w:color w:val="auto"/>
          <w:highlight w:val="none"/>
          <w:lang w:val="en-US" w:eastAsia="zh-CN"/>
        </w:rPr>
      </w:pPr>
      <w:r>
        <w:rPr>
          <w:rFonts w:hint="eastAsia" w:ascii="Times New Roman" w:hAnsi="Times New Roman" w:eastAsia="宋体" w:cs="Times New Roman"/>
          <w:color w:val="auto"/>
          <w:szCs w:val="24"/>
          <w:highlight w:val="none"/>
          <w:lang w:val="en-US" w:eastAsia="zh-CN"/>
        </w:rPr>
        <w:t>项目设备检修时会产生含油抹布、劳保手套，产生量为0.</w:t>
      </w:r>
      <w:r>
        <w:rPr>
          <w:rFonts w:hint="eastAsia" w:cs="Times New Roman"/>
          <w:color w:val="auto"/>
          <w:szCs w:val="24"/>
          <w:highlight w:val="none"/>
          <w:lang w:val="en-US" w:eastAsia="zh-CN"/>
        </w:rPr>
        <w:t>15</w:t>
      </w:r>
      <w:r>
        <w:rPr>
          <w:rFonts w:hint="eastAsia" w:ascii="Times New Roman" w:hAnsi="Times New Roman" w:eastAsia="宋体" w:cs="Times New Roman"/>
          <w:color w:val="auto"/>
          <w:szCs w:val="24"/>
          <w:highlight w:val="none"/>
          <w:lang w:val="en-US" w:eastAsia="zh-CN"/>
        </w:rPr>
        <w:t>t/a，</w:t>
      </w:r>
      <w:r>
        <w:rPr>
          <w:rFonts w:ascii="Times New Roman" w:hAnsi="Times New Roman" w:eastAsia="宋体" w:cs="Times New Roman"/>
          <w:color w:val="auto"/>
          <w:szCs w:val="24"/>
          <w:highlight w:val="none"/>
        </w:rPr>
        <w:t>《国家危险废物名录（202</w:t>
      </w:r>
      <w:r>
        <w:rPr>
          <w:rFonts w:hint="eastAsia" w:cs="Times New Roman"/>
          <w:color w:val="auto"/>
          <w:szCs w:val="24"/>
          <w:highlight w:val="none"/>
          <w:lang w:val="en-US" w:eastAsia="zh-CN"/>
        </w:rPr>
        <w:t>5</w:t>
      </w:r>
      <w:r>
        <w:rPr>
          <w:rFonts w:ascii="Times New Roman" w:hAnsi="Times New Roman" w:eastAsia="宋体" w:cs="Times New Roman"/>
          <w:color w:val="auto"/>
          <w:szCs w:val="24"/>
          <w:highlight w:val="none"/>
        </w:rPr>
        <w:t>版》，属于HW49其他废物，代码</w:t>
      </w:r>
      <w:r>
        <w:rPr>
          <w:rFonts w:hint="eastAsia" w:ascii="Times New Roman" w:hAnsi="Times New Roman" w:eastAsia="宋体" w:cs="Times New Roman"/>
          <w:color w:val="auto"/>
          <w:szCs w:val="24"/>
          <w:highlight w:val="none"/>
          <w:lang w:eastAsia="zh-CN"/>
        </w:rPr>
        <w:t>900-041-49</w:t>
      </w:r>
      <w:r>
        <w:rPr>
          <w:rFonts w:ascii="Times New Roman" w:hAnsi="Times New Roman" w:eastAsia="宋体" w:cs="Times New Roman"/>
          <w:color w:val="auto"/>
          <w:szCs w:val="24"/>
          <w:highlight w:val="none"/>
        </w:rPr>
        <w:t>，</w:t>
      </w:r>
      <w:r>
        <w:rPr>
          <w:rFonts w:hint="eastAsia" w:cs="Times New Roman"/>
          <w:snapToGrid w:val="0"/>
          <w:color w:val="auto"/>
          <w:highlight w:val="none"/>
          <w:lang w:val="en-US" w:eastAsia="zh-CN"/>
        </w:rPr>
        <w:t>集中收集，暂存于</w:t>
      </w:r>
      <w:r>
        <w:rPr>
          <w:rFonts w:hint="eastAsia" w:cs="Times New Roman"/>
          <w:snapToGrid w:val="0"/>
          <w:color w:val="auto"/>
          <w:kern w:val="0"/>
          <w:szCs w:val="21"/>
          <w:highlight w:val="none"/>
          <w:lang w:val="en-US" w:eastAsia="zh-CN"/>
        </w:rPr>
        <w:t>危险废物贮存点</w:t>
      </w:r>
      <w:r>
        <w:rPr>
          <w:rFonts w:hint="eastAsia" w:cs="Times New Roman"/>
          <w:snapToGrid w:val="0"/>
          <w:color w:val="auto"/>
          <w:highlight w:val="none"/>
          <w:lang w:val="en-US" w:eastAsia="zh-CN"/>
        </w:rPr>
        <w:t>内，定期由有资质的单位处置。</w:t>
      </w:r>
    </w:p>
    <w:p w14:paraId="1C156E6A">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w:t>
      </w:r>
      <w:r>
        <w:rPr>
          <w:rFonts w:hint="eastAsia" w:cs="Times New Roman"/>
          <w:snapToGrid w:val="0"/>
          <w:color w:val="auto"/>
          <w:kern w:val="0"/>
          <w:szCs w:val="24"/>
          <w:highlight w:val="none"/>
          <w:lang w:val="en-US" w:eastAsia="zh-CN"/>
        </w:rPr>
        <w:t>4</w:t>
      </w:r>
      <w:r>
        <w:rPr>
          <w:rFonts w:cs="Times New Roman"/>
          <w:snapToGrid w:val="0"/>
          <w:color w:val="auto"/>
          <w:kern w:val="0"/>
          <w:szCs w:val="24"/>
          <w:highlight w:val="none"/>
        </w:rPr>
        <w:t>）废活性炭</w:t>
      </w:r>
    </w:p>
    <w:p w14:paraId="0124AEDA">
      <w:pPr>
        <w:spacing w:line="500" w:lineRule="exact"/>
        <w:rPr>
          <w:color w:val="auto"/>
          <w:highlight w:val="none"/>
        </w:rPr>
      </w:pPr>
      <w:r>
        <w:rPr>
          <w:rFonts w:ascii="Times New Roman" w:hAnsi="Times New Roman" w:eastAsia="宋体" w:cs="Times New Roman"/>
          <w:color w:val="auto"/>
          <w:szCs w:val="24"/>
          <w:highlight w:val="none"/>
        </w:rPr>
        <w:t>在工业废气治理中产生的废活性炭都属于</w:t>
      </w:r>
      <w:r>
        <w:rPr>
          <w:rFonts w:hint="default" w:ascii="Times New Roman" w:hAnsi="Times New Roman" w:eastAsia="宋体" w:cs="Times New Roman"/>
          <w:color w:val="auto"/>
          <w:szCs w:val="24"/>
          <w:highlight w:val="none"/>
        </w:rPr>
        <w:t>危险废物</w:t>
      </w:r>
      <w:r>
        <w:rPr>
          <w:rFonts w:hint="eastAsia" w:ascii="Times New Roman" w:hAnsi="Times New Roman" w:eastAsia="宋体" w:cs="Times New Roman"/>
          <w:color w:val="auto"/>
          <w:szCs w:val="24"/>
          <w:highlight w:val="none"/>
          <w:lang w:eastAsia="zh-CN"/>
        </w:rPr>
        <w:t>，</w:t>
      </w:r>
      <w:r>
        <w:rPr>
          <w:rFonts w:ascii="Times New Roman" w:hAnsi="Times New Roman" w:eastAsia="宋体" w:cs="Times New Roman"/>
          <w:color w:val="auto"/>
          <w:szCs w:val="24"/>
          <w:highlight w:val="none"/>
        </w:rPr>
        <w:t>本项目运营期产生的恶臭废气，采用活性炭进行处理，本项目</w:t>
      </w:r>
      <w:r>
        <w:rPr>
          <w:rFonts w:hint="eastAsia" w:ascii="Times New Roman" w:hAnsi="Times New Roman" w:eastAsia="宋体" w:cs="Times New Roman"/>
          <w:color w:val="auto"/>
          <w:szCs w:val="24"/>
          <w:highlight w:val="none"/>
          <w:lang w:val="en-US" w:eastAsia="zh-CN"/>
        </w:rPr>
        <w:t>共</w:t>
      </w:r>
      <w:r>
        <w:rPr>
          <w:rFonts w:hint="eastAsia" w:cs="Times New Roman"/>
          <w:color w:val="auto"/>
          <w:szCs w:val="24"/>
          <w:highlight w:val="none"/>
          <w:lang w:val="en-US" w:eastAsia="zh-CN"/>
        </w:rPr>
        <w:t>3</w:t>
      </w:r>
      <w:r>
        <w:rPr>
          <w:rFonts w:hint="eastAsia" w:ascii="Times New Roman" w:hAnsi="Times New Roman" w:eastAsia="宋体" w:cs="Times New Roman"/>
          <w:color w:val="auto"/>
          <w:szCs w:val="24"/>
          <w:highlight w:val="none"/>
          <w:lang w:val="en-US" w:eastAsia="zh-CN"/>
        </w:rPr>
        <w:t>个活性炭吸附装置，每个</w:t>
      </w:r>
      <w:r>
        <w:rPr>
          <w:rFonts w:ascii="Times New Roman" w:hAnsi="Times New Roman" w:eastAsia="宋体" w:cs="Times New Roman"/>
          <w:color w:val="auto"/>
          <w:szCs w:val="24"/>
          <w:highlight w:val="none"/>
        </w:rPr>
        <w:t>活性炭的使用量为</w:t>
      </w:r>
      <w:r>
        <w:rPr>
          <w:rFonts w:hint="eastAsia" w:ascii="Times New Roman" w:hAnsi="Times New Roman" w:eastAsia="宋体" w:cs="Times New Roman"/>
          <w:color w:val="auto"/>
          <w:szCs w:val="24"/>
          <w:highlight w:val="none"/>
          <w:lang w:val="en-US" w:eastAsia="zh-CN"/>
        </w:rPr>
        <w:t>0.25</w:t>
      </w:r>
      <w:r>
        <w:rPr>
          <w:rFonts w:ascii="Times New Roman" w:hAnsi="Times New Roman" w:eastAsia="宋体" w:cs="Times New Roman"/>
          <w:color w:val="auto"/>
          <w:szCs w:val="24"/>
          <w:highlight w:val="none"/>
        </w:rPr>
        <w:t>t/a，</w:t>
      </w:r>
      <w:r>
        <w:rPr>
          <w:rFonts w:hint="eastAsia" w:ascii="Times New Roman" w:hAnsi="Times New Roman" w:eastAsia="宋体" w:cs="Times New Roman"/>
          <w:color w:val="auto"/>
          <w:szCs w:val="24"/>
          <w:highlight w:val="none"/>
          <w:lang w:val="en-US" w:eastAsia="zh-CN"/>
        </w:rPr>
        <w:t>每个季度更换一次，则废活性炭的产生量为2t/a，</w:t>
      </w:r>
      <w:r>
        <w:rPr>
          <w:rFonts w:ascii="Times New Roman" w:hAnsi="Times New Roman" w:eastAsia="宋体" w:cs="Times New Roman"/>
          <w:color w:val="auto"/>
          <w:szCs w:val="24"/>
          <w:highlight w:val="none"/>
        </w:rPr>
        <w:t>收集于专用垃圾桶（加盖）后，</w:t>
      </w:r>
      <w:r>
        <w:rPr>
          <w:rFonts w:hint="eastAsia" w:cs="Times New Roman"/>
          <w:snapToGrid w:val="0"/>
          <w:color w:val="auto"/>
          <w:highlight w:val="none"/>
          <w:lang w:val="en-US" w:eastAsia="zh-CN"/>
        </w:rPr>
        <w:t>定期由有资质的单位处置。</w:t>
      </w:r>
    </w:p>
    <w:p w14:paraId="4236CB0B">
      <w:pPr>
        <w:spacing w:line="500" w:lineRule="exact"/>
        <w:rPr>
          <w:rFonts w:hint="default"/>
          <w:color w:val="auto"/>
          <w:highlight w:val="none"/>
          <w:lang w:val="en-US" w:eastAsia="zh-CN"/>
        </w:rPr>
      </w:pPr>
      <w:r>
        <w:rPr>
          <w:rFonts w:hint="default"/>
          <w:color w:val="auto"/>
          <w:highlight w:val="none"/>
          <w:lang w:val="en-US" w:eastAsia="zh-CN"/>
        </w:rPr>
        <w:t>用于废气处理的活性炭需定期更换。本项目活性炭对</w:t>
      </w:r>
      <w:r>
        <w:rPr>
          <w:rFonts w:hint="eastAsia"/>
          <w:color w:val="auto"/>
          <w:highlight w:val="none"/>
          <w:lang w:val="en-US" w:eastAsia="zh-CN"/>
        </w:rPr>
        <w:t>恶臭气体</w:t>
      </w:r>
      <w:r>
        <w:rPr>
          <w:rFonts w:hint="default"/>
          <w:color w:val="auto"/>
          <w:highlight w:val="none"/>
          <w:lang w:val="en-US" w:eastAsia="zh-CN"/>
        </w:rPr>
        <w:t>总处理量为</w:t>
      </w:r>
      <w:r>
        <w:rPr>
          <w:rFonts w:hint="eastAsia"/>
          <w:color w:val="auto"/>
          <w:highlight w:val="none"/>
          <w:lang w:val="en-US" w:eastAsia="zh-CN"/>
        </w:rPr>
        <w:t>0.62</w:t>
      </w:r>
      <w:r>
        <w:rPr>
          <w:rFonts w:hint="default"/>
          <w:color w:val="auto"/>
          <w:highlight w:val="none"/>
          <w:lang w:val="en-US" w:eastAsia="zh-CN"/>
        </w:rPr>
        <w:t>t/a，根据本项目处理规模并采用经验数据（《简明通风设计手册》活性炭有效吸附量qe=0.24kg/kg活性炭）估算，产生的废活性炭量为</w:t>
      </w:r>
      <w:r>
        <w:rPr>
          <w:rFonts w:hint="eastAsia"/>
          <w:color w:val="auto"/>
          <w:highlight w:val="none"/>
          <w:lang w:val="en-US" w:eastAsia="zh-CN"/>
        </w:rPr>
        <w:t>2.58</w:t>
      </w:r>
      <w:r>
        <w:rPr>
          <w:rFonts w:hint="default"/>
          <w:color w:val="auto"/>
          <w:highlight w:val="none"/>
          <w:lang w:val="en-US" w:eastAsia="zh-CN"/>
        </w:rPr>
        <w:t>t/a，两级活性炭吸附废活性炭产生量为</w:t>
      </w:r>
      <w:r>
        <w:rPr>
          <w:rFonts w:hint="eastAsia"/>
          <w:color w:val="auto"/>
          <w:highlight w:val="none"/>
          <w:lang w:val="en-US" w:eastAsia="zh-CN"/>
        </w:rPr>
        <w:t>5.16</w:t>
      </w:r>
      <w:r>
        <w:rPr>
          <w:rFonts w:hint="default"/>
          <w:color w:val="auto"/>
          <w:highlight w:val="none"/>
          <w:lang w:val="en-US" w:eastAsia="zh-CN"/>
        </w:rPr>
        <w:t>t/a，废活性炭属于HW49其他废物，危废代码：900-039-49。</w:t>
      </w:r>
      <w:r>
        <w:rPr>
          <w:rFonts w:hint="eastAsia"/>
          <w:color w:val="auto"/>
          <w:highlight w:val="none"/>
          <w:lang w:val="en-US" w:eastAsia="zh-CN"/>
        </w:rPr>
        <w:t>废气</w:t>
      </w:r>
      <w:r>
        <w:rPr>
          <w:rFonts w:hint="default"/>
          <w:color w:val="auto"/>
          <w:highlight w:val="none"/>
          <w:lang w:val="en-US" w:eastAsia="zh-CN"/>
        </w:rPr>
        <w:t>治理过程产生的废活性炭，暂存于危险废物贮存库，委托有资质单位处置。</w:t>
      </w:r>
    </w:p>
    <w:p w14:paraId="1B764DC9">
      <w:pPr>
        <w:numPr>
          <w:ilvl w:val="0"/>
          <w:numId w:val="14"/>
        </w:numPr>
        <w:spacing w:line="500" w:lineRule="exact"/>
        <w:rPr>
          <w:rFonts w:hint="eastAsia"/>
          <w:color w:val="auto"/>
          <w:highlight w:val="none"/>
          <w:lang w:val="en-US" w:eastAsia="zh-CN"/>
        </w:rPr>
      </w:pPr>
      <w:r>
        <w:rPr>
          <w:rFonts w:hint="eastAsia"/>
          <w:color w:val="auto"/>
          <w:highlight w:val="none"/>
          <w:lang w:val="en-US" w:eastAsia="zh-CN"/>
        </w:rPr>
        <w:t>在线监测废液</w:t>
      </w:r>
    </w:p>
    <w:p w14:paraId="3AC94CFF">
      <w:pPr>
        <w:keepNext w:val="0"/>
        <w:keepLines w:val="0"/>
        <w:pageBreakBefore w:val="0"/>
        <w:widowControl w:val="0"/>
        <w:numPr>
          <w:ilvl w:val="0"/>
          <w:numId w:val="0"/>
        </w:numPr>
        <w:kinsoku/>
        <w:wordWrap/>
        <w:overflowPunct/>
        <w:topLinePunct w:val="0"/>
        <w:autoSpaceDE/>
        <w:autoSpaceDN/>
        <w:bidi w:val="0"/>
        <w:adjustRightInd w:val="0"/>
        <w:snapToGrid w:val="0"/>
        <w:spacing w:line="500" w:lineRule="exact"/>
        <w:ind w:left="0" w:leftChars="0" w:firstLine="480" w:firstLineChars="200"/>
        <w:textAlignment w:val="auto"/>
        <w:rPr>
          <w:rFonts w:hint="eastAsia" w:eastAsia="宋体"/>
          <w:color w:val="auto"/>
          <w:highlight w:val="none"/>
          <w:lang w:val="en-US" w:eastAsia="zh-CN"/>
        </w:rPr>
      </w:pPr>
      <w:r>
        <w:rPr>
          <w:rFonts w:hint="eastAsia"/>
          <w:color w:val="auto"/>
          <w:highlight w:val="none"/>
          <w:lang w:val="en-US" w:eastAsia="zh-CN"/>
        </w:rPr>
        <w:t>主要来自于污染物在线设备分析仪，本项目应设置流量、pH、化学需氧量、氨氮、总磷、总氮在线分析设备，依据行业经验值：</w:t>
      </w:r>
      <w:r>
        <w:rPr>
          <w:rFonts w:hint="default"/>
          <w:color w:val="auto"/>
          <w:highlight w:val="none"/>
          <w:lang w:val="en-US" w:eastAsia="zh-CN"/>
        </w:rPr>
        <w:t>每测一个样品，大约会产生0.5-1.0升的监测废液</w:t>
      </w:r>
      <w:r>
        <w:rPr>
          <w:rFonts w:hint="eastAsia"/>
          <w:color w:val="auto"/>
          <w:highlight w:val="none"/>
          <w:lang w:val="en-US" w:eastAsia="zh-CN"/>
        </w:rPr>
        <w:t>，本次选取1.0升/次进行评价，24小时自动检测，每6小时监测一次，则一天监测4次，则每天产生4升的监测废液，年产生1.24t在线监测废液。在线监测废液于危险废物贮存点</w:t>
      </w:r>
      <w:r>
        <w:rPr>
          <w:rFonts w:hint="default"/>
          <w:color w:val="auto"/>
          <w:highlight w:val="none"/>
          <w:lang w:val="en-US" w:eastAsia="zh-CN"/>
        </w:rPr>
        <w:t>内暂存</w:t>
      </w:r>
      <w:r>
        <w:rPr>
          <w:rFonts w:hint="eastAsia"/>
          <w:color w:val="auto"/>
          <w:highlight w:val="none"/>
          <w:lang w:val="en-US" w:eastAsia="zh-CN"/>
        </w:rPr>
        <w:t>，</w:t>
      </w:r>
      <w:r>
        <w:rPr>
          <w:rFonts w:hint="default"/>
          <w:color w:val="auto"/>
          <w:highlight w:val="none"/>
          <w:lang w:val="en-US" w:eastAsia="zh-CN"/>
        </w:rPr>
        <w:t>委托有资质单位处置。</w:t>
      </w:r>
    </w:p>
    <w:p w14:paraId="7E83C6A9">
      <w:pPr>
        <w:topLinePunct/>
        <w:spacing w:before="163" w:beforeLines="50" w:line="240" w:lineRule="auto"/>
        <w:ind w:firstLine="482"/>
        <w:jc w:val="center"/>
        <w:rPr>
          <w:rFonts w:cs="Times New Roman"/>
          <w:b/>
          <w:color w:val="auto"/>
          <w:highlight w:val="none"/>
        </w:rPr>
      </w:pPr>
      <w:r>
        <w:rPr>
          <w:rFonts w:cs="Times New Roman"/>
          <w:b/>
          <w:color w:val="auto"/>
          <w:highlight w:val="none"/>
        </w:rPr>
        <w:t>表3</w:t>
      </w:r>
      <w:r>
        <w:rPr>
          <w:rFonts w:hint="eastAsia" w:cs="Times New Roman"/>
          <w:b/>
          <w:color w:val="auto"/>
          <w:highlight w:val="none"/>
          <w:lang w:val="en-US" w:eastAsia="zh-CN"/>
        </w:rPr>
        <w:t>.</w:t>
      </w:r>
      <w:r>
        <w:rPr>
          <w:rFonts w:cs="Times New Roman"/>
          <w:b/>
          <w:color w:val="auto"/>
          <w:highlight w:val="none"/>
        </w:rPr>
        <w:t>4-1</w:t>
      </w:r>
      <w:r>
        <w:rPr>
          <w:rFonts w:hint="eastAsia" w:cs="Times New Roman"/>
          <w:b/>
          <w:color w:val="auto"/>
          <w:highlight w:val="none"/>
          <w:lang w:val="en-US" w:eastAsia="zh-CN"/>
        </w:rPr>
        <w:t>7</w:t>
      </w:r>
      <w:r>
        <w:rPr>
          <w:rFonts w:cs="Times New Roman"/>
          <w:b/>
          <w:color w:val="auto"/>
          <w:highlight w:val="none"/>
        </w:rPr>
        <w:t>项目危险废物一览表</w:t>
      </w:r>
    </w:p>
    <w:tbl>
      <w:tblPr>
        <w:tblStyle w:val="47"/>
        <w:tblW w:w="944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6"/>
        <w:gridCol w:w="800"/>
        <w:gridCol w:w="900"/>
        <w:gridCol w:w="850"/>
        <w:gridCol w:w="862"/>
        <w:gridCol w:w="975"/>
        <w:gridCol w:w="500"/>
        <w:gridCol w:w="813"/>
        <w:gridCol w:w="802"/>
        <w:gridCol w:w="693"/>
        <w:gridCol w:w="690"/>
        <w:gridCol w:w="1122"/>
      </w:tblGrid>
      <w:tr w14:paraId="2DEF30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4" w:hRule="atLeast"/>
          <w:jc w:val="center"/>
        </w:trPr>
        <w:tc>
          <w:tcPr>
            <w:tcW w:w="436" w:type="dxa"/>
            <w:tcBorders>
              <w:tl2br w:val="nil"/>
              <w:tr2bl w:val="nil"/>
            </w:tcBorders>
            <w:vAlign w:val="center"/>
          </w:tcPr>
          <w:p w14:paraId="6731AF56">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序号</w:t>
            </w:r>
          </w:p>
        </w:tc>
        <w:tc>
          <w:tcPr>
            <w:tcW w:w="800" w:type="dxa"/>
            <w:tcBorders>
              <w:tl2br w:val="nil"/>
              <w:tr2bl w:val="nil"/>
            </w:tcBorders>
            <w:vAlign w:val="center"/>
          </w:tcPr>
          <w:p w14:paraId="2EE81121">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危险废物名称</w:t>
            </w:r>
          </w:p>
        </w:tc>
        <w:tc>
          <w:tcPr>
            <w:tcW w:w="900" w:type="dxa"/>
            <w:tcBorders>
              <w:tl2br w:val="nil"/>
              <w:tr2bl w:val="nil"/>
            </w:tcBorders>
            <w:vAlign w:val="center"/>
          </w:tcPr>
          <w:p w14:paraId="153142AA">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危险废物类别</w:t>
            </w:r>
          </w:p>
        </w:tc>
        <w:tc>
          <w:tcPr>
            <w:tcW w:w="850" w:type="dxa"/>
            <w:tcBorders>
              <w:tl2br w:val="nil"/>
              <w:tr2bl w:val="nil"/>
            </w:tcBorders>
            <w:vAlign w:val="center"/>
          </w:tcPr>
          <w:p w14:paraId="5089DB73">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危险废物代码</w:t>
            </w:r>
          </w:p>
        </w:tc>
        <w:tc>
          <w:tcPr>
            <w:tcW w:w="862" w:type="dxa"/>
            <w:tcBorders>
              <w:tl2br w:val="nil"/>
              <w:tr2bl w:val="nil"/>
            </w:tcBorders>
            <w:vAlign w:val="center"/>
          </w:tcPr>
          <w:p w14:paraId="329948D4">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产生量（t/a）</w:t>
            </w:r>
          </w:p>
        </w:tc>
        <w:tc>
          <w:tcPr>
            <w:tcW w:w="975" w:type="dxa"/>
            <w:tcBorders>
              <w:tl2br w:val="nil"/>
              <w:tr2bl w:val="nil"/>
            </w:tcBorders>
            <w:vAlign w:val="center"/>
          </w:tcPr>
          <w:p w14:paraId="381CA90B">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产生工序/装置</w:t>
            </w:r>
          </w:p>
        </w:tc>
        <w:tc>
          <w:tcPr>
            <w:tcW w:w="500" w:type="dxa"/>
            <w:tcBorders>
              <w:tl2br w:val="nil"/>
              <w:tr2bl w:val="nil"/>
            </w:tcBorders>
            <w:vAlign w:val="center"/>
          </w:tcPr>
          <w:p w14:paraId="33DBBE45">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形态</w:t>
            </w:r>
          </w:p>
        </w:tc>
        <w:tc>
          <w:tcPr>
            <w:tcW w:w="813" w:type="dxa"/>
            <w:tcBorders>
              <w:tl2br w:val="nil"/>
              <w:tr2bl w:val="nil"/>
            </w:tcBorders>
            <w:vAlign w:val="center"/>
          </w:tcPr>
          <w:p w14:paraId="446CC114">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主要成分</w:t>
            </w:r>
          </w:p>
        </w:tc>
        <w:tc>
          <w:tcPr>
            <w:tcW w:w="802" w:type="dxa"/>
            <w:tcBorders>
              <w:tl2br w:val="nil"/>
              <w:tr2bl w:val="nil"/>
            </w:tcBorders>
            <w:vAlign w:val="center"/>
          </w:tcPr>
          <w:p w14:paraId="544C1857">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有害成分</w:t>
            </w:r>
          </w:p>
        </w:tc>
        <w:tc>
          <w:tcPr>
            <w:tcW w:w="693" w:type="dxa"/>
            <w:tcBorders>
              <w:tl2br w:val="nil"/>
              <w:tr2bl w:val="nil"/>
            </w:tcBorders>
            <w:vAlign w:val="center"/>
          </w:tcPr>
          <w:p w14:paraId="624F2CCB">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产废周期</w:t>
            </w:r>
          </w:p>
        </w:tc>
        <w:tc>
          <w:tcPr>
            <w:tcW w:w="690" w:type="dxa"/>
            <w:tcBorders>
              <w:tl2br w:val="nil"/>
              <w:tr2bl w:val="nil"/>
            </w:tcBorders>
            <w:vAlign w:val="center"/>
          </w:tcPr>
          <w:p w14:paraId="6DE70F58">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危险</w:t>
            </w:r>
          </w:p>
          <w:p w14:paraId="54E1EA79">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特性</w:t>
            </w:r>
          </w:p>
        </w:tc>
        <w:tc>
          <w:tcPr>
            <w:tcW w:w="1122" w:type="dxa"/>
            <w:tcBorders>
              <w:tl2br w:val="nil"/>
              <w:tr2bl w:val="nil"/>
            </w:tcBorders>
            <w:vAlign w:val="center"/>
          </w:tcPr>
          <w:p w14:paraId="570E2A8C">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污染防治措施</w:t>
            </w:r>
          </w:p>
        </w:tc>
      </w:tr>
      <w:tr w14:paraId="0392F6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74" w:hRule="atLeast"/>
          <w:jc w:val="center"/>
        </w:trPr>
        <w:tc>
          <w:tcPr>
            <w:tcW w:w="436" w:type="dxa"/>
            <w:tcBorders>
              <w:tl2br w:val="nil"/>
              <w:tr2bl w:val="nil"/>
            </w:tcBorders>
            <w:vAlign w:val="center"/>
          </w:tcPr>
          <w:p w14:paraId="2072DEFA">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1</w:t>
            </w:r>
          </w:p>
        </w:tc>
        <w:tc>
          <w:tcPr>
            <w:tcW w:w="800" w:type="dxa"/>
            <w:tcBorders>
              <w:tl2br w:val="nil"/>
              <w:tr2bl w:val="nil"/>
            </w:tcBorders>
            <w:vAlign w:val="center"/>
          </w:tcPr>
          <w:p w14:paraId="6A3655E6">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检疫废物</w:t>
            </w:r>
          </w:p>
        </w:tc>
        <w:tc>
          <w:tcPr>
            <w:tcW w:w="900" w:type="dxa"/>
            <w:tcBorders>
              <w:tl2br w:val="nil"/>
              <w:tr2bl w:val="nil"/>
            </w:tcBorders>
            <w:vAlign w:val="center"/>
          </w:tcPr>
          <w:p w14:paraId="13A88FDB">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HW49其他废物</w:t>
            </w:r>
          </w:p>
        </w:tc>
        <w:tc>
          <w:tcPr>
            <w:tcW w:w="850" w:type="dxa"/>
            <w:tcBorders>
              <w:tl2br w:val="nil"/>
              <w:tr2bl w:val="nil"/>
            </w:tcBorders>
            <w:vAlign w:val="center"/>
          </w:tcPr>
          <w:p w14:paraId="523D8DCC">
            <w:pPr>
              <w:topLinePunct/>
              <w:spacing w:line="360" w:lineRule="exact"/>
              <w:ind w:firstLine="0" w:firstLineChars="0"/>
              <w:jc w:val="center"/>
              <w:rPr>
                <w:rFonts w:hint="eastAsia" w:eastAsia="宋体" w:cs="Times New Roman"/>
                <w:color w:val="auto"/>
                <w:kern w:val="0"/>
                <w:sz w:val="21"/>
                <w:szCs w:val="21"/>
                <w:highlight w:val="none"/>
                <w:lang w:eastAsia="zh-CN"/>
              </w:rPr>
            </w:pPr>
            <w:r>
              <w:rPr>
                <w:rFonts w:hint="eastAsia" w:cs="Times New Roman"/>
                <w:color w:val="auto"/>
                <w:kern w:val="0"/>
                <w:sz w:val="21"/>
                <w:szCs w:val="21"/>
                <w:highlight w:val="none"/>
                <w:lang w:eastAsia="zh-CN"/>
              </w:rPr>
              <w:t>900-0</w:t>
            </w:r>
            <w:r>
              <w:rPr>
                <w:rFonts w:hint="eastAsia" w:cs="Times New Roman"/>
                <w:color w:val="auto"/>
                <w:kern w:val="0"/>
                <w:sz w:val="21"/>
                <w:szCs w:val="21"/>
                <w:highlight w:val="none"/>
                <w:lang w:val="en-US" w:eastAsia="zh-CN"/>
              </w:rPr>
              <w:t>47</w:t>
            </w:r>
            <w:r>
              <w:rPr>
                <w:rFonts w:hint="eastAsia" w:cs="Times New Roman"/>
                <w:color w:val="auto"/>
                <w:kern w:val="0"/>
                <w:sz w:val="21"/>
                <w:szCs w:val="21"/>
                <w:highlight w:val="none"/>
                <w:lang w:eastAsia="zh-CN"/>
              </w:rPr>
              <w:t>-49</w:t>
            </w:r>
          </w:p>
        </w:tc>
        <w:tc>
          <w:tcPr>
            <w:tcW w:w="862" w:type="dxa"/>
            <w:tcBorders>
              <w:tl2br w:val="nil"/>
              <w:tr2bl w:val="nil"/>
            </w:tcBorders>
            <w:vAlign w:val="center"/>
          </w:tcPr>
          <w:p w14:paraId="7E8E0FF6">
            <w:pPr>
              <w:topLinePunct/>
              <w:spacing w:line="360" w:lineRule="exact"/>
              <w:ind w:firstLine="0" w:firstLineChars="0"/>
              <w:jc w:val="center"/>
              <w:rPr>
                <w:rFonts w:hint="default" w:eastAsia="宋体" w:cs="Times New Roman"/>
                <w:color w:val="auto"/>
                <w:kern w:val="0"/>
                <w:sz w:val="21"/>
                <w:szCs w:val="21"/>
                <w:highlight w:val="none"/>
                <w:lang w:val="en-US" w:eastAsia="zh-CN"/>
              </w:rPr>
            </w:pPr>
            <w:r>
              <w:rPr>
                <w:rFonts w:hint="eastAsia" w:cs="Times New Roman"/>
                <w:color w:val="auto"/>
                <w:sz w:val="21"/>
                <w:szCs w:val="21"/>
                <w:highlight w:val="none"/>
                <w:lang w:val="en-US" w:eastAsia="zh-CN"/>
              </w:rPr>
              <w:t>0.3</w:t>
            </w:r>
          </w:p>
        </w:tc>
        <w:tc>
          <w:tcPr>
            <w:tcW w:w="975" w:type="dxa"/>
            <w:tcBorders>
              <w:tl2br w:val="nil"/>
              <w:tr2bl w:val="nil"/>
            </w:tcBorders>
            <w:vAlign w:val="center"/>
          </w:tcPr>
          <w:p w14:paraId="584497AE">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化验室</w:t>
            </w:r>
          </w:p>
        </w:tc>
        <w:tc>
          <w:tcPr>
            <w:tcW w:w="500" w:type="dxa"/>
            <w:tcBorders>
              <w:tl2br w:val="nil"/>
              <w:tr2bl w:val="nil"/>
            </w:tcBorders>
            <w:vAlign w:val="center"/>
          </w:tcPr>
          <w:p w14:paraId="2FEF04A2">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固态</w:t>
            </w:r>
          </w:p>
        </w:tc>
        <w:tc>
          <w:tcPr>
            <w:tcW w:w="813" w:type="dxa"/>
            <w:tcBorders>
              <w:tl2br w:val="nil"/>
              <w:tr2bl w:val="nil"/>
            </w:tcBorders>
            <w:vAlign w:val="center"/>
          </w:tcPr>
          <w:p w14:paraId="4392E6A5">
            <w:pPr>
              <w:topLinePunct/>
              <w:spacing w:line="360" w:lineRule="exact"/>
              <w:ind w:firstLine="0" w:firstLineChars="0"/>
              <w:jc w:val="center"/>
              <w:rPr>
                <w:rFonts w:cs="Times New Roman"/>
                <w:color w:val="auto"/>
                <w:kern w:val="0"/>
                <w:sz w:val="21"/>
                <w:szCs w:val="21"/>
                <w:highlight w:val="none"/>
              </w:rPr>
            </w:pPr>
            <w:r>
              <w:rPr>
                <w:rFonts w:hint="eastAsia" w:cs="Times New Roman"/>
                <w:color w:val="auto"/>
                <w:sz w:val="21"/>
                <w:szCs w:val="21"/>
                <w:highlight w:val="none"/>
                <w:lang w:eastAsia="zh-CN"/>
              </w:rPr>
              <w:t>感染性危险废物</w:t>
            </w:r>
          </w:p>
        </w:tc>
        <w:tc>
          <w:tcPr>
            <w:tcW w:w="802" w:type="dxa"/>
            <w:tcBorders>
              <w:tl2br w:val="nil"/>
              <w:tr2bl w:val="nil"/>
            </w:tcBorders>
            <w:vAlign w:val="center"/>
          </w:tcPr>
          <w:p w14:paraId="201C1269">
            <w:pPr>
              <w:topLinePunct/>
              <w:spacing w:line="360" w:lineRule="exact"/>
              <w:ind w:firstLine="0" w:firstLineChars="0"/>
              <w:jc w:val="center"/>
              <w:rPr>
                <w:rFonts w:cs="Times New Roman"/>
                <w:color w:val="auto"/>
                <w:kern w:val="0"/>
                <w:sz w:val="21"/>
                <w:szCs w:val="21"/>
                <w:highlight w:val="none"/>
              </w:rPr>
            </w:pPr>
            <w:r>
              <w:rPr>
                <w:rFonts w:hint="eastAsia" w:cs="Times New Roman"/>
                <w:color w:val="auto"/>
                <w:sz w:val="21"/>
                <w:szCs w:val="21"/>
                <w:highlight w:val="none"/>
                <w:lang w:eastAsia="zh-CN"/>
              </w:rPr>
              <w:t>感染性危险废物</w:t>
            </w:r>
          </w:p>
        </w:tc>
        <w:tc>
          <w:tcPr>
            <w:tcW w:w="693" w:type="dxa"/>
            <w:tcBorders>
              <w:tl2br w:val="nil"/>
              <w:tr2bl w:val="nil"/>
            </w:tcBorders>
            <w:vAlign w:val="center"/>
          </w:tcPr>
          <w:p w14:paraId="6BB38E7E">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1d</w:t>
            </w:r>
          </w:p>
        </w:tc>
        <w:tc>
          <w:tcPr>
            <w:tcW w:w="690" w:type="dxa"/>
            <w:tcBorders>
              <w:tl2br w:val="nil"/>
              <w:tr2bl w:val="nil"/>
            </w:tcBorders>
            <w:vAlign w:val="center"/>
          </w:tcPr>
          <w:p w14:paraId="3219010C">
            <w:pPr>
              <w:topLinePunct/>
              <w:spacing w:line="360" w:lineRule="exact"/>
              <w:ind w:firstLine="0" w:firstLineChars="0"/>
              <w:jc w:val="center"/>
              <w:rPr>
                <w:rFonts w:hint="eastAsia" w:cs="Times New Roman"/>
                <w:color w:val="auto"/>
                <w:kern w:val="0"/>
                <w:sz w:val="21"/>
                <w:szCs w:val="21"/>
                <w:highlight w:val="none"/>
              </w:rPr>
            </w:pPr>
            <w:r>
              <w:rPr>
                <w:rFonts w:hint="eastAsia" w:cs="Times New Roman"/>
                <w:color w:val="auto"/>
                <w:kern w:val="0"/>
                <w:sz w:val="21"/>
                <w:szCs w:val="21"/>
                <w:highlight w:val="none"/>
              </w:rPr>
              <w:t>T/C/I/R</w:t>
            </w:r>
          </w:p>
        </w:tc>
        <w:tc>
          <w:tcPr>
            <w:tcW w:w="1122" w:type="dxa"/>
            <w:tcBorders>
              <w:tl2br w:val="nil"/>
              <w:tr2bl w:val="nil"/>
            </w:tcBorders>
            <w:vAlign w:val="center"/>
          </w:tcPr>
          <w:p w14:paraId="4EC23529">
            <w:pPr>
              <w:topLinePunct/>
              <w:spacing w:line="360" w:lineRule="exact"/>
              <w:ind w:firstLine="0" w:firstLineChars="0"/>
              <w:jc w:val="center"/>
              <w:rPr>
                <w:rFonts w:cs="Times New Roman"/>
                <w:color w:val="auto"/>
                <w:kern w:val="0"/>
                <w:sz w:val="21"/>
                <w:szCs w:val="21"/>
                <w:highlight w:val="none"/>
              </w:rPr>
            </w:pPr>
            <w:r>
              <w:rPr>
                <w:rFonts w:hint="eastAsia" w:cs="Times New Roman"/>
                <w:color w:val="auto"/>
                <w:kern w:val="0"/>
                <w:sz w:val="21"/>
                <w:szCs w:val="21"/>
                <w:highlight w:val="none"/>
                <w:lang w:eastAsia="zh-CN"/>
              </w:rPr>
              <w:t>危险废物贮存点</w:t>
            </w:r>
            <w:r>
              <w:rPr>
                <w:rFonts w:cs="Times New Roman"/>
                <w:color w:val="auto"/>
                <w:kern w:val="0"/>
                <w:sz w:val="21"/>
                <w:szCs w:val="21"/>
                <w:highlight w:val="none"/>
              </w:rPr>
              <w:t>内暂存</w:t>
            </w:r>
          </w:p>
        </w:tc>
      </w:tr>
      <w:tr w14:paraId="6567AD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74" w:hRule="atLeast"/>
          <w:jc w:val="center"/>
        </w:trPr>
        <w:tc>
          <w:tcPr>
            <w:tcW w:w="436" w:type="dxa"/>
            <w:tcBorders>
              <w:tl2br w:val="nil"/>
              <w:tr2bl w:val="nil"/>
            </w:tcBorders>
            <w:vAlign w:val="center"/>
          </w:tcPr>
          <w:p w14:paraId="708CBC55">
            <w:pPr>
              <w:topLinePunct/>
              <w:spacing w:line="360" w:lineRule="exact"/>
              <w:ind w:firstLine="0" w:firstLineChars="0"/>
              <w:jc w:val="center"/>
              <w:rPr>
                <w:rFonts w:hint="eastAsia"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2</w:t>
            </w:r>
          </w:p>
        </w:tc>
        <w:tc>
          <w:tcPr>
            <w:tcW w:w="800" w:type="dxa"/>
            <w:tcBorders>
              <w:tl2br w:val="nil"/>
              <w:tr2bl w:val="nil"/>
            </w:tcBorders>
            <w:vAlign w:val="center"/>
          </w:tcPr>
          <w:p w14:paraId="6F251E2A">
            <w:pPr>
              <w:topLinePunct/>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废润滑油</w:t>
            </w:r>
          </w:p>
        </w:tc>
        <w:tc>
          <w:tcPr>
            <w:tcW w:w="900" w:type="dxa"/>
            <w:tcBorders>
              <w:tl2br w:val="nil"/>
              <w:tr2bl w:val="nil"/>
            </w:tcBorders>
            <w:vAlign w:val="center"/>
          </w:tcPr>
          <w:p w14:paraId="37545D17">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HW08</w:t>
            </w:r>
          </w:p>
          <w:p w14:paraId="55EDBDFF">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废矿物油与含矿物油废物</w:t>
            </w:r>
          </w:p>
        </w:tc>
        <w:tc>
          <w:tcPr>
            <w:tcW w:w="850" w:type="dxa"/>
            <w:tcBorders>
              <w:tl2br w:val="nil"/>
              <w:tr2bl w:val="nil"/>
            </w:tcBorders>
            <w:vAlign w:val="center"/>
          </w:tcPr>
          <w:p w14:paraId="0C275F94">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eastAsia="zh-CN"/>
              </w:rPr>
              <w:t>900-</w:t>
            </w:r>
            <w:r>
              <w:rPr>
                <w:rFonts w:hint="eastAsia" w:ascii="Times New Roman" w:hAnsi="Times New Roman" w:eastAsia="宋体" w:cs="Times New Roman"/>
                <w:color w:val="auto"/>
                <w:sz w:val="21"/>
                <w:szCs w:val="21"/>
                <w:highlight w:val="none"/>
                <w:lang w:val="en-US" w:eastAsia="zh-CN"/>
              </w:rPr>
              <w:t>21</w:t>
            </w:r>
            <w:r>
              <w:rPr>
                <w:rFonts w:hint="eastAsia" w:cs="Times New Roman"/>
                <w:color w:val="auto"/>
                <w:sz w:val="21"/>
                <w:szCs w:val="21"/>
                <w:highlight w:val="none"/>
                <w:lang w:val="en-US" w:eastAsia="zh-CN"/>
              </w:rPr>
              <w:t>7</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08</w:t>
            </w:r>
          </w:p>
        </w:tc>
        <w:tc>
          <w:tcPr>
            <w:tcW w:w="862" w:type="dxa"/>
            <w:tcBorders>
              <w:tl2br w:val="nil"/>
              <w:tr2bl w:val="nil"/>
            </w:tcBorders>
            <w:vAlign w:val="center"/>
          </w:tcPr>
          <w:p w14:paraId="24831632">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w:t>
            </w:r>
            <w:r>
              <w:rPr>
                <w:rFonts w:hint="eastAsia" w:cs="Times New Roman"/>
                <w:color w:val="auto"/>
                <w:sz w:val="21"/>
                <w:szCs w:val="21"/>
                <w:highlight w:val="none"/>
                <w:lang w:val="en-US" w:eastAsia="zh-CN"/>
              </w:rPr>
              <w:t>8</w:t>
            </w:r>
          </w:p>
        </w:tc>
        <w:tc>
          <w:tcPr>
            <w:tcW w:w="975" w:type="dxa"/>
            <w:tcBorders>
              <w:tl2br w:val="nil"/>
              <w:tr2bl w:val="nil"/>
            </w:tcBorders>
            <w:vAlign w:val="center"/>
          </w:tcPr>
          <w:p w14:paraId="76335E22">
            <w:pPr>
              <w:topLinePunct/>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生产</w:t>
            </w:r>
          </w:p>
          <w:p w14:paraId="5616FA2A">
            <w:pPr>
              <w:topLinePunct/>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车间</w:t>
            </w:r>
          </w:p>
        </w:tc>
        <w:tc>
          <w:tcPr>
            <w:tcW w:w="500" w:type="dxa"/>
            <w:tcBorders>
              <w:tl2br w:val="nil"/>
              <w:tr2bl w:val="nil"/>
            </w:tcBorders>
            <w:vAlign w:val="center"/>
          </w:tcPr>
          <w:p w14:paraId="58EDF600">
            <w:pPr>
              <w:topLinePunct/>
              <w:spacing w:line="360" w:lineRule="exact"/>
              <w:ind w:firstLine="0" w:firstLineChars="0"/>
              <w:jc w:val="center"/>
              <w:rPr>
                <w:rFonts w:hint="eastAsia"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液态</w:t>
            </w:r>
          </w:p>
        </w:tc>
        <w:tc>
          <w:tcPr>
            <w:tcW w:w="813" w:type="dxa"/>
            <w:tcBorders>
              <w:tl2br w:val="nil"/>
              <w:tr2bl w:val="nil"/>
            </w:tcBorders>
            <w:vAlign w:val="center"/>
          </w:tcPr>
          <w:p w14:paraId="4DB939BC">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矿物油</w:t>
            </w:r>
          </w:p>
        </w:tc>
        <w:tc>
          <w:tcPr>
            <w:tcW w:w="802" w:type="dxa"/>
            <w:tcBorders>
              <w:tl2br w:val="nil"/>
              <w:tr2bl w:val="nil"/>
            </w:tcBorders>
            <w:vAlign w:val="center"/>
          </w:tcPr>
          <w:p w14:paraId="42F79D6D">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矿物油</w:t>
            </w:r>
          </w:p>
        </w:tc>
        <w:tc>
          <w:tcPr>
            <w:tcW w:w="693" w:type="dxa"/>
            <w:tcBorders>
              <w:tl2br w:val="nil"/>
              <w:tr2bl w:val="nil"/>
            </w:tcBorders>
            <w:vAlign w:val="center"/>
          </w:tcPr>
          <w:p w14:paraId="61B6547E">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1d</w:t>
            </w:r>
          </w:p>
        </w:tc>
        <w:tc>
          <w:tcPr>
            <w:tcW w:w="690" w:type="dxa"/>
            <w:tcBorders>
              <w:tl2br w:val="nil"/>
              <w:tr2bl w:val="nil"/>
            </w:tcBorders>
            <w:vAlign w:val="center"/>
          </w:tcPr>
          <w:p w14:paraId="21F168A1">
            <w:pPr>
              <w:topLinePunct/>
              <w:spacing w:line="360" w:lineRule="exact"/>
              <w:ind w:firstLine="0" w:firstLineChars="0"/>
              <w:jc w:val="center"/>
              <w:rPr>
                <w:rFonts w:cs="Times New Roman"/>
                <w:color w:val="auto"/>
                <w:kern w:val="0"/>
                <w:sz w:val="21"/>
                <w:szCs w:val="21"/>
                <w:highlight w:val="none"/>
              </w:rPr>
            </w:pPr>
            <w:r>
              <w:rPr>
                <w:rFonts w:hint="eastAsia" w:cs="Times New Roman"/>
                <w:color w:val="auto"/>
                <w:kern w:val="0"/>
                <w:sz w:val="21"/>
                <w:szCs w:val="21"/>
                <w:highlight w:val="none"/>
              </w:rPr>
              <w:t>T，I</w:t>
            </w:r>
          </w:p>
        </w:tc>
        <w:tc>
          <w:tcPr>
            <w:tcW w:w="1122" w:type="dxa"/>
            <w:tcBorders>
              <w:tl2br w:val="nil"/>
              <w:tr2bl w:val="nil"/>
            </w:tcBorders>
            <w:vAlign w:val="center"/>
          </w:tcPr>
          <w:p w14:paraId="790BEACE">
            <w:pPr>
              <w:topLinePunct/>
              <w:spacing w:line="360" w:lineRule="exact"/>
              <w:ind w:firstLine="0" w:firstLineChars="0"/>
              <w:jc w:val="center"/>
              <w:rPr>
                <w:rFonts w:cs="Times New Roman"/>
                <w:color w:val="auto"/>
                <w:kern w:val="0"/>
                <w:sz w:val="21"/>
                <w:szCs w:val="21"/>
                <w:highlight w:val="none"/>
              </w:rPr>
            </w:pPr>
            <w:r>
              <w:rPr>
                <w:rFonts w:hint="eastAsia" w:cs="Times New Roman"/>
                <w:color w:val="auto"/>
                <w:kern w:val="0"/>
                <w:sz w:val="21"/>
                <w:szCs w:val="21"/>
                <w:highlight w:val="none"/>
                <w:lang w:eastAsia="zh-CN"/>
              </w:rPr>
              <w:t>危险废物贮存点</w:t>
            </w:r>
            <w:r>
              <w:rPr>
                <w:rFonts w:cs="Times New Roman"/>
                <w:color w:val="auto"/>
                <w:kern w:val="0"/>
                <w:sz w:val="21"/>
                <w:szCs w:val="21"/>
                <w:highlight w:val="none"/>
              </w:rPr>
              <w:t>内暂存</w:t>
            </w:r>
          </w:p>
        </w:tc>
      </w:tr>
      <w:tr w14:paraId="372241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74" w:hRule="atLeast"/>
          <w:jc w:val="center"/>
        </w:trPr>
        <w:tc>
          <w:tcPr>
            <w:tcW w:w="436" w:type="dxa"/>
            <w:tcBorders>
              <w:tl2br w:val="nil"/>
              <w:tr2bl w:val="nil"/>
            </w:tcBorders>
            <w:vAlign w:val="center"/>
          </w:tcPr>
          <w:p w14:paraId="632B58CF">
            <w:pPr>
              <w:topLinePunct/>
              <w:spacing w:line="360" w:lineRule="exact"/>
              <w:ind w:firstLine="0" w:firstLineChars="0"/>
              <w:jc w:val="center"/>
              <w:rPr>
                <w:rFonts w:hint="eastAsia"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3</w:t>
            </w:r>
          </w:p>
        </w:tc>
        <w:tc>
          <w:tcPr>
            <w:tcW w:w="800" w:type="dxa"/>
            <w:tcBorders>
              <w:tl2br w:val="nil"/>
              <w:tr2bl w:val="nil"/>
            </w:tcBorders>
            <w:vAlign w:val="center"/>
          </w:tcPr>
          <w:p w14:paraId="7F525DFA">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含油抹布、劳保手套</w:t>
            </w:r>
          </w:p>
        </w:tc>
        <w:tc>
          <w:tcPr>
            <w:tcW w:w="900" w:type="dxa"/>
            <w:tcBorders>
              <w:tl2br w:val="nil"/>
              <w:tr2bl w:val="nil"/>
            </w:tcBorders>
            <w:vAlign w:val="center"/>
          </w:tcPr>
          <w:p w14:paraId="1BA9F3A1">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HW49其他废物</w:t>
            </w:r>
          </w:p>
        </w:tc>
        <w:tc>
          <w:tcPr>
            <w:tcW w:w="850" w:type="dxa"/>
            <w:tcBorders>
              <w:tl2br w:val="nil"/>
              <w:tr2bl w:val="nil"/>
            </w:tcBorders>
            <w:vAlign w:val="center"/>
          </w:tcPr>
          <w:p w14:paraId="57E85D98">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900-041-49</w:t>
            </w:r>
          </w:p>
        </w:tc>
        <w:tc>
          <w:tcPr>
            <w:tcW w:w="862" w:type="dxa"/>
            <w:tcBorders>
              <w:tl2br w:val="nil"/>
              <w:tr2bl w:val="nil"/>
            </w:tcBorders>
            <w:vAlign w:val="center"/>
          </w:tcPr>
          <w:p w14:paraId="14BD9B28">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5</w:t>
            </w:r>
          </w:p>
        </w:tc>
        <w:tc>
          <w:tcPr>
            <w:tcW w:w="975" w:type="dxa"/>
            <w:tcBorders>
              <w:tl2br w:val="nil"/>
              <w:tr2bl w:val="nil"/>
            </w:tcBorders>
            <w:vAlign w:val="center"/>
          </w:tcPr>
          <w:p w14:paraId="3E784916">
            <w:pPr>
              <w:topLinePunct/>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生产</w:t>
            </w:r>
          </w:p>
          <w:p w14:paraId="4151AF72">
            <w:pPr>
              <w:topLinePunct/>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车间</w:t>
            </w:r>
          </w:p>
        </w:tc>
        <w:tc>
          <w:tcPr>
            <w:tcW w:w="500" w:type="dxa"/>
            <w:tcBorders>
              <w:tl2br w:val="nil"/>
              <w:tr2bl w:val="nil"/>
            </w:tcBorders>
            <w:vAlign w:val="center"/>
          </w:tcPr>
          <w:p w14:paraId="5C377EAD">
            <w:pPr>
              <w:topLinePunct/>
              <w:spacing w:line="360" w:lineRule="exact"/>
              <w:ind w:firstLine="0" w:firstLineChars="0"/>
              <w:jc w:val="center"/>
              <w:rPr>
                <w:rFonts w:hint="eastAsia"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固态</w:t>
            </w:r>
          </w:p>
        </w:tc>
        <w:tc>
          <w:tcPr>
            <w:tcW w:w="813" w:type="dxa"/>
            <w:tcBorders>
              <w:tl2br w:val="nil"/>
              <w:tr2bl w:val="nil"/>
            </w:tcBorders>
            <w:vAlign w:val="center"/>
          </w:tcPr>
          <w:p w14:paraId="69D9D177">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矿物油</w:t>
            </w:r>
          </w:p>
        </w:tc>
        <w:tc>
          <w:tcPr>
            <w:tcW w:w="802" w:type="dxa"/>
            <w:tcBorders>
              <w:tl2br w:val="nil"/>
              <w:tr2bl w:val="nil"/>
            </w:tcBorders>
            <w:vAlign w:val="center"/>
          </w:tcPr>
          <w:p w14:paraId="62090074">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矿物油</w:t>
            </w:r>
          </w:p>
        </w:tc>
        <w:tc>
          <w:tcPr>
            <w:tcW w:w="693" w:type="dxa"/>
            <w:tcBorders>
              <w:tl2br w:val="nil"/>
              <w:tr2bl w:val="nil"/>
            </w:tcBorders>
            <w:vAlign w:val="center"/>
          </w:tcPr>
          <w:p w14:paraId="4BB9A0FE">
            <w:pPr>
              <w:topLinePunct/>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1d</w:t>
            </w:r>
          </w:p>
        </w:tc>
        <w:tc>
          <w:tcPr>
            <w:tcW w:w="690" w:type="dxa"/>
            <w:tcBorders>
              <w:tl2br w:val="nil"/>
              <w:tr2bl w:val="nil"/>
            </w:tcBorders>
            <w:vAlign w:val="center"/>
          </w:tcPr>
          <w:p w14:paraId="4321C99C">
            <w:pPr>
              <w:topLinePunct/>
              <w:spacing w:line="360" w:lineRule="exact"/>
              <w:ind w:firstLine="0" w:firstLineChars="0"/>
              <w:jc w:val="center"/>
              <w:rPr>
                <w:rFonts w:cs="Times New Roman"/>
                <w:color w:val="auto"/>
                <w:kern w:val="0"/>
                <w:sz w:val="21"/>
                <w:szCs w:val="21"/>
                <w:highlight w:val="none"/>
              </w:rPr>
            </w:pPr>
            <w:r>
              <w:rPr>
                <w:rFonts w:hint="eastAsia" w:cs="Times New Roman"/>
                <w:color w:val="auto"/>
                <w:kern w:val="0"/>
                <w:sz w:val="21"/>
                <w:szCs w:val="21"/>
                <w:highlight w:val="none"/>
              </w:rPr>
              <w:t>T/In</w:t>
            </w:r>
          </w:p>
        </w:tc>
        <w:tc>
          <w:tcPr>
            <w:tcW w:w="1122" w:type="dxa"/>
            <w:tcBorders>
              <w:tl2br w:val="nil"/>
              <w:tr2bl w:val="nil"/>
            </w:tcBorders>
            <w:vAlign w:val="center"/>
          </w:tcPr>
          <w:p w14:paraId="44382EF1">
            <w:pPr>
              <w:topLinePunct/>
              <w:spacing w:line="360" w:lineRule="exact"/>
              <w:ind w:firstLine="0" w:firstLineChars="0"/>
              <w:jc w:val="center"/>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eastAsia="zh-CN"/>
              </w:rPr>
              <w:t>危险废物贮存点</w:t>
            </w:r>
            <w:r>
              <w:rPr>
                <w:rFonts w:cs="Times New Roman"/>
                <w:color w:val="auto"/>
                <w:kern w:val="0"/>
                <w:sz w:val="21"/>
                <w:szCs w:val="21"/>
                <w:highlight w:val="none"/>
              </w:rPr>
              <w:t>内暂存</w:t>
            </w:r>
          </w:p>
        </w:tc>
      </w:tr>
      <w:tr w14:paraId="44F421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74" w:hRule="atLeast"/>
          <w:jc w:val="center"/>
        </w:trPr>
        <w:tc>
          <w:tcPr>
            <w:tcW w:w="436" w:type="dxa"/>
            <w:tcBorders>
              <w:tl2br w:val="nil"/>
              <w:tr2bl w:val="nil"/>
            </w:tcBorders>
            <w:vAlign w:val="center"/>
          </w:tcPr>
          <w:p w14:paraId="1140FCFA">
            <w:pPr>
              <w:topLinePunct/>
              <w:spacing w:line="360" w:lineRule="exact"/>
              <w:ind w:firstLine="0" w:firstLineChars="0"/>
              <w:jc w:val="center"/>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4</w:t>
            </w:r>
          </w:p>
        </w:tc>
        <w:tc>
          <w:tcPr>
            <w:tcW w:w="800" w:type="dxa"/>
            <w:tcBorders>
              <w:tl2br w:val="nil"/>
              <w:tr2bl w:val="nil"/>
            </w:tcBorders>
            <w:vAlign w:val="center"/>
          </w:tcPr>
          <w:p w14:paraId="2AD9992C">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废活性炭</w:t>
            </w:r>
          </w:p>
        </w:tc>
        <w:tc>
          <w:tcPr>
            <w:tcW w:w="900" w:type="dxa"/>
            <w:tcBorders>
              <w:tl2br w:val="nil"/>
              <w:tr2bl w:val="nil"/>
            </w:tcBorders>
            <w:vAlign w:val="center"/>
          </w:tcPr>
          <w:p w14:paraId="2A81C88F">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HW49其他废物</w:t>
            </w:r>
          </w:p>
        </w:tc>
        <w:tc>
          <w:tcPr>
            <w:tcW w:w="850" w:type="dxa"/>
            <w:tcBorders>
              <w:tl2br w:val="nil"/>
              <w:tr2bl w:val="nil"/>
            </w:tcBorders>
            <w:vAlign w:val="center"/>
          </w:tcPr>
          <w:p w14:paraId="08A27344">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900</w:t>
            </w:r>
            <w:r>
              <w:rPr>
                <w:rFonts w:hint="default" w:ascii="Times New Roman" w:hAnsi="Times New Roman" w:eastAsia="宋体" w:cs="Times New Roman"/>
                <w:color w:val="auto"/>
                <w:sz w:val="21"/>
                <w:szCs w:val="21"/>
                <w:highlight w:val="none"/>
                <w:lang w:eastAsia="zh-CN"/>
              </w:rPr>
              <w:t>-039-49</w:t>
            </w:r>
          </w:p>
        </w:tc>
        <w:tc>
          <w:tcPr>
            <w:tcW w:w="862" w:type="dxa"/>
            <w:tcBorders>
              <w:tl2br w:val="nil"/>
              <w:tr2bl w:val="nil"/>
            </w:tcBorders>
            <w:vAlign w:val="center"/>
          </w:tcPr>
          <w:p w14:paraId="65D57A47">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c>
          <w:tcPr>
            <w:tcW w:w="975" w:type="dxa"/>
            <w:tcBorders>
              <w:tl2br w:val="nil"/>
              <w:tr2bl w:val="nil"/>
            </w:tcBorders>
            <w:vAlign w:val="center"/>
          </w:tcPr>
          <w:p w14:paraId="363D7B22">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生产车间、污水处理站</w:t>
            </w:r>
          </w:p>
        </w:tc>
        <w:tc>
          <w:tcPr>
            <w:tcW w:w="500" w:type="dxa"/>
            <w:tcBorders>
              <w:tl2br w:val="nil"/>
              <w:tr2bl w:val="nil"/>
            </w:tcBorders>
            <w:vAlign w:val="center"/>
          </w:tcPr>
          <w:p w14:paraId="63683886">
            <w:pPr>
              <w:topLinePunct/>
              <w:spacing w:line="360" w:lineRule="exact"/>
              <w:ind w:firstLine="0" w:firstLineChars="0"/>
              <w:jc w:val="center"/>
              <w:rPr>
                <w:rFonts w:hint="eastAsia"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固态</w:t>
            </w:r>
          </w:p>
        </w:tc>
        <w:tc>
          <w:tcPr>
            <w:tcW w:w="813" w:type="dxa"/>
            <w:tcBorders>
              <w:tl2br w:val="nil"/>
              <w:tr2bl w:val="nil"/>
            </w:tcBorders>
            <w:vAlign w:val="center"/>
          </w:tcPr>
          <w:p w14:paraId="2FC3192C">
            <w:pPr>
              <w:topLinePunct/>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挥发性有机化合物</w:t>
            </w:r>
          </w:p>
        </w:tc>
        <w:tc>
          <w:tcPr>
            <w:tcW w:w="802" w:type="dxa"/>
            <w:tcBorders>
              <w:tl2br w:val="nil"/>
              <w:tr2bl w:val="nil"/>
            </w:tcBorders>
            <w:vAlign w:val="center"/>
          </w:tcPr>
          <w:p w14:paraId="6CE98CCC">
            <w:pPr>
              <w:topLinePunct/>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挥发性有机化合物</w:t>
            </w:r>
          </w:p>
        </w:tc>
        <w:tc>
          <w:tcPr>
            <w:tcW w:w="693" w:type="dxa"/>
            <w:tcBorders>
              <w:tl2br w:val="nil"/>
              <w:tr2bl w:val="nil"/>
            </w:tcBorders>
            <w:shd w:val="clear" w:color="auto" w:fill="auto"/>
            <w:vAlign w:val="center"/>
          </w:tcPr>
          <w:p w14:paraId="071D51FD">
            <w:pPr>
              <w:topLinePunct/>
              <w:spacing w:line="360" w:lineRule="exact"/>
              <w:ind w:firstLine="0" w:firstLineChars="0"/>
              <w:jc w:val="center"/>
              <w:rPr>
                <w:rFonts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120</w:t>
            </w:r>
            <w:r>
              <w:rPr>
                <w:rFonts w:cs="Times New Roman"/>
                <w:color w:val="auto"/>
                <w:kern w:val="0"/>
                <w:sz w:val="21"/>
                <w:szCs w:val="21"/>
                <w:highlight w:val="none"/>
              </w:rPr>
              <w:t>d</w:t>
            </w:r>
          </w:p>
        </w:tc>
        <w:tc>
          <w:tcPr>
            <w:tcW w:w="690" w:type="dxa"/>
            <w:tcBorders>
              <w:tl2br w:val="nil"/>
              <w:tr2bl w:val="nil"/>
            </w:tcBorders>
            <w:shd w:val="clear" w:color="auto" w:fill="auto"/>
            <w:vAlign w:val="center"/>
          </w:tcPr>
          <w:p w14:paraId="4B554350">
            <w:pPr>
              <w:topLinePunct/>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rPr>
              <w:t>T</w:t>
            </w:r>
          </w:p>
        </w:tc>
        <w:tc>
          <w:tcPr>
            <w:tcW w:w="1122" w:type="dxa"/>
            <w:tcBorders>
              <w:tl2br w:val="nil"/>
              <w:tr2bl w:val="nil"/>
            </w:tcBorders>
            <w:shd w:val="clear" w:color="auto" w:fill="auto"/>
            <w:vAlign w:val="center"/>
          </w:tcPr>
          <w:p w14:paraId="7E269FB6">
            <w:pPr>
              <w:topLinePunct/>
              <w:spacing w:line="360" w:lineRule="exact"/>
              <w:ind w:firstLine="0" w:firstLineChars="0"/>
              <w:jc w:val="center"/>
              <w:rPr>
                <w:rFonts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eastAsia="zh-CN"/>
              </w:rPr>
              <w:t>危险废物贮存点</w:t>
            </w:r>
            <w:r>
              <w:rPr>
                <w:rFonts w:cs="Times New Roman"/>
                <w:color w:val="auto"/>
                <w:kern w:val="0"/>
                <w:sz w:val="21"/>
                <w:szCs w:val="21"/>
                <w:highlight w:val="none"/>
              </w:rPr>
              <w:t>内暂存</w:t>
            </w:r>
          </w:p>
        </w:tc>
      </w:tr>
      <w:tr w14:paraId="467A43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74" w:hRule="atLeast"/>
          <w:jc w:val="center"/>
        </w:trPr>
        <w:tc>
          <w:tcPr>
            <w:tcW w:w="436" w:type="dxa"/>
            <w:tcBorders>
              <w:tl2br w:val="nil"/>
              <w:tr2bl w:val="nil"/>
            </w:tcBorders>
            <w:vAlign w:val="center"/>
          </w:tcPr>
          <w:p w14:paraId="239F0410">
            <w:pPr>
              <w:topLinePunct/>
              <w:spacing w:line="360" w:lineRule="exact"/>
              <w:ind w:firstLine="0" w:firstLineChars="0"/>
              <w:jc w:val="center"/>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5</w:t>
            </w:r>
          </w:p>
        </w:tc>
        <w:tc>
          <w:tcPr>
            <w:tcW w:w="800" w:type="dxa"/>
            <w:tcBorders>
              <w:tl2br w:val="nil"/>
              <w:tr2bl w:val="nil"/>
            </w:tcBorders>
            <w:vAlign w:val="center"/>
          </w:tcPr>
          <w:p w14:paraId="673BFBAE">
            <w:pPr>
              <w:topLinePunct/>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在线监测废液</w:t>
            </w:r>
          </w:p>
        </w:tc>
        <w:tc>
          <w:tcPr>
            <w:tcW w:w="900" w:type="dxa"/>
            <w:tcBorders>
              <w:tl2br w:val="nil"/>
              <w:tr2bl w:val="nil"/>
            </w:tcBorders>
            <w:vAlign w:val="center"/>
          </w:tcPr>
          <w:p w14:paraId="27474611">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HW21</w:t>
            </w:r>
            <w:r>
              <w:rPr>
                <w:rFonts w:hint="eastAsia" w:ascii="Times New Roman" w:hAnsi="Times New Roman" w:eastAsia="宋体" w:cs="Times New Roman"/>
                <w:color w:val="auto"/>
                <w:sz w:val="21"/>
                <w:szCs w:val="21"/>
                <w:highlight w:val="none"/>
                <w:lang w:eastAsia="zh-CN"/>
              </w:rPr>
              <w:br w:type="textWrapping"/>
            </w:r>
            <w:r>
              <w:rPr>
                <w:rFonts w:hint="eastAsia" w:ascii="Times New Roman" w:hAnsi="Times New Roman" w:eastAsia="宋体" w:cs="Times New Roman"/>
                <w:color w:val="auto"/>
                <w:sz w:val="21"/>
                <w:szCs w:val="21"/>
                <w:highlight w:val="none"/>
                <w:lang w:eastAsia="zh-CN"/>
              </w:rPr>
              <w:t>含铬废物</w:t>
            </w:r>
          </w:p>
        </w:tc>
        <w:tc>
          <w:tcPr>
            <w:tcW w:w="850" w:type="dxa"/>
            <w:tcBorders>
              <w:tl2br w:val="nil"/>
              <w:tr2bl w:val="nil"/>
            </w:tcBorders>
            <w:vAlign w:val="center"/>
          </w:tcPr>
          <w:p w14:paraId="5E2870E2">
            <w:pPr>
              <w:topLinePunct/>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261-138-21</w:t>
            </w:r>
          </w:p>
        </w:tc>
        <w:tc>
          <w:tcPr>
            <w:tcW w:w="862" w:type="dxa"/>
            <w:tcBorders>
              <w:tl2br w:val="nil"/>
              <w:tr2bl w:val="nil"/>
            </w:tcBorders>
            <w:vAlign w:val="center"/>
          </w:tcPr>
          <w:p w14:paraId="6779E1A3">
            <w:pPr>
              <w:topLinePunct/>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1.24</w:t>
            </w:r>
          </w:p>
        </w:tc>
        <w:tc>
          <w:tcPr>
            <w:tcW w:w="975" w:type="dxa"/>
            <w:tcBorders>
              <w:tl2br w:val="nil"/>
              <w:tr2bl w:val="nil"/>
            </w:tcBorders>
            <w:vAlign w:val="center"/>
          </w:tcPr>
          <w:p w14:paraId="6C77B7C3">
            <w:pPr>
              <w:topLinePunct/>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污水总排口</w:t>
            </w:r>
          </w:p>
        </w:tc>
        <w:tc>
          <w:tcPr>
            <w:tcW w:w="500" w:type="dxa"/>
            <w:tcBorders>
              <w:tl2br w:val="nil"/>
              <w:tr2bl w:val="nil"/>
            </w:tcBorders>
            <w:vAlign w:val="center"/>
          </w:tcPr>
          <w:p w14:paraId="5F89299A">
            <w:pPr>
              <w:topLinePunct/>
              <w:spacing w:line="360" w:lineRule="exact"/>
              <w:ind w:firstLine="0" w:firstLineChars="0"/>
              <w:jc w:val="center"/>
              <w:rPr>
                <w:rFonts w:hint="eastAsia"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液态</w:t>
            </w:r>
          </w:p>
        </w:tc>
        <w:tc>
          <w:tcPr>
            <w:tcW w:w="813" w:type="dxa"/>
            <w:tcBorders>
              <w:tl2br w:val="nil"/>
              <w:tr2bl w:val="nil"/>
            </w:tcBorders>
            <w:vAlign w:val="center"/>
          </w:tcPr>
          <w:p w14:paraId="2F54BC42">
            <w:pPr>
              <w:topLinePunct/>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重金属</w:t>
            </w:r>
          </w:p>
        </w:tc>
        <w:tc>
          <w:tcPr>
            <w:tcW w:w="802" w:type="dxa"/>
            <w:tcBorders>
              <w:tl2br w:val="nil"/>
              <w:tr2bl w:val="nil"/>
            </w:tcBorders>
            <w:vAlign w:val="center"/>
          </w:tcPr>
          <w:p w14:paraId="55EBE2E6">
            <w:pPr>
              <w:topLinePunct/>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重金属</w:t>
            </w:r>
          </w:p>
        </w:tc>
        <w:tc>
          <w:tcPr>
            <w:tcW w:w="693" w:type="dxa"/>
            <w:tcBorders>
              <w:tl2br w:val="nil"/>
              <w:tr2bl w:val="nil"/>
            </w:tcBorders>
            <w:shd w:val="clear" w:color="auto" w:fill="auto"/>
            <w:vAlign w:val="center"/>
          </w:tcPr>
          <w:p w14:paraId="2A03E322">
            <w:pPr>
              <w:topLinePunct/>
              <w:spacing w:line="360" w:lineRule="exact"/>
              <w:ind w:firstLine="0" w:firstLineChars="0"/>
              <w:jc w:val="center"/>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180d</w:t>
            </w:r>
          </w:p>
        </w:tc>
        <w:tc>
          <w:tcPr>
            <w:tcW w:w="690" w:type="dxa"/>
            <w:tcBorders>
              <w:tl2br w:val="nil"/>
              <w:tr2bl w:val="nil"/>
            </w:tcBorders>
            <w:shd w:val="clear" w:color="auto" w:fill="auto"/>
            <w:vAlign w:val="center"/>
          </w:tcPr>
          <w:p w14:paraId="573D0F68">
            <w:pPr>
              <w:topLinePunct/>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rPr>
              <w:t>T</w:t>
            </w:r>
          </w:p>
        </w:tc>
        <w:tc>
          <w:tcPr>
            <w:tcW w:w="1122" w:type="dxa"/>
            <w:tcBorders>
              <w:tl2br w:val="nil"/>
              <w:tr2bl w:val="nil"/>
            </w:tcBorders>
            <w:shd w:val="clear" w:color="auto" w:fill="auto"/>
            <w:vAlign w:val="center"/>
          </w:tcPr>
          <w:p w14:paraId="5F001CD7">
            <w:pPr>
              <w:topLinePunct/>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eastAsia="zh-CN"/>
              </w:rPr>
              <w:t>危险废物贮存点</w:t>
            </w:r>
            <w:r>
              <w:rPr>
                <w:rFonts w:cs="Times New Roman"/>
                <w:color w:val="auto"/>
                <w:kern w:val="0"/>
                <w:sz w:val="21"/>
                <w:szCs w:val="21"/>
                <w:highlight w:val="none"/>
              </w:rPr>
              <w:t>内暂存</w:t>
            </w:r>
          </w:p>
        </w:tc>
      </w:tr>
    </w:tbl>
    <w:p w14:paraId="4E3F3B47">
      <w:pPr>
        <w:pStyle w:val="5"/>
        <w:rPr>
          <w:color w:val="auto"/>
          <w:highlight w:val="none"/>
          <w:lang w:val="en-US"/>
        </w:rPr>
        <w:sectPr>
          <w:pgSz w:w="11906" w:h="16838"/>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41F65F69">
      <w:pPr>
        <w:pStyle w:val="474"/>
        <w:spacing w:line="466" w:lineRule="exact"/>
        <w:ind w:firstLine="480"/>
        <w:jc w:val="left"/>
        <w:rPr>
          <w:rFonts w:ascii="Times New Roman" w:hAnsi="Times New Roman" w:cs="Times New Roman"/>
          <w:color w:val="auto"/>
          <w:sz w:val="24"/>
          <w:szCs w:val="24"/>
          <w:highlight w:val="none"/>
          <w:lang w:val="en-US" w:eastAsia="zh-CN"/>
        </w:rPr>
      </w:pPr>
      <w:r>
        <w:rPr>
          <w:rFonts w:ascii="Times New Roman" w:hAnsi="Times New Roman" w:cs="Times New Roman"/>
          <w:color w:val="auto"/>
          <w:sz w:val="24"/>
          <w:szCs w:val="24"/>
          <w:highlight w:val="none"/>
          <w:lang w:val="en-US" w:eastAsia="zh-CN"/>
        </w:rPr>
        <w:t>本项目一般固体废物根据《一般固体废物分类与代码（GB/T 39198-2020）》要求进行编码。</w:t>
      </w:r>
    </w:p>
    <w:p w14:paraId="683C6998">
      <w:pPr>
        <w:spacing w:line="1" w:lineRule="exact"/>
        <w:rPr>
          <w:rFonts w:cs="Times New Roman"/>
          <w:color w:val="auto"/>
          <w:highlight w:val="none"/>
        </w:rPr>
      </w:pPr>
    </w:p>
    <w:p w14:paraId="5CA7E9CD">
      <w:pPr>
        <w:pStyle w:val="68"/>
        <w:spacing w:line="440" w:lineRule="exact"/>
        <w:jc w:val="left"/>
        <w:rPr>
          <w:color w:val="auto"/>
          <w:kern w:val="2"/>
          <w:sz w:val="24"/>
          <w:highlight w:val="none"/>
        </w:rPr>
      </w:pPr>
      <w:r>
        <w:rPr>
          <w:color w:val="auto"/>
          <w:kern w:val="2"/>
          <w:sz w:val="24"/>
          <w:highlight w:val="none"/>
        </w:rPr>
        <w:t>固废废物源强核算见下表。</w:t>
      </w:r>
    </w:p>
    <w:p w14:paraId="50F5398E">
      <w:pPr>
        <w:rPr>
          <w:rFonts w:cs="Times New Roman"/>
          <w:color w:val="auto"/>
          <w:highlight w:val="none"/>
        </w:rPr>
        <w:sectPr>
          <w:type w:val="continuous"/>
          <w:pgSz w:w="11906" w:h="16838"/>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3BF00225">
      <w:pPr>
        <w:spacing w:before="163" w:beforeLines="50" w:line="240" w:lineRule="auto"/>
        <w:ind w:firstLine="0" w:firstLineChars="0"/>
        <w:jc w:val="center"/>
        <w:rPr>
          <w:rFonts w:cs="Times New Roman"/>
          <w:b/>
          <w:color w:val="auto"/>
          <w:szCs w:val="24"/>
          <w:highlight w:val="none"/>
        </w:rPr>
      </w:pPr>
      <w:r>
        <w:rPr>
          <w:rFonts w:cs="Times New Roman"/>
          <w:b/>
          <w:color w:val="auto"/>
          <w:szCs w:val="24"/>
          <w:highlight w:val="none"/>
        </w:rPr>
        <w:t>表3</w:t>
      </w:r>
      <w:r>
        <w:rPr>
          <w:rFonts w:hint="eastAsia" w:cs="Times New Roman"/>
          <w:b/>
          <w:color w:val="auto"/>
          <w:szCs w:val="24"/>
          <w:highlight w:val="none"/>
          <w:lang w:val="en-US" w:eastAsia="zh-CN"/>
        </w:rPr>
        <w:t>.</w:t>
      </w:r>
      <w:r>
        <w:rPr>
          <w:rFonts w:cs="Times New Roman"/>
          <w:b/>
          <w:color w:val="auto"/>
          <w:szCs w:val="24"/>
          <w:highlight w:val="none"/>
        </w:rPr>
        <w:t>4-1</w:t>
      </w:r>
      <w:r>
        <w:rPr>
          <w:rFonts w:hint="eastAsia" w:cs="Times New Roman"/>
          <w:b/>
          <w:color w:val="auto"/>
          <w:szCs w:val="24"/>
          <w:highlight w:val="none"/>
          <w:lang w:val="en-US" w:eastAsia="zh-CN"/>
        </w:rPr>
        <w:t>8</w:t>
      </w:r>
      <w:r>
        <w:rPr>
          <w:rFonts w:cs="Times New Roman"/>
          <w:b/>
          <w:color w:val="auto"/>
          <w:szCs w:val="24"/>
          <w:highlight w:val="none"/>
        </w:rPr>
        <w:t xml:space="preserve">  本项目固废产生及处置情况一览表</w:t>
      </w:r>
    </w:p>
    <w:tbl>
      <w:tblPr>
        <w:tblStyle w:val="47"/>
        <w:tblW w:w="5030" w:type="pct"/>
        <w:jc w:val="center"/>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758"/>
        <w:gridCol w:w="769"/>
        <w:gridCol w:w="919"/>
        <w:gridCol w:w="1464"/>
        <w:gridCol w:w="1502"/>
        <w:gridCol w:w="1148"/>
        <w:gridCol w:w="713"/>
        <w:gridCol w:w="1079"/>
        <w:gridCol w:w="1130"/>
        <w:gridCol w:w="1097"/>
        <w:gridCol w:w="2956"/>
      </w:tblGrid>
      <w:tr w14:paraId="00AA5BD9">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restart"/>
            <w:tcBorders>
              <w:tl2br w:val="nil"/>
              <w:tr2bl w:val="nil"/>
            </w:tcBorders>
            <w:vAlign w:val="center"/>
          </w:tcPr>
          <w:p w14:paraId="5044A07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污染物类别</w:t>
            </w:r>
          </w:p>
        </w:tc>
        <w:tc>
          <w:tcPr>
            <w:tcW w:w="284" w:type="pct"/>
            <w:vMerge w:val="restart"/>
            <w:tcBorders>
              <w:tl2br w:val="nil"/>
              <w:tr2bl w:val="nil"/>
            </w:tcBorders>
            <w:vAlign w:val="center"/>
          </w:tcPr>
          <w:p w14:paraId="77BA78F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工序/生产线</w:t>
            </w:r>
          </w:p>
        </w:tc>
        <w:tc>
          <w:tcPr>
            <w:tcW w:w="339" w:type="pct"/>
            <w:vMerge w:val="restart"/>
            <w:tcBorders>
              <w:tl2br w:val="nil"/>
              <w:tr2bl w:val="nil"/>
            </w:tcBorders>
            <w:vAlign w:val="center"/>
          </w:tcPr>
          <w:p w14:paraId="51A4F06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装置</w:t>
            </w:r>
          </w:p>
        </w:tc>
        <w:tc>
          <w:tcPr>
            <w:tcW w:w="540" w:type="pct"/>
            <w:vMerge w:val="restart"/>
            <w:tcBorders>
              <w:tl2br w:val="nil"/>
              <w:tr2bl w:val="nil"/>
            </w:tcBorders>
            <w:vAlign w:val="center"/>
          </w:tcPr>
          <w:p w14:paraId="541B1BF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固体废物名称</w:t>
            </w:r>
          </w:p>
        </w:tc>
        <w:tc>
          <w:tcPr>
            <w:tcW w:w="554" w:type="pct"/>
            <w:vMerge w:val="restart"/>
            <w:tcBorders>
              <w:tl2br w:val="nil"/>
              <w:tr2bl w:val="nil"/>
            </w:tcBorders>
            <w:vAlign w:val="center"/>
          </w:tcPr>
          <w:p w14:paraId="1B47FFE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代码</w:t>
            </w:r>
          </w:p>
        </w:tc>
        <w:tc>
          <w:tcPr>
            <w:tcW w:w="424" w:type="pct"/>
            <w:vMerge w:val="restart"/>
            <w:tcBorders>
              <w:tl2br w:val="nil"/>
              <w:tr2bl w:val="nil"/>
            </w:tcBorders>
            <w:vAlign w:val="center"/>
          </w:tcPr>
          <w:p w14:paraId="6458F6F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固废属性</w:t>
            </w:r>
          </w:p>
        </w:tc>
        <w:tc>
          <w:tcPr>
            <w:tcW w:w="661" w:type="pct"/>
            <w:gridSpan w:val="2"/>
            <w:tcBorders>
              <w:tl2br w:val="nil"/>
              <w:tr2bl w:val="nil"/>
            </w:tcBorders>
            <w:vAlign w:val="center"/>
          </w:tcPr>
          <w:p w14:paraId="793E1B6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产生情况</w:t>
            </w:r>
          </w:p>
        </w:tc>
        <w:tc>
          <w:tcPr>
            <w:tcW w:w="822" w:type="pct"/>
            <w:gridSpan w:val="2"/>
            <w:tcBorders>
              <w:tl2br w:val="nil"/>
              <w:tr2bl w:val="nil"/>
            </w:tcBorders>
            <w:vAlign w:val="center"/>
          </w:tcPr>
          <w:p w14:paraId="3B6A657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处置措施</w:t>
            </w:r>
          </w:p>
        </w:tc>
        <w:tc>
          <w:tcPr>
            <w:tcW w:w="1091" w:type="pct"/>
            <w:vMerge w:val="restart"/>
            <w:tcBorders>
              <w:tl2br w:val="nil"/>
              <w:tr2bl w:val="nil"/>
            </w:tcBorders>
            <w:vAlign w:val="center"/>
          </w:tcPr>
          <w:p w14:paraId="28F3E2D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最终去向</w:t>
            </w:r>
          </w:p>
        </w:tc>
      </w:tr>
      <w:tr w14:paraId="4361767D">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0A5474B6">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6DC20C73">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6400D571">
            <w:pPr>
              <w:spacing w:line="360" w:lineRule="exact"/>
              <w:ind w:firstLine="0" w:firstLineChars="0"/>
              <w:jc w:val="center"/>
              <w:rPr>
                <w:rFonts w:cs="Times New Roman"/>
                <w:color w:val="auto"/>
                <w:sz w:val="21"/>
                <w:szCs w:val="21"/>
                <w:highlight w:val="none"/>
              </w:rPr>
            </w:pPr>
          </w:p>
        </w:tc>
        <w:tc>
          <w:tcPr>
            <w:tcW w:w="540" w:type="pct"/>
            <w:vMerge w:val="continue"/>
            <w:tcBorders>
              <w:tl2br w:val="nil"/>
              <w:tr2bl w:val="nil"/>
            </w:tcBorders>
            <w:vAlign w:val="center"/>
          </w:tcPr>
          <w:p w14:paraId="1A415AC1">
            <w:pPr>
              <w:spacing w:line="360" w:lineRule="exact"/>
              <w:ind w:firstLine="0" w:firstLineChars="0"/>
              <w:jc w:val="center"/>
              <w:rPr>
                <w:rFonts w:cs="Times New Roman"/>
                <w:color w:val="auto"/>
                <w:sz w:val="21"/>
                <w:szCs w:val="21"/>
                <w:highlight w:val="none"/>
              </w:rPr>
            </w:pPr>
          </w:p>
        </w:tc>
        <w:tc>
          <w:tcPr>
            <w:tcW w:w="554" w:type="pct"/>
            <w:vMerge w:val="continue"/>
            <w:tcBorders>
              <w:tl2br w:val="nil"/>
              <w:tr2bl w:val="nil"/>
            </w:tcBorders>
            <w:vAlign w:val="center"/>
          </w:tcPr>
          <w:p w14:paraId="0A8060E3">
            <w:pPr>
              <w:spacing w:line="360" w:lineRule="exact"/>
              <w:ind w:firstLine="0" w:firstLineChars="0"/>
              <w:jc w:val="center"/>
              <w:rPr>
                <w:rFonts w:cs="Times New Roman"/>
                <w:color w:val="auto"/>
                <w:sz w:val="21"/>
                <w:szCs w:val="21"/>
                <w:highlight w:val="none"/>
              </w:rPr>
            </w:pPr>
          </w:p>
        </w:tc>
        <w:tc>
          <w:tcPr>
            <w:tcW w:w="424" w:type="pct"/>
            <w:vMerge w:val="continue"/>
            <w:tcBorders>
              <w:tl2br w:val="nil"/>
              <w:tr2bl w:val="nil"/>
            </w:tcBorders>
            <w:vAlign w:val="center"/>
          </w:tcPr>
          <w:p w14:paraId="11577E33">
            <w:pPr>
              <w:spacing w:line="360" w:lineRule="exact"/>
              <w:ind w:firstLine="0" w:firstLineChars="0"/>
              <w:jc w:val="center"/>
              <w:rPr>
                <w:rFonts w:cs="Times New Roman"/>
                <w:color w:val="auto"/>
                <w:sz w:val="21"/>
                <w:szCs w:val="21"/>
                <w:highlight w:val="none"/>
              </w:rPr>
            </w:pPr>
          </w:p>
        </w:tc>
        <w:tc>
          <w:tcPr>
            <w:tcW w:w="263" w:type="pct"/>
            <w:tcBorders>
              <w:tl2br w:val="nil"/>
              <w:tr2bl w:val="nil"/>
            </w:tcBorders>
            <w:vAlign w:val="center"/>
          </w:tcPr>
          <w:p w14:paraId="65B2B3F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核算方法</w:t>
            </w:r>
          </w:p>
        </w:tc>
        <w:tc>
          <w:tcPr>
            <w:tcW w:w="398" w:type="pct"/>
            <w:tcBorders>
              <w:tl2br w:val="nil"/>
              <w:tr2bl w:val="nil"/>
            </w:tcBorders>
            <w:vAlign w:val="center"/>
          </w:tcPr>
          <w:p w14:paraId="1251BCB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产生量（t/a）</w:t>
            </w:r>
          </w:p>
        </w:tc>
        <w:tc>
          <w:tcPr>
            <w:tcW w:w="417" w:type="pct"/>
            <w:tcBorders>
              <w:tl2br w:val="nil"/>
              <w:tr2bl w:val="nil"/>
            </w:tcBorders>
            <w:vAlign w:val="center"/>
          </w:tcPr>
          <w:p w14:paraId="323C2F0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工艺</w:t>
            </w:r>
          </w:p>
        </w:tc>
        <w:tc>
          <w:tcPr>
            <w:tcW w:w="405" w:type="pct"/>
            <w:tcBorders>
              <w:tl2br w:val="nil"/>
              <w:tr2bl w:val="nil"/>
            </w:tcBorders>
            <w:vAlign w:val="center"/>
          </w:tcPr>
          <w:p w14:paraId="336E307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处置量（t/a）</w:t>
            </w:r>
          </w:p>
        </w:tc>
        <w:tc>
          <w:tcPr>
            <w:tcW w:w="1091" w:type="pct"/>
            <w:vMerge w:val="continue"/>
            <w:tcBorders>
              <w:tl2br w:val="nil"/>
              <w:tr2bl w:val="nil"/>
            </w:tcBorders>
            <w:vAlign w:val="center"/>
          </w:tcPr>
          <w:p w14:paraId="45DB3CC9">
            <w:pPr>
              <w:spacing w:line="360" w:lineRule="exact"/>
              <w:ind w:firstLine="0" w:firstLineChars="0"/>
              <w:jc w:val="center"/>
              <w:rPr>
                <w:rFonts w:cs="Times New Roman"/>
                <w:color w:val="auto"/>
                <w:sz w:val="21"/>
                <w:szCs w:val="21"/>
                <w:highlight w:val="none"/>
              </w:rPr>
            </w:pPr>
          </w:p>
        </w:tc>
      </w:tr>
      <w:tr w14:paraId="6FE75DCE">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restart"/>
            <w:tcBorders>
              <w:tl2br w:val="nil"/>
              <w:tr2bl w:val="nil"/>
            </w:tcBorders>
            <w:vAlign w:val="center"/>
          </w:tcPr>
          <w:p w14:paraId="45F69B7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284" w:type="pct"/>
            <w:tcBorders>
              <w:tl2br w:val="nil"/>
              <w:tr2bl w:val="nil"/>
            </w:tcBorders>
            <w:vAlign w:val="center"/>
          </w:tcPr>
          <w:p w14:paraId="12D426F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w:t>
            </w:r>
          </w:p>
        </w:tc>
        <w:tc>
          <w:tcPr>
            <w:tcW w:w="339" w:type="pct"/>
            <w:tcBorders>
              <w:tl2br w:val="nil"/>
              <w:tr2bl w:val="nil"/>
            </w:tcBorders>
            <w:vAlign w:val="center"/>
          </w:tcPr>
          <w:p w14:paraId="595FDCC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540" w:type="pct"/>
            <w:tcBorders>
              <w:tl2br w:val="nil"/>
              <w:tr2bl w:val="nil"/>
            </w:tcBorders>
            <w:vAlign w:val="center"/>
          </w:tcPr>
          <w:p w14:paraId="773CEFE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554" w:type="pct"/>
            <w:tcBorders>
              <w:tl2br w:val="nil"/>
              <w:tr2bl w:val="nil"/>
            </w:tcBorders>
            <w:vAlign w:val="center"/>
          </w:tcPr>
          <w:p w14:paraId="55C36C1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900</w:t>
            </w:r>
            <w:r>
              <w:rPr>
                <w:rFonts w:hint="default" w:cs="Times New Roman"/>
                <w:color w:val="auto"/>
                <w:sz w:val="21"/>
                <w:szCs w:val="21"/>
                <w:highlight w:val="none"/>
              </w:rPr>
              <w:t>-099-S64</w:t>
            </w:r>
          </w:p>
        </w:tc>
        <w:tc>
          <w:tcPr>
            <w:tcW w:w="424" w:type="pct"/>
            <w:tcBorders>
              <w:tl2br w:val="nil"/>
              <w:tr2bl w:val="nil"/>
            </w:tcBorders>
            <w:vAlign w:val="center"/>
          </w:tcPr>
          <w:p w14:paraId="6BDFB23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263" w:type="pct"/>
            <w:tcBorders>
              <w:tl2br w:val="nil"/>
              <w:tr2bl w:val="nil"/>
            </w:tcBorders>
            <w:vAlign w:val="center"/>
          </w:tcPr>
          <w:p w14:paraId="38792BB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系数</w:t>
            </w:r>
          </w:p>
        </w:tc>
        <w:tc>
          <w:tcPr>
            <w:tcW w:w="398" w:type="pct"/>
            <w:tcBorders>
              <w:tl2br w:val="nil"/>
              <w:tr2bl w:val="nil"/>
            </w:tcBorders>
            <w:vAlign w:val="center"/>
          </w:tcPr>
          <w:p w14:paraId="1E42E1E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4.65</w:t>
            </w:r>
          </w:p>
        </w:tc>
        <w:tc>
          <w:tcPr>
            <w:tcW w:w="417" w:type="pct"/>
            <w:tcBorders>
              <w:tl2br w:val="nil"/>
              <w:tr2bl w:val="nil"/>
            </w:tcBorders>
            <w:vAlign w:val="center"/>
          </w:tcPr>
          <w:p w14:paraId="3F370E6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集中收集</w:t>
            </w:r>
          </w:p>
        </w:tc>
        <w:tc>
          <w:tcPr>
            <w:tcW w:w="405" w:type="pct"/>
            <w:tcBorders>
              <w:tl2br w:val="nil"/>
              <w:tr2bl w:val="nil"/>
            </w:tcBorders>
            <w:vAlign w:val="center"/>
          </w:tcPr>
          <w:p w14:paraId="6861DF6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4.65</w:t>
            </w:r>
          </w:p>
        </w:tc>
        <w:tc>
          <w:tcPr>
            <w:tcW w:w="1091" w:type="pct"/>
            <w:tcBorders>
              <w:tl2br w:val="nil"/>
              <w:tr2bl w:val="nil"/>
            </w:tcBorders>
            <w:vAlign w:val="center"/>
          </w:tcPr>
          <w:p w14:paraId="20A55EF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由市政环卫部门统一清运</w:t>
            </w:r>
          </w:p>
        </w:tc>
      </w:tr>
      <w:tr w14:paraId="4603BAEF">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08AB61E6">
            <w:pPr>
              <w:spacing w:line="360" w:lineRule="exact"/>
              <w:ind w:firstLine="0" w:firstLineChars="0"/>
              <w:jc w:val="center"/>
              <w:rPr>
                <w:rFonts w:cs="Times New Roman"/>
                <w:color w:val="auto"/>
                <w:sz w:val="21"/>
                <w:szCs w:val="21"/>
                <w:highlight w:val="none"/>
              </w:rPr>
            </w:pPr>
          </w:p>
        </w:tc>
        <w:tc>
          <w:tcPr>
            <w:tcW w:w="284" w:type="pct"/>
            <w:vMerge w:val="restart"/>
            <w:tcBorders>
              <w:tl2br w:val="nil"/>
              <w:tr2bl w:val="nil"/>
            </w:tcBorders>
            <w:vAlign w:val="center"/>
          </w:tcPr>
          <w:p w14:paraId="5CABC6F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生产</w:t>
            </w:r>
          </w:p>
        </w:tc>
        <w:tc>
          <w:tcPr>
            <w:tcW w:w="339" w:type="pct"/>
            <w:vMerge w:val="restart"/>
            <w:tcBorders>
              <w:tl2br w:val="nil"/>
              <w:tr2bl w:val="nil"/>
            </w:tcBorders>
            <w:vAlign w:val="center"/>
          </w:tcPr>
          <w:p w14:paraId="5F4FE9B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生产</w:t>
            </w:r>
          </w:p>
          <w:p w14:paraId="7EAB4E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车间</w:t>
            </w:r>
          </w:p>
        </w:tc>
        <w:tc>
          <w:tcPr>
            <w:tcW w:w="540" w:type="pct"/>
            <w:tcBorders>
              <w:tl2br w:val="nil"/>
              <w:tr2bl w:val="nil"/>
            </w:tcBorders>
            <w:vAlign w:val="center"/>
          </w:tcPr>
          <w:p w14:paraId="5F0992B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检疫不合格品</w:t>
            </w:r>
          </w:p>
        </w:tc>
        <w:tc>
          <w:tcPr>
            <w:tcW w:w="554" w:type="pct"/>
            <w:tcBorders>
              <w:tl2br w:val="nil"/>
              <w:tr2bl w:val="nil"/>
            </w:tcBorders>
            <w:vAlign w:val="center"/>
          </w:tcPr>
          <w:p w14:paraId="5264D9EF">
            <w:pPr>
              <w:spacing w:line="360" w:lineRule="exact"/>
              <w:ind w:firstLine="0" w:firstLineChars="0"/>
              <w:jc w:val="center"/>
              <w:rPr>
                <w:rFonts w:hint="default" w:cs="Times New Roman"/>
                <w:color w:val="auto"/>
                <w:sz w:val="21"/>
                <w:szCs w:val="21"/>
                <w:highlight w:val="none"/>
              </w:rPr>
            </w:pPr>
            <w:r>
              <w:rPr>
                <w:rFonts w:hint="default" w:cs="Times New Roman"/>
                <w:color w:val="auto"/>
                <w:sz w:val="21"/>
                <w:szCs w:val="21"/>
                <w:highlight w:val="none"/>
              </w:rPr>
              <w:t>030-002-S82</w:t>
            </w:r>
          </w:p>
        </w:tc>
        <w:tc>
          <w:tcPr>
            <w:tcW w:w="424" w:type="pct"/>
            <w:vMerge w:val="restart"/>
            <w:tcBorders>
              <w:tl2br w:val="nil"/>
              <w:tr2bl w:val="nil"/>
            </w:tcBorders>
            <w:vAlign w:val="center"/>
          </w:tcPr>
          <w:p w14:paraId="452F8C7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一般工业</w:t>
            </w:r>
          </w:p>
          <w:p w14:paraId="7F35BCE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固废</w:t>
            </w:r>
          </w:p>
        </w:tc>
        <w:tc>
          <w:tcPr>
            <w:tcW w:w="263" w:type="pct"/>
            <w:vMerge w:val="restart"/>
            <w:tcBorders>
              <w:tl2br w:val="nil"/>
              <w:tr2bl w:val="nil"/>
            </w:tcBorders>
            <w:vAlign w:val="center"/>
          </w:tcPr>
          <w:p w14:paraId="1A58A45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物料衡算</w:t>
            </w:r>
          </w:p>
        </w:tc>
        <w:tc>
          <w:tcPr>
            <w:tcW w:w="398" w:type="pct"/>
            <w:tcBorders>
              <w:tl2br w:val="nil"/>
              <w:tr2bl w:val="nil"/>
            </w:tcBorders>
            <w:vAlign w:val="center"/>
          </w:tcPr>
          <w:p w14:paraId="5D75EBC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130</w:t>
            </w:r>
          </w:p>
        </w:tc>
        <w:tc>
          <w:tcPr>
            <w:tcW w:w="417" w:type="pct"/>
            <w:vMerge w:val="restart"/>
            <w:tcBorders>
              <w:tl2br w:val="nil"/>
              <w:tr2bl w:val="nil"/>
            </w:tcBorders>
            <w:vAlign w:val="center"/>
          </w:tcPr>
          <w:p w14:paraId="0FB7DA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集中收集</w:t>
            </w:r>
          </w:p>
        </w:tc>
        <w:tc>
          <w:tcPr>
            <w:tcW w:w="405" w:type="pct"/>
            <w:tcBorders>
              <w:tl2br w:val="nil"/>
              <w:tr2bl w:val="nil"/>
            </w:tcBorders>
            <w:shd w:val="clear" w:color="auto" w:fill="auto"/>
            <w:vAlign w:val="center"/>
          </w:tcPr>
          <w:p w14:paraId="6EA6A3FD">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130</w:t>
            </w:r>
          </w:p>
        </w:tc>
        <w:tc>
          <w:tcPr>
            <w:tcW w:w="1091" w:type="pct"/>
            <w:vMerge w:val="restart"/>
            <w:tcBorders>
              <w:tl2br w:val="nil"/>
              <w:tr2bl w:val="nil"/>
            </w:tcBorders>
            <w:vAlign w:val="center"/>
          </w:tcPr>
          <w:p w14:paraId="0CDDFCF1">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由双鸭山百奥迈斯生物科技有限公司</w:t>
            </w:r>
          </w:p>
        </w:tc>
      </w:tr>
      <w:tr w14:paraId="2F53EE35">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588BEEF6">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1115D214">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19299A2F">
            <w:pPr>
              <w:spacing w:line="360" w:lineRule="exact"/>
              <w:ind w:firstLine="0" w:firstLineChars="0"/>
              <w:jc w:val="center"/>
              <w:rPr>
                <w:rFonts w:cs="Times New Roman"/>
                <w:color w:val="auto"/>
                <w:sz w:val="21"/>
                <w:szCs w:val="21"/>
                <w:highlight w:val="none"/>
              </w:rPr>
            </w:pPr>
          </w:p>
        </w:tc>
        <w:tc>
          <w:tcPr>
            <w:tcW w:w="540" w:type="pct"/>
            <w:tcBorders>
              <w:tl2br w:val="nil"/>
              <w:tr2bl w:val="nil"/>
            </w:tcBorders>
            <w:vAlign w:val="center"/>
          </w:tcPr>
          <w:p w14:paraId="7FE9F22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病死牛羊</w:t>
            </w:r>
          </w:p>
        </w:tc>
        <w:tc>
          <w:tcPr>
            <w:tcW w:w="554" w:type="pct"/>
            <w:tcBorders>
              <w:tl2br w:val="nil"/>
              <w:tr2bl w:val="nil"/>
            </w:tcBorders>
            <w:vAlign w:val="center"/>
          </w:tcPr>
          <w:p w14:paraId="165B6AAA">
            <w:pPr>
              <w:spacing w:line="360" w:lineRule="exact"/>
              <w:ind w:firstLine="0" w:firstLineChars="0"/>
              <w:jc w:val="center"/>
              <w:rPr>
                <w:rFonts w:hint="default" w:cs="Times New Roman"/>
                <w:color w:val="auto"/>
                <w:sz w:val="21"/>
                <w:szCs w:val="21"/>
                <w:highlight w:val="none"/>
              </w:rPr>
            </w:pPr>
            <w:r>
              <w:rPr>
                <w:rFonts w:hint="default" w:cs="Times New Roman"/>
                <w:color w:val="auto"/>
                <w:sz w:val="21"/>
                <w:szCs w:val="21"/>
                <w:highlight w:val="none"/>
              </w:rPr>
              <w:t>030-002-S82</w:t>
            </w:r>
          </w:p>
        </w:tc>
        <w:tc>
          <w:tcPr>
            <w:tcW w:w="424" w:type="pct"/>
            <w:vMerge w:val="continue"/>
            <w:tcBorders>
              <w:tl2br w:val="nil"/>
              <w:tr2bl w:val="nil"/>
            </w:tcBorders>
            <w:vAlign w:val="center"/>
          </w:tcPr>
          <w:p w14:paraId="42719D9A">
            <w:pPr>
              <w:spacing w:line="360" w:lineRule="exact"/>
              <w:ind w:firstLine="0" w:firstLineChars="0"/>
              <w:jc w:val="center"/>
              <w:rPr>
                <w:rFonts w:cs="Times New Roman"/>
                <w:color w:val="auto"/>
                <w:sz w:val="21"/>
                <w:szCs w:val="21"/>
                <w:highlight w:val="none"/>
              </w:rPr>
            </w:pPr>
          </w:p>
        </w:tc>
        <w:tc>
          <w:tcPr>
            <w:tcW w:w="263" w:type="pct"/>
            <w:vMerge w:val="continue"/>
            <w:tcBorders>
              <w:tl2br w:val="nil"/>
              <w:tr2bl w:val="nil"/>
            </w:tcBorders>
            <w:vAlign w:val="center"/>
          </w:tcPr>
          <w:p w14:paraId="2E6FF75B">
            <w:pPr>
              <w:spacing w:line="360" w:lineRule="exact"/>
              <w:ind w:firstLine="0" w:firstLineChars="0"/>
              <w:jc w:val="center"/>
              <w:rPr>
                <w:rFonts w:cs="Times New Roman"/>
                <w:color w:val="auto"/>
                <w:sz w:val="21"/>
                <w:szCs w:val="21"/>
                <w:highlight w:val="none"/>
              </w:rPr>
            </w:pPr>
          </w:p>
        </w:tc>
        <w:tc>
          <w:tcPr>
            <w:tcW w:w="398" w:type="pct"/>
            <w:tcBorders>
              <w:tl2br w:val="nil"/>
              <w:tr2bl w:val="nil"/>
            </w:tcBorders>
            <w:vAlign w:val="center"/>
          </w:tcPr>
          <w:p w14:paraId="5F06E0EB">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150</w:t>
            </w:r>
          </w:p>
        </w:tc>
        <w:tc>
          <w:tcPr>
            <w:tcW w:w="417" w:type="pct"/>
            <w:vMerge w:val="continue"/>
            <w:tcBorders>
              <w:tl2br w:val="nil"/>
              <w:tr2bl w:val="nil"/>
            </w:tcBorders>
            <w:vAlign w:val="center"/>
          </w:tcPr>
          <w:p w14:paraId="099C8656">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shd w:val="clear" w:color="auto" w:fill="auto"/>
            <w:vAlign w:val="center"/>
          </w:tcPr>
          <w:p w14:paraId="67C55F3F">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150</w:t>
            </w:r>
          </w:p>
        </w:tc>
        <w:tc>
          <w:tcPr>
            <w:tcW w:w="1091" w:type="pct"/>
            <w:vMerge w:val="continue"/>
            <w:tcBorders>
              <w:tl2br w:val="nil"/>
              <w:tr2bl w:val="nil"/>
            </w:tcBorders>
            <w:vAlign w:val="center"/>
          </w:tcPr>
          <w:p w14:paraId="56CED1F6">
            <w:pPr>
              <w:spacing w:line="360" w:lineRule="exact"/>
              <w:ind w:firstLine="0" w:firstLineChars="0"/>
              <w:jc w:val="center"/>
              <w:rPr>
                <w:rFonts w:cs="Times New Roman"/>
                <w:color w:val="auto"/>
                <w:sz w:val="21"/>
                <w:szCs w:val="21"/>
                <w:highlight w:val="none"/>
              </w:rPr>
            </w:pPr>
          </w:p>
        </w:tc>
      </w:tr>
      <w:tr w14:paraId="2AB63A4B">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352CC826">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32334535">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37682C69">
            <w:pPr>
              <w:spacing w:line="360" w:lineRule="exact"/>
              <w:ind w:firstLine="0" w:firstLineChars="0"/>
              <w:jc w:val="center"/>
              <w:rPr>
                <w:rFonts w:cs="Times New Roman"/>
                <w:color w:val="auto"/>
                <w:sz w:val="21"/>
                <w:szCs w:val="21"/>
                <w:highlight w:val="none"/>
              </w:rPr>
            </w:pPr>
          </w:p>
        </w:tc>
        <w:tc>
          <w:tcPr>
            <w:tcW w:w="540" w:type="pct"/>
            <w:tcBorders>
              <w:tl2br w:val="nil"/>
              <w:tr2bl w:val="nil"/>
            </w:tcBorders>
            <w:vAlign w:val="center"/>
          </w:tcPr>
          <w:p w14:paraId="60CE5BA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边角料</w:t>
            </w:r>
          </w:p>
        </w:tc>
        <w:tc>
          <w:tcPr>
            <w:tcW w:w="554" w:type="pct"/>
            <w:tcBorders>
              <w:tl2br w:val="nil"/>
              <w:tr2bl w:val="nil"/>
            </w:tcBorders>
            <w:vAlign w:val="center"/>
          </w:tcPr>
          <w:p w14:paraId="0D9546A2">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135</w:t>
            </w:r>
            <w:r>
              <w:rPr>
                <w:rFonts w:hint="default" w:ascii="Times New Roman" w:hAnsi="Times New Roman" w:eastAsia="宋体" w:cs="Times New Roman"/>
                <w:color w:val="auto"/>
                <w:sz w:val="21"/>
                <w:szCs w:val="21"/>
                <w:highlight w:val="none"/>
                <w:lang w:val="en-US" w:eastAsia="zh-CN"/>
              </w:rPr>
              <w:t>-001-S13</w:t>
            </w:r>
          </w:p>
        </w:tc>
        <w:tc>
          <w:tcPr>
            <w:tcW w:w="424" w:type="pct"/>
            <w:vMerge w:val="continue"/>
            <w:tcBorders>
              <w:tl2br w:val="nil"/>
              <w:tr2bl w:val="nil"/>
            </w:tcBorders>
            <w:vAlign w:val="center"/>
          </w:tcPr>
          <w:p w14:paraId="20157A20">
            <w:pPr>
              <w:spacing w:line="360" w:lineRule="exact"/>
              <w:ind w:firstLine="0" w:firstLineChars="0"/>
              <w:jc w:val="center"/>
              <w:rPr>
                <w:rFonts w:cs="Times New Roman"/>
                <w:color w:val="auto"/>
                <w:sz w:val="21"/>
                <w:szCs w:val="21"/>
                <w:highlight w:val="none"/>
              </w:rPr>
            </w:pPr>
          </w:p>
        </w:tc>
        <w:tc>
          <w:tcPr>
            <w:tcW w:w="263" w:type="pct"/>
            <w:vMerge w:val="continue"/>
            <w:tcBorders>
              <w:tl2br w:val="nil"/>
              <w:tr2bl w:val="nil"/>
            </w:tcBorders>
            <w:vAlign w:val="center"/>
          </w:tcPr>
          <w:p w14:paraId="16BBFC30">
            <w:pPr>
              <w:spacing w:line="360" w:lineRule="exact"/>
              <w:ind w:firstLine="0" w:firstLineChars="0"/>
              <w:jc w:val="center"/>
              <w:rPr>
                <w:rFonts w:cs="Times New Roman"/>
                <w:color w:val="auto"/>
                <w:sz w:val="21"/>
                <w:szCs w:val="21"/>
                <w:highlight w:val="none"/>
              </w:rPr>
            </w:pPr>
          </w:p>
        </w:tc>
        <w:tc>
          <w:tcPr>
            <w:tcW w:w="398" w:type="pct"/>
            <w:tcBorders>
              <w:tl2br w:val="nil"/>
              <w:tr2bl w:val="nil"/>
            </w:tcBorders>
            <w:vAlign w:val="center"/>
          </w:tcPr>
          <w:p w14:paraId="1C060582">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225</w:t>
            </w:r>
          </w:p>
        </w:tc>
        <w:tc>
          <w:tcPr>
            <w:tcW w:w="417" w:type="pct"/>
            <w:vMerge w:val="continue"/>
            <w:tcBorders>
              <w:tl2br w:val="nil"/>
              <w:tr2bl w:val="nil"/>
            </w:tcBorders>
            <w:vAlign w:val="center"/>
          </w:tcPr>
          <w:p w14:paraId="1B58996F">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shd w:val="clear" w:color="auto" w:fill="auto"/>
            <w:vAlign w:val="center"/>
          </w:tcPr>
          <w:p w14:paraId="0914C358">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225</w:t>
            </w:r>
          </w:p>
        </w:tc>
        <w:tc>
          <w:tcPr>
            <w:tcW w:w="1091" w:type="pct"/>
            <w:vMerge w:val="restart"/>
            <w:tcBorders>
              <w:tl2br w:val="nil"/>
              <w:tr2bl w:val="nil"/>
            </w:tcBorders>
            <w:vAlign w:val="center"/>
          </w:tcPr>
          <w:p w14:paraId="1EB236E6">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外售作为</w:t>
            </w:r>
            <w:r>
              <w:rPr>
                <w:rFonts w:ascii="Times New Roman" w:hAnsi="Times New Roman" w:eastAsia="宋体" w:cs="Times New Roman"/>
                <w:color w:val="auto"/>
                <w:sz w:val="21"/>
                <w:szCs w:val="21"/>
                <w:highlight w:val="none"/>
              </w:rPr>
              <w:t>优质的有机肥原料</w:t>
            </w:r>
          </w:p>
        </w:tc>
      </w:tr>
      <w:tr w14:paraId="78813949">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11A51253">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76615CDB">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4126D55A">
            <w:pPr>
              <w:spacing w:line="360" w:lineRule="exact"/>
              <w:ind w:firstLine="0" w:firstLineChars="0"/>
              <w:jc w:val="center"/>
              <w:rPr>
                <w:rFonts w:cs="Times New Roman"/>
                <w:color w:val="auto"/>
                <w:sz w:val="21"/>
                <w:szCs w:val="21"/>
                <w:highlight w:val="none"/>
              </w:rPr>
            </w:pPr>
          </w:p>
        </w:tc>
        <w:tc>
          <w:tcPr>
            <w:tcW w:w="540" w:type="pct"/>
            <w:tcBorders>
              <w:tl2br w:val="nil"/>
              <w:tr2bl w:val="nil"/>
            </w:tcBorders>
            <w:vAlign w:val="center"/>
          </w:tcPr>
          <w:p w14:paraId="313E002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胃容物及肠内物</w:t>
            </w:r>
          </w:p>
        </w:tc>
        <w:tc>
          <w:tcPr>
            <w:tcW w:w="554" w:type="pct"/>
            <w:tcBorders>
              <w:tl2br w:val="nil"/>
              <w:tr2bl w:val="nil"/>
            </w:tcBorders>
            <w:vAlign w:val="center"/>
          </w:tcPr>
          <w:p w14:paraId="16DEAB9B">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135</w:t>
            </w:r>
            <w:r>
              <w:rPr>
                <w:rFonts w:hint="default" w:ascii="Times New Roman" w:hAnsi="Times New Roman" w:eastAsia="宋体" w:cs="Times New Roman"/>
                <w:color w:val="auto"/>
                <w:sz w:val="21"/>
                <w:szCs w:val="21"/>
                <w:highlight w:val="none"/>
                <w:lang w:val="en-US" w:eastAsia="zh-CN"/>
              </w:rPr>
              <w:t>-001-S13</w:t>
            </w:r>
          </w:p>
        </w:tc>
        <w:tc>
          <w:tcPr>
            <w:tcW w:w="424" w:type="pct"/>
            <w:vMerge w:val="continue"/>
            <w:tcBorders>
              <w:tl2br w:val="nil"/>
              <w:tr2bl w:val="nil"/>
            </w:tcBorders>
            <w:vAlign w:val="center"/>
          </w:tcPr>
          <w:p w14:paraId="5563EA97">
            <w:pPr>
              <w:spacing w:line="360" w:lineRule="exact"/>
              <w:ind w:firstLine="0" w:firstLineChars="0"/>
              <w:jc w:val="center"/>
              <w:rPr>
                <w:rFonts w:cs="Times New Roman"/>
                <w:color w:val="auto"/>
                <w:sz w:val="21"/>
                <w:szCs w:val="21"/>
                <w:highlight w:val="none"/>
              </w:rPr>
            </w:pPr>
          </w:p>
        </w:tc>
        <w:tc>
          <w:tcPr>
            <w:tcW w:w="263" w:type="pct"/>
            <w:vMerge w:val="continue"/>
            <w:tcBorders>
              <w:tl2br w:val="nil"/>
              <w:tr2bl w:val="nil"/>
            </w:tcBorders>
            <w:vAlign w:val="center"/>
          </w:tcPr>
          <w:p w14:paraId="1ABCD8CF">
            <w:pPr>
              <w:spacing w:line="360" w:lineRule="exact"/>
              <w:ind w:firstLine="0" w:firstLineChars="0"/>
              <w:jc w:val="center"/>
              <w:rPr>
                <w:rFonts w:cs="Times New Roman"/>
                <w:color w:val="auto"/>
                <w:sz w:val="21"/>
                <w:szCs w:val="21"/>
                <w:highlight w:val="none"/>
              </w:rPr>
            </w:pPr>
          </w:p>
        </w:tc>
        <w:tc>
          <w:tcPr>
            <w:tcW w:w="398" w:type="pct"/>
            <w:tcBorders>
              <w:tl2br w:val="nil"/>
              <w:tr2bl w:val="nil"/>
            </w:tcBorders>
            <w:vAlign w:val="center"/>
          </w:tcPr>
          <w:p w14:paraId="21F72C20">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595</w:t>
            </w:r>
          </w:p>
        </w:tc>
        <w:tc>
          <w:tcPr>
            <w:tcW w:w="417" w:type="pct"/>
            <w:vMerge w:val="continue"/>
            <w:tcBorders>
              <w:tl2br w:val="nil"/>
              <w:tr2bl w:val="nil"/>
            </w:tcBorders>
            <w:vAlign w:val="center"/>
          </w:tcPr>
          <w:p w14:paraId="24F1A012">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shd w:val="clear" w:color="auto" w:fill="auto"/>
            <w:vAlign w:val="center"/>
          </w:tcPr>
          <w:p w14:paraId="72B10FCA">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595</w:t>
            </w:r>
          </w:p>
        </w:tc>
        <w:tc>
          <w:tcPr>
            <w:tcW w:w="1091" w:type="pct"/>
            <w:vMerge w:val="continue"/>
            <w:tcBorders>
              <w:tl2br w:val="nil"/>
              <w:tr2bl w:val="nil"/>
            </w:tcBorders>
            <w:vAlign w:val="center"/>
          </w:tcPr>
          <w:p w14:paraId="5E24AE9E">
            <w:pPr>
              <w:spacing w:line="360" w:lineRule="exact"/>
              <w:ind w:firstLine="0" w:firstLineChars="0"/>
              <w:jc w:val="center"/>
              <w:rPr>
                <w:rFonts w:cs="Times New Roman"/>
                <w:color w:val="auto"/>
                <w:sz w:val="21"/>
                <w:szCs w:val="21"/>
                <w:highlight w:val="none"/>
              </w:rPr>
            </w:pPr>
          </w:p>
        </w:tc>
      </w:tr>
      <w:tr w14:paraId="4F3DA51B">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0AEE4DA9">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305ABAEA">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0DCE5233">
            <w:pPr>
              <w:spacing w:line="360" w:lineRule="exact"/>
              <w:ind w:firstLine="0" w:firstLineChars="0"/>
              <w:jc w:val="center"/>
              <w:rPr>
                <w:rFonts w:cs="Times New Roman"/>
                <w:color w:val="auto"/>
                <w:sz w:val="21"/>
                <w:szCs w:val="21"/>
                <w:highlight w:val="none"/>
              </w:rPr>
            </w:pPr>
          </w:p>
        </w:tc>
        <w:tc>
          <w:tcPr>
            <w:tcW w:w="540" w:type="pct"/>
            <w:tcBorders>
              <w:tl2br w:val="nil"/>
              <w:tr2bl w:val="nil"/>
            </w:tcBorders>
            <w:vAlign w:val="center"/>
          </w:tcPr>
          <w:p w14:paraId="20D06CD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粪便</w:t>
            </w:r>
          </w:p>
        </w:tc>
        <w:tc>
          <w:tcPr>
            <w:tcW w:w="554" w:type="pct"/>
            <w:tcBorders>
              <w:tl2br w:val="nil"/>
              <w:tr2bl w:val="nil"/>
            </w:tcBorders>
            <w:vAlign w:val="center"/>
          </w:tcPr>
          <w:p w14:paraId="1D03E6F4">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135</w:t>
            </w:r>
            <w:r>
              <w:rPr>
                <w:rFonts w:hint="default" w:ascii="Times New Roman" w:hAnsi="Times New Roman" w:eastAsia="宋体" w:cs="Times New Roman"/>
                <w:color w:val="auto"/>
                <w:sz w:val="21"/>
                <w:szCs w:val="21"/>
                <w:highlight w:val="none"/>
                <w:lang w:val="en-US" w:eastAsia="zh-CN"/>
              </w:rPr>
              <w:t>-001-S13</w:t>
            </w:r>
          </w:p>
        </w:tc>
        <w:tc>
          <w:tcPr>
            <w:tcW w:w="424" w:type="pct"/>
            <w:vMerge w:val="continue"/>
            <w:tcBorders>
              <w:tl2br w:val="nil"/>
              <w:tr2bl w:val="nil"/>
            </w:tcBorders>
            <w:vAlign w:val="center"/>
          </w:tcPr>
          <w:p w14:paraId="48C2AD0D">
            <w:pPr>
              <w:spacing w:line="360" w:lineRule="exact"/>
              <w:ind w:firstLine="0" w:firstLineChars="0"/>
              <w:jc w:val="center"/>
              <w:rPr>
                <w:rFonts w:cs="Times New Roman"/>
                <w:color w:val="auto"/>
                <w:sz w:val="21"/>
                <w:szCs w:val="21"/>
                <w:highlight w:val="none"/>
              </w:rPr>
            </w:pPr>
          </w:p>
        </w:tc>
        <w:tc>
          <w:tcPr>
            <w:tcW w:w="263" w:type="pct"/>
            <w:vMerge w:val="continue"/>
            <w:tcBorders>
              <w:tl2br w:val="nil"/>
              <w:tr2bl w:val="nil"/>
            </w:tcBorders>
            <w:vAlign w:val="center"/>
          </w:tcPr>
          <w:p w14:paraId="5231311A">
            <w:pPr>
              <w:spacing w:line="360" w:lineRule="exact"/>
              <w:ind w:firstLine="0" w:firstLineChars="0"/>
              <w:jc w:val="center"/>
              <w:rPr>
                <w:rFonts w:cs="Times New Roman"/>
                <w:color w:val="auto"/>
                <w:sz w:val="21"/>
                <w:szCs w:val="21"/>
                <w:highlight w:val="none"/>
              </w:rPr>
            </w:pPr>
          </w:p>
        </w:tc>
        <w:tc>
          <w:tcPr>
            <w:tcW w:w="398" w:type="pct"/>
            <w:tcBorders>
              <w:tl2br w:val="nil"/>
              <w:tr2bl w:val="nil"/>
            </w:tcBorders>
            <w:vAlign w:val="center"/>
          </w:tcPr>
          <w:p w14:paraId="045FC49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650</w:t>
            </w:r>
          </w:p>
        </w:tc>
        <w:tc>
          <w:tcPr>
            <w:tcW w:w="417" w:type="pct"/>
            <w:vMerge w:val="continue"/>
            <w:tcBorders>
              <w:tl2br w:val="nil"/>
              <w:tr2bl w:val="nil"/>
            </w:tcBorders>
            <w:vAlign w:val="center"/>
          </w:tcPr>
          <w:p w14:paraId="78D3ED75">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shd w:val="clear" w:color="auto" w:fill="auto"/>
            <w:vAlign w:val="center"/>
          </w:tcPr>
          <w:p w14:paraId="09E18FD3">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650</w:t>
            </w:r>
          </w:p>
        </w:tc>
        <w:tc>
          <w:tcPr>
            <w:tcW w:w="1091" w:type="pct"/>
            <w:vMerge w:val="continue"/>
            <w:tcBorders>
              <w:tl2br w:val="nil"/>
              <w:tr2bl w:val="nil"/>
            </w:tcBorders>
            <w:vAlign w:val="center"/>
          </w:tcPr>
          <w:p w14:paraId="2AD45FCE">
            <w:pPr>
              <w:spacing w:line="360" w:lineRule="exact"/>
              <w:ind w:firstLine="0" w:firstLineChars="0"/>
              <w:jc w:val="center"/>
              <w:rPr>
                <w:rFonts w:cs="Times New Roman"/>
                <w:color w:val="auto"/>
                <w:sz w:val="21"/>
                <w:szCs w:val="21"/>
                <w:highlight w:val="none"/>
              </w:rPr>
            </w:pPr>
          </w:p>
        </w:tc>
      </w:tr>
      <w:tr w14:paraId="73807A32">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70" w:hRule="atLeast"/>
          <w:jc w:val="center"/>
        </w:trPr>
        <w:tc>
          <w:tcPr>
            <w:tcW w:w="280" w:type="pct"/>
            <w:vMerge w:val="continue"/>
            <w:tcBorders>
              <w:tl2br w:val="nil"/>
              <w:tr2bl w:val="nil"/>
            </w:tcBorders>
            <w:vAlign w:val="center"/>
          </w:tcPr>
          <w:p w14:paraId="5EC1A937">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07D6D8AF">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1FC1325F">
            <w:pPr>
              <w:spacing w:line="360" w:lineRule="exact"/>
              <w:ind w:firstLine="0" w:firstLineChars="0"/>
              <w:jc w:val="center"/>
              <w:rPr>
                <w:rFonts w:cs="Times New Roman"/>
                <w:color w:val="auto"/>
                <w:sz w:val="21"/>
                <w:szCs w:val="21"/>
                <w:highlight w:val="none"/>
              </w:rPr>
            </w:pPr>
          </w:p>
        </w:tc>
        <w:tc>
          <w:tcPr>
            <w:tcW w:w="540" w:type="pct"/>
            <w:tcBorders>
              <w:tl2br w:val="nil"/>
              <w:tr2bl w:val="nil"/>
            </w:tcBorders>
            <w:vAlign w:val="center"/>
          </w:tcPr>
          <w:p w14:paraId="6F19115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废包装</w:t>
            </w:r>
          </w:p>
        </w:tc>
        <w:tc>
          <w:tcPr>
            <w:tcW w:w="554" w:type="pct"/>
            <w:tcBorders>
              <w:tl2br w:val="nil"/>
              <w:tr2bl w:val="nil"/>
            </w:tcBorders>
            <w:vAlign w:val="center"/>
          </w:tcPr>
          <w:p w14:paraId="3E484EFA">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900</w:t>
            </w:r>
            <w:r>
              <w:rPr>
                <w:rFonts w:hint="default" w:ascii="Times New Roman" w:hAnsi="Times New Roman" w:eastAsia="宋体" w:cs="Times New Roman"/>
                <w:color w:val="auto"/>
                <w:sz w:val="21"/>
                <w:szCs w:val="21"/>
                <w:highlight w:val="none"/>
                <w:lang w:val="en-US" w:eastAsia="zh-CN"/>
              </w:rPr>
              <w:t>-099-S59</w:t>
            </w:r>
          </w:p>
        </w:tc>
        <w:tc>
          <w:tcPr>
            <w:tcW w:w="424" w:type="pct"/>
            <w:vMerge w:val="continue"/>
            <w:tcBorders>
              <w:tl2br w:val="nil"/>
              <w:tr2bl w:val="nil"/>
            </w:tcBorders>
            <w:vAlign w:val="center"/>
          </w:tcPr>
          <w:p w14:paraId="08D9900E">
            <w:pPr>
              <w:spacing w:line="360" w:lineRule="exact"/>
              <w:ind w:firstLine="0" w:firstLineChars="0"/>
              <w:jc w:val="center"/>
              <w:rPr>
                <w:rFonts w:cs="Times New Roman"/>
                <w:color w:val="auto"/>
                <w:sz w:val="21"/>
                <w:szCs w:val="21"/>
                <w:highlight w:val="none"/>
              </w:rPr>
            </w:pPr>
          </w:p>
        </w:tc>
        <w:tc>
          <w:tcPr>
            <w:tcW w:w="263" w:type="pct"/>
            <w:tcBorders>
              <w:tl2br w:val="nil"/>
              <w:tr2bl w:val="nil"/>
            </w:tcBorders>
            <w:vAlign w:val="center"/>
          </w:tcPr>
          <w:p w14:paraId="00E900F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类比</w:t>
            </w:r>
          </w:p>
        </w:tc>
        <w:tc>
          <w:tcPr>
            <w:tcW w:w="398" w:type="pct"/>
            <w:tcBorders>
              <w:tl2br w:val="nil"/>
              <w:tr2bl w:val="nil"/>
            </w:tcBorders>
            <w:vAlign w:val="center"/>
          </w:tcPr>
          <w:p w14:paraId="05B3094B">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1.6</w:t>
            </w:r>
          </w:p>
        </w:tc>
        <w:tc>
          <w:tcPr>
            <w:tcW w:w="417" w:type="pct"/>
            <w:vMerge w:val="continue"/>
            <w:tcBorders>
              <w:tl2br w:val="nil"/>
              <w:tr2bl w:val="nil"/>
            </w:tcBorders>
            <w:vAlign w:val="center"/>
          </w:tcPr>
          <w:p w14:paraId="02D1294A">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vAlign w:val="center"/>
          </w:tcPr>
          <w:p w14:paraId="3243D19B">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1.6</w:t>
            </w:r>
          </w:p>
        </w:tc>
        <w:tc>
          <w:tcPr>
            <w:tcW w:w="1091" w:type="pct"/>
            <w:tcBorders>
              <w:tl2br w:val="nil"/>
              <w:tr2bl w:val="nil"/>
            </w:tcBorders>
            <w:vAlign w:val="center"/>
          </w:tcPr>
          <w:p w14:paraId="7A508DA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定期外售综合利用</w:t>
            </w:r>
          </w:p>
        </w:tc>
      </w:tr>
      <w:tr w14:paraId="2C8630A7">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08D8F35F">
            <w:pPr>
              <w:spacing w:line="360" w:lineRule="exact"/>
              <w:ind w:firstLine="0" w:firstLineChars="0"/>
              <w:jc w:val="center"/>
              <w:rPr>
                <w:rFonts w:cs="Times New Roman"/>
                <w:color w:val="auto"/>
                <w:sz w:val="21"/>
                <w:szCs w:val="21"/>
                <w:highlight w:val="none"/>
              </w:rPr>
            </w:pPr>
          </w:p>
        </w:tc>
        <w:tc>
          <w:tcPr>
            <w:tcW w:w="284" w:type="pct"/>
            <w:vMerge w:val="restart"/>
            <w:tcBorders>
              <w:tl2br w:val="nil"/>
              <w:tr2bl w:val="nil"/>
            </w:tcBorders>
            <w:vAlign w:val="center"/>
          </w:tcPr>
          <w:p w14:paraId="6E2A884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污水处理站</w:t>
            </w:r>
          </w:p>
        </w:tc>
        <w:tc>
          <w:tcPr>
            <w:tcW w:w="339" w:type="pct"/>
            <w:vMerge w:val="restart"/>
            <w:tcBorders>
              <w:tl2br w:val="nil"/>
              <w:tr2bl w:val="nil"/>
            </w:tcBorders>
            <w:vAlign w:val="center"/>
          </w:tcPr>
          <w:p w14:paraId="5F3F0C9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污水处理站</w:t>
            </w:r>
          </w:p>
        </w:tc>
        <w:tc>
          <w:tcPr>
            <w:tcW w:w="540" w:type="pct"/>
            <w:tcBorders>
              <w:tl2br w:val="nil"/>
              <w:tr2bl w:val="nil"/>
            </w:tcBorders>
            <w:vAlign w:val="center"/>
          </w:tcPr>
          <w:p w14:paraId="423BAA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脱水污泥（含栅渣）</w:t>
            </w:r>
          </w:p>
        </w:tc>
        <w:tc>
          <w:tcPr>
            <w:tcW w:w="554" w:type="pct"/>
            <w:tcBorders>
              <w:tl2br w:val="nil"/>
              <w:tr2bl w:val="nil"/>
            </w:tcBorders>
            <w:vAlign w:val="center"/>
          </w:tcPr>
          <w:p w14:paraId="2D708F7A">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135</w:t>
            </w:r>
            <w:r>
              <w:rPr>
                <w:rFonts w:hint="default" w:ascii="Times New Roman" w:hAnsi="Times New Roman" w:eastAsia="宋体" w:cs="Times New Roman"/>
                <w:color w:val="auto"/>
                <w:sz w:val="21"/>
                <w:szCs w:val="21"/>
                <w:highlight w:val="none"/>
                <w:lang w:val="en-US" w:eastAsia="zh-CN"/>
              </w:rPr>
              <w:t>-001-S07</w:t>
            </w:r>
          </w:p>
        </w:tc>
        <w:tc>
          <w:tcPr>
            <w:tcW w:w="424" w:type="pct"/>
            <w:vMerge w:val="continue"/>
            <w:tcBorders>
              <w:tl2br w:val="nil"/>
              <w:tr2bl w:val="nil"/>
            </w:tcBorders>
            <w:vAlign w:val="center"/>
          </w:tcPr>
          <w:p w14:paraId="1DDBCC0F">
            <w:pPr>
              <w:spacing w:line="360" w:lineRule="exact"/>
              <w:ind w:firstLine="0" w:firstLineChars="0"/>
              <w:jc w:val="center"/>
              <w:rPr>
                <w:rFonts w:cs="Times New Roman"/>
                <w:color w:val="auto"/>
                <w:sz w:val="21"/>
                <w:szCs w:val="21"/>
                <w:highlight w:val="none"/>
              </w:rPr>
            </w:pPr>
          </w:p>
        </w:tc>
        <w:tc>
          <w:tcPr>
            <w:tcW w:w="263" w:type="pct"/>
            <w:tcBorders>
              <w:tl2br w:val="nil"/>
              <w:tr2bl w:val="nil"/>
            </w:tcBorders>
            <w:vAlign w:val="center"/>
          </w:tcPr>
          <w:p w14:paraId="77EDA16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物料衡算</w:t>
            </w:r>
          </w:p>
        </w:tc>
        <w:tc>
          <w:tcPr>
            <w:tcW w:w="398" w:type="pct"/>
            <w:tcBorders>
              <w:tl2br w:val="nil"/>
              <w:tr2bl w:val="nil"/>
            </w:tcBorders>
            <w:vAlign w:val="center"/>
          </w:tcPr>
          <w:p w14:paraId="59E7C579">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249.7</w:t>
            </w:r>
          </w:p>
        </w:tc>
        <w:tc>
          <w:tcPr>
            <w:tcW w:w="417" w:type="pct"/>
            <w:vMerge w:val="continue"/>
            <w:tcBorders>
              <w:tl2br w:val="nil"/>
              <w:tr2bl w:val="nil"/>
            </w:tcBorders>
            <w:vAlign w:val="center"/>
          </w:tcPr>
          <w:p w14:paraId="5CD5DEA9">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vAlign w:val="center"/>
          </w:tcPr>
          <w:p w14:paraId="31ABE48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249.7</w:t>
            </w:r>
          </w:p>
        </w:tc>
        <w:tc>
          <w:tcPr>
            <w:tcW w:w="1091" w:type="pct"/>
            <w:tcBorders>
              <w:tl2br w:val="nil"/>
              <w:tr2bl w:val="nil"/>
            </w:tcBorders>
            <w:vAlign w:val="center"/>
          </w:tcPr>
          <w:p w14:paraId="29702C7F">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委托有能力处置单位进行处理</w:t>
            </w:r>
          </w:p>
        </w:tc>
      </w:tr>
      <w:tr w14:paraId="27786F80">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2A3BEF84">
            <w:pPr>
              <w:spacing w:line="360" w:lineRule="exact"/>
              <w:ind w:firstLine="0" w:firstLineChars="0"/>
              <w:jc w:val="center"/>
              <w:rPr>
                <w:rFonts w:cs="Times New Roman"/>
                <w:color w:val="auto"/>
                <w:sz w:val="21"/>
                <w:szCs w:val="21"/>
                <w:highlight w:val="none"/>
              </w:rPr>
            </w:pPr>
          </w:p>
        </w:tc>
        <w:tc>
          <w:tcPr>
            <w:tcW w:w="284" w:type="pct"/>
            <w:vMerge w:val="continue"/>
            <w:tcBorders>
              <w:tl2br w:val="nil"/>
              <w:tr2bl w:val="nil"/>
            </w:tcBorders>
            <w:vAlign w:val="center"/>
          </w:tcPr>
          <w:p w14:paraId="7A8C542F">
            <w:pPr>
              <w:spacing w:line="360" w:lineRule="exact"/>
              <w:ind w:firstLine="0" w:firstLineChars="0"/>
              <w:jc w:val="center"/>
              <w:rPr>
                <w:rFonts w:cs="Times New Roman"/>
                <w:color w:val="auto"/>
                <w:sz w:val="21"/>
                <w:szCs w:val="21"/>
                <w:highlight w:val="none"/>
              </w:rPr>
            </w:pPr>
          </w:p>
        </w:tc>
        <w:tc>
          <w:tcPr>
            <w:tcW w:w="339" w:type="pct"/>
            <w:vMerge w:val="continue"/>
            <w:tcBorders>
              <w:tl2br w:val="nil"/>
              <w:tr2bl w:val="nil"/>
            </w:tcBorders>
            <w:vAlign w:val="center"/>
          </w:tcPr>
          <w:p w14:paraId="2C83DBDA">
            <w:pPr>
              <w:spacing w:line="360" w:lineRule="exact"/>
              <w:ind w:firstLine="0" w:firstLineChars="0"/>
              <w:jc w:val="center"/>
              <w:rPr>
                <w:rFonts w:cs="Times New Roman"/>
                <w:color w:val="auto"/>
                <w:sz w:val="21"/>
                <w:szCs w:val="21"/>
                <w:highlight w:val="none"/>
              </w:rPr>
            </w:pPr>
          </w:p>
        </w:tc>
        <w:tc>
          <w:tcPr>
            <w:tcW w:w="540" w:type="pct"/>
            <w:tcBorders>
              <w:tl2br w:val="nil"/>
              <w:tr2bl w:val="nil"/>
            </w:tcBorders>
            <w:vAlign w:val="center"/>
          </w:tcPr>
          <w:p w14:paraId="6F79D91F">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废油脂</w:t>
            </w:r>
          </w:p>
        </w:tc>
        <w:tc>
          <w:tcPr>
            <w:tcW w:w="554" w:type="pct"/>
            <w:tcBorders>
              <w:tl2br w:val="nil"/>
              <w:tr2bl w:val="nil"/>
            </w:tcBorders>
            <w:vAlign w:val="center"/>
          </w:tcPr>
          <w:p w14:paraId="39C2AF10">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900</w:t>
            </w:r>
            <w:r>
              <w:rPr>
                <w:rFonts w:hint="default" w:ascii="Times New Roman" w:hAnsi="Times New Roman" w:eastAsia="宋体" w:cs="Times New Roman"/>
                <w:color w:val="auto"/>
                <w:sz w:val="21"/>
                <w:szCs w:val="21"/>
                <w:highlight w:val="none"/>
                <w:lang w:val="en-US" w:eastAsia="zh-CN"/>
              </w:rPr>
              <w:t>-002-S61</w:t>
            </w:r>
          </w:p>
        </w:tc>
        <w:tc>
          <w:tcPr>
            <w:tcW w:w="424" w:type="pct"/>
            <w:vMerge w:val="continue"/>
            <w:tcBorders>
              <w:tl2br w:val="nil"/>
              <w:tr2bl w:val="nil"/>
            </w:tcBorders>
            <w:vAlign w:val="center"/>
          </w:tcPr>
          <w:p w14:paraId="47BAD127">
            <w:pPr>
              <w:spacing w:line="360" w:lineRule="exact"/>
              <w:ind w:firstLine="0" w:firstLineChars="0"/>
              <w:jc w:val="center"/>
              <w:rPr>
                <w:rFonts w:cs="Times New Roman"/>
                <w:color w:val="auto"/>
                <w:sz w:val="21"/>
                <w:szCs w:val="21"/>
                <w:highlight w:val="none"/>
              </w:rPr>
            </w:pPr>
          </w:p>
        </w:tc>
        <w:tc>
          <w:tcPr>
            <w:tcW w:w="263" w:type="pct"/>
            <w:tcBorders>
              <w:tl2br w:val="nil"/>
              <w:tr2bl w:val="nil"/>
            </w:tcBorders>
            <w:vAlign w:val="center"/>
          </w:tcPr>
          <w:p w14:paraId="5DDB15F6">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类比</w:t>
            </w:r>
          </w:p>
        </w:tc>
        <w:tc>
          <w:tcPr>
            <w:tcW w:w="398" w:type="pct"/>
            <w:tcBorders>
              <w:tl2br w:val="nil"/>
              <w:tr2bl w:val="nil"/>
            </w:tcBorders>
            <w:vAlign w:val="center"/>
          </w:tcPr>
          <w:p w14:paraId="637F2BB3">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0.8</w:t>
            </w:r>
          </w:p>
        </w:tc>
        <w:tc>
          <w:tcPr>
            <w:tcW w:w="417" w:type="pct"/>
            <w:vMerge w:val="continue"/>
            <w:tcBorders>
              <w:tl2br w:val="nil"/>
              <w:tr2bl w:val="nil"/>
            </w:tcBorders>
            <w:vAlign w:val="center"/>
          </w:tcPr>
          <w:p w14:paraId="23291D59">
            <w:pPr>
              <w:spacing w:line="360" w:lineRule="exact"/>
              <w:ind w:firstLine="0" w:firstLineChars="0"/>
              <w:jc w:val="center"/>
              <w:rPr>
                <w:rFonts w:cs="Times New Roman"/>
                <w:color w:val="auto"/>
                <w:sz w:val="21"/>
                <w:szCs w:val="21"/>
                <w:highlight w:val="none"/>
              </w:rPr>
            </w:pPr>
          </w:p>
        </w:tc>
        <w:tc>
          <w:tcPr>
            <w:tcW w:w="405" w:type="pct"/>
            <w:tcBorders>
              <w:tl2br w:val="nil"/>
              <w:tr2bl w:val="nil"/>
            </w:tcBorders>
            <w:vAlign w:val="center"/>
          </w:tcPr>
          <w:p w14:paraId="57E28DFC">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0.8</w:t>
            </w:r>
          </w:p>
        </w:tc>
        <w:tc>
          <w:tcPr>
            <w:tcW w:w="1091" w:type="pct"/>
            <w:tcBorders>
              <w:tl2br w:val="nil"/>
              <w:tr2bl w:val="nil"/>
            </w:tcBorders>
            <w:vAlign w:val="center"/>
          </w:tcPr>
          <w:p w14:paraId="7BDF9417">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交由有能力运输处置单位进行处理</w:t>
            </w:r>
          </w:p>
        </w:tc>
      </w:tr>
      <w:tr w14:paraId="46E3AD12">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restart"/>
            <w:tcBorders>
              <w:tl2br w:val="nil"/>
              <w:tr2bl w:val="nil"/>
            </w:tcBorders>
            <w:vAlign w:val="center"/>
          </w:tcPr>
          <w:p w14:paraId="0DB39096">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危险废物</w:t>
            </w:r>
          </w:p>
        </w:tc>
        <w:tc>
          <w:tcPr>
            <w:tcW w:w="284" w:type="pct"/>
            <w:tcBorders>
              <w:tl2br w:val="nil"/>
              <w:tr2bl w:val="nil"/>
            </w:tcBorders>
            <w:vAlign w:val="center"/>
          </w:tcPr>
          <w:p w14:paraId="373448DF">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检疫</w:t>
            </w:r>
          </w:p>
        </w:tc>
        <w:tc>
          <w:tcPr>
            <w:tcW w:w="339" w:type="pct"/>
            <w:tcBorders>
              <w:tl2br w:val="nil"/>
              <w:tr2bl w:val="nil"/>
            </w:tcBorders>
            <w:vAlign w:val="center"/>
          </w:tcPr>
          <w:p w14:paraId="2CD515E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实验室</w:t>
            </w:r>
          </w:p>
        </w:tc>
        <w:tc>
          <w:tcPr>
            <w:tcW w:w="540" w:type="pct"/>
            <w:tcBorders>
              <w:tl2br w:val="nil"/>
              <w:tr2bl w:val="nil"/>
            </w:tcBorders>
            <w:vAlign w:val="center"/>
          </w:tcPr>
          <w:p w14:paraId="29F522C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检疫废物</w:t>
            </w:r>
          </w:p>
        </w:tc>
        <w:tc>
          <w:tcPr>
            <w:tcW w:w="554" w:type="pct"/>
            <w:tcBorders>
              <w:tl2br w:val="nil"/>
              <w:tr2bl w:val="nil"/>
            </w:tcBorders>
            <w:vAlign w:val="center"/>
          </w:tcPr>
          <w:p w14:paraId="519768D8">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HW49 900-041-49</w:t>
            </w:r>
          </w:p>
        </w:tc>
        <w:tc>
          <w:tcPr>
            <w:tcW w:w="424" w:type="pct"/>
            <w:vMerge w:val="restart"/>
            <w:tcBorders>
              <w:tl2br w:val="nil"/>
              <w:tr2bl w:val="nil"/>
            </w:tcBorders>
            <w:vAlign w:val="center"/>
          </w:tcPr>
          <w:p w14:paraId="05EC2DB0">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危险废物</w:t>
            </w:r>
          </w:p>
        </w:tc>
        <w:tc>
          <w:tcPr>
            <w:tcW w:w="263" w:type="pct"/>
            <w:tcBorders>
              <w:tl2br w:val="nil"/>
              <w:tr2bl w:val="nil"/>
            </w:tcBorders>
            <w:vAlign w:val="center"/>
          </w:tcPr>
          <w:p w14:paraId="7C0CD67D">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类比</w:t>
            </w:r>
          </w:p>
        </w:tc>
        <w:tc>
          <w:tcPr>
            <w:tcW w:w="398" w:type="pct"/>
            <w:tcBorders>
              <w:tl2br w:val="nil"/>
              <w:tr2bl w:val="nil"/>
            </w:tcBorders>
            <w:vAlign w:val="center"/>
          </w:tcPr>
          <w:p w14:paraId="2384A20A">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3</w:t>
            </w:r>
          </w:p>
        </w:tc>
        <w:tc>
          <w:tcPr>
            <w:tcW w:w="417" w:type="pct"/>
            <w:tcBorders>
              <w:tl2br w:val="nil"/>
              <w:tr2bl w:val="nil"/>
            </w:tcBorders>
            <w:vAlign w:val="center"/>
          </w:tcPr>
          <w:p w14:paraId="6886B7C6">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集中收集</w:t>
            </w:r>
          </w:p>
        </w:tc>
        <w:tc>
          <w:tcPr>
            <w:tcW w:w="405" w:type="pct"/>
            <w:tcBorders>
              <w:tl2br w:val="nil"/>
              <w:tr2bl w:val="nil"/>
            </w:tcBorders>
            <w:vAlign w:val="center"/>
          </w:tcPr>
          <w:p w14:paraId="72CF98D5">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3</w:t>
            </w:r>
          </w:p>
        </w:tc>
        <w:tc>
          <w:tcPr>
            <w:tcW w:w="1091" w:type="pct"/>
            <w:tcBorders>
              <w:tl2br w:val="nil"/>
              <w:tr2bl w:val="nil"/>
            </w:tcBorders>
            <w:vAlign w:val="center"/>
          </w:tcPr>
          <w:p w14:paraId="7034FF9B">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05793AE6">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2FA00775">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84" w:type="pct"/>
            <w:vMerge w:val="restart"/>
            <w:tcBorders>
              <w:tl2br w:val="nil"/>
              <w:tr2bl w:val="nil"/>
            </w:tcBorders>
            <w:vAlign w:val="center"/>
          </w:tcPr>
          <w:p w14:paraId="16963619">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检修</w:t>
            </w:r>
          </w:p>
        </w:tc>
        <w:tc>
          <w:tcPr>
            <w:tcW w:w="339" w:type="pct"/>
            <w:vMerge w:val="restart"/>
            <w:tcBorders>
              <w:tl2br w:val="nil"/>
              <w:tr2bl w:val="nil"/>
            </w:tcBorders>
            <w:vAlign w:val="center"/>
          </w:tcPr>
          <w:p w14:paraId="6401DFC9">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生产</w:t>
            </w:r>
          </w:p>
          <w:p w14:paraId="6050FADD">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车间</w:t>
            </w:r>
          </w:p>
        </w:tc>
        <w:tc>
          <w:tcPr>
            <w:tcW w:w="540" w:type="pct"/>
            <w:tcBorders>
              <w:tl2br w:val="nil"/>
              <w:tr2bl w:val="nil"/>
            </w:tcBorders>
            <w:vAlign w:val="center"/>
          </w:tcPr>
          <w:p w14:paraId="4B8A5467">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废润滑油</w:t>
            </w:r>
          </w:p>
        </w:tc>
        <w:tc>
          <w:tcPr>
            <w:tcW w:w="554" w:type="pct"/>
            <w:tcBorders>
              <w:tl2br w:val="nil"/>
              <w:tr2bl w:val="nil"/>
            </w:tcBorders>
            <w:vAlign w:val="center"/>
          </w:tcPr>
          <w:p w14:paraId="56D4D08D">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HW08 900-214-08</w:t>
            </w:r>
          </w:p>
        </w:tc>
        <w:tc>
          <w:tcPr>
            <w:tcW w:w="424" w:type="pct"/>
            <w:vMerge w:val="continue"/>
            <w:tcBorders>
              <w:tl2br w:val="nil"/>
              <w:tr2bl w:val="nil"/>
            </w:tcBorders>
            <w:vAlign w:val="center"/>
          </w:tcPr>
          <w:p w14:paraId="0B7AC2BE">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63" w:type="pct"/>
            <w:tcBorders>
              <w:tl2br w:val="nil"/>
              <w:tr2bl w:val="nil"/>
            </w:tcBorders>
            <w:vAlign w:val="center"/>
          </w:tcPr>
          <w:p w14:paraId="25903C41">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类比</w:t>
            </w:r>
          </w:p>
        </w:tc>
        <w:tc>
          <w:tcPr>
            <w:tcW w:w="398" w:type="pct"/>
            <w:tcBorders>
              <w:tl2br w:val="nil"/>
              <w:tr2bl w:val="nil"/>
            </w:tcBorders>
            <w:vAlign w:val="center"/>
          </w:tcPr>
          <w:p w14:paraId="4ED449E4">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w:t>
            </w:r>
            <w:r>
              <w:rPr>
                <w:rFonts w:hint="eastAsia" w:cs="Times New Roman"/>
                <w:color w:val="auto"/>
                <w:sz w:val="21"/>
                <w:szCs w:val="21"/>
                <w:highlight w:val="none"/>
                <w:lang w:val="en-US" w:eastAsia="zh-CN"/>
              </w:rPr>
              <w:t>8</w:t>
            </w:r>
          </w:p>
        </w:tc>
        <w:tc>
          <w:tcPr>
            <w:tcW w:w="417" w:type="pct"/>
            <w:tcBorders>
              <w:tl2br w:val="nil"/>
              <w:tr2bl w:val="nil"/>
            </w:tcBorders>
            <w:vAlign w:val="center"/>
          </w:tcPr>
          <w:p w14:paraId="17AC7453">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集中收集</w:t>
            </w:r>
          </w:p>
        </w:tc>
        <w:tc>
          <w:tcPr>
            <w:tcW w:w="405" w:type="pct"/>
            <w:tcBorders>
              <w:tl2br w:val="nil"/>
              <w:tr2bl w:val="nil"/>
            </w:tcBorders>
            <w:vAlign w:val="center"/>
          </w:tcPr>
          <w:p w14:paraId="29915D73">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w:t>
            </w:r>
            <w:r>
              <w:rPr>
                <w:rFonts w:hint="eastAsia" w:cs="Times New Roman"/>
                <w:color w:val="auto"/>
                <w:sz w:val="21"/>
                <w:szCs w:val="21"/>
                <w:highlight w:val="none"/>
                <w:lang w:val="en-US" w:eastAsia="zh-CN"/>
              </w:rPr>
              <w:t>8</w:t>
            </w:r>
          </w:p>
        </w:tc>
        <w:tc>
          <w:tcPr>
            <w:tcW w:w="1091" w:type="pct"/>
            <w:tcBorders>
              <w:tl2br w:val="nil"/>
              <w:tr2bl w:val="nil"/>
            </w:tcBorders>
            <w:vAlign w:val="center"/>
          </w:tcPr>
          <w:p w14:paraId="7B432C09">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414A2987">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7355686D">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84" w:type="pct"/>
            <w:vMerge w:val="continue"/>
            <w:tcBorders>
              <w:tl2br w:val="nil"/>
              <w:tr2bl w:val="nil"/>
            </w:tcBorders>
            <w:vAlign w:val="center"/>
          </w:tcPr>
          <w:p w14:paraId="57A2E1E3">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339" w:type="pct"/>
            <w:vMerge w:val="continue"/>
            <w:tcBorders>
              <w:tl2br w:val="nil"/>
              <w:tr2bl w:val="nil"/>
            </w:tcBorders>
            <w:vAlign w:val="center"/>
          </w:tcPr>
          <w:p w14:paraId="3E8EB4DE">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540" w:type="pct"/>
            <w:tcBorders>
              <w:tl2br w:val="nil"/>
              <w:tr2bl w:val="nil"/>
            </w:tcBorders>
            <w:vAlign w:val="center"/>
          </w:tcPr>
          <w:p w14:paraId="51062AAD">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含油抹布、劳保手套</w:t>
            </w:r>
          </w:p>
        </w:tc>
        <w:tc>
          <w:tcPr>
            <w:tcW w:w="554" w:type="pct"/>
            <w:tcBorders>
              <w:tl2br w:val="nil"/>
              <w:tr2bl w:val="nil"/>
            </w:tcBorders>
            <w:vAlign w:val="center"/>
          </w:tcPr>
          <w:p w14:paraId="4B39F5C4">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HW49 900-041-49</w:t>
            </w:r>
          </w:p>
        </w:tc>
        <w:tc>
          <w:tcPr>
            <w:tcW w:w="424" w:type="pct"/>
            <w:vMerge w:val="continue"/>
            <w:tcBorders>
              <w:tl2br w:val="nil"/>
              <w:tr2bl w:val="nil"/>
            </w:tcBorders>
            <w:vAlign w:val="center"/>
          </w:tcPr>
          <w:p w14:paraId="74981D01">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63" w:type="pct"/>
            <w:tcBorders>
              <w:tl2br w:val="nil"/>
              <w:tr2bl w:val="nil"/>
            </w:tcBorders>
            <w:vAlign w:val="center"/>
          </w:tcPr>
          <w:p w14:paraId="5E57EA57">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类比</w:t>
            </w:r>
          </w:p>
        </w:tc>
        <w:tc>
          <w:tcPr>
            <w:tcW w:w="398" w:type="pct"/>
            <w:tcBorders>
              <w:tl2br w:val="nil"/>
              <w:tr2bl w:val="nil"/>
            </w:tcBorders>
            <w:vAlign w:val="center"/>
          </w:tcPr>
          <w:p w14:paraId="70D1D1DD">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15</w:t>
            </w:r>
          </w:p>
        </w:tc>
        <w:tc>
          <w:tcPr>
            <w:tcW w:w="417" w:type="pct"/>
            <w:tcBorders>
              <w:tl2br w:val="nil"/>
              <w:tr2bl w:val="nil"/>
            </w:tcBorders>
            <w:vAlign w:val="center"/>
          </w:tcPr>
          <w:p w14:paraId="480C511A">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集中收集</w:t>
            </w:r>
          </w:p>
        </w:tc>
        <w:tc>
          <w:tcPr>
            <w:tcW w:w="405" w:type="pct"/>
            <w:tcBorders>
              <w:tl2br w:val="nil"/>
              <w:tr2bl w:val="nil"/>
            </w:tcBorders>
            <w:vAlign w:val="center"/>
          </w:tcPr>
          <w:p w14:paraId="184FDC28">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15</w:t>
            </w:r>
          </w:p>
        </w:tc>
        <w:tc>
          <w:tcPr>
            <w:tcW w:w="1091" w:type="pct"/>
            <w:tcBorders>
              <w:tl2br w:val="nil"/>
              <w:tr2bl w:val="nil"/>
            </w:tcBorders>
            <w:vAlign w:val="center"/>
          </w:tcPr>
          <w:p w14:paraId="03DF746E">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42BB8627">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17287C3D">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84" w:type="pct"/>
            <w:tcBorders>
              <w:tl2br w:val="nil"/>
              <w:tr2bl w:val="nil"/>
            </w:tcBorders>
            <w:vAlign w:val="center"/>
          </w:tcPr>
          <w:p w14:paraId="7D18374C">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生产</w:t>
            </w:r>
          </w:p>
        </w:tc>
        <w:tc>
          <w:tcPr>
            <w:tcW w:w="339" w:type="pct"/>
            <w:tcBorders>
              <w:tl2br w:val="nil"/>
              <w:tr2bl w:val="nil"/>
            </w:tcBorders>
            <w:vAlign w:val="center"/>
          </w:tcPr>
          <w:p w14:paraId="216091FB">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废气</w:t>
            </w:r>
          </w:p>
          <w:p w14:paraId="21DA5202">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处置</w:t>
            </w:r>
          </w:p>
        </w:tc>
        <w:tc>
          <w:tcPr>
            <w:tcW w:w="540" w:type="pct"/>
            <w:tcBorders>
              <w:tl2br w:val="nil"/>
              <w:tr2bl w:val="nil"/>
            </w:tcBorders>
            <w:vAlign w:val="center"/>
          </w:tcPr>
          <w:p w14:paraId="6DA6A1D4">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废活性炭</w:t>
            </w:r>
          </w:p>
        </w:tc>
        <w:tc>
          <w:tcPr>
            <w:tcW w:w="554" w:type="pct"/>
            <w:tcBorders>
              <w:tl2br w:val="nil"/>
              <w:tr2bl w:val="nil"/>
            </w:tcBorders>
            <w:vAlign w:val="center"/>
          </w:tcPr>
          <w:p w14:paraId="683DC9A4">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HW49</w:t>
            </w:r>
            <w:r>
              <w:rPr>
                <w:rFonts w:hint="eastAsia" w:cs="Times New Roman"/>
                <w:color w:val="auto"/>
                <w:sz w:val="21"/>
                <w:szCs w:val="21"/>
                <w:highlight w:val="none"/>
                <w:lang w:val="en-US" w:eastAsia="zh-CN"/>
              </w:rPr>
              <w:t xml:space="preserve"> </w:t>
            </w:r>
            <w:r>
              <w:rPr>
                <w:rFonts w:hint="eastAsia" w:ascii="Times New Roman" w:hAnsi="Times New Roman" w:eastAsia="宋体" w:cs="Times New Roman"/>
                <w:color w:val="auto"/>
                <w:sz w:val="21"/>
                <w:szCs w:val="21"/>
                <w:highlight w:val="none"/>
                <w:lang w:val="en-US" w:eastAsia="zh-CN"/>
              </w:rPr>
              <w:t>900</w:t>
            </w:r>
            <w:r>
              <w:rPr>
                <w:rFonts w:hint="default" w:ascii="Times New Roman" w:hAnsi="Times New Roman" w:eastAsia="宋体" w:cs="Times New Roman"/>
                <w:color w:val="auto"/>
                <w:sz w:val="21"/>
                <w:szCs w:val="21"/>
                <w:highlight w:val="none"/>
                <w:lang w:val="en-US" w:eastAsia="zh-CN"/>
              </w:rPr>
              <w:t>-039-49</w:t>
            </w:r>
          </w:p>
        </w:tc>
        <w:tc>
          <w:tcPr>
            <w:tcW w:w="424" w:type="pct"/>
            <w:vMerge w:val="continue"/>
            <w:tcBorders>
              <w:tl2br w:val="nil"/>
              <w:tr2bl w:val="nil"/>
            </w:tcBorders>
            <w:vAlign w:val="center"/>
          </w:tcPr>
          <w:p w14:paraId="62FB1C55">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63" w:type="pct"/>
            <w:tcBorders>
              <w:tl2br w:val="nil"/>
              <w:tr2bl w:val="nil"/>
            </w:tcBorders>
            <w:vAlign w:val="center"/>
          </w:tcPr>
          <w:p w14:paraId="06D73197">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类比</w:t>
            </w:r>
          </w:p>
        </w:tc>
        <w:tc>
          <w:tcPr>
            <w:tcW w:w="398" w:type="pct"/>
            <w:tcBorders>
              <w:tl2br w:val="nil"/>
              <w:tr2bl w:val="nil"/>
            </w:tcBorders>
            <w:vAlign w:val="center"/>
          </w:tcPr>
          <w:p w14:paraId="0291BE34">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5.16</w:t>
            </w:r>
          </w:p>
        </w:tc>
        <w:tc>
          <w:tcPr>
            <w:tcW w:w="417" w:type="pct"/>
            <w:tcBorders>
              <w:tl2br w:val="nil"/>
              <w:tr2bl w:val="nil"/>
            </w:tcBorders>
            <w:vAlign w:val="center"/>
          </w:tcPr>
          <w:p w14:paraId="4088839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集中收集</w:t>
            </w:r>
          </w:p>
        </w:tc>
        <w:tc>
          <w:tcPr>
            <w:tcW w:w="405" w:type="pct"/>
            <w:tcBorders>
              <w:tl2br w:val="nil"/>
              <w:tr2bl w:val="nil"/>
            </w:tcBorders>
            <w:vAlign w:val="center"/>
          </w:tcPr>
          <w:p w14:paraId="604B7E42">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5.16</w:t>
            </w:r>
          </w:p>
        </w:tc>
        <w:tc>
          <w:tcPr>
            <w:tcW w:w="1091" w:type="pct"/>
            <w:tcBorders>
              <w:tl2br w:val="nil"/>
              <w:tr2bl w:val="nil"/>
            </w:tcBorders>
            <w:vAlign w:val="center"/>
          </w:tcPr>
          <w:p w14:paraId="1AA75CB3">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3D04DA1A">
        <w:tblPrEx>
          <w:tblBorders>
            <w:top w:val="single" w:color="000000" w:sz="12" w:space="0"/>
            <w:left w:val="none" w:color="auto" w:sz="0" w:space="0"/>
            <w:bottom w:val="single" w:color="auto"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83" w:hRule="atLeast"/>
          <w:jc w:val="center"/>
        </w:trPr>
        <w:tc>
          <w:tcPr>
            <w:tcW w:w="280" w:type="pct"/>
            <w:vMerge w:val="continue"/>
            <w:tcBorders>
              <w:tl2br w:val="nil"/>
              <w:tr2bl w:val="nil"/>
            </w:tcBorders>
            <w:vAlign w:val="center"/>
          </w:tcPr>
          <w:p w14:paraId="4FB24FFA">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84" w:type="pct"/>
            <w:tcBorders>
              <w:tl2br w:val="nil"/>
              <w:tr2bl w:val="nil"/>
            </w:tcBorders>
            <w:vAlign w:val="center"/>
          </w:tcPr>
          <w:p w14:paraId="1CB4E3A1">
            <w:pPr>
              <w:spacing w:line="360" w:lineRule="exact"/>
              <w:ind w:firstLine="0" w:firstLineChars="0"/>
              <w:jc w:val="center"/>
              <w:rPr>
                <w:rFonts w:hint="eastAsia" w:cs="Times New Roman"/>
                <w:color w:val="auto"/>
                <w:sz w:val="21"/>
                <w:szCs w:val="21"/>
                <w:highlight w:val="none"/>
                <w:lang w:val="en-US" w:eastAsia="zh-CN"/>
              </w:rPr>
            </w:pPr>
            <w:r>
              <w:rPr>
                <w:rFonts w:cs="Times New Roman"/>
                <w:color w:val="auto"/>
                <w:sz w:val="21"/>
                <w:szCs w:val="21"/>
                <w:highlight w:val="none"/>
              </w:rPr>
              <w:t>污水处理站</w:t>
            </w:r>
          </w:p>
        </w:tc>
        <w:tc>
          <w:tcPr>
            <w:tcW w:w="339" w:type="pct"/>
            <w:tcBorders>
              <w:tl2br w:val="nil"/>
              <w:tr2bl w:val="nil"/>
            </w:tcBorders>
            <w:vAlign w:val="center"/>
          </w:tcPr>
          <w:p w14:paraId="4B708259">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污水总排口</w:t>
            </w:r>
          </w:p>
        </w:tc>
        <w:tc>
          <w:tcPr>
            <w:tcW w:w="540" w:type="pct"/>
            <w:tcBorders>
              <w:tl2br w:val="nil"/>
              <w:tr2bl w:val="nil"/>
            </w:tcBorders>
            <w:vAlign w:val="center"/>
          </w:tcPr>
          <w:p w14:paraId="2EFA9FA2">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在线监测废液</w:t>
            </w:r>
          </w:p>
        </w:tc>
        <w:tc>
          <w:tcPr>
            <w:tcW w:w="554" w:type="pct"/>
            <w:tcBorders>
              <w:tl2br w:val="nil"/>
              <w:tr2bl w:val="nil"/>
            </w:tcBorders>
            <w:vAlign w:val="center"/>
          </w:tcPr>
          <w:p w14:paraId="01878B15">
            <w:pPr>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HW21</w:t>
            </w:r>
          </w:p>
          <w:p w14:paraId="188BA874">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261-138-21</w:t>
            </w:r>
          </w:p>
        </w:tc>
        <w:tc>
          <w:tcPr>
            <w:tcW w:w="424" w:type="pct"/>
            <w:vMerge w:val="continue"/>
            <w:tcBorders>
              <w:tl2br w:val="nil"/>
              <w:tr2bl w:val="nil"/>
            </w:tcBorders>
            <w:vAlign w:val="center"/>
          </w:tcPr>
          <w:p w14:paraId="3722D467">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263" w:type="pct"/>
            <w:tcBorders>
              <w:tl2br w:val="nil"/>
              <w:tr2bl w:val="nil"/>
            </w:tcBorders>
            <w:vAlign w:val="center"/>
          </w:tcPr>
          <w:p w14:paraId="5ABE65D8">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类比</w:t>
            </w:r>
          </w:p>
        </w:tc>
        <w:tc>
          <w:tcPr>
            <w:tcW w:w="398" w:type="pct"/>
            <w:tcBorders>
              <w:tl2br w:val="nil"/>
              <w:tr2bl w:val="nil"/>
            </w:tcBorders>
            <w:vAlign w:val="center"/>
          </w:tcPr>
          <w:p w14:paraId="478829BF">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1.24</w:t>
            </w:r>
          </w:p>
        </w:tc>
        <w:tc>
          <w:tcPr>
            <w:tcW w:w="417" w:type="pct"/>
            <w:tcBorders>
              <w:tl2br w:val="nil"/>
              <w:tr2bl w:val="nil"/>
            </w:tcBorders>
            <w:vAlign w:val="center"/>
          </w:tcPr>
          <w:p w14:paraId="1D28ABC9">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集中收集</w:t>
            </w:r>
          </w:p>
        </w:tc>
        <w:tc>
          <w:tcPr>
            <w:tcW w:w="405" w:type="pct"/>
            <w:tcBorders>
              <w:tl2br w:val="nil"/>
              <w:tr2bl w:val="nil"/>
            </w:tcBorders>
            <w:vAlign w:val="center"/>
          </w:tcPr>
          <w:p w14:paraId="30560FE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1.24</w:t>
            </w:r>
          </w:p>
        </w:tc>
        <w:tc>
          <w:tcPr>
            <w:tcW w:w="1091" w:type="pct"/>
            <w:tcBorders>
              <w:tl2br w:val="nil"/>
              <w:tr2bl w:val="nil"/>
            </w:tcBorders>
            <w:vAlign w:val="center"/>
          </w:tcPr>
          <w:p w14:paraId="0EF88F88">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bl>
    <w:p w14:paraId="1100F36B">
      <w:pPr>
        <w:pStyle w:val="36"/>
        <w:rPr>
          <w:color w:val="auto"/>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5E35AE11">
      <w:pPr>
        <w:pStyle w:val="5"/>
        <w:rPr>
          <w:color w:val="auto"/>
          <w:highlight w:val="none"/>
        </w:rPr>
      </w:pPr>
      <w:r>
        <w:rPr>
          <w:color w:val="auto"/>
          <w:highlight w:val="none"/>
          <w:lang w:val="en-US"/>
        </w:rPr>
        <w:t>3.4.2.5</w:t>
      </w:r>
      <w:r>
        <w:rPr>
          <w:color w:val="auto"/>
          <w:highlight w:val="none"/>
        </w:rPr>
        <w:t>地下水</w:t>
      </w:r>
    </w:p>
    <w:p w14:paraId="0FE085B3">
      <w:pPr>
        <w:spacing w:line="500" w:lineRule="exact"/>
        <w:rPr>
          <w:rFonts w:cs="Times New Roman"/>
          <w:color w:val="auto"/>
          <w:szCs w:val="24"/>
          <w:highlight w:val="none"/>
        </w:rPr>
      </w:pPr>
      <w:r>
        <w:rPr>
          <w:rFonts w:cs="Times New Roman"/>
          <w:color w:val="auto"/>
          <w:szCs w:val="24"/>
          <w:highlight w:val="none"/>
        </w:rPr>
        <w:t>在正常工况状态下，本项目不会有污水泄漏，不会对地下水造成污染。</w:t>
      </w:r>
    </w:p>
    <w:p w14:paraId="78120A45">
      <w:pPr>
        <w:spacing w:line="500" w:lineRule="exact"/>
        <w:rPr>
          <w:rFonts w:cs="Times New Roman"/>
          <w:color w:val="auto"/>
          <w:szCs w:val="24"/>
          <w:highlight w:val="none"/>
        </w:rPr>
      </w:pPr>
      <w:r>
        <w:rPr>
          <w:rFonts w:cs="Times New Roman"/>
          <w:color w:val="auto"/>
          <w:szCs w:val="24"/>
          <w:highlight w:val="none"/>
        </w:rPr>
        <w:t>非正常工况下，因地址塌陷、防渗膜破裂等突发情况和事故状态下可能造成污水泄漏，从而对地下水造成污染。可产生污染的构筑物主要为污水处理站内各池体。其中</w:t>
      </w:r>
      <w:r>
        <w:rPr>
          <w:rFonts w:hint="eastAsia" w:cs="Times New Roman"/>
          <w:color w:val="auto"/>
          <w:szCs w:val="24"/>
          <w:highlight w:val="none"/>
          <w:lang w:val="en-US" w:eastAsia="zh-CN"/>
        </w:rPr>
        <w:t>调节池</w:t>
      </w:r>
      <w:r>
        <w:rPr>
          <w:rFonts w:cs="Times New Roman"/>
          <w:color w:val="auto"/>
          <w:szCs w:val="24"/>
          <w:highlight w:val="none"/>
        </w:rPr>
        <w:t>仅在事故情况下</w:t>
      </w:r>
      <w:r>
        <w:rPr>
          <w:rStyle w:val="220"/>
          <w:rFonts w:hint="eastAsia" w:eastAsia="宋体" w:cs="Times New Roman"/>
          <w:color w:val="auto"/>
          <w:sz w:val="24"/>
          <w:szCs w:val="24"/>
          <w:highlight w:val="none"/>
          <w:lang w:val="en-US" w:eastAsia="zh-CN"/>
        </w:rPr>
        <w:t>用作</w:t>
      </w:r>
      <w:r>
        <w:rPr>
          <w:rFonts w:hint="eastAsia" w:cs="Times New Roman"/>
          <w:color w:val="auto"/>
          <w:szCs w:val="24"/>
          <w:highlight w:val="none"/>
          <w:lang w:val="en-US" w:eastAsia="zh-CN"/>
        </w:rPr>
        <w:t>事故池</w:t>
      </w:r>
      <w:r>
        <w:rPr>
          <w:rFonts w:cs="Times New Roman"/>
          <w:color w:val="auto"/>
          <w:szCs w:val="24"/>
          <w:highlight w:val="none"/>
        </w:rPr>
        <w:t>，</w:t>
      </w:r>
      <w:r>
        <w:rPr>
          <w:rFonts w:cs="Times New Roman"/>
          <w:snapToGrid w:val="0"/>
          <w:color w:val="auto"/>
          <w:highlight w:val="none"/>
        </w:rPr>
        <w:t>池容积大，存水量大，污染物浓度较高，</w:t>
      </w:r>
      <w:r>
        <w:rPr>
          <w:rFonts w:cs="Times New Roman"/>
          <w:color w:val="auto"/>
          <w:szCs w:val="24"/>
          <w:highlight w:val="none"/>
        </w:rPr>
        <w:t>如泄漏对地下水影响最大，从最大风险原则考虑，</w:t>
      </w:r>
      <w:r>
        <w:rPr>
          <w:rFonts w:hint="eastAsia" w:cs="Times New Roman"/>
          <w:color w:val="auto"/>
          <w:szCs w:val="24"/>
          <w:highlight w:val="none"/>
          <w:lang w:val="en-US" w:eastAsia="zh-CN"/>
        </w:rPr>
        <w:t>由于事故池是通过调节池分隔开来的，</w:t>
      </w:r>
      <w:r>
        <w:rPr>
          <w:rFonts w:cs="Times New Roman"/>
          <w:color w:val="auto"/>
          <w:szCs w:val="24"/>
          <w:highlight w:val="none"/>
        </w:rPr>
        <w:t>非正常状况下为</w:t>
      </w:r>
      <w:r>
        <w:rPr>
          <w:rFonts w:cs="Times New Roman"/>
          <w:snapToGrid w:val="0"/>
          <w:color w:val="auto"/>
          <w:highlight w:val="none"/>
        </w:rPr>
        <w:t>调节池</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事故池</w:t>
      </w:r>
      <w:r>
        <w:rPr>
          <w:rFonts w:cs="Times New Roman"/>
          <w:color w:val="auto"/>
          <w:szCs w:val="24"/>
          <w:highlight w:val="none"/>
        </w:rPr>
        <w:t>体破裂和防渗层同时破裂时污水泄漏对地下水水质造成影响。根据《给排水构筑物工程施工及验收规范》，水池允许最大渗水量按池壁和池底浸湿面积计算，钢筋混凝土结构水池渗漏量不得超过2L/（m</w:t>
      </w:r>
      <w:r>
        <w:rPr>
          <w:rFonts w:cs="Times New Roman"/>
          <w:color w:val="auto"/>
          <w:szCs w:val="24"/>
          <w:highlight w:val="none"/>
          <w:vertAlign w:val="superscript"/>
        </w:rPr>
        <w:t>2</w:t>
      </w:r>
      <w:r>
        <w:rPr>
          <w:rFonts w:cs="Times New Roman"/>
          <w:color w:val="auto"/>
          <w:szCs w:val="24"/>
          <w:highlight w:val="none"/>
        </w:rPr>
        <w:t>·d）。</w:t>
      </w:r>
    </w:p>
    <w:p w14:paraId="632C4941">
      <w:pPr>
        <w:spacing w:line="500" w:lineRule="exact"/>
        <w:rPr>
          <w:rFonts w:cs="Times New Roman"/>
          <w:color w:val="auto"/>
          <w:kern w:val="0"/>
          <w:szCs w:val="24"/>
          <w:highlight w:val="none"/>
          <w:lang w:bidi="ar"/>
        </w:rPr>
      </w:pPr>
      <w:r>
        <w:rPr>
          <w:rFonts w:cs="Times New Roman"/>
          <w:color w:val="auto"/>
          <w:kern w:val="0"/>
          <w:szCs w:val="24"/>
          <w:highlight w:val="none"/>
          <w:lang w:bidi="ar"/>
        </w:rPr>
        <w:t>本项目</w:t>
      </w:r>
      <w:r>
        <w:rPr>
          <w:rFonts w:cs="Times New Roman"/>
          <w:snapToGrid w:val="0"/>
          <w:color w:val="auto"/>
          <w:highlight w:val="none"/>
        </w:rPr>
        <w:t>调节池</w:t>
      </w:r>
      <w:r>
        <w:rPr>
          <w:rFonts w:hint="eastAsia" w:cs="Times New Roman"/>
          <w:snapToGrid w:val="0"/>
          <w:color w:val="auto"/>
          <w:highlight w:val="none"/>
          <w:lang w:val="en-US" w:eastAsia="zh-CN"/>
        </w:rPr>
        <w:t>及事故池</w:t>
      </w:r>
      <w:r>
        <w:rPr>
          <w:rFonts w:cs="Times New Roman"/>
          <w:color w:val="auto"/>
          <w:kern w:val="0"/>
          <w:szCs w:val="24"/>
          <w:highlight w:val="none"/>
          <w:lang w:bidi="ar"/>
        </w:rPr>
        <w:t>设计规格为</w:t>
      </w:r>
      <w:r>
        <w:rPr>
          <w:rFonts w:hint="eastAsia" w:cs="Times New Roman"/>
          <w:snapToGrid w:val="0"/>
          <w:color w:val="auto"/>
          <w:highlight w:val="none"/>
          <w:lang w:val="en-US" w:eastAsia="zh-CN"/>
        </w:rPr>
        <w:t>10</w:t>
      </w:r>
      <w:r>
        <w:rPr>
          <w:rFonts w:cs="Times New Roman"/>
          <w:snapToGrid w:val="0"/>
          <w:color w:val="auto"/>
          <w:highlight w:val="none"/>
        </w:rPr>
        <w:t>m×</w:t>
      </w:r>
      <w:r>
        <w:rPr>
          <w:rFonts w:hint="eastAsia" w:cs="Times New Roman"/>
          <w:snapToGrid w:val="0"/>
          <w:color w:val="auto"/>
          <w:highlight w:val="none"/>
          <w:lang w:val="en-US" w:eastAsia="zh-CN"/>
        </w:rPr>
        <w:t>7.5</w:t>
      </w:r>
      <w:r>
        <w:rPr>
          <w:rFonts w:cs="Times New Roman"/>
          <w:snapToGrid w:val="0"/>
          <w:color w:val="auto"/>
          <w:highlight w:val="none"/>
        </w:rPr>
        <w:t>m×4m，</w:t>
      </w:r>
      <w:r>
        <w:rPr>
          <w:rFonts w:cs="Times New Roman"/>
          <w:color w:val="auto"/>
          <w:kern w:val="0"/>
          <w:szCs w:val="24"/>
          <w:highlight w:val="none"/>
          <w:lang w:bidi="ar"/>
        </w:rPr>
        <w:t>在正常状况下，</w:t>
      </w:r>
      <w:r>
        <w:rPr>
          <w:rFonts w:hint="eastAsia" w:cs="Times New Roman"/>
          <w:color w:val="auto"/>
          <w:kern w:val="0"/>
          <w:szCs w:val="24"/>
          <w:highlight w:val="none"/>
          <w:lang w:val="en-US" w:eastAsia="zh-CN" w:bidi="ar"/>
        </w:rPr>
        <w:t>本项目调节池及事故池的</w:t>
      </w:r>
      <w:r>
        <w:rPr>
          <w:rFonts w:cs="Times New Roman"/>
          <w:snapToGrid w:val="0"/>
          <w:color w:val="auto"/>
          <w:highlight w:val="none"/>
        </w:rPr>
        <w:t>池</w:t>
      </w:r>
      <w:r>
        <w:rPr>
          <w:rFonts w:cs="Times New Roman"/>
          <w:color w:val="auto"/>
          <w:kern w:val="0"/>
          <w:szCs w:val="24"/>
          <w:highlight w:val="none"/>
          <w:lang w:bidi="ar"/>
        </w:rPr>
        <w:t>渗漏面积</w:t>
      </w:r>
      <w:r>
        <w:rPr>
          <w:rFonts w:hint="eastAsia" w:cs="Times New Roman"/>
          <w:color w:val="auto"/>
          <w:kern w:val="0"/>
          <w:szCs w:val="24"/>
          <w:highlight w:val="none"/>
          <w:lang w:val="en-US" w:eastAsia="zh-CN" w:bidi="ar"/>
        </w:rPr>
        <w:t>计算方式</w:t>
      </w:r>
      <w:r>
        <w:rPr>
          <w:rFonts w:cs="Times New Roman"/>
          <w:color w:val="auto"/>
          <w:kern w:val="0"/>
          <w:szCs w:val="24"/>
          <w:highlight w:val="none"/>
          <w:lang w:bidi="ar"/>
        </w:rPr>
        <w:t>为：池底面积+池壁面积=L×B+2×L×H+2×B×H=</w:t>
      </w:r>
      <w:r>
        <w:rPr>
          <w:rFonts w:hint="eastAsia" w:cs="Times New Roman"/>
          <w:color w:val="auto"/>
          <w:kern w:val="0"/>
          <w:szCs w:val="24"/>
          <w:highlight w:val="none"/>
          <w:lang w:val="en-US" w:eastAsia="zh-CN" w:bidi="ar"/>
        </w:rPr>
        <w:t>10</w:t>
      </w:r>
      <w:r>
        <w:rPr>
          <w:rFonts w:cs="Times New Roman"/>
          <w:color w:val="auto"/>
          <w:kern w:val="0"/>
          <w:szCs w:val="24"/>
          <w:highlight w:val="none"/>
          <w:lang w:bidi="ar"/>
        </w:rPr>
        <w:t>×</w:t>
      </w:r>
      <w:r>
        <w:rPr>
          <w:rFonts w:hint="eastAsia" w:cs="Times New Roman"/>
          <w:color w:val="auto"/>
          <w:kern w:val="0"/>
          <w:szCs w:val="24"/>
          <w:highlight w:val="none"/>
          <w:lang w:val="en-US" w:eastAsia="zh-CN" w:bidi="ar"/>
        </w:rPr>
        <w:t>7.5</w:t>
      </w:r>
      <w:r>
        <w:rPr>
          <w:rFonts w:cs="Times New Roman"/>
          <w:color w:val="auto"/>
          <w:kern w:val="0"/>
          <w:szCs w:val="24"/>
          <w:highlight w:val="none"/>
          <w:lang w:bidi="ar"/>
        </w:rPr>
        <w:t>+2×</w:t>
      </w:r>
      <w:r>
        <w:rPr>
          <w:rFonts w:hint="eastAsia" w:cs="Times New Roman"/>
          <w:color w:val="auto"/>
          <w:kern w:val="0"/>
          <w:szCs w:val="24"/>
          <w:highlight w:val="none"/>
          <w:lang w:val="en-US" w:eastAsia="zh-CN" w:bidi="ar"/>
        </w:rPr>
        <w:t>10</w:t>
      </w:r>
      <w:r>
        <w:rPr>
          <w:rFonts w:cs="Times New Roman"/>
          <w:color w:val="auto"/>
          <w:kern w:val="0"/>
          <w:szCs w:val="24"/>
          <w:highlight w:val="none"/>
          <w:lang w:bidi="ar"/>
        </w:rPr>
        <w:t>×4+2×</w:t>
      </w:r>
      <w:r>
        <w:rPr>
          <w:rFonts w:hint="eastAsia" w:cs="Times New Roman"/>
          <w:color w:val="auto"/>
          <w:kern w:val="0"/>
          <w:szCs w:val="24"/>
          <w:highlight w:val="none"/>
          <w:lang w:val="en-US" w:eastAsia="zh-CN" w:bidi="ar"/>
        </w:rPr>
        <w:t>7.5</w:t>
      </w:r>
      <w:r>
        <w:rPr>
          <w:rFonts w:cs="Times New Roman"/>
          <w:color w:val="auto"/>
          <w:kern w:val="0"/>
          <w:szCs w:val="24"/>
          <w:highlight w:val="none"/>
          <w:lang w:bidi="ar"/>
        </w:rPr>
        <w:t>×4=</w:t>
      </w:r>
      <w:r>
        <w:rPr>
          <w:rFonts w:hint="eastAsia" w:cs="Times New Roman"/>
          <w:color w:val="auto"/>
          <w:kern w:val="0"/>
          <w:szCs w:val="24"/>
          <w:highlight w:val="none"/>
          <w:lang w:val="en-US" w:eastAsia="zh-CN" w:bidi="ar"/>
        </w:rPr>
        <w:t>215</w:t>
      </w:r>
      <w:r>
        <w:rPr>
          <w:rFonts w:cs="Times New Roman"/>
          <w:color w:val="auto"/>
          <w:kern w:val="0"/>
          <w:szCs w:val="24"/>
          <w:highlight w:val="none"/>
          <w:lang w:bidi="ar"/>
        </w:rPr>
        <w:t>m</w:t>
      </w:r>
      <w:r>
        <w:rPr>
          <w:rFonts w:cs="Times New Roman"/>
          <w:color w:val="auto"/>
          <w:kern w:val="0"/>
          <w:szCs w:val="24"/>
          <w:highlight w:val="none"/>
          <w:vertAlign w:val="superscript"/>
          <w:lang w:bidi="ar"/>
        </w:rPr>
        <w:t>2</w:t>
      </w:r>
      <w:r>
        <w:rPr>
          <w:rFonts w:cs="Times New Roman"/>
          <w:color w:val="auto"/>
          <w:kern w:val="0"/>
          <w:szCs w:val="24"/>
          <w:highlight w:val="none"/>
          <w:lang w:bidi="ar"/>
        </w:rPr>
        <w:t>，</w:t>
      </w:r>
      <w:r>
        <w:rPr>
          <w:rFonts w:cs="Times New Roman"/>
          <w:snapToGrid w:val="0"/>
          <w:color w:val="auto"/>
          <w:highlight w:val="none"/>
        </w:rPr>
        <w:t>调节池</w:t>
      </w:r>
      <w:r>
        <w:rPr>
          <w:rFonts w:hint="eastAsia" w:cs="Times New Roman"/>
          <w:snapToGrid w:val="0"/>
          <w:color w:val="auto"/>
          <w:highlight w:val="none"/>
          <w:lang w:val="en-US" w:eastAsia="zh-CN"/>
        </w:rPr>
        <w:t>及事故池</w:t>
      </w:r>
      <w:r>
        <w:rPr>
          <w:rFonts w:cs="Times New Roman"/>
          <w:color w:val="auto"/>
          <w:kern w:val="0"/>
          <w:szCs w:val="24"/>
          <w:highlight w:val="none"/>
          <w:lang w:bidi="ar"/>
        </w:rPr>
        <w:t>正常情况下每日的最大允许污水渗透量Q计算如下：渗漏量=渗漏面积×渗漏强度=2L/（m</w:t>
      </w:r>
      <w:r>
        <w:rPr>
          <w:rFonts w:cs="Times New Roman"/>
          <w:color w:val="auto"/>
          <w:kern w:val="0"/>
          <w:szCs w:val="24"/>
          <w:highlight w:val="none"/>
          <w:vertAlign w:val="superscript"/>
          <w:lang w:bidi="ar"/>
        </w:rPr>
        <w:t>2</w:t>
      </w:r>
      <w:r>
        <w:rPr>
          <w:rFonts w:cs="Times New Roman"/>
          <w:color w:val="auto"/>
          <w:kern w:val="0"/>
          <w:szCs w:val="24"/>
          <w:highlight w:val="none"/>
          <w:lang w:bidi="ar"/>
        </w:rPr>
        <w:t>·d）×</w:t>
      </w:r>
      <w:r>
        <w:rPr>
          <w:rFonts w:hint="eastAsia" w:cs="Times New Roman"/>
          <w:color w:val="auto"/>
          <w:kern w:val="0"/>
          <w:szCs w:val="24"/>
          <w:highlight w:val="none"/>
          <w:lang w:val="en-US" w:eastAsia="zh-CN" w:bidi="ar"/>
        </w:rPr>
        <w:t>215</w:t>
      </w:r>
      <w:r>
        <w:rPr>
          <w:rFonts w:cs="Times New Roman"/>
          <w:color w:val="auto"/>
          <w:kern w:val="0"/>
          <w:szCs w:val="24"/>
          <w:highlight w:val="none"/>
          <w:lang w:bidi="ar"/>
        </w:rPr>
        <w:t>m</w:t>
      </w:r>
      <w:r>
        <w:rPr>
          <w:rFonts w:cs="Times New Roman"/>
          <w:color w:val="auto"/>
          <w:kern w:val="0"/>
          <w:szCs w:val="24"/>
          <w:highlight w:val="none"/>
          <w:vertAlign w:val="superscript"/>
          <w:lang w:bidi="ar"/>
        </w:rPr>
        <w:t>2</w:t>
      </w:r>
      <w:r>
        <w:rPr>
          <w:rFonts w:cs="Times New Roman"/>
          <w:color w:val="auto"/>
          <w:kern w:val="0"/>
          <w:szCs w:val="24"/>
          <w:highlight w:val="none"/>
          <w:lang w:bidi="ar"/>
        </w:rPr>
        <w:t>=</w:t>
      </w:r>
      <w:r>
        <w:rPr>
          <w:rFonts w:hint="eastAsia" w:cs="Times New Roman"/>
          <w:color w:val="auto"/>
          <w:kern w:val="0"/>
          <w:szCs w:val="24"/>
          <w:highlight w:val="none"/>
          <w:lang w:val="en-US" w:eastAsia="zh-CN" w:bidi="ar"/>
        </w:rPr>
        <w:t>430</w:t>
      </w:r>
      <w:r>
        <w:rPr>
          <w:rFonts w:cs="Times New Roman"/>
          <w:color w:val="auto"/>
          <w:kern w:val="0"/>
          <w:szCs w:val="24"/>
          <w:highlight w:val="none"/>
          <w:lang w:bidi="ar"/>
        </w:rPr>
        <w:t>L/d。</w:t>
      </w:r>
    </w:p>
    <w:p w14:paraId="35DD1408">
      <w:pPr>
        <w:spacing w:line="500" w:lineRule="exact"/>
        <w:rPr>
          <w:rFonts w:cs="Times New Roman"/>
          <w:color w:val="auto"/>
          <w:kern w:val="0"/>
          <w:szCs w:val="24"/>
          <w:highlight w:val="none"/>
          <w:lang w:bidi="ar"/>
        </w:rPr>
      </w:pPr>
      <w:r>
        <w:rPr>
          <w:rFonts w:cs="Times New Roman"/>
          <w:color w:val="auto"/>
          <w:kern w:val="0"/>
          <w:szCs w:val="24"/>
          <w:highlight w:val="none"/>
          <w:lang w:bidi="ar"/>
        </w:rPr>
        <w:t>本次事故工况下的污染源强按</w:t>
      </w:r>
      <w:r>
        <w:rPr>
          <w:rFonts w:hint="eastAsia" w:cs="Times New Roman"/>
          <w:color w:val="auto"/>
          <w:kern w:val="0"/>
          <w:szCs w:val="24"/>
          <w:highlight w:val="none"/>
          <w:lang w:val="en-US" w:eastAsia="zh-CN" w:bidi="ar"/>
        </w:rPr>
        <w:t>直接排放未处理水质浓度</w:t>
      </w:r>
      <w:r>
        <w:rPr>
          <w:rFonts w:cs="Times New Roman"/>
          <w:color w:val="auto"/>
          <w:kern w:val="0"/>
          <w:szCs w:val="24"/>
          <w:highlight w:val="none"/>
          <w:lang w:bidi="ar"/>
        </w:rPr>
        <w:t xml:space="preserve">计算，污染浓度为COD </w:t>
      </w:r>
      <w:r>
        <w:rPr>
          <w:rFonts w:hint="eastAsia" w:cs="Times New Roman"/>
          <w:color w:val="auto"/>
          <w:kern w:val="0"/>
          <w:szCs w:val="24"/>
          <w:highlight w:val="none"/>
          <w:lang w:val="en-US" w:eastAsia="zh-CN" w:bidi="ar"/>
        </w:rPr>
        <w:t>2691</w:t>
      </w:r>
      <w:r>
        <w:rPr>
          <w:rFonts w:cs="Times New Roman"/>
          <w:color w:val="auto"/>
          <w:kern w:val="0"/>
          <w:szCs w:val="24"/>
          <w:highlight w:val="none"/>
          <w:lang w:bidi="ar"/>
        </w:rPr>
        <w:t>mg/L、氨氮</w:t>
      </w:r>
      <w:r>
        <w:rPr>
          <w:rFonts w:hint="eastAsia" w:cs="Times New Roman"/>
          <w:color w:val="auto"/>
          <w:kern w:val="0"/>
          <w:szCs w:val="24"/>
          <w:highlight w:val="none"/>
          <w:lang w:val="en-US" w:eastAsia="zh-CN" w:bidi="ar"/>
        </w:rPr>
        <w:t>85</w:t>
      </w:r>
      <w:r>
        <w:rPr>
          <w:rFonts w:cs="Times New Roman"/>
          <w:color w:val="auto"/>
          <w:kern w:val="0"/>
          <w:szCs w:val="24"/>
          <w:highlight w:val="none"/>
          <w:lang w:bidi="ar"/>
        </w:rPr>
        <w:t>mg/L，则事故工况下源强如下表所示。</w:t>
      </w:r>
    </w:p>
    <w:p w14:paraId="1742EEBD">
      <w:pPr>
        <w:widowControl/>
        <w:spacing w:before="163" w:beforeLines="50" w:line="240" w:lineRule="auto"/>
        <w:ind w:firstLine="0" w:firstLineChars="0"/>
        <w:jc w:val="center"/>
        <w:rPr>
          <w:rFonts w:cs="Times New Roman"/>
          <w:b/>
          <w:color w:val="auto"/>
          <w:szCs w:val="24"/>
          <w:highlight w:val="none"/>
        </w:rPr>
      </w:pPr>
      <w:r>
        <w:rPr>
          <w:rFonts w:cs="Times New Roman"/>
          <w:b/>
          <w:color w:val="auto"/>
          <w:szCs w:val="24"/>
          <w:highlight w:val="none"/>
        </w:rPr>
        <w:t>表</w:t>
      </w:r>
      <w:r>
        <w:rPr>
          <w:rFonts w:hint="eastAsia" w:cs="Times New Roman"/>
          <w:b/>
          <w:color w:val="auto"/>
          <w:szCs w:val="24"/>
          <w:highlight w:val="none"/>
          <w:lang w:val="en-US" w:eastAsia="zh-CN"/>
        </w:rPr>
        <w:t>3.</w:t>
      </w:r>
      <w:r>
        <w:rPr>
          <w:rFonts w:cs="Times New Roman"/>
          <w:b/>
          <w:color w:val="auto"/>
          <w:szCs w:val="24"/>
          <w:highlight w:val="none"/>
        </w:rPr>
        <w:t>4-</w:t>
      </w:r>
      <w:r>
        <w:rPr>
          <w:rFonts w:hint="eastAsia" w:cs="Times New Roman"/>
          <w:b/>
          <w:color w:val="auto"/>
          <w:szCs w:val="24"/>
          <w:highlight w:val="none"/>
          <w:lang w:val="en-US" w:eastAsia="zh-CN"/>
        </w:rPr>
        <w:t>19</w:t>
      </w:r>
      <w:r>
        <w:rPr>
          <w:rFonts w:cs="Times New Roman"/>
          <w:b/>
          <w:color w:val="auto"/>
          <w:szCs w:val="24"/>
          <w:highlight w:val="none"/>
        </w:rPr>
        <w:t xml:space="preserve">  调节池</w:t>
      </w:r>
      <w:r>
        <w:rPr>
          <w:rFonts w:hint="eastAsia" w:cs="Times New Roman"/>
          <w:b/>
          <w:color w:val="auto"/>
          <w:szCs w:val="24"/>
          <w:highlight w:val="none"/>
          <w:lang w:val="en-US" w:eastAsia="zh-CN"/>
        </w:rPr>
        <w:t>及事故池</w:t>
      </w:r>
      <w:r>
        <w:rPr>
          <w:rFonts w:cs="Times New Roman"/>
          <w:b/>
          <w:color w:val="auto"/>
          <w:szCs w:val="24"/>
          <w:highlight w:val="none"/>
        </w:rPr>
        <w:t>泄漏源强</w:t>
      </w:r>
    </w:p>
    <w:tbl>
      <w:tblPr>
        <w:tblStyle w:val="4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01"/>
        <w:gridCol w:w="1962"/>
        <w:gridCol w:w="1478"/>
        <w:gridCol w:w="1019"/>
        <w:gridCol w:w="1444"/>
        <w:gridCol w:w="1738"/>
      </w:tblGrid>
      <w:tr w14:paraId="4677AE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9" w:hRule="atLeast"/>
          <w:jc w:val="center"/>
        </w:trPr>
        <w:tc>
          <w:tcPr>
            <w:tcW w:w="0" w:type="auto"/>
            <w:tcBorders>
              <w:tl2br w:val="nil"/>
              <w:tr2bl w:val="nil"/>
            </w:tcBorders>
            <w:vAlign w:val="center"/>
          </w:tcPr>
          <w:p w14:paraId="16F7B7D5">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渗漏面积（m</w:t>
            </w:r>
            <w:r>
              <w:rPr>
                <w:rFonts w:cs="Times New Roman"/>
                <w:color w:val="auto"/>
                <w:kern w:val="0"/>
                <w:sz w:val="21"/>
                <w:szCs w:val="21"/>
                <w:highlight w:val="none"/>
                <w:vertAlign w:val="superscript"/>
                <w:lang w:bidi="ar"/>
              </w:rPr>
              <w:t>2</w:t>
            </w:r>
            <w:r>
              <w:rPr>
                <w:rFonts w:cs="Times New Roman"/>
                <w:color w:val="auto"/>
                <w:kern w:val="0"/>
                <w:sz w:val="21"/>
                <w:szCs w:val="21"/>
                <w:highlight w:val="none"/>
                <w:lang w:bidi="ar"/>
              </w:rPr>
              <w:t>）</w:t>
            </w:r>
          </w:p>
        </w:tc>
        <w:tc>
          <w:tcPr>
            <w:tcW w:w="0" w:type="auto"/>
            <w:tcBorders>
              <w:tl2br w:val="nil"/>
              <w:tr2bl w:val="nil"/>
            </w:tcBorders>
            <w:vAlign w:val="center"/>
          </w:tcPr>
          <w:p w14:paraId="4F1942CA">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渗漏强度（L/m</w:t>
            </w:r>
            <w:r>
              <w:rPr>
                <w:rFonts w:cs="Times New Roman"/>
                <w:color w:val="auto"/>
                <w:kern w:val="0"/>
                <w:sz w:val="21"/>
                <w:szCs w:val="21"/>
                <w:highlight w:val="none"/>
                <w:vertAlign w:val="superscript"/>
                <w:lang w:bidi="ar"/>
              </w:rPr>
              <w:t>2</w:t>
            </w:r>
            <w:r>
              <w:rPr>
                <w:rFonts w:cs="Times New Roman"/>
                <w:color w:val="auto"/>
                <w:kern w:val="0"/>
                <w:sz w:val="21"/>
                <w:szCs w:val="21"/>
                <w:highlight w:val="none"/>
                <w:lang w:bidi="ar"/>
              </w:rPr>
              <w:t>·d）</w:t>
            </w:r>
          </w:p>
        </w:tc>
        <w:tc>
          <w:tcPr>
            <w:tcW w:w="0" w:type="auto"/>
            <w:tcBorders>
              <w:tl2br w:val="nil"/>
              <w:tr2bl w:val="nil"/>
            </w:tcBorders>
            <w:vAlign w:val="center"/>
          </w:tcPr>
          <w:p w14:paraId="14B19EF0">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渗漏量（L/d）</w:t>
            </w:r>
          </w:p>
        </w:tc>
        <w:tc>
          <w:tcPr>
            <w:tcW w:w="1019" w:type="dxa"/>
            <w:tcBorders>
              <w:tl2br w:val="nil"/>
              <w:tr2bl w:val="nil"/>
            </w:tcBorders>
            <w:vAlign w:val="center"/>
          </w:tcPr>
          <w:p w14:paraId="19CB152A">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污染物</w:t>
            </w:r>
          </w:p>
        </w:tc>
        <w:tc>
          <w:tcPr>
            <w:tcW w:w="1444" w:type="dxa"/>
            <w:tcBorders>
              <w:tl2br w:val="nil"/>
              <w:tr2bl w:val="nil"/>
            </w:tcBorders>
            <w:vAlign w:val="center"/>
          </w:tcPr>
          <w:p w14:paraId="463FD0AB">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浓度（mg/L）</w:t>
            </w:r>
          </w:p>
        </w:tc>
        <w:tc>
          <w:tcPr>
            <w:tcW w:w="1738" w:type="dxa"/>
            <w:tcBorders>
              <w:tl2br w:val="nil"/>
              <w:tr2bl w:val="nil"/>
            </w:tcBorders>
            <w:vAlign w:val="center"/>
          </w:tcPr>
          <w:p w14:paraId="425321D4">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污染物质量（kg/d）</w:t>
            </w:r>
          </w:p>
        </w:tc>
      </w:tr>
      <w:tr w14:paraId="7F6E6B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0" w:type="auto"/>
            <w:vMerge w:val="restart"/>
            <w:tcBorders>
              <w:tl2br w:val="nil"/>
              <w:tr2bl w:val="nil"/>
            </w:tcBorders>
            <w:vAlign w:val="center"/>
          </w:tcPr>
          <w:p w14:paraId="603BEA90">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215</w:t>
            </w:r>
          </w:p>
        </w:tc>
        <w:tc>
          <w:tcPr>
            <w:tcW w:w="0" w:type="auto"/>
            <w:vMerge w:val="restart"/>
            <w:tcBorders>
              <w:tl2br w:val="nil"/>
              <w:tr2bl w:val="nil"/>
            </w:tcBorders>
            <w:vAlign w:val="center"/>
          </w:tcPr>
          <w:p w14:paraId="0FCD2E68">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2</w:t>
            </w:r>
          </w:p>
        </w:tc>
        <w:tc>
          <w:tcPr>
            <w:tcW w:w="0" w:type="auto"/>
            <w:vMerge w:val="restart"/>
            <w:tcBorders>
              <w:tl2br w:val="nil"/>
              <w:tr2bl w:val="nil"/>
            </w:tcBorders>
            <w:vAlign w:val="center"/>
          </w:tcPr>
          <w:p w14:paraId="6CEBB040">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430</w:t>
            </w:r>
          </w:p>
        </w:tc>
        <w:tc>
          <w:tcPr>
            <w:tcW w:w="1019" w:type="dxa"/>
            <w:tcBorders>
              <w:tl2br w:val="nil"/>
              <w:tr2bl w:val="nil"/>
            </w:tcBorders>
            <w:vAlign w:val="center"/>
          </w:tcPr>
          <w:p w14:paraId="7E5EB850">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COD</w:t>
            </w:r>
          </w:p>
        </w:tc>
        <w:tc>
          <w:tcPr>
            <w:tcW w:w="1444" w:type="dxa"/>
            <w:tcBorders>
              <w:tl2br w:val="nil"/>
              <w:tr2bl w:val="nil"/>
            </w:tcBorders>
            <w:vAlign w:val="center"/>
          </w:tcPr>
          <w:p w14:paraId="75363089">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2691</w:t>
            </w:r>
          </w:p>
        </w:tc>
        <w:tc>
          <w:tcPr>
            <w:tcW w:w="1738" w:type="dxa"/>
            <w:tcBorders>
              <w:tl2br w:val="nil"/>
              <w:tr2bl w:val="nil"/>
            </w:tcBorders>
            <w:vAlign w:val="center"/>
          </w:tcPr>
          <w:p w14:paraId="4817160D">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1.16</w:t>
            </w:r>
          </w:p>
        </w:tc>
      </w:tr>
      <w:tr w14:paraId="5CB44A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0" w:type="auto"/>
            <w:vMerge w:val="continue"/>
            <w:tcBorders>
              <w:tl2br w:val="nil"/>
              <w:tr2bl w:val="nil"/>
            </w:tcBorders>
            <w:vAlign w:val="center"/>
          </w:tcPr>
          <w:p w14:paraId="7E728F3E">
            <w:pPr>
              <w:widowControl/>
              <w:spacing w:line="360" w:lineRule="exact"/>
              <w:ind w:firstLine="0" w:firstLineChars="0"/>
              <w:jc w:val="center"/>
              <w:rPr>
                <w:rFonts w:cs="Times New Roman"/>
                <w:color w:val="auto"/>
                <w:kern w:val="0"/>
                <w:sz w:val="21"/>
                <w:szCs w:val="21"/>
                <w:highlight w:val="none"/>
                <w:lang w:bidi="ar"/>
              </w:rPr>
            </w:pPr>
          </w:p>
        </w:tc>
        <w:tc>
          <w:tcPr>
            <w:tcW w:w="0" w:type="auto"/>
            <w:vMerge w:val="continue"/>
            <w:tcBorders>
              <w:tl2br w:val="nil"/>
              <w:tr2bl w:val="nil"/>
            </w:tcBorders>
            <w:vAlign w:val="center"/>
          </w:tcPr>
          <w:p w14:paraId="34EACB08">
            <w:pPr>
              <w:widowControl/>
              <w:spacing w:line="360" w:lineRule="exact"/>
              <w:ind w:firstLine="0" w:firstLineChars="0"/>
              <w:jc w:val="center"/>
              <w:rPr>
                <w:rFonts w:cs="Times New Roman"/>
                <w:color w:val="auto"/>
                <w:kern w:val="0"/>
                <w:sz w:val="21"/>
                <w:szCs w:val="21"/>
                <w:highlight w:val="none"/>
                <w:lang w:bidi="ar"/>
              </w:rPr>
            </w:pPr>
          </w:p>
        </w:tc>
        <w:tc>
          <w:tcPr>
            <w:tcW w:w="0" w:type="auto"/>
            <w:vMerge w:val="continue"/>
            <w:tcBorders>
              <w:tl2br w:val="nil"/>
              <w:tr2bl w:val="nil"/>
            </w:tcBorders>
            <w:vAlign w:val="center"/>
          </w:tcPr>
          <w:p w14:paraId="324A8766">
            <w:pPr>
              <w:widowControl/>
              <w:spacing w:line="360" w:lineRule="exact"/>
              <w:ind w:firstLine="0" w:firstLineChars="0"/>
              <w:jc w:val="center"/>
              <w:rPr>
                <w:rFonts w:cs="Times New Roman"/>
                <w:color w:val="auto"/>
                <w:kern w:val="0"/>
                <w:sz w:val="21"/>
                <w:szCs w:val="21"/>
                <w:highlight w:val="none"/>
                <w:lang w:bidi="ar"/>
              </w:rPr>
            </w:pPr>
          </w:p>
        </w:tc>
        <w:tc>
          <w:tcPr>
            <w:tcW w:w="1019" w:type="dxa"/>
            <w:tcBorders>
              <w:tl2br w:val="nil"/>
              <w:tr2bl w:val="nil"/>
            </w:tcBorders>
            <w:vAlign w:val="center"/>
          </w:tcPr>
          <w:p w14:paraId="1A6F1398">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氨氮</w:t>
            </w:r>
          </w:p>
        </w:tc>
        <w:tc>
          <w:tcPr>
            <w:tcW w:w="1444" w:type="dxa"/>
            <w:tcBorders>
              <w:tl2br w:val="nil"/>
              <w:tr2bl w:val="nil"/>
            </w:tcBorders>
            <w:vAlign w:val="center"/>
          </w:tcPr>
          <w:p w14:paraId="1FE0C7F4">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85</w:t>
            </w:r>
          </w:p>
        </w:tc>
        <w:tc>
          <w:tcPr>
            <w:tcW w:w="1738" w:type="dxa"/>
            <w:tcBorders>
              <w:tl2br w:val="nil"/>
              <w:tr2bl w:val="nil"/>
            </w:tcBorders>
            <w:vAlign w:val="center"/>
          </w:tcPr>
          <w:p w14:paraId="6206F3E4">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0.037</w:t>
            </w:r>
          </w:p>
        </w:tc>
      </w:tr>
    </w:tbl>
    <w:p w14:paraId="6A9AD85E">
      <w:pPr>
        <w:pStyle w:val="3"/>
        <w:spacing w:before="163" w:after="163"/>
        <w:rPr>
          <w:rFonts w:hint="default" w:eastAsia="黑体" w:cs="Times New Roman"/>
          <w:color w:val="auto"/>
          <w:highlight w:val="none"/>
          <w:lang w:val="en-US" w:eastAsia="zh-CN"/>
        </w:rPr>
      </w:pPr>
      <w:bookmarkStart w:id="141" w:name="_Toc17616"/>
      <w:r>
        <w:rPr>
          <w:rFonts w:cs="Times New Roman"/>
          <w:color w:val="auto"/>
          <w:highlight w:val="none"/>
        </w:rPr>
        <w:t xml:space="preserve">3.5 </w:t>
      </w:r>
      <w:bookmarkEnd w:id="140"/>
      <w:bookmarkStart w:id="142" w:name="_Toc61529201"/>
      <w:r>
        <w:rPr>
          <w:rFonts w:hint="eastAsia" w:cs="Times New Roman"/>
          <w:color w:val="auto"/>
          <w:highlight w:val="none"/>
          <w:lang w:val="en-US" w:eastAsia="zh-CN"/>
        </w:rPr>
        <w:t>非正常工况（急宰）</w:t>
      </w:r>
      <w:bookmarkEnd w:id="141"/>
    </w:p>
    <w:p w14:paraId="5C8890E9">
      <w:pPr>
        <w:spacing w:line="480" w:lineRule="exact"/>
        <w:ind w:firstLine="544"/>
        <w:rPr>
          <w:rFonts w:cs="Times New Roman"/>
          <w:b/>
          <w:bCs/>
          <w:color w:val="auto"/>
          <w:spacing w:val="16"/>
          <w:szCs w:val="24"/>
          <w:highlight w:val="none"/>
        </w:rPr>
      </w:pPr>
      <w:r>
        <w:rPr>
          <w:rFonts w:hint="eastAsia" w:ascii="Times New Roman" w:hAnsi="Times New Roman" w:eastAsia="宋体" w:cs="Times New Roman"/>
          <w:color w:val="auto"/>
          <w:kern w:val="0"/>
          <w:szCs w:val="24"/>
          <w:highlight w:val="none"/>
          <w:lang w:val="en-US" w:eastAsia="zh-CN" w:bidi="ar"/>
        </w:rPr>
        <w:t>本项目单独设置1条病体线，独立于</w:t>
      </w:r>
      <w:r>
        <w:rPr>
          <w:rFonts w:cs="Times New Roman"/>
          <w:snapToGrid w:val="0"/>
          <w:color w:val="auto"/>
          <w:highlight w:val="none"/>
        </w:rPr>
        <w:t>牛、羊屠宰生产线</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用于</w:t>
      </w:r>
      <w:r>
        <w:rPr>
          <w:rFonts w:cs="Times New Roman"/>
          <w:color w:val="auto"/>
          <w:spacing w:val="16"/>
          <w:szCs w:val="24"/>
          <w:highlight w:val="none"/>
        </w:rPr>
        <w:t>患一般传染病和普通疾病的生牲畜送急宰间迅速宰杀</w:t>
      </w:r>
      <w:r>
        <w:rPr>
          <w:rFonts w:hint="eastAsia" w:cs="Times New Roman"/>
          <w:color w:val="auto"/>
          <w:spacing w:val="16"/>
          <w:szCs w:val="24"/>
          <w:highlight w:val="none"/>
          <w:lang w:eastAsia="zh-CN"/>
        </w:rPr>
        <w:t>，</w:t>
      </w:r>
      <w:r>
        <w:rPr>
          <w:rFonts w:cs="Times New Roman"/>
          <w:color w:val="auto"/>
          <w:spacing w:val="16"/>
          <w:szCs w:val="24"/>
          <w:highlight w:val="none"/>
        </w:rPr>
        <w:t>急宰间生牲畜宰杀后按规定可食用的送屠宰车间处理，不可食用的</w:t>
      </w:r>
      <w:r>
        <w:rPr>
          <w:rFonts w:hint="eastAsia" w:cs="Times New Roman"/>
          <w:color w:val="auto"/>
          <w:spacing w:val="16"/>
          <w:szCs w:val="24"/>
          <w:highlight w:val="none"/>
          <w:lang w:eastAsia="zh-CN"/>
        </w:rPr>
        <w:t>由双鸭山百奥迈斯生物科技有限公司</w:t>
      </w:r>
      <w:r>
        <w:rPr>
          <w:rFonts w:hint="eastAsia" w:cs="Times New Roman"/>
          <w:color w:val="auto"/>
          <w:spacing w:val="16"/>
          <w:szCs w:val="24"/>
          <w:highlight w:val="none"/>
          <w:lang w:val="en-US" w:eastAsia="zh-CN"/>
        </w:rPr>
        <w:t>拉运处置</w:t>
      </w:r>
      <w:r>
        <w:rPr>
          <w:rFonts w:cs="Times New Roman"/>
          <w:color w:val="auto"/>
          <w:spacing w:val="16"/>
          <w:szCs w:val="24"/>
          <w:highlight w:val="none"/>
        </w:rPr>
        <w:t>。</w:t>
      </w:r>
    </w:p>
    <w:p w14:paraId="1D195024">
      <w:pPr>
        <w:widowControl/>
        <w:spacing w:line="500" w:lineRule="exact"/>
        <w:rPr>
          <w:rFonts w:hint="eastAsia" w:ascii="Times New Roman" w:hAnsi="Times New Roman" w:eastAsia="宋体" w:cs="Times New Roman"/>
          <w:color w:val="auto"/>
          <w:kern w:val="0"/>
          <w:szCs w:val="24"/>
          <w:highlight w:val="none"/>
          <w:lang w:val="en-US" w:eastAsia="zh-CN" w:bidi="ar"/>
        </w:rPr>
      </w:pPr>
      <w:r>
        <w:rPr>
          <w:rFonts w:hint="eastAsia" w:ascii="Times New Roman" w:hAnsi="Times New Roman" w:cs="Times New Roman"/>
          <w:color w:val="auto"/>
          <w:kern w:val="0"/>
          <w:szCs w:val="24"/>
          <w:highlight w:val="none"/>
          <w:lang w:val="en-US" w:eastAsia="zh-CN" w:bidi="ar"/>
        </w:rPr>
        <w:t>项目进行急宰后，对急宰车间设备、用具及人员全面进行消毒杀菌，确保病症不会传播。若发现并</w:t>
      </w:r>
      <w:r>
        <w:rPr>
          <w:rFonts w:cs="Times New Roman"/>
          <w:color w:val="auto"/>
          <w:spacing w:val="16"/>
          <w:szCs w:val="24"/>
          <w:highlight w:val="none"/>
        </w:rPr>
        <w:t>确认患有国家规定病害的活牲畜、病死牲畜和死因不明的牲畜</w:t>
      </w:r>
      <w:r>
        <w:rPr>
          <w:rFonts w:hint="eastAsia" w:cs="Times New Roman"/>
          <w:color w:val="auto"/>
          <w:spacing w:val="16"/>
          <w:szCs w:val="24"/>
          <w:highlight w:val="none"/>
          <w:lang w:eastAsia="zh-CN"/>
        </w:rPr>
        <w:t>由双鸭山百奥迈斯生物科技有限公司</w:t>
      </w:r>
      <w:r>
        <w:rPr>
          <w:rFonts w:hint="eastAsia" w:cs="Times New Roman"/>
          <w:color w:val="auto"/>
          <w:spacing w:val="16"/>
          <w:szCs w:val="24"/>
          <w:highlight w:val="none"/>
          <w:lang w:val="en-US" w:eastAsia="zh-CN"/>
        </w:rPr>
        <w:t>拉运处置</w:t>
      </w:r>
      <w:r>
        <w:rPr>
          <w:rFonts w:cs="Times New Roman"/>
          <w:color w:val="auto"/>
          <w:spacing w:val="16"/>
          <w:szCs w:val="24"/>
          <w:highlight w:val="none"/>
        </w:rPr>
        <w:t>。</w:t>
      </w:r>
      <w:r>
        <w:rPr>
          <w:i w:val="0"/>
          <w:iCs w:val="0"/>
          <w:color w:val="auto"/>
          <w:sz w:val="24"/>
          <w:highlight w:val="none"/>
        </w:rPr>
        <w:t>当确诊疫病时，及时封锁，上报疫情。同时立即采取措施，就地扑灭，确保人畜的安全。</w:t>
      </w:r>
      <w:r>
        <w:rPr>
          <w:rFonts w:hint="eastAsia"/>
          <w:i w:val="0"/>
          <w:iCs w:val="0"/>
          <w:color w:val="auto"/>
          <w:sz w:val="24"/>
          <w:highlight w:val="none"/>
          <w:lang w:val="en-US" w:eastAsia="zh-CN"/>
        </w:rPr>
        <w:t>急宰间应</w:t>
      </w:r>
      <w:r>
        <w:rPr>
          <w:rFonts w:hint="eastAsia" w:cs="Times New Roman"/>
          <w:color w:val="auto"/>
          <w:sz w:val="24"/>
          <w:szCs w:val="24"/>
          <w:highlight w:val="none"/>
          <w:lang w:eastAsia="zh-CN"/>
        </w:rPr>
        <w:t>按一般防渗区采取防渗措施。基础防渗</w:t>
      </w:r>
      <w:r>
        <w:rPr>
          <w:rFonts w:cs="Times New Roman"/>
          <w:snapToGrid w:val="0"/>
          <w:color w:val="auto"/>
          <w:kern w:val="0"/>
          <w:sz w:val="24"/>
          <w:szCs w:val="24"/>
          <w:highlight w:val="none"/>
        </w:rPr>
        <w:t>，</w:t>
      </w:r>
      <w:r>
        <w:rPr>
          <w:rFonts w:cs="Times New Roman"/>
          <w:snapToGrid w:val="0"/>
          <w:color w:val="auto"/>
          <w:kern w:val="0"/>
          <w:sz w:val="24"/>
          <w:szCs w:val="24"/>
          <w:highlight w:val="none"/>
          <w:lang w:val="zh-CN"/>
        </w:rPr>
        <w:t>防渗层为至少1m厚粘土层或2mm厚高密度聚乙烯，</w:t>
      </w:r>
      <w:r>
        <w:rPr>
          <w:rFonts w:cs="Times New Roman"/>
          <w:snapToGrid w:val="0"/>
          <w:color w:val="auto"/>
          <w:kern w:val="0"/>
          <w:sz w:val="24"/>
          <w:szCs w:val="24"/>
          <w:highlight w:val="none"/>
        </w:rPr>
        <w:t>需满足等效黏土防渗层Mb≥1.5m，K≤1×10</w:t>
      </w:r>
      <w:r>
        <w:rPr>
          <w:rFonts w:cs="Times New Roman"/>
          <w:snapToGrid w:val="0"/>
          <w:color w:val="auto"/>
          <w:kern w:val="0"/>
          <w:sz w:val="24"/>
          <w:szCs w:val="24"/>
          <w:highlight w:val="none"/>
          <w:vertAlign w:val="superscript"/>
        </w:rPr>
        <w:t>-7</w:t>
      </w:r>
      <w:r>
        <w:rPr>
          <w:rFonts w:cs="Times New Roman"/>
          <w:snapToGrid w:val="0"/>
          <w:color w:val="auto"/>
          <w:kern w:val="0"/>
          <w:sz w:val="24"/>
          <w:szCs w:val="24"/>
          <w:highlight w:val="none"/>
        </w:rPr>
        <w:t>cm/s的要求，在做好基层防渗的基础上进行水泥硬化</w:t>
      </w:r>
      <w:r>
        <w:rPr>
          <w:rFonts w:hint="eastAsia" w:cs="Times New Roman"/>
          <w:snapToGrid w:val="0"/>
          <w:color w:val="auto"/>
          <w:kern w:val="0"/>
          <w:sz w:val="24"/>
          <w:szCs w:val="24"/>
          <w:highlight w:val="none"/>
          <w:lang w:eastAsia="zh-CN"/>
        </w:rPr>
        <w:t>。</w:t>
      </w:r>
    </w:p>
    <w:p w14:paraId="1C403B10">
      <w:pPr>
        <w:pStyle w:val="3"/>
        <w:spacing w:before="163" w:after="163"/>
        <w:rPr>
          <w:rFonts w:cs="Times New Roman"/>
          <w:color w:val="auto"/>
          <w:highlight w:val="none"/>
        </w:rPr>
      </w:pPr>
      <w:bookmarkStart w:id="143" w:name="_Toc30572"/>
      <w:r>
        <w:rPr>
          <w:rFonts w:hint="eastAsia" w:cs="Times New Roman"/>
          <w:color w:val="auto"/>
          <w:highlight w:val="none"/>
          <w:lang w:val="en-US" w:eastAsia="zh-CN"/>
        </w:rPr>
        <w:t>3.6</w:t>
      </w:r>
      <w:r>
        <w:rPr>
          <w:rFonts w:cs="Times New Roman"/>
          <w:color w:val="auto"/>
          <w:highlight w:val="none"/>
        </w:rPr>
        <w:t>清洁生产分析</w:t>
      </w:r>
      <w:bookmarkEnd w:id="142"/>
      <w:bookmarkEnd w:id="143"/>
    </w:p>
    <w:p w14:paraId="7668BC9A">
      <w:pPr>
        <w:widowControl/>
        <w:spacing w:line="500" w:lineRule="exact"/>
        <w:rPr>
          <w:rFonts w:cs="Times New Roman"/>
          <w:color w:val="auto"/>
          <w:highlight w:val="none"/>
        </w:rPr>
      </w:pPr>
      <w:r>
        <w:rPr>
          <w:rFonts w:cs="Times New Roman"/>
          <w:color w:val="auto"/>
          <w:kern w:val="0"/>
          <w:szCs w:val="24"/>
          <w:highlight w:val="none"/>
          <w:lang w:bidi="ar"/>
        </w:rPr>
        <w:t>根据《中华人民共和国清洁生产促进法》，清洁生产是指不断采取改进设计、使用清洁的能源和原料、采用先进的工艺技术与设备、改善管理、综合利用等措施，从源头削减污染，提高资源利用效率，减少或者避免生产、服务和产品使用过程中污染物的产生和排放，以减轻或者消除对人类健康和环境的危害。清洁生产提倡把污染防治从末端治理向生产全过程转变，通过节能、降耗、低投入和高产出，利用清洁的能源、原辅材料，经过清洁的生产过程产出清洁的产品。清洁生产往往通过提高利用效率来实现，可以帮助企业降低生产成本，从源头削减污染物排放，使污染物产生量最小化，减轻末端处理负担，降低建设项目的环境风险。</w:t>
      </w:r>
    </w:p>
    <w:p w14:paraId="5BD52A78">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根据《建设项目环境影响评价清洁生产分析程序》，清洁生产评价指标可分为六大类：生产工艺与装备要求、资源能源利用指标、产品指标、污染物产生指标、废物回收利用指标和环境管理要求。目前尚未发布屠宰行业清洁生产标准及相应的指标体系，因此，本次评价采用定量、定性相结合的方法，对原辅材料和产品的清洁性、生产工艺技术、综合能耗指标、污染物排放量的清洁生产水平进行分析评述。</w:t>
      </w:r>
    </w:p>
    <w:p w14:paraId="5E42A434">
      <w:pPr>
        <w:widowControl/>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1、原料及产品的清洁性分析</w:t>
      </w:r>
    </w:p>
    <w:p w14:paraId="673ED765">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本项目的屠宰牛、羊来自周边养殖场，饲养规范，其所饲养的牛、羊都是按照农业部有关“无公害食品—牛、羊肉”的饲养标准饲养，并经当地动物防疫监督机构检验合格，符合清洁生产要求。本项目的主要产品为牛羊肉，其产品卫生、营养价值高，均不会直接对环境造成污染，属清洁无害产品。严格按照生产工艺规程进行操作，提高产品的质量。</w:t>
      </w:r>
    </w:p>
    <w:p w14:paraId="2D2883D1">
      <w:pPr>
        <w:widowControl/>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2、生产工艺及装备要求</w:t>
      </w:r>
    </w:p>
    <w:p w14:paraId="6A63F23B">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屠宰加工技术的先进程度主要依赖于采用的生产工艺、技术设备水平、机械化程度和人员的操作技能等，本项目关键生产工序引进了具有国内先进水平的生产装置及辅助设备相配套（详见表3-1-2），以保证达到预期的生产规模和目的。</w:t>
      </w:r>
    </w:p>
    <w:p w14:paraId="137D5808">
      <w:pPr>
        <w:widowControl/>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3、资源能源利用指标</w:t>
      </w:r>
    </w:p>
    <w:p w14:paraId="424C3521">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（1）节约水资源措施分析</w:t>
      </w:r>
    </w:p>
    <w:p w14:paraId="590FB836">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本工程为牛、羊屠宰，牛、羊屠宰阶段可以分为屠宰及清洗工段。本项目待宰圈牛、羊粪便先采用干清粪工艺，可减少用水量；屠宰工段采用流水线作业宰杀技术，可减少废水的产生量；清洗工段采用节水工艺，并把牛、羊内脏分类收集，分类清洗，减少反复冲洗用水。</w:t>
      </w:r>
      <w:r>
        <w:rPr>
          <w:rFonts w:cs="Times New Roman"/>
          <w:snapToGrid w:val="0"/>
          <w:color w:val="auto"/>
          <w:kern w:val="0"/>
          <w:highlight w:val="none"/>
        </w:rPr>
        <w:t>本项目运行后全年总用水量约为</w:t>
      </w:r>
      <w:r>
        <w:rPr>
          <w:rFonts w:hint="eastAsia" w:cs="Times New Roman"/>
          <w:snapToGrid w:val="0"/>
          <w:color w:val="auto"/>
          <w:kern w:val="0"/>
          <w:highlight w:val="none"/>
          <w:lang w:val="en-US" w:eastAsia="zh-CN"/>
        </w:rPr>
        <w:t>293.775</w:t>
      </w:r>
      <w:r>
        <w:rPr>
          <w:rFonts w:cs="Times New Roman"/>
          <w:snapToGrid w:val="0"/>
          <w:color w:val="auto"/>
          <w:kern w:val="0"/>
          <w:highlight w:val="none"/>
        </w:rPr>
        <w:t>t/d，</w:t>
      </w:r>
      <w:r>
        <w:rPr>
          <w:rFonts w:hint="eastAsia" w:cs="Times New Roman"/>
          <w:snapToGrid w:val="0"/>
          <w:color w:val="auto"/>
          <w:kern w:val="0"/>
          <w:highlight w:val="none"/>
          <w:lang w:val="en-US" w:eastAsia="zh-CN"/>
        </w:rPr>
        <w:t>91070.3</w:t>
      </w:r>
      <w:r>
        <w:rPr>
          <w:rFonts w:cs="Times New Roman"/>
          <w:snapToGrid w:val="0"/>
          <w:color w:val="auto"/>
          <w:kern w:val="0"/>
          <w:highlight w:val="none"/>
        </w:rPr>
        <w:t>t/a。</w:t>
      </w:r>
      <w:r>
        <w:rPr>
          <w:rFonts w:cs="Times New Roman"/>
          <w:snapToGrid w:val="0"/>
          <w:color w:val="auto"/>
          <w:highlight w:val="none"/>
        </w:rPr>
        <w:t>屠宰废水、生活污水</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车辆冲洗水废水</w:t>
      </w:r>
      <w:r>
        <w:rPr>
          <w:rFonts w:cs="Times New Roman"/>
          <w:snapToGrid w:val="0"/>
          <w:color w:val="auto"/>
          <w:highlight w:val="none"/>
        </w:rPr>
        <w:t>产生量为</w:t>
      </w:r>
      <w:r>
        <w:rPr>
          <w:rFonts w:hint="eastAsia" w:cs="Times New Roman"/>
          <w:snapToGrid w:val="0"/>
          <w:color w:val="auto"/>
          <w:highlight w:val="none"/>
          <w:lang w:val="en-US" w:eastAsia="zh-CN"/>
        </w:rPr>
        <w:t>72856.2</w:t>
      </w:r>
      <w:r>
        <w:rPr>
          <w:rFonts w:cs="Times New Roman"/>
          <w:snapToGrid w:val="0"/>
          <w:color w:val="auto"/>
          <w:highlight w:val="none"/>
        </w:rPr>
        <w:t>t/a，屠宰废水</w:t>
      </w:r>
      <w:r>
        <w:rPr>
          <w:rFonts w:hint="eastAsia" w:cs="Times New Roman"/>
          <w:snapToGrid w:val="0"/>
          <w:color w:val="auto"/>
          <w:highlight w:val="none"/>
          <w:lang w:val="en-US" w:eastAsia="zh-CN"/>
        </w:rPr>
        <w:t>、车辆冲洗水</w:t>
      </w:r>
      <w:r>
        <w:rPr>
          <w:rFonts w:cs="Times New Roman"/>
          <w:snapToGrid w:val="0"/>
          <w:color w:val="auto"/>
          <w:highlight w:val="none"/>
        </w:rPr>
        <w:t>排入厂区自建污水处理站处理，污水处理站采用</w:t>
      </w:r>
      <w:r>
        <w:rPr>
          <w:rFonts w:cs="Times New Roman"/>
          <w:bCs/>
          <w:color w:val="auto"/>
          <w:szCs w:val="24"/>
          <w:highlight w:val="none"/>
        </w:rPr>
        <w:t>“格栅+</w:t>
      </w:r>
      <w:r>
        <w:rPr>
          <w:rFonts w:hint="eastAsia" w:cs="Times New Roman"/>
          <w:bCs/>
          <w:color w:val="auto"/>
          <w:szCs w:val="24"/>
          <w:highlight w:val="none"/>
          <w:lang w:val="en-US" w:eastAsia="zh-CN"/>
        </w:rPr>
        <w:t>隔油池</w:t>
      </w:r>
      <w:r>
        <w:rPr>
          <w:rFonts w:cs="Times New Roman"/>
          <w:bCs/>
          <w:color w:val="auto"/>
          <w:szCs w:val="24"/>
          <w:highlight w:val="none"/>
        </w:rPr>
        <w:t>+</w:t>
      </w:r>
      <w:r>
        <w:rPr>
          <w:rFonts w:hint="eastAsia" w:cs="Times New Roman"/>
          <w:bCs/>
          <w:color w:val="auto"/>
          <w:szCs w:val="24"/>
          <w:highlight w:val="none"/>
          <w:lang w:val="en-US" w:eastAsia="zh-CN"/>
        </w:rPr>
        <w:t>调节池</w:t>
      </w:r>
      <w:r>
        <w:rPr>
          <w:rFonts w:cs="Times New Roman"/>
          <w:bCs/>
          <w:color w:val="auto"/>
          <w:szCs w:val="24"/>
          <w:highlight w:val="none"/>
        </w:rPr>
        <w:t>+气浮+水解酸化+</w:t>
      </w:r>
      <w:r>
        <w:rPr>
          <w:rFonts w:hint="eastAsia" w:cs="Times New Roman"/>
          <w:bCs/>
          <w:color w:val="auto"/>
          <w:szCs w:val="24"/>
          <w:highlight w:val="none"/>
          <w:lang w:val="en-US" w:eastAsia="zh-CN"/>
        </w:rPr>
        <w:t>反硝化缺氧+好氧</w:t>
      </w:r>
      <w:r>
        <w:rPr>
          <w:rFonts w:cs="Times New Roman"/>
          <w:bCs/>
          <w:color w:val="auto"/>
          <w:szCs w:val="24"/>
          <w:highlight w:val="none"/>
        </w:rPr>
        <w:t>+沉淀+消毒（</w:t>
      </w:r>
      <w:r>
        <w:rPr>
          <w:rFonts w:hint="eastAsia" w:cs="Times New Roman"/>
          <w:bCs/>
          <w:color w:val="auto"/>
          <w:szCs w:val="24"/>
          <w:highlight w:val="none"/>
          <w:lang w:val="en-US" w:eastAsia="zh-CN"/>
        </w:rPr>
        <w:t>次氯酸钠</w:t>
      </w:r>
      <w:r>
        <w:rPr>
          <w:rFonts w:cs="Times New Roman"/>
          <w:bCs/>
          <w:color w:val="auto"/>
          <w:szCs w:val="24"/>
          <w:highlight w:val="none"/>
        </w:rPr>
        <w:t>）”</w:t>
      </w:r>
      <w:r>
        <w:rPr>
          <w:rFonts w:cs="Times New Roman"/>
          <w:snapToGrid w:val="0"/>
          <w:color w:val="auto"/>
          <w:highlight w:val="none"/>
        </w:rPr>
        <w:t>工艺，</w:t>
      </w:r>
      <w:r>
        <w:rPr>
          <w:rFonts w:cs="Times New Roman"/>
          <w:snapToGrid w:val="0"/>
          <w:color w:val="auto"/>
          <w:highlight w:val="none"/>
          <w:lang w:val="en-GB"/>
        </w:rPr>
        <w:t>处理达到《肉类加工工业水污染物排放标准》（GB13457-92）中畜类屠宰加工三级标准后，</w:t>
      </w:r>
      <w:r>
        <w:rPr>
          <w:rFonts w:cs="Times New Roman"/>
          <w:snapToGrid w:val="0"/>
          <w:color w:val="auto"/>
          <w:highlight w:val="none"/>
        </w:rPr>
        <w:t>与生活污水</w:t>
      </w:r>
      <w:r>
        <w:rPr>
          <w:rFonts w:cs="Times New Roman"/>
          <w:snapToGrid w:val="0"/>
          <w:color w:val="auto"/>
          <w:highlight w:val="none"/>
          <w:lang w:val="en-GB"/>
        </w:rPr>
        <w:t>经市政污水管网排入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处理，达标后排入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p>
    <w:p w14:paraId="64D0DCB8">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（2）资源能源利用综合分析</w:t>
      </w:r>
    </w:p>
    <w:p w14:paraId="42058E58">
      <w:pPr>
        <w:keepNext w:val="0"/>
        <w:keepLines w:val="0"/>
        <w:widowControl/>
        <w:suppressLineNumbers w:val="0"/>
        <w:jc w:val="left"/>
        <w:rPr>
          <w:rFonts w:cs="Times New Roman"/>
          <w:color w:val="auto"/>
          <w:kern w:val="0"/>
          <w:szCs w:val="24"/>
          <w:highlight w:val="none"/>
          <w:lang w:bidi="ar"/>
        </w:rPr>
      </w:pPr>
      <w:r>
        <w:rPr>
          <w:rFonts w:cs="Times New Roman"/>
          <w:color w:val="auto"/>
          <w:kern w:val="0"/>
          <w:szCs w:val="24"/>
          <w:highlight w:val="none"/>
          <w:lang w:bidi="ar"/>
        </w:rPr>
        <w:t>工程资源能源合理利用及废物回收主要体现在选用节能设备，对设备及管道进行保温处理，减少热冷损失；资源能源指标定量使用，并建立奖惩制度；厂区总平面布置顺畅合理，节约资源能源消耗；建筑工程设计中，如门、窗、墙板、屋顶材料等选用节能产品；加强管理措施。</w:t>
      </w:r>
      <w:r>
        <w:rPr>
          <w:rFonts w:hint="eastAsia" w:cs="Times New Roman"/>
          <w:color w:val="auto"/>
          <w:kern w:val="0"/>
          <w:szCs w:val="24"/>
          <w:highlight w:val="none"/>
          <w:lang w:val="en-US" w:eastAsia="zh-CN" w:bidi="ar"/>
        </w:rPr>
        <w:t>电网覆盖该建设场地，供电方便，完全能够满足基建工程的电力需要。</w:t>
      </w:r>
    </w:p>
    <w:p w14:paraId="65AF5CBE">
      <w:pPr>
        <w:widowControl/>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4、污染物产排指标</w:t>
      </w:r>
    </w:p>
    <w:p w14:paraId="7B8DCE6B">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（1）</w:t>
      </w:r>
      <w:r>
        <w:rPr>
          <w:rFonts w:cs="Times New Roman"/>
          <w:snapToGrid w:val="0"/>
          <w:color w:val="auto"/>
          <w:kern w:val="0"/>
          <w:highlight w:val="none"/>
        </w:rPr>
        <w:t>本项目屠宰过程中排水量约为</w:t>
      </w:r>
      <w:r>
        <w:rPr>
          <w:rFonts w:hint="eastAsia" w:cs="Times New Roman"/>
          <w:snapToGrid w:val="0"/>
          <w:color w:val="auto"/>
          <w:kern w:val="0"/>
          <w:highlight w:val="none"/>
          <w:lang w:val="en-US" w:eastAsia="zh-CN"/>
        </w:rPr>
        <w:t>71021</w:t>
      </w:r>
      <w:r>
        <w:rPr>
          <w:rFonts w:cs="Times New Roman"/>
          <w:snapToGrid w:val="0"/>
          <w:color w:val="auto"/>
          <w:kern w:val="0"/>
          <w:highlight w:val="none"/>
        </w:rPr>
        <w:t>t/a（</w:t>
      </w:r>
      <w:r>
        <w:rPr>
          <w:rFonts w:hint="eastAsia" w:cs="Times New Roman"/>
          <w:snapToGrid w:val="0"/>
          <w:color w:val="auto"/>
          <w:kern w:val="0"/>
          <w:highlight w:val="none"/>
          <w:lang w:val="en-US" w:eastAsia="zh-CN"/>
        </w:rPr>
        <w:t>229.1</w:t>
      </w:r>
      <w:r>
        <w:rPr>
          <w:rFonts w:cs="Times New Roman"/>
          <w:snapToGrid w:val="0"/>
          <w:color w:val="auto"/>
          <w:kern w:val="0"/>
          <w:highlight w:val="none"/>
        </w:rPr>
        <w:t>t/d），</w:t>
      </w:r>
      <w:r>
        <w:rPr>
          <w:rFonts w:cs="Times New Roman"/>
          <w:snapToGrid w:val="0"/>
          <w:color w:val="auto"/>
          <w:kern w:val="0"/>
          <w:szCs w:val="24"/>
          <w:highlight w:val="none"/>
        </w:rPr>
        <w:t>COD产生量为</w:t>
      </w:r>
      <w:r>
        <w:rPr>
          <w:rFonts w:hint="eastAsia" w:cs="Times New Roman"/>
          <w:snapToGrid w:val="0"/>
          <w:color w:val="auto"/>
          <w:kern w:val="0"/>
          <w:szCs w:val="24"/>
          <w:highlight w:val="none"/>
          <w:lang w:val="en-US" w:eastAsia="zh-CN"/>
        </w:rPr>
        <w:t>192.98</w:t>
      </w:r>
      <w:r>
        <w:rPr>
          <w:rFonts w:cs="Times New Roman"/>
          <w:snapToGrid w:val="0"/>
          <w:color w:val="auto"/>
          <w:kern w:val="0"/>
          <w:szCs w:val="24"/>
          <w:highlight w:val="none"/>
        </w:rPr>
        <w:t>t/a，氨氮产生量为</w:t>
      </w:r>
      <w:r>
        <w:rPr>
          <w:rFonts w:hint="eastAsia" w:cs="Times New Roman"/>
          <w:snapToGrid w:val="0"/>
          <w:color w:val="auto"/>
          <w:kern w:val="0"/>
          <w:szCs w:val="24"/>
          <w:highlight w:val="none"/>
          <w:lang w:val="en-US" w:eastAsia="zh-CN"/>
        </w:rPr>
        <w:t>6.11</w:t>
      </w:r>
      <w:r>
        <w:rPr>
          <w:rFonts w:cs="Times New Roman"/>
          <w:snapToGrid w:val="0"/>
          <w:color w:val="auto"/>
          <w:kern w:val="0"/>
          <w:szCs w:val="24"/>
          <w:highlight w:val="none"/>
        </w:rPr>
        <w:t>t/a，总氮产生量为</w:t>
      </w:r>
      <w:r>
        <w:rPr>
          <w:rFonts w:hint="eastAsia" w:cs="Times New Roman"/>
          <w:snapToGrid w:val="0"/>
          <w:color w:val="auto"/>
          <w:kern w:val="0"/>
          <w:szCs w:val="24"/>
          <w:highlight w:val="none"/>
          <w:lang w:val="en-US" w:eastAsia="zh-CN"/>
        </w:rPr>
        <w:t>13.98</w:t>
      </w:r>
      <w:r>
        <w:rPr>
          <w:rFonts w:cs="Times New Roman"/>
          <w:snapToGrid w:val="0"/>
          <w:color w:val="auto"/>
          <w:kern w:val="0"/>
          <w:szCs w:val="24"/>
          <w:highlight w:val="none"/>
        </w:rPr>
        <w:t>t/a，总磷产生量为</w:t>
      </w:r>
      <w:r>
        <w:rPr>
          <w:rFonts w:hint="eastAsia" w:cs="Times New Roman"/>
          <w:snapToGrid w:val="0"/>
          <w:color w:val="auto"/>
          <w:kern w:val="0"/>
          <w:szCs w:val="24"/>
          <w:highlight w:val="none"/>
          <w:lang w:val="en-US" w:eastAsia="zh-CN"/>
        </w:rPr>
        <w:t>1.30</w:t>
      </w:r>
      <w:r>
        <w:rPr>
          <w:rFonts w:cs="Times New Roman"/>
          <w:snapToGrid w:val="0"/>
          <w:color w:val="auto"/>
          <w:kern w:val="0"/>
          <w:szCs w:val="24"/>
          <w:highlight w:val="none"/>
        </w:rPr>
        <w:t>t/a。本项目屠宰废水COD产生浓度为</w:t>
      </w:r>
      <w:r>
        <w:rPr>
          <w:rFonts w:hint="eastAsia" w:cs="Times New Roman"/>
          <w:snapToGrid w:val="0"/>
          <w:color w:val="auto"/>
          <w:kern w:val="0"/>
          <w:szCs w:val="24"/>
          <w:highlight w:val="none"/>
          <w:lang w:val="en-US" w:eastAsia="zh-CN"/>
        </w:rPr>
        <w:t>2717</w:t>
      </w:r>
      <w:r>
        <w:rPr>
          <w:rFonts w:cs="Times New Roman"/>
          <w:snapToGrid w:val="0"/>
          <w:color w:val="auto"/>
          <w:kern w:val="0"/>
          <w:szCs w:val="24"/>
          <w:highlight w:val="none"/>
        </w:rPr>
        <w:t>mg/L，氨氮产生浓度为</w:t>
      </w:r>
      <w:r>
        <w:rPr>
          <w:rFonts w:hint="eastAsia" w:cs="Times New Roman"/>
          <w:snapToGrid w:val="0"/>
          <w:color w:val="auto"/>
          <w:kern w:val="0"/>
          <w:szCs w:val="24"/>
          <w:highlight w:val="none"/>
          <w:lang w:val="en-US" w:eastAsia="zh-CN"/>
        </w:rPr>
        <w:t>86</w:t>
      </w:r>
      <w:r>
        <w:rPr>
          <w:rFonts w:cs="Times New Roman"/>
          <w:snapToGrid w:val="0"/>
          <w:color w:val="auto"/>
          <w:kern w:val="0"/>
          <w:szCs w:val="24"/>
          <w:highlight w:val="none"/>
        </w:rPr>
        <w:t>mg/L，总氮产生浓度为</w:t>
      </w:r>
      <w:r>
        <w:rPr>
          <w:rFonts w:hint="eastAsia" w:cs="Times New Roman"/>
          <w:snapToGrid w:val="0"/>
          <w:color w:val="auto"/>
          <w:kern w:val="0"/>
          <w:szCs w:val="24"/>
          <w:highlight w:val="none"/>
          <w:lang w:val="en-US" w:eastAsia="zh-CN"/>
        </w:rPr>
        <w:t>197</w:t>
      </w:r>
      <w:r>
        <w:rPr>
          <w:rFonts w:cs="Times New Roman"/>
          <w:snapToGrid w:val="0"/>
          <w:color w:val="auto"/>
          <w:kern w:val="0"/>
          <w:szCs w:val="24"/>
          <w:highlight w:val="none"/>
        </w:rPr>
        <w:t>mg/L，总磷产生浓度为</w:t>
      </w:r>
      <w:r>
        <w:rPr>
          <w:rFonts w:hint="eastAsia" w:cs="Times New Roman"/>
          <w:snapToGrid w:val="0"/>
          <w:color w:val="auto"/>
          <w:kern w:val="0"/>
          <w:szCs w:val="24"/>
          <w:highlight w:val="none"/>
          <w:lang w:val="en-US" w:eastAsia="zh-CN"/>
        </w:rPr>
        <w:t>18</w:t>
      </w:r>
      <w:r>
        <w:rPr>
          <w:rFonts w:cs="Times New Roman"/>
          <w:snapToGrid w:val="0"/>
          <w:color w:val="auto"/>
          <w:kern w:val="0"/>
          <w:szCs w:val="24"/>
          <w:highlight w:val="none"/>
        </w:rPr>
        <w:t>mg/L。</w:t>
      </w:r>
      <w:r>
        <w:rPr>
          <w:rFonts w:cs="Times New Roman"/>
          <w:color w:val="auto"/>
          <w:szCs w:val="24"/>
          <w:highlight w:val="none"/>
        </w:rPr>
        <w:t>SS、BOD</w:t>
      </w:r>
      <w:r>
        <w:rPr>
          <w:rFonts w:cs="Times New Roman"/>
          <w:color w:val="auto"/>
          <w:szCs w:val="24"/>
          <w:highlight w:val="none"/>
          <w:vertAlign w:val="subscript"/>
        </w:rPr>
        <w:t>5</w:t>
      </w:r>
      <w:r>
        <w:rPr>
          <w:rFonts w:cs="Times New Roman"/>
          <w:color w:val="auto"/>
          <w:szCs w:val="24"/>
          <w:highlight w:val="none"/>
        </w:rPr>
        <w:t>及动植物油浓度参照《屠宰及肉类加工</w:t>
      </w:r>
      <w:r>
        <w:rPr>
          <w:rFonts w:hint="eastAsia" w:cs="Times New Roman"/>
          <w:color w:val="auto"/>
          <w:szCs w:val="24"/>
          <w:highlight w:val="none"/>
          <w:lang w:val="en-US" w:eastAsia="zh-CN"/>
        </w:rPr>
        <w:t>废水治理工程技术规范</w:t>
      </w:r>
      <w:r>
        <w:rPr>
          <w:rFonts w:cs="Times New Roman"/>
          <w:color w:val="auto"/>
          <w:szCs w:val="24"/>
          <w:highlight w:val="none"/>
        </w:rPr>
        <w:t>》（HJ</w:t>
      </w:r>
      <w:r>
        <w:rPr>
          <w:rFonts w:hint="eastAsia" w:cs="Times New Roman"/>
          <w:color w:val="auto"/>
          <w:szCs w:val="24"/>
          <w:highlight w:val="none"/>
          <w:lang w:val="en-US" w:eastAsia="zh-CN"/>
        </w:rPr>
        <w:t>2004</w:t>
      </w:r>
      <w:r>
        <w:rPr>
          <w:rFonts w:cs="Times New Roman"/>
          <w:color w:val="auto"/>
          <w:szCs w:val="24"/>
          <w:highlight w:val="none"/>
        </w:rPr>
        <w:t>-20</w:t>
      </w:r>
      <w:r>
        <w:rPr>
          <w:rFonts w:hint="eastAsia" w:cs="Times New Roman"/>
          <w:color w:val="auto"/>
          <w:szCs w:val="24"/>
          <w:highlight w:val="none"/>
          <w:lang w:val="en-US" w:eastAsia="zh-CN"/>
        </w:rPr>
        <w:t>10</w:t>
      </w:r>
      <w:r>
        <w:rPr>
          <w:rFonts w:cs="Times New Roman"/>
          <w:color w:val="auto"/>
          <w:szCs w:val="24"/>
          <w:highlight w:val="none"/>
        </w:rPr>
        <w:t>）中所建议的废水水质，BOD</w:t>
      </w:r>
      <w:r>
        <w:rPr>
          <w:rFonts w:cs="Times New Roman"/>
          <w:color w:val="auto"/>
          <w:szCs w:val="24"/>
          <w:highlight w:val="none"/>
          <w:vertAlign w:val="subscript"/>
        </w:rPr>
        <w:t>5</w:t>
      </w:r>
      <w:r>
        <w:rPr>
          <w:rFonts w:cs="Times New Roman"/>
          <w:color w:val="auto"/>
          <w:szCs w:val="24"/>
          <w:highlight w:val="none"/>
        </w:rPr>
        <w:t>1000mg/L、SS1000mg/L、动植物油200mg/L</w:t>
      </w:r>
      <w:r>
        <w:rPr>
          <w:rFonts w:hint="eastAsia" w:cs="Times New Roman"/>
          <w:color w:val="auto"/>
          <w:szCs w:val="24"/>
          <w:highlight w:val="none"/>
          <w:lang w:eastAsia="zh-CN"/>
        </w:rPr>
        <w:t>、</w:t>
      </w:r>
      <w:r>
        <w:rPr>
          <w:rFonts w:hint="eastAsia" w:cs="Times New Roman"/>
          <w:color w:val="auto"/>
          <w:szCs w:val="24"/>
          <w:highlight w:val="none"/>
          <w:lang w:val="en-US" w:eastAsia="zh-CN"/>
        </w:rPr>
        <w:t>pH6.5~7.5（无量纲）、</w:t>
      </w:r>
      <w:r>
        <w:rPr>
          <w:rFonts w:hint="eastAsia"/>
          <w:color w:val="auto"/>
          <w:highlight w:val="none"/>
        </w:rPr>
        <w:t>大肠菌群数取值参考《环境工程技术手册废水污染控制技术手册》中国内大型肉类联合加工企业生产废水水质大肠菌群数平均值3.83×10</w:t>
      </w:r>
      <w:r>
        <w:rPr>
          <w:rFonts w:hint="eastAsia"/>
          <w:color w:val="auto"/>
          <w:highlight w:val="none"/>
          <w:vertAlign w:val="superscript"/>
        </w:rPr>
        <w:t>5</w:t>
      </w:r>
      <w:r>
        <w:rPr>
          <w:rFonts w:hint="eastAsia"/>
          <w:color w:val="auto"/>
          <w:highlight w:val="none"/>
          <w:lang w:val="en-US" w:eastAsia="zh-CN"/>
        </w:rPr>
        <w:t>MPN</w:t>
      </w:r>
      <w:r>
        <w:rPr>
          <w:rFonts w:hint="eastAsia"/>
          <w:color w:val="auto"/>
          <w:highlight w:val="none"/>
        </w:rPr>
        <w:t>/L。</w:t>
      </w:r>
      <w:r>
        <w:rPr>
          <w:rFonts w:hint="eastAsia"/>
          <w:color w:val="auto"/>
          <w:highlight w:val="none"/>
          <w:lang w:val="en-US" w:eastAsia="zh-CN"/>
        </w:rPr>
        <w:t>运送牛羊</w:t>
      </w:r>
      <w:r>
        <w:rPr>
          <w:rFonts w:hint="eastAsia"/>
          <w:color w:val="auto"/>
          <w:highlight w:val="none"/>
        </w:rPr>
        <w:t>车辆清洗废水产生量为</w:t>
      </w:r>
      <w:r>
        <w:rPr>
          <w:rFonts w:hint="eastAsia"/>
          <w:color w:val="auto"/>
          <w:highlight w:val="none"/>
          <w:lang w:val="en-US" w:eastAsia="zh-CN"/>
        </w:rPr>
        <w:t>4</w:t>
      </w:r>
      <w:r>
        <w:rPr>
          <w:color w:val="auto"/>
          <w:highlight w:val="none"/>
        </w:rPr>
        <w:t>m</w:t>
      </w:r>
      <w:r>
        <w:rPr>
          <w:color w:val="auto"/>
          <w:highlight w:val="none"/>
          <w:vertAlign w:val="superscript"/>
        </w:rPr>
        <w:t>3</w:t>
      </w:r>
      <w:r>
        <w:rPr>
          <w:color w:val="auto"/>
          <w:highlight w:val="none"/>
        </w:rPr>
        <w:t>/d</w:t>
      </w:r>
      <w:r>
        <w:rPr>
          <w:rFonts w:hint="eastAsia"/>
          <w:color w:val="auto"/>
          <w:highlight w:val="none"/>
        </w:rPr>
        <w:t>、</w:t>
      </w:r>
      <w:r>
        <w:rPr>
          <w:rFonts w:hint="eastAsia"/>
          <w:color w:val="auto"/>
          <w:highlight w:val="none"/>
          <w:lang w:val="en-US" w:eastAsia="zh-CN"/>
        </w:rPr>
        <w:t>1240</w:t>
      </w:r>
      <w:r>
        <w:rPr>
          <w:color w:val="auto"/>
          <w:highlight w:val="none"/>
        </w:rPr>
        <w:t>m</w:t>
      </w:r>
      <w:r>
        <w:rPr>
          <w:color w:val="auto"/>
          <w:highlight w:val="none"/>
          <w:vertAlign w:val="superscript"/>
        </w:rPr>
        <w:t>3</w:t>
      </w:r>
      <w:r>
        <w:rPr>
          <w:color w:val="auto"/>
          <w:highlight w:val="none"/>
        </w:rPr>
        <w:t>/a</w:t>
      </w:r>
      <w:r>
        <w:rPr>
          <w:rFonts w:hint="eastAsia"/>
          <w:color w:val="auto"/>
          <w:highlight w:val="none"/>
        </w:rPr>
        <w:t>。</w:t>
      </w:r>
      <w:r>
        <w:rPr>
          <w:rFonts w:hint="eastAsia"/>
          <w:color w:val="auto"/>
          <w:highlight w:val="none"/>
          <w:lang w:val="en-US" w:eastAsia="zh-CN"/>
        </w:rPr>
        <w:t>该项目</w:t>
      </w:r>
      <w:r>
        <w:rPr>
          <w:rFonts w:hint="eastAsia" w:cs="Times New Roman"/>
          <w:color w:val="auto"/>
          <w:szCs w:val="24"/>
          <w:highlight w:val="none"/>
          <w:lang w:val="en-US" w:eastAsia="zh-CN"/>
        </w:rPr>
        <w:t>车辆冲洗废水含有少量粪便，因此确定车辆冲洗废水</w:t>
      </w:r>
      <w:r>
        <w:rPr>
          <w:rFonts w:hAnsi="宋体"/>
          <w:color w:val="auto"/>
          <w:highlight w:val="none"/>
        </w:rPr>
        <w:t>主要污染物为</w:t>
      </w:r>
      <w:r>
        <w:rPr>
          <w:color w:val="auto"/>
          <w:highlight w:val="none"/>
        </w:rPr>
        <w:t>COD1200mg/L</w:t>
      </w:r>
      <w:r>
        <w:rPr>
          <w:rFonts w:hAnsi="宋体"/>
          <w:color w:val="auto"/>
          <w:highlight w:val="none"/>
        </w:rPr>
        <w:t>、</w:t>
      </w:r>
      <w:r>
        <w:rPr>
          <w:color w:val="auto"/>
          <w:highlight w:val="none"/>
        </w:rPr>
        <w:t>BOD</w:t>
      </w:r>
      <w:r>
        <w:rPr>
          <w:color w:val="auto"/>
          <w:highlight w:val="none"/>
          <w:vertAlign w:val="subscript"/>
        </w:rPr>
        <w:t>5</w:t>
      </w:r>
      <w:r>
        <w:rPr>
          <w:color w:val="auto"/>
          <w:highlight w:val="none"/>
        </w:rPr>
        <w:t>500mg/L</w:t>
      </w:r>
      <w:r>
        <w:rPr>
          <w:rFonts w:hAnsi="宋体"/>
          <w:color w:val="auto"/>
          <w:highlight w:val="none"/>
        </w:rPr>
        <w:t>、</w:t>
      </w:r>
      <w:r>
        <w:rPr>
          <w:color w:val="auto"/>
          <w:highlight w:val="none"/>
        </w:rPr>
        <w:t>SS550mg/L</w:t>
      </w:r>
      <w:r>
        <w:rPr>
          <w:rFonts w:hAnsi="宋体"/>
          <w:color w:val="auto"/>
          <w:highlight w:val="none"/>
        </w:rPr>
        <w:t>、</w:t>
      </w:r>
      <w:r>
        <w:rPr>
          <w:color w:val="auto"/>
          <w:highlight w:val="none"/>
        </w:rPr>
        <w:t>NH</w:t>
      </w:r>
      <w:r>
        <w:rPr>
          <w:color w:val="auto"/>
          <w:highlight w:val="none"/>
          <w:vertAlign w:val="subscript"/>
        </w:rPr>
        <w:t>3</w:t>
      </w:r>
      <w:r>
        <w:rPr>
          <w:color w:val="auto"/>
          <w:highlight w:val="none"/>
        </w:rPr>
        <w:t>-N55mg/L</w:t>
      </w:r>
      <w:r>
        <w:rPr>
          <w:rFonts w:hAnsi="宋体"/>
          <w:color w:val="auto"/>
          <w:highlight w:val="none"/>
        </w:rPr>
        <w:t>。</w:t>
      </w:r>
      <w:r>
        <w:rPr>
          <w:rFonts w:cs="Times New Roman"/>
          <w:color w:val="auto"/>
          <w:szCs w:val="24"/>
          <w:highlight w:val="none"/>
        </w:rPr>
        <w:t>本项目职工人数为</w:t>
      </w:r>
      <w:r>
        <w:rPr>
          <w:rFonts w:hint="eastAsia" w:cs="Times New Roman"/>
          <w:color w:val="auto"/>
          <w:szCs w:val="24"/>
          <w:highlight w:val="none"/>
          <w:lang w:val="en-US" w:eastAsia="zh-CN"/>
        </w:rPr>
        <w:t>3</w:t>
      </w:r>
      <w:r>
        <w:rPr>
          <w:rFonts w:cs="Times New Roman"/>
          <w:color w:val="auto"/>
          <w:szCs w:val="24"/>
          <w:highlight w:val="none"/>
        </w:rPr>
        <w:t>0人，年工作3</w:t>
      </w:r>
      <w:r>
        <w:rPr>
          <w:rFonts w:hint="eastAsia" w:cs="Times New Roman"/>
          <w:color w:val="auto"/>
          <w:szCs w:val="24"/>
          <w:highlight w:val="none"/>
          <w:lang w:val="en-US" w:eastAsia="zh-CN"/>
        </w:rPr>
        <w:t>1</w:t>
      </w:r>
      <w:r>
        <w:rPr>
          <w:rFonts w:cs="Times New Roman"/>
          <w:color w:val="auto"/>
          <w:szCs w:val="24"/>
          <w:highlight w:val="none"/>
        </w:rPr>
        <w:t>0d，</w:t>
      </w:r>
      <w:r>
        <w:rPr>
          <w:rFonts w:cs="Times New Roman"/>
          <w:snapToGrid w:val="0"/>
          <w:color w:val="auto"/>
          <w:highlight w:val="none"/>
        </w:rPr>
        <w:t>排水量按用水量的80%计，则生活污水量为</w:t>
      </w:r>
      <w:r>
        <w:rPr>
          <w:rFonts w:hint="eastAsia" w:cs="Times New Roman"/>
          <w:snapToGrid w:val="0"/>
          <w:color w:val="auto"/>
          <w:highlight w:val="none"/>
          <w:lang w:val="en-US" w:eastAsia="zh-CN"/>
        </w:rPr>
        <w:t>1.92</w:t>
      </w:r>
      <w:r>
        <w:rPr>
          <w:rFonts w:cs="Times New Roman"/>
          <w:snapToGrid w:val="0"/>
          <w:color w:val="auto"/>
          <w:kern w:val="0"/>
          <w:highlight w:val="none"/>
        </w:rPr>
        <w:t>m</w:t>
      </w:r>
      <w:r>
        <w:rPr>
          <w:rFonts w:cs="Times New Roman"/>
          <w:snapToGrid w:val="0"/>
          <w:color w:val="auto"/>
          <w:kern w:val="0"/>
          <w:highlight w:val="none"/>
          <w:vertAlign w:val="superscript"/>
        </w:rPr>
        <w:t>3</w:t>
      </w:r>
      <w:r>
        <w:rPr>
          <w:rFonts w:cs="Times New Roman"/>
          <w:snapToGrid w:val="0"/>
          <w:color w:val="auto"/>
          <w:kern w:val="0"/>
          <w:highlight w:val="none"/>
        </w:rPr>
        <w:t>/d</w:t>
      </w:r>
      <w:r>
        <w:rPr>
          <w:rFonts w:cs="Times New Roman"/>
          <w:snapToGrid w:val="0"/>
          <w:color w:val="auto"/>
          <w:highlight w:val="none"/>
        </w:rPr>
        <w:t>，</w:t>
      </w:r>
      <w:r>
        <w:rPr>
          <w:rFonts w:hint="eastAsia" w:cs="Times New Roman"/>
          <w:snapToGrid w:val="0"/>
          <w:color w:val="auto"/>
          <w:highlight w:val="none"/>
          <w:lang w:val="en-US" w:eastAsia="zh-CN"/>
        </w:rPr>
        <w:t>595.2</w:t>
      </w:r>
      <w:r>
        <w:rPr>
          <w:rFonts w:cs="Times New Roman"/>
          <w:snapToGrid w:val="0"/>
          <w:color w:val="auto"/>
          <w:highlight w:val="none"/>
        </w:rPr>
        <w:t>t/a。</w:t>
      </w:r>
      <w:r>
        <w:rPr>
          <w:rFonts w:cs="Times New Roman"/>
          <w:color w:val="auto"/>
          <w:spacing w:val="12"/>
          <w:szCs w:val="24"/>
          <w:highlight w:val="none"/>
        </w:rPr>
        <w:t>COD浓度为300mg/L，氨氮浓度为30mg/L。</w:t>
      </w:r>
    </w:p>
    <w:p w14:paraId="40549D5C">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本项目</w:t>
      </w:r>
      <w:r>
        <w:rPr>
          <w:rFonts w:hint="eastAsia" w:cs="Times New Roman"/>
          <w:color w:val="auto"/>
          <w:kern w:val="0"/>
          <w:szCs w:val="24"/>
          <w:highlight w:val="none"/>
          <w:lang w:val="en-US" w:eastAsia="zh-CN" w:bidi="ar"/>
        </w:rPr>
        <w:t>生产</w:t>
      </w:r>
      <w:r>
        <w:rPr>
          <w:rFonts w:cs="Times New Roman"/>
          <w:color w:val="auto"/>
          <w:kern w:val="0"/>
          <w:szCs w:val="24"/>
          <w:highlight w:val="none"/>
          <w:lang w:bidi="ar"/>
        </w:rPr>
        <w:t>废水经自建污水处理站处理后</w:t>
      </w:r>
      <w:r>
        <w:rPr>
          <w:rFonts w:cs="Times New Roman"/>
          <w:snapToGrid w:val="0"/>
          <w:color w:val="auto"/>
          <w:highlight w:val="none"/>
          <w:lang w:val="en-GB"/>
        </w:rPr>
        <w:t>达到《肉类加工工业水污染物排放标准》（GB13457-92）中畜类屠宰加工三级标准后</w:t>
      </w:r>
      <w:r>
        <w:rPr>
          <w:rFonts w:cs="Times New Roman"/>
          <w:snapToGrid w:val="0"/>
          <w:color w:val="auto"/>
          <w:highlight w:val="none"/>
        </w:rPr>
        <w:t>同生活污水</w:t>
      </w:r>
      <w:r>
        <w:rPr>
          <w:rFonts w:cs="Times New Roman"/>
          <w:snapToGrid w:val="0"/>
          <w:color w:val="auto"/>
          <w:highlight w:val="none"/>
          <w:lang w:val="en-GB"/>
        </w:rPr>
        <w:t>经污水管网排入</w:t>
      </w:r>
      <w:r>
        <w:rPr>
          <w:rFonts w:hint="eastAsia" w:cs="Times New Roman"/>
          <w:snapToGrid w:val="0"/>
          <w:color w:val="auto"/>
          <w:highlight w:val="none"/>
          <w:lang w:eastAsia="zh-CN"/>
        </w:rPr>
        <w:t>双鸭山市畅源排水有限公司</w:t>
      </w:r>
      <w:r>
        <w:rPr>
          <w:rFonts w:cs="Times New Roman"/>
          <w:snapToGrid w:val="0"/>
          <w:color w:val="auto"/>
          <w:highlight w:val="none"/>
        </w:rPr>
        <w:t>处理，处理</w:t>
      </w:r>
      <w:r>
        <w:rPr>
          <w:rFonts w:cs="Times New Roman"/>
          <w:snapToGrid w:val="0"/>
          <w:color w:val="auto"/>
          <w:highlight w:val="none"/>
          <w:lang w:val="en-GB"/>
        </w:rPr>
        <w:t>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p>
    <w:p w14:paraId="05737ADE">
      <w:pPr>
        <w:widowControl/>
        <w:spacing w:line="500" w:lineRule="exact"/>
        <w:rPr>
          <w:rFonts w:cs="Times New Roman"/>
          <w:snapToGrid w:val="0"/>
          <w:color w:val="auto"/>
          <w:highlight w:val="none"/>
        </w:rPr>
      </w:pPr>
      <w:r>
        <w:rPr>
          <w:rFonts w:cs="Times New Roman"/>
          <w:color w:val="auto"/>
          <w:kern w:val="0"/>
          <w:szCs w:val="24"/>
          <w:highlight w:val="none"/>
          <w:lang w:bidi="ar"/>
        </w:rPr>
        <w:t>（2）</w:t>
      </w:r>
      <w:r>
        <w:rPr>
          <w:rFonts w:hint="eastAsia" w:cs="Times New Roman"/>
          <w:color w:val="auto"/>
          <w:kern w:val="0"/>
          <w:szCs w:val="24"/>
          <w:highlight w:val="none"/>
          <w:lang w:val="en-US" w:eastAsia="zh-CN" w:bidi="ar"/>
        </w:rPr>
        <w:t>急宰间、隔离间、固体废物暂存间</w:t>
      </w:r>
      <w:r>
        <w:rPr>
          <w:rFonts w:cs="Times New Roman"/>
          <w:snapToGrid w:val="0"/>
          <w:color w:val="auto"/>
          <w:highlight w:val="none"/>
        </w:rPr>
        <w:t>产生的恶臭</w:t>
      </w:r>
      <w:r>
        <w:rPr>
          <w:rFonts w:hint="eastAsia" w:cs="Times New Roman"/>
          <w:snapToGrid w:val="0"/>
          <w:color w:val="auto"/>
          <w:highlight w:val="none"/>
          <w:lang w:eastAsia="zh-CN"/>
        </w:rPr>
        <w:t>采用微负压集中收集后</w:t>
      </w:r>
      <w:r>
        <w:rPr>
          <w:rFonts w:cs="Times New Roman"/>
          <w:snapToGrid w:val="0"/>
          <w:color w:val="auto"/>
          <w:highlight w:val="none"/>
        </w:rPr>
        <w:t>，通过活性炭净化装置处理，处理后经15m高的排气筒</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DA001</w:t>
      </w:r>
      <w:r>
        <w:rPr>
          <w:rFonts w:hint="eastAsia" w:cs="Times New Roman"/>
          <w:snapToGrid w:val="0"/>
          <w:color w:val="auto"/>
          <w:highlight w:val="none"/>
          <w:lang w:eastAsia="zh-CN"/>
        </w:rPr>
        <w:t>）</w:t>
      </w:r>
      <w:r>
        <w:rPr>
          <w:rFonts w:cs="Times New Roman"/>
          <w:snapToGrid w:val="0"/>
          <w:color w:val="auto"/>
          <w:highlight w:val="none"/>
        </w:rPr>
        <w:t>排放</w:t>
      </w:r>
      <w:r>
        <w:rPr>
          <w:rFonts w:hint="eastAsia" w:cs="Times New Roman"/>
          <w:snapToGrid w:val="0"/>
          <w:color w:val="auto"/>
          <w:highlight w:val="none"/>
        </w:rPr>
        <w:t>；</w:t>
      </w:r>
      <w:r>
        <w:rPr>
          <w:rFonts w:cs="Times New Roman"/>
          <w:snapToGrid w:val="0"/>
          <w:color w:val="auto"/>
          <w:highlight w:val="none"/>
        </w:rPr>
        <w:t>屠宰车间产生的恶臭</w:t>
      </w:r>
      <w:r>
        <w:rPr>
          <w:rFonts w:hint="eastAsia" w:cs="Times New Roman"/>
          <w:snapToGrid w:val="0"/>
          <w:color w:val="auto"/>
          <w:highlight w:val="none"/>
          <w:lang w:eastAsia="zh-CN"/>
        </w:rPr>
        <w:t>采用微负压集中收集后</w:t>
      </w:r>
      <w:r>
        <w:rPr>
          <w:rFonts w:cs="Times New Roman"/>
          <w:snapToGrid w:val="0"/>
          <w:color w:val="auto"/>
          <w:highlight w:val="none"/>
        </w:rPr>
        <w:t>，通过活性炭净化装置处理，处理后经15m高的排气筒</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DA001</w:t>
      </w:r>
      <w:r>
        <w:rPr>
          <w:rFonts w:hint="eastAsia" w:cs="Times New Roman"/>
          <w:snapToGrid w:val="0"/>
          <w:color w:val="auto"/>
          <w:highlight w:val="none"/>
          <w:lang w:eastAsia="zh-CN"/>
        </w:rPr>
        <w:t>）</w:t>
      </w:r>
      <w:r>
        <w:rPr>
          <w:rFonts w:cs="Times New Roman"/>
          <w:snapToGrid w:val="0"/>
          <w:color w:val="auto"/>
          <w:highlight w:val="none"/>
        </w:rPr>
        <w:t>排放</w:t>
      </w:r>
      <w:r>
        <w:rPr>
          <w:rFonts w:eastAsia="新宋体" w:cs="Times New Roman"/>
          <w:bCs/>
          <w:snapToGrid w:val="0"/>
          <w:color w:val="auto"/>
          <w:szCs w:val="21"/>
          <w:highlight w:val="none"/>
        </w:rPr>
        <w:t>；</w:t>
      </w:r>
      <w:r>
        <w:rPr>
          <w:rFonts w:cs="Times New Roman"/>
          <w:snapToGrid w:val="0"/>
          <w:color w:val="auto"/>
          <w:highlight w:val="none"/>
        </w:rPr>
        <w:t>污水处理站产生的恶臭</w:t>
      </w:r>
      <w:r>
        <w:rPr>
          <w:rFonts w:hint="eastAsia" w:cs="Times New Roman"/>
          <w:snapToGrid w:val="0"/>
          <w:color w:val="auto"/>
          <w:highlight w:val="none"/>
          <w:lang w:eastAsia="zh-CN"/>
        </w:rPr>
        <w:t>采用微负压集中收集后</w:t>
      </w:r>
      <w:r>
        <w:rPr>
          <w:rFonts w:cs="Times New Roman"/>
          <w:snapToGrid w:val="0"/>
          <w:color w:val="auto"/>
          <w:highlight w:val="none"/>
        </w:rPr>
        <w:t>，通过活性炭净化装置处理，处理后经15m高的排气筒</w:t>
      </w:r>
      <w:r>
        <w:rPr>
          <w:rFonts w:hint="eastAsia" w:cs="Times New Roman"/>
          <w:snapToGrid w:val="0"/>
          <w:color w:val="auto"/>
          <w:highlight w:val="none"/>
          <w:lang w:eastAsia="zh-CN"/>
        </w:rPr>
        <w:t>（</w:t>
      </w:r>
      <w:r>
        <w:rPr>
          <w:rFonts w:hint="eastAsia" w:cs="Times New Roman"/>
          <w:snapToGrid w:val="0"/>
          <w:color w:val="auto"/>
          <w:highlight w:val="none"/>
          <w:lang w:val="en-US" w:eastAsia="zh-CN"/>
        </w:rPr>
        <w:t>DA002</w:t>
      </w:r>
      <w:r>
        <w:rPr>
          <w:rFonts w:hint="eastAsia" w:cs="Times New Roman"/>
          <w:snapToGrid w:val="0"/>
          <w:color w:val="auto"/>
          <w:highlight w:val="none"/>
          <w:lang w:eastAsia="zh-CN"/>
        </w:rPr>
        <w:t>）</w:t>
      </w:r>
      <w:r>
        <w:rPr>
          <w:rFonts w:cs="Times New Roman"/>
          <w:snapToGrid w:val="0"/>
          <w:color w:val="auto"/>
          <w:highlight w:val="none"/>
        </w:rPr>
        <w:t>排放。</w:t>
      </w:r>
    </w:p>
    <w:p w14:paraId="317F40D7">
      <w:pPr>
        <w:widowControl/>
        <w:spacing w:line="500" w:lineRule="exact"/>
        <w:rPr>
          <w:rFonts w:eastAsia="新宋体" w:cs="Times New Roman"/>
          <w:color w:val="auto"/>
          <w:kern w:val="0"/>
          <w:szCs w:val="24"/>
          <w:highlight w:val="none"/>
          <w:lang w:bidi="ar"/>
        </w:rPr>
      </w:pPr>
      <w:r>
        <w:rPr>
          <w:rFonts w:hint="eastAsia" w:cs="Times New Roman"/>
          <w:snapToGrid w:val="0"/>
          <w:color w:val="auto"/>
          <w:highlight w:val="none"/>
          <w:lang w:eastAsia="zh-CN"/>
        </w:rPr>
        <w:t>待宰圈</w:t>
      </w:r>
      <w:r>
        <w:rPr>
          <w:rFonts w:hint="eastAsia" w:cs="Times New Roman"/>
          <w:snapToGrid w:val="0"/>
          <w:color w:val="auto"/>
          <w:highlight w:val="none"/>
        </w:rPr>
        <w:t>、隔离圈</w:t>
      </w:r>
      <w:r>
        <w:rPr>
          <w:rFonts w:cs="Times New Roman"/>
          <w:snapToGrid w:val="0"/>
          <w:color w:val="auto"/>
          <w:highlight w:val="none"/>
        </w:rPr>
        <w:t>及时清理</w:t>
      </w:r>
      <w:r>
        <w:rPr>
          <w:rFonts w:eastAsia="新宋体" w:cs="Times New Roman"/>
          <w:bCs/>
          <w:snapToGrid w:val="0"/>
          <w:color w:val="auto"/>
          <w:szCs w:val="21"/>
          <w:highlight w:val="none"/>
        </w:rPr>
        <w:t>粪便及尿液，</w:t>
      </w:r>
      <w:r>
        <w:rPr>
          <w:rFonts w:hint="eastAsia" w:eastAsia="新宋体" w:cs="Times New Roman"/>
          <w:bCs/>
          <w:snapToGrid w:val="0"/>
          <w:color w:val="auto"/>
          <w:szCs w:val="21"/>
          <w:highlight w:val="none"/>
        </w:rPr>
        <w:t>定期冲洗待地面</w:t>
      </w:r>
      <w:r>
        <w:rPr>
          <w:rFonts w:eastAsia="新宋体" w:cs="Times New Roman"/>
          <w:bCs/>
          <w:snapToGrid w:val="0"/>
          <w:color w:val="auto"/>
          <w:szCs w:val="21"/>
          <w:highlight w:val="none"/>
        </w:rPr>
        <w:t>，日产日清并定期喷洒除臭剂</w:t>
      </w:r>
      <w:r>
        <w:rPr>
          <w:rFonts w:hint="eastAsia" w:cs="Times New Roman"/>
          <w:snapToGrid w:val="0"/>
          <w:color w:val="auto"/>
          <w:highlight w:val="none"/>
        </w:rPr>
        <w:t>；屠宰车间及时清运屠宰废物，</w:t>
      </w:r>
      <w:r>
        <w:rPr>
          <w:rFonts w:cs="Times New Roman"/>
          <w:snapToGrid w:val="0"/>
          <w:color w:val="auto"/>
          <w:highlight w:val="none"/>
        </w:rPr>
        <w:t>增加清洗车间地面频次</w:t>
      </w:r>
      <w:r>
        <w:rPr>
          <w:rFonts w:hint="eastAsia" w:cs="Times New Roman"/>
          <w:snapToGrid w:val="0"/>
          <w:color w:val="auto"/>
          <w:highlight w:val="none"/>
        </w:rPr>
        <w:t>；</w:t>
      </w:r>
      <w:r>
        <w:rPr>
          <w:rFonts w:cs="Times New Roman"/>
          <w:snapToGrid w:val="0"/>
          <w:color w:val="auto"/>
          <w:highlight w:val="none"/>
        </w:rPr>
        <w:t>污水处理站产生恶臭区域加盖，</w:t>
      </w:r>
      <w:r>
        <w:rPr>
          <w:rFonts w:eastAsia="新宋体" w:cs="Times New Roman"/>
          <w:snapToGrid w:val="0"/>
          <w:color w:val="auto"/>
          <w:szCs w:val="21"/>
          <w:highlight w:val="none"/>
        </w:rPr>
        <w:t>定期喷洒除臭剂</w:t>
      </w:r>
      <w:r>
        <w:rPr>
          <w:rFonts w:eastAsia="新宋体" w:cs="Times New Roman"/>
          <w:bCs/>
          <w:snapToGrid w:val="0"/>
          <w:color w:val="auto"/>
          <w:szCs w:val="21"/>
          <w:highlight w:val="none"/>
        </w:rPr>
        <w:t>，</w:t>
      </w:r>
      <w:r>
        <w:rPr>
          <w:rFonts w:eastAsia="新宋体" w:cs="Times New Roman"/>
          <w:snapToGrid w:val="0"/>
          <w:color w:val="auto"/>
          <w:szCs w:val="21"/>
          <w:highlight w:val="none"/>
        </w:rPr>
        <w:t>减少恶臭源的散发；</w:t>
      </w:r>
      <w:r>
        <w:rPr>
          <w:rFonts w:cs="Times New Roman"/>
          <w:snapToGrid w:val="0"/>
          <w:color w:val="auto"/>
          <w:highlight w:val="none"/>
        </w:rPr>
        <w:t>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送至运输车上，</w:t>
      </w:r>
      <w:r>
        <w:rPr>
          <w:rFonts w:hint="eastAsia" w:cs="Times New Roman"/>
          <w:snapToGrid w:val="0"/>
          <w:color w:val="auto"/>
          <w:highlight w:val="none"/>
          <w:lang w:val="en-US" w:eastAsia="zh-CN"/>
        </w:rPr>
        <w:t>并置换清理干净的转运桶，</w:t>
      </w:r>
      <w:r>
        <w:rPr>
          <w:rFonts w:cs="Times New Roman"/>
          <w:snapToGrid w:val="0"/>
          <w:color w:val="auto"/>
          <w:highlight w:val="none"/>
        </w:rPr>
        <w:t>产生的恶臭较小。</w:t>
      </w:r>
      <w:r>
        <w:rPr>
          <w:rFonts w:eastAsia="新宋体" w:cs="Times New Roman"/>
          <w:snapToGrid w:val="0"/>
          <w:color w:val="auto"/>
          <w:szCs w:val="21"/>
          <w:highlight w:val="none"/>
        </w:rPr>
        <w:t>采取以上措施后厂区恶臭气体可达标排放；</w:t>
      </w:r>
    </w:p>
    <w:p w14:paraId="01883391">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（3）本项目生产过程产生固废均得到合理处置，达到零排放。</w:t>
      </w:r>
    </w:p>
    <w:p w14:paraId="5940E368">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本项目最大限度削减了污染物的产生量，清洁生产水平与国内同行业先进水平相当。</w:t>
      </w:r>
    </w:p>
    <w:p w14:paraId="22F695B1">
      <w:pPr>
        <w:widowControl/>
        <w:numPr>
          <w:ilvl w:val="0"/>
          <w:numId w:val="15"/>
        </w:numPr>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废物回收利用</w:t>
      </w:r>
    </w:p>
    <w:p w14:paraId="2CA97295">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 xml:space="preserve">项目的废物主要有废水、废气和固体废弃物。根据废物的性质尽可能采用综合利用措施，经分析本次可以采取的废物综合利用措施如下： </w:t>
      </w:r>
    </w:p>
    <w:p w14:paraId="78D33E9D">
      <w:pPr>
        <w:spacing w:line="500" w:lineRule="exact"/>
        <w:rPr>
          <w:rFonts w:cs="Times New Roman"/>
          <w:color w:val="auto"/>
          <w:szCs w:val="24"/>
          <w:highlight w:val="none"/>
        </w:rPr>
      </w:pPr>
      <w:r>
        <w:rPr>
          <w:rFonts w:cs="Times New Roman"/>
          <w:color w:val="auto"/>
          <w:szCs w:val="24"/>
          <w:highlight w:val="none"/>
        </w:rPr>
        <w:t>本项目运营期产生的固体废物为一般固体废物及危险废物，一般固体废物主要包括检疫不合格品、病死牛羊、粪便、边角料、胃容物及肠内物、污泥（含栅渣）、</w:t>
      </w:r>
      <w:r>
        <w:rPr>
          <w:rFonts w:hint="eastAsia" w:cs="Times New Roman"/>
          <w:color w:val="auto"/>
          <w:szCs w:val="24"/>
          <w:highlight w:val="none"/>
          <w:lang w:val="en-US" w:eastAsia="zh-CN"/>
        </w:rPr>
        <w:t>隔油池废油脂、</w:t>
      </w:r>
      <w:r>
        <w:rPr>
          <w:rFonts w:cs="Times New Roman"/>
          <w:color w:val="auto"/>
          <w:szCs w:val="24"/>
          <w:highlight w:val="none"/>
        </w:rPr>
        <w:t>废包装以及生活垃圾；</w:t>
      </w:r>
      <w:r>
        <w:rPr>
          <w:rFonts w:hint="eastAsia" w:cs="Times New Roman"/>
          <w:color w:val="auto"/>
          <w:szCs w:val="24"/>
          <w:highlight w:val="none"/>
          <w:lang w:eastAsia="zh-CN"/>
        </w:rPr>
        <w:t>危险废物主要为检疫废物、</w:t>
      </w:r>
      <w:r>
        <w:rPr>
          <w:rFonts w:cs="Times New Roman"/>
          <w:color w:val="auto"/>
          <w:szCs w:val="24"/>
          <w:highlight w:val="none"/>
        </w:rPr>
        <w:t>废活性炭、</w:t>
      </w:r>
      <w:r>
        <w:rPr>
          <w:rFonts w:hint="eastAsia" w:cs="Times New Roman"/>
          <w:color w:val="auto"/>
          <w:szCs w:val="24"/>
          <w:highlight w:val="none"/>
          <w:lang w:val="en-US" w:eastAsia="zh-CN"/>
        </w:rPr>
        <w:t>在线监测废液、</w:t>
      </w:r>
      <w:r>
        <w:rPr>
          <w:rFonts w:hint="eastAsia" w:cs="Times New Roman"/>
          <w:color w:val="auto"/>
          <w:szCs w:val="24"/>
          <w:highlight w:val="none"/>
          <w:lang w:eastAsia="zh-CN"/>
        </w:rPr>
        <w:t>废润滑油及含油抹布、劳保手套</w:t>
      </w:r>
      <w:r>
        <w:rPr>
          <w:rFonts w:cs="Times New Roman"/>
          <w:color w:val="auto"/>
          <w:szCs w:val="24"/>
          <w:highlight w:val="none"/>
        </w:rPr>
        <w:t>。</w:t>
      </w:r>
    </w:p>
    <w:p w14:paraId="7B57BAC0">
      <w:pPr>
        <w:spacing w:line="500" w:lineRule="exact"/>
        <w:rPr>
          <w:rFonts w:cs="Times New Roman"/>
          <w:color w:val="auto"/>
          <w:szCs w:val="24"/>
          <w:highlight w:val="none"/>
        </w:rPr>
      </w:pPr>
      <w:r>
        <w:rPr>
          <w:rFonts w:cs="Times New Roman"/>
          <w:color w:val="auto"/>
          <w:szCs w:val="24"/>
          <w:highlight w:val="none"/>
        </w:rPr>
        <w:t>牛、羊粪、边角料、胃容物及肠内物分类收集，分别储存在固废暂存间内加盖的</w:t>
      </w:r>
      <w:r>
        <w:rPr>
          <w:rFonts w:hint="eastAsia" w:cs="Times New Roman"/>
          <w:color w:val="auto"/>
          <w:szCs w:val="24"/>
          <w:highlight w:val="none"/>
          <w:lang w:val="en-US" w:eastAsia="zh-CN"/>
        </w:rPr>
        <w:t>转运桶</w:t>
      </w:r>
      <w:r>
        <w:rPr>
          <w:rFonts w:cs="Times New Roman"/>
          <w:color w:val="auto"/>
          <w:szCs w:val="24"/>
          <w:highlight w:val="none"/>
        </w:rPr>
        <w:t>内，牛羊粪便</w:t>
      </w:r>
      <w:r>
        <w:rPr>
          <w:rFonts w:hint="eastAsia" w:cs="Times New Roman"/>
          <w:color w:val="auto"/>
          <w:szCs w:val="24"/>
          <w:highlight w:val="none"/>
          <w:lang w:val="en-US" w:eastAsia="zh-CN"/>
        </w:rPr>
        <w:t>及边角料</w:t>
      </w:r>
      <w:r>
        <w:rPr>
          <w:rFonts w:cs="Times New Roman"/>
          <w:color w:val="auto"/>
          <w:szCs w:val="24"/>
          <w:highlight w:val="none"/>
        </w:rPr>
        <w:t>富含有机质、氮、磷、钾及多种微量元素，</w:t>
      </w:r>
      <w:r>
        <w:rPr>
          <w:rFonts w:hint="eastAsia" w:cs="Times New Roman"/>
          <w:color w:val="auto"/>
          <w:szCs w:val="24"/>
          <w:highlight w:val="none"/>
          <w:lang w:val="en-US" w:eastAsia="zh-CN"/>
        </w:rPr>
        <w:t>边角料、</w:t>
      </w:r>
      <w:r>
        <w:rPr>
          <w:rFonts w:cs="Times New Roman"/>
          <w:color w:val="auto"/>
          <w:szCs w:val="24"/>
          <w:highlight w:val="none"/>
        </w:rPr>
        <w:t>胃容物及肠内物纤维含量高、杂质多</w:t>
      </w:r>
      <w:r>
        <w:rPr>
          <w:rFonts w:hint="eastAsia" w:cs="Times New Roman"/>
          <w:color w:val="auto"/>
          <w:szCs w:val="24"/>
          <w:highlight w:val="none"/>
          <w:lang w:eastAsia="zh-CN"/>
        </w:rPr>
        <w:t>，</w:t>
      </w:r>
      <w:r>
        <w:rPr>
          <w:rFonts w:hint="eastAsia" w:cs="Times New Roman"/>
          <w:color w:val="auto"/>
          <w:szCs w:val="24"/>
          <w:highlight w:val="none"/>
          <w:lang w:val="en-US" w:eastAsia="zh-CN"/>
        </w:rPr>
        <w:t>以上均可外售作为</w:t>
      </w:r>
      <w:r>
        <w:rPr>
          <w:rFonts w:cs="Times New Roman"/>
          <w:color w:val="auto"/>
          <w:szCs w:val="24"/>
          <w:highlight w:val="none"/>
        </w:rPr>
        <w:t>优质的有机肥原料；生活垃圾分类收集于专用垃圾桶后，</w:t>
      </w:r>
      <w:r>
        <w:rPr>
          <w:rFonts w:hint="eastAsia" w:cs="Times New Roman"/>
          <w:color w:val="auto"/>
          <w:szCs w:val="24"/>
          <w:highlight w:val="none"/>
          <w:lang w:eastAsia="zh-CN"/>
        </w:rPr>
        <w:t>由市政环卫部门统一清运</w:t>
      </w:r>
      <w:r>
        <w:rPr>
          <w:rFonts w:cs="Times New Roman"/>
          <w:color w:val="auto"/>
          <w:szCs w:val="24"/>
          <w:highlight w:val="none"/>
        </w:rPr>
        <w:t>；脱水污泥（含栅渣）送</w:t>
      </w:r>
      <w:r>
        <w:rPr>
          <w:rFonts w:hint="eastAsia" w:cs="Times New Roman"/>
          <w:color w:val="auto"/>
          <w:szCs w:val="24"/>
          <w:highlight w:val="none"/>
          <w:lang w:val="en-US" w:eastAsia="zh-CN"/>
        </w:rPr>
        <w:t>至有能力处置单位进行处理</w:t>
      </w:r>
      <w:r>
        <w:rPr>
          <w:rFonts w:cs="Times New Roman"/>
          <w:color w:val="auto"/>
          <w:szCs w:val="24"/>
          <w:highlight w:val="none"/>
        </w:rPr>
        <w:t>；检疫不合格品、病死牛羊，集中收集</w:t>
      </w:r>
      <w:r>
        <w:rPr>
          <w:rFonts w:hint="eastAsia" w:cs="Times New Roman"/>
          <w:color w:val="auto"/>
          <w:szCs w:val="24"/>
          <w:highlight w:val="none"/>
          <w:lang w:val="en-US" w:eastAsia="zh-CN"/>
        </w:rPr>
        <w:t>至固体废物暂存点冷藏箱内，</w:t>
      </w:r>
      <w:r>
        <w:rPr>
          <w:rFonts w:cs="Times New Roman"/>
          <w:color w:val="auto"/>
          <w:szCs w:val="24"/>
          <w:highlight w:val="none"/>
        </w:rPr>
        <w:t>当天</w:t>
      </w:r>
      <w:r>
        <w:rPr>
          <w:rFonts w:hint="eastAsia" w:cs="Times New Roman"/>
          <w:color w:val="auto"/>
          <w:szCs w:val="24"/>
          <w:highlight w:val="none"/>
          <w:lang w:eastAsia="zh-CN"/>
        </w:rPr>
        <w:t>由双鸭山百奥迈斯生物科技有限公司</w:t>
      </w:r>
      <w:r>
        <w:rPr>
          <w:rFonts w:hint="eastAsia" w:cs="Times New Roman"/>
          <w:color w:val="auto"/>
          <w:szCs w:val="24"/>
          <w:highlight w:val="none"/>
          <w:lang w:val="en-US" w:eastAsia="zh-CN"/>
        </w:rPr>
        <w:t>拉运处置</w:t>
      </w:r>
      <w:r>
        <w:rPr>
          <w:rFonts w:cs="Times New Roman"/>
          <w:color w:val="auto"/>
          <w:szCs w:val="24"/>
          <w:highlight w:val="none"/>
        </w:rPr>
        <w:t>，</w:t>
      </w:r>
      <w:r>
        <w:rPr>
          <w:rFonts w:cs="Times New Roman"/>
          <w:snapToGrid w:val="0"/>
          <w:color w:val="auto"/>
          <w:kern w:val="0"/>
          <w:szCs w:val="24"/>
          <w:highlight w:val="none"/>
        </w:rPr>
        <w:t>处置方式需符合《病死及病害动物无害化处理技术规范》（农医发[2017]25号）</w:t>
      </w:r>
      <w:r>
        <w:rPr>
          <w:rFonts w:hint="eastAsia" w:cs="Times New Roman"/>
          <w:snapToGrid w:val="0"/>
          <w:color w:val="auto"/>
          <w:kern w:val="0"/>
          <w:szCs w:val="24"/>
          <w:highlight w:val="none"/>
          <w:lang w:eastAsia="zh-CN"/>
        </w:rPr>
        <w:t>。</w:t>
      </w:r>
      <w:r>
        <w:rPr>
          <w:rFonts w:hint="eastAsia" w:cs="Times New Roman"/>
          <w:color w:val="auto"/>
          <w:szCs w:val="24"/>
          <w:highlight w:val="none"/>
          <w:lang w:val="en-US" w:eastAsia="zh-CN"/>
        </w:rPr>
        <w:t>该</w:t>
      </w:r>
      <w:r>
        <w:rPr>
          <w:rFonts w:hint="eastAsia" w:cs="Times New Roman"/>
          <w:snapToGrid w:val="0"/>
          <w:color w:val="auto"/>
          <w:kern w:val="0"/>
          <w:szCs w:val="24"/>
          <w:highlight w:val="none"/>
          <w:lang w:val="en-US" w:eastAsia="zh-CN"/>
        </w:rPr>
        <w:t>公司主营</w:t>
      </w:r>
      <w:r>
        <w:rPr>
          <w:rFonts w:cs="Times New Roman"/>
          <w:snapToGrid w:val="0"/>
          <w:color w:val="auto"/>
          <w:kern w:val="0"/>
          <w:szCs w:val="24"/>
          <w:highlight w:val="none"/>
        </w:rPr>
        <w:t>生物科学技术研究服务，畜禽养殖废弃物无害化利用，畜禽尸体处理服</w:t>
      </w:r>
      <w:r>
        <w:rPr>
          <w:rFonts w:hint="eastAsia" w:cs="Times New Roman"/>
          <w:snapToGrid w:val="0"/>
          <w:color w:val="auto"/>
          <w:kern w:val="0"/>
          <w:szCs w:val="24"/>
          <w:highlight w:val="none"/>
          <w:lang w:val="en-US" w:eastAsia="zh-CN"/>
        </w:rPr>
        <w:t>务，病死畜禽收集暂存转运服务等。本项目无害化处置一坨可行。协议见附件5</w:t>
      </w:r>
      <w:r>
        <w:rPr>
          <w:rFonts w:cs="Times New Roman"/>
          <w:color w:val="auto"/>
          <w:szCs w:val="24"/>
          <w:highlight w:val="none"/>
        </w:rPr>
        <w:t>；废包装集中收集，定期外售综合利用</w:t>
      </w:r>
      <w:r>
        <w:rPr>
          <w:rFonts w:hint="eastAsia" w:cs="Times New Roman"/>
          <w:color w:val="auto"/>
          <w:szCs w:val="24"/>
          <w:highlight w:val="none"/>
          <w:lang w:eastAsia="zh-CN"/>
        </w:rPr>
        <w:t>。</w:t>
      </w:r>
      <w:r>
        <w:rPr>
          <w:rFonts w:cs="Times New Roman"/>
          <w:color w:val="auto"/>
          <w:szCs w:val="24"/>
          <w:highlight w:val="none"/>
        </w:rPr>
        <w:t>废活性炭</w:t>
      </w:r>
      <w:r>
        <w:rPr>
          <w:rFonts w:hint="eastAsia" w:cs="Times New Roman"/>
          <w:color w:val="auto"/>
          <w:szCs w:val="24"/>
          <w:highlight w:val="none"/>
          <w:lang w:eastAsia="zh-CN"/>
        </w:rPr>
        <w:t>、</w:t>
      </w:r>
      <w:r>
        <w:rPr>
          <w:rFonts w:cs="Times New Roman"/>
          <w:color w:val="auto"/>
          <w:szCs w:val="24"/>
          <w:highlight w:val="none"/>
        </w:rPr>
        <w:t>检疫废物</w:t>
      </w:r>
      <w:r>
        <w:rPr>
          <w:rFonts w:hint="eastAsia" w:cs="Times New Roman"/>
          <w:color w:val="auto"/>
          <w:szCs w:val="24"/>
          <w:highlight w:val="none"/>
          <w:lang w:eastAsia="zh-CN"/>
        </w:rPr>
        <w:t>、</w:t>
      </w:r>
      <w:r>
        <w:rPr>
          <w:rFonts w:hint="eastAsia" w:cs="Times New Roman"/>
          <w:color w:val="auto"/>
          <w:szCs w:val="24"/>
          <w:highlight w:val="none"/>
          <w:lang w:val="en-US" w:eastAsia="zh-CN"/>
        </w:rPr>
        <w:t>废润滑油分别</w:t>
      </w:r>
      <w:r>
        <w:rPr>
          <w:rFonts w:cs="Times New Roman"/>
          <w:color w:val="auto"/>
          <w:szCs w:val="24"/>
          <w:highlight w:val="none"/>
        </w:rPr>
        <w:t>集中收集，定期</w:t>
      </w:r>
      <w:r>
        <w:rPr>
          <w:rFonts w:hint="eastAsia" w:cs="Times New Roman"/>
          <w:snapToGrid w:val="0"/>
          <w:color w:val="auto"/>
          <w:kern w:val="0"/>
          <w:szCs w:val="24"/>
          <w:highlight w:val="none"/>
          <w:lang w:eastAsia="zh-CN"/>
        </w:rPr>
        <w:t>由有资质的单位处置；含油抹布、劳保手套</w:t>
      </w:r>
      <w:r>
        <w:rPr>
          <w:rFonts w:hint="eastAsia" w:cs="Times New Roman"/>
          <w:snapToGrid w:val="0"/>
          <w:color w:val="auto"/>
          <w:kern w:val="0"/>
          <w:szCs w:val="24"/>
          <w:highlight w:val="none"/>
          <w:lang w:val="en-US" w:eastAsia="zh-CN"/>
        </w:rPr>
        <w:t>集中收集，定期由有资质的单位处置</w:t>
      </w:r>
      <w:r>
        <w:rPr>
          <w:rFonts w:hint="eastAsia" w:cs="Times New Roman"/>
          <w:snapToGrid w:val="0"/>
          <w:color w:val="auto"/>
          <w:kern w:val="0"/>
          <w:szCs w:val="24"/>
          <w:highlight w:val="none"/>
          <w:lang w:eastAsia="zh-CN"/>
        </w:rPr>
        <w:t>。</w:t>
      </w:r>
    </w:p>
    <w:p w14:paraId="4F20A1FD">
      <w:pPr>
        <w:widowControl/>
        <w:spacing w:line="500" w:lineRule="exact"/>
        <w:rPr>
          <w:rFonts w:cs="Times New Roman"/>
          <w:color w:val="auto"/>
          <w:kern w:val="0"/>
          <w:szCs w:val="24"/>
          <w:highlight w:val="none"/>
          <w:lang w:bidi="ar"/>
        </w:rPr>
      </w:pPr>
      <w:r>
        <w:rPr>
          <w:rFonts w:cs="Times New Roman"/>
          <w:snapToGrid w:val="0"/>
          <w:color w:val="auto"/>
          <w:kern w:val="0"/>
          <w:szCs w:val="24"/>
          <w:highlight w:val="none"/>
        </w:rPr>
        <w:t>通过以上措施，建设项目产生的固体废物均得到了妥善处置和利用，不会对环境产生有害影响。</w:t>
      </w:r>
    </w:p>
    <w:p w14:paraId="69EB898C">
      <w:pPr>
        <w:widowControl/>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6、清洁生产管理措施</w:t>
      </w:r>
    </w:p>
    <w:p w14:paraId="2ADE08CB">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①制定利于清洁生产的管理制度和岗位操作章程。</w:t>
      </w:r>
    </w:p>
    <w:p w14:paraId="03A05029">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②制定专门管理制度好可持续清洁生产计划。</w:t>
      </w:r>
    </w:p>
    <w:p w14:paraId="07ECC837">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③对员工进行严格岗前培训，树立其清洁生产意识。</w:t>
      </w:r>
    </w:p>
    <w:p w14:paraId="3C58C590">
      <w:pPr>
        <w:widowControl/>
        <w:spacing w:line="500" w:lineRule="exact"/>
        <w:ind w:firstLine="482"/>
        <w:rPr>
          <w:rFonts w:cs="Times New Roman"/>
          <w:b/>
          <w:bCs/>
          <w:color w:val="auto"/>
          <w:kern w:val="0"/>
          <w:szCs w:val="24"/>
          <w:highlight w:val="none"/>
          <w:lang w:bidi="ar"/>
        </w:rPr>
      </w:pPr>
      <w:r>
        <w:rPr>
          <w:rFonts w:cs="Times New Roman"/>
          <w:b/>
          <w:bCs/>
          <w:color w:val="auto"/>
          <w:kern w:val="0"/>
          <w:szCs w:val="24"/>
          <w:highlight w:val="none"/>
          <w:lang w:bidi="ar"/>
        </w:rPr>
        <w:t>7、清洁生产结论</w:t>
      </w:r>
    </w:p>
    <w:p w14:paraId="7956B9DF">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综上所述，拟建项目符合当前相关产业清洁生产的要求，项目生产工艺与装备水平、资源能源利用指标、产品指标、污染物产生指标、废物处理与综合利用指标和环境管理要求等方面均可达到国内先进水平，满足清洁生产要求。</w:t>
      </w:r>
    </w:p>
    <w:p w14:paraId="23CA6547">
      <w:pPr>
        <w:widowControl/>
        <w:rPr>
          <w:rFonts w:cs="Times New Roman"/>
          <w:color w:val="auto"/>
          <w:kern w:val="0"/>
          <w:szCs w:val="24"/>
          <w:highlight w:val="none"/>
          <w:lang w:bidi="ar"/>
        </w:rPr>
      </w:pPr>
    </w:p>
    <w:p w14:paraId="34E7899A">
      <w:pPr>
        <w:ind w:firstLine="0" w:firstLineChars="0"/>
        <w:rPr>
          <w:rFonts w:cs="Times New Roman"/>
          <w:color w:val="auto"/>
          <w:highlight w:val="none"/>
        </w:rPr>
      </w:pPr>
    </w:p>
    <w:p w14:paraId="6887A793">
      <w:pPr>
        <w:pStyle w:val="117"/>
        <w:rPr>
          <w:rFonts w:cs="Times New Roman"/>
          <w:snapToGrid w:val="0"/>
          <w:color w:val="auto"/>
          <w:highlight w:val="none"/>
        </w:rPr>
        <w:sectPr>
          <w:pgSz w:w="11906" w:h="16838"/>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18D5BABC">
      <w:pPr>
        <w:pStyle w:val="2"/>
        <w:rPr>
          <w:rFonts w:cs="Times New Roman"/>
          <w:color w:val="auto"/>
          <w:highlight w:val="none"/>
        </w:rPr>
      </w:pPr>
      <w:bookmarkStart w:id="144" w:name="_Toc10835"/>
      <w:r>
        <w:rPr>
          <w:rFonts w:cs="Times New Roman"/>
          <w:color w:val="auto"/>
          <w:highlight w:val="none"/>
        </w:rPr>
        <w:t>4环境现状调查与评价</w:t>
      </w:r>
      <w:bookmarkEnd w:id="6"/>
      <w:bookmarkEnd w:id="144"/>
    </w:p>
    <w:p w14:paraId="1CA786B7">
      <w:pPr>
        <w:pStyle w:val="3"/>
        <w:spacing w:before="163" w:after="163"/>
        <w:rPr>
          <w:rFonts w:cs="Times New Roman"/>
          <w:color w:val="auto"/>
          <w:highlight w:val="none"/>
          <w:lang w:val="zh-CN"/>
        </w:rPr>
      </w:pPr>
      <w:bookmarkStart w:id="145" w:name="_Toc57412930"/>
      <w:bookmarkStart w:id="146" w:name="_Toc3121136"/>
      <w:bookmarkStart w:id="147" w:name="_Toc3867"/>
      <w:bookmarkStart w:id="148" w:name="_Toc244330526"/>
      <w:bookmarkStart w:id="149" w:name="_Toc244329286"/>
      <w:bookmarkStart w:id="150" w:name="_Toc244330360"/>
      <w:bookmarkStart w:id="151" w:name="_Toc422224741"/>
      <w:bookmarkStart w:id="152" w:name="_Toc402352943"/>
      <w:r>
        <w:rPr>
          <w:rFonts w:cs="Times New Roman"/>
          <w:color w:val="auto"/>
          <w:highlight w:val="none"/>
          <w:lang w:val="zh-CN"/>
        </w:rPr>
        <w:t>4.1 自然环境现状调查与评价</w:t>
      </w:r>
      <w:bookmarkEnd w:id="145"/>
      <w:bookmarkEnd w:id="146"/>
      <w:bookmarkEnd w:id="147"/>
    </w:p>
    <w:p w14:paraId="2FFF79F6">
      <w:pPr>
        <w:pStyle w:val="4"/>
        <w:spacing w:after="163"/>
        <w:rPr>
          <w:rFonts w:cs="Times New Roman"/>
          <w:color w:val="auto"/>
          <w:highlight w:val="none"/>
          <w:lang w:val="zh-CN"/>
        </w:rPr>
      </w:pPr>
      <w:bookmarkStart w:id="153" w:name="_Toc3899"/>
      <w:r>
        <w:rPr>
          <w:rFonts w:cs="Times New Roman"/>
          <w:color w:val="auto"/>
          <w:highlight w:val="none"/>
          <w:lang w:val="zh-CN"/>
        </w:rPr>
        <w:t>4.1.1 地理位置</w:t>
      </w:r>
      <w:bookmarkEnd w:id="153"/>
    </w:p>
    <w:bookmarkEnd w:id="148"/>
    <w:bookmarkEnd w:id="149"/>
    <w:bookmarkEnd w:id="150"/>
    <w:bookmarkEnd w:id="151"/>
    <w:bookmarkEnd w:id="152"/>
    <w:p w14:paraId="61D88B4E">
      <w:pPr>
        <w:rPr>
          <w:rFonts w:cs="Times New Roman"/>
          <w:color w:val="auto"/>
          <w:highlight w:val="none"/>
        </w:rPr>
      </w:pPr>
      <w:bookmarkStart w:id="154" w:name="_Toc244330362"/>
      <w:bookmarkStart w:id="155" w:name="_Toc402352946"/>
      <w:bookmarkStart w:id="156" w:name="_Toc244330528"/>
      <w:bookmarkStart w:id="157" w:name="_Toc422224744"/>
      <w:bookmarkStart w:id="158" w:name="_Toc244329288"/>
      <w:r>
        <w:rPr>
          <w:rFonts w:cs="Times New Roman"/>
          <w:color w:val="auto"/>
          <w:highlight w:val="none"/>
        </w:rPr>
        <w:t>双鸭山市位于中国黑龙江省东北部，地处完达山北麓、三江平原南缘，东隔乌苏里江与俄罗斯相望，介于东经130°38′57″～134°20′20″，北纬45°47′08″～47°34′28″，境内平原宽广，丘陵起伏，群山绵延，</w:t>
      </w:r>
      <w:r>
        <w:rPr>
          <w:rFonts w:hint="default" w:cs="Times New Roman"/>
          <w:color w:val="auto"/>
          <w:highlight w:val="none"/>
        </w:rPr>
        <w:t> 是黑龙江省重要的煤炭、电力、化工、钢铁和粮食生产基地，被誉为“黑土湿地之都、绿色生态之城”。</w:t>
      </w:r>
    </w:p>
    <w:p w14:paraId="74C81DCC">
      <w:pPr>
        <w:rPr>
          <w:rFonts w:cs="Times New Roman"/>
          <w:snapToGrid w:val="0"/>
          <w:color w:val="auto"/>
          <w:kern w:val="0"/>
          <w:highlight w:val="none"/>
        </w:rPr>
      </w:pPr>
      <w:r>
        <w:rPr>
          <w:rFonts w:cs="Times New Roman"/>
          <w:snapToGrid w:val="0"/>
          <w:color w:val="auto"/>
          <w:kern w:val="0"/>
          <w:highlight w:val="none"/>
        </w:rPr>
        <w:t>本项目位于</w:t>
      </w:r>
      <w:r>
        <w:rPr>
          <w:rFonts w:hint="eastAsia" w:ascii="Times New Roman" w:hAnsi="Times New Roman" w:cs="Times New Roman"/>
          <w:snapToGrid w:val="0"/>
          <w:color w:val="auto"/>
          <w:kern w:val="0"/>
          <w:szCs w:val="24"/>
          <w:highlight w:val="none"/>
          <w:lang w:val="en-US" w:eastAsia="zh-CN"/>
        </w:rPr>
        <w:t>双鸭山市岭东区长胜乡东兴村</w:t>
      </w:r>
      <w:r>
        <w:rPr>
          <w:rFonts w:cs="Times New Roman"/>
          <w:color w:val="auto"/>
          <w:highlight w:val="none"/>
        </w:rPr>
        <w:t>，</w:t>
      </w:r>
      <w:r>
        <w:rPr>
          <w:rFonts w:cs="Times New Roman"/>
          <w:snapToGrid w:val="0"/>
          <w:color w:val="auto"/>
          <w:kern w:val="0"/>
          <w:highlight w:val="none"/>
        </w:rPr>
        <w:t>项目地理位置图见附图1。</w:t>
      </w:r>
    </w:p>
    <w:bookmarkEnd w:id="154"/>
    <w:bookmarkEnd w:id="155"/>
    <w:bookmarkEnd w:id="156"/>
    <w:bookmarkEnd w:id="157"/>
    <w:bookmarkEnd w:id="158"/>
    <w:p w14:paraId="40150F0D">
      <w:pPr>
        <w:pStyle w:val="4"/>
        <w:spacing w:after="163"/>
        <w:rPr>
          <w:rFonts w:cs="Times New Roman"/>
          <w:color w:val="auto"/>
          <w:highlight w:val="none"/>
          <w:lang w:val="zh-CN"/>
        </w:rPr>
      </w:pPr>
      <w:bookmarkStart w:id="159" w:name="_Toc20128"/>
      <w:r>
        <w:rPr>
          <w:rFonts w:cs="Times New Roman"/>
          <w:color w:val="auto"/>
          <w:highlight w:val="none"/>
          <w:lang w:val="zh-CN"/>
        </w:rPr>
        <w:t>4.1.2 地形地貌</w:t>
      </w:r>
      <w:bookmarkEnd w:id="159"/>
    </w:p>
    <w:p w14:paraId="609B530F">
      <w:pPr>
        <w:pageBreakBefore w:val="0"/>
        <w:widowControl w:val="0"/>
        <w:kinsoku/>
        <w:wordWrap/>
        <w:overflowPunct/>
        <w:topLinePunct w:val="0"/>
        <w:autoSpaceDE/>
        <w:autoSpaceDN/>
        <w:bidi w:val="0"/>
        <w:adjustRightInd w:val="0"/>
        <w:snapToGrid w:val="0"/>
        <w:spacing w:line="520" w:lineRule="exact"/>
        <w:textAlignment w:val="auto"/>
        <w:rPr>
          <w:rFonts w:hint="eastAsia" w:ascii="Times New Roman" w:hAnsi="Times New Roman" w:cs="Times New Roman"/>
          <w:snapToGrid w:val="0"/>
          <w:color w:val="auto"/>
          <w:kern w:val="0"/>
          <w:szCs w:val="24"/>
          <w:highlight w:val="none"/>
          <w:lang w:val="en-US" w:eastAsia="zh-CN"/>
        </w:rPr>
      </w:pPr>
      <w:r>
        <w:rPr>
          <w:rFonts w:hint="eastAsia" w:ascii="Times New Roman" w:hAnsi="Times New Roman" w:cs="Times New Roman"/>
          <w:snapToGrid w:val="0"/>
          <w:color w:val="auto"/>
          <w:kern w:val="0"/>
          <w:szCs w:val="24"/>
          <w:highlight w:val="none"/>
          <w:lang w:val="en-US" w:eastAsia="zh-CN"/>
        </w:rPr>
        <w:t>双鸭山市地处完达山脉北麓的低山丘陵区，属古老山地，坡度平缓、山头低矮，山上泥土肥厚，生长着阔叶和针阙叶混交林。境内地势西南高、东北低，平均海拔450米。市境南部为山地，西南部海拔高度在500至600米左右，只有七星砬子和十二道坝南山分别高达852米和755米，切割深度在200至400米之间，属低山区。随山地走向成西东、南北山谷共45条，较大的山谷4条。市区的北部为丘陵地带，地面波状起伏，独立小山较多，海拔高度除双鸭山406米、大山426米外，其它均在200至300米左右，切割深度多在数十米至百米不等，北部最低海拔高度108米，成东西长形地带。山脉主要分布在市区南部，全市共有大小山头101个，主要展布在北、南、东北和西北方向，均属完达山脉分水岗南北延伸的支脉。有5条河流蜿蜒其间，大体为八山半水、一丹半田。</w:t>
      </w:r>
    </w:p>
    <w:p w14:paraId="12970CE4">
      <w:pPr>
        <w:pStyle w:val="4"/>
        <w:pageBreakBefore w:val="0"/>
        <w:widowControl w:val="0"/>
        <w:kinsoku/>
        <w:wordWrap/>
        <w:overflowPunct/>
        <w:topLinePunct w:val="0"/>
        <w:autoSpaceDE/>
        <w:autoSpaceDN/>
        <w:bidi w:val="0"/>
        <w:adjustRightInd w:val="0"/>
        <w:snapToGrid w:val="0"/>
        <w:spacing w:after="163" w:line="520" w:lineRule="exact"/>
        <w:textAlignment w:val="auto"/>
        <w:rPr>
          <w:rFonts w:cs="Times New Roman"/>
          <w:color w:val="auto"/>
          <w:highlight w:val="none"/>
          <w:lang w:val="zh-CN"/>
        </w:rPr>
      </w:pPr>
      <w:bookmarkStart w:id="160" w:name="_Toc12179"/>
      <w:r>
        <w:rPr>
          <w:rFonts w:cs="Times New Roman"/>
          <w:color w:val="auto"/>
          <w:highlight w:val="none"/>
          <w:lang w:val="zh-CN"/>
        </w:rPr>
        <w:t>4.1.3 气候、气象</w:t>
      </w:r>
      <w:bookmarkEnd w:id="160"/>
    </w:p>
    <w:p w14:paraId="74E8AC88">
      <w:pPr>
        <w:pageBreakBefore w:val="0"/>
        <w:widowControl w:val="0"/>
        <w:kinsoku/>
        <w:wordWrap/>
        <w:overflowPunct/>
        <w:topLinePunct w:val="0"/>
        <w:autoSpaceDE/>
        <w:autoSpaceDN/>
        <w:bidi w:val="0"/>
        <w:adjustRightInd w:val="0"/>
        <w:snapToGrid w:val="0"/>
        <w:spacing w:line="520" w:lineRule="exact"/>
        <w:textAlignment w:val="auto"/>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双鸭山市地处北半球中高纬度地区，属湿润寒温带大陆性季风气候，冬季漫长而寒冷，常受西伯利亚寒流影响，夏季短促而温暖，春秋两季气候多变，且昼夜温差较大，春季回暖快而多风、干旱，秋季时有暴雨霜冻。</w:t>
      </w:r>
    </w:p>
    <w:p w14:paraId="1FAFA60A">
      <w:pPr>
        <w:pageBreakBefore w:val="0"/>
        <w:widowControl w:val="0"/>
        <w:kinsoku/>
        <w:wordWrap/>
        <w:overflowPunct/>
        <w:topLinePunct w:val="0"/>
        <w:autoSpaceDE/>
        <w:autoSpaceDN/>
        <w:bidi w:val="0"/>
        <w:adjustRightInd w:val="0"/>
        <w:snapToGrid w:val="0"/>
        <w:spacing w:line="520" w:lineRule="exact"/>
        <w:textAlignment w:val="auto"/>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项目采用的是双鸭山气象站（50884）资料，该气象站地理坐标为东经131.15度，北纬46.66度，海拔高度175.3m，是距项目最近的国家气象站，拥有长期的气象观测资料，以下资料根据2005-2024年气象数据统计分析。</w:t>
      </w:r>
    </w:p>
    <w:p w14:paraId="6BB22E9A">
      <w:pPr>
        <w:widowControl/>
        <w:spacing w:before="163" w:beforeLines="50" w:line="240" w:lineRule="auto"/>
        <w:ind w:firstLine="0" w:firstLineChars="0"/>
        <w:jc w:val="center"/>
        <w:rPr>
          <w:rFonts w:hint="default" w:cs="Times New Roman"/>
          <w:b/>
          <w:color w:val="auto"/>
          <w:szCs w:val="24"/>
          <w:highlight w:val="none"/>
          <w:lang w:val="zh-CN" w:eastAsia="zh-CN"/>
        </w:rPr>
      </w:pPr>
      <w:r>
        <w:rPr>
          <w:rFonts w:hint="default" w:cs="Times New Roman"/>
          <w:b/>
          <w:color w:val="auto"/>
          <w:szCs w:val="24"/>
          <w:highlight w:val="none"/>
          <w:lang w:val="zh-CN" w:eastAsia="zh-CN"/>
        </w:rPr>
        <w:t>表</w:t>
      </w:r>
      <w:r>
        <w:rPr>
          <w:rFonts w:hint="eastAsia" w:cs="Times New Roman"/>
          <w:b/>
          <w:color w:val="auto"/>
          <w:szCs w:val="24"/>
          <w:highlight w:val="none"/>
          <w:lang w:val="en-US" w:eastAsia="zh-CN"/>
        </w:rPr>
        <w:t>4.</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1  </w:t>
      </w:r>
      <w:r>
        <w:rPr>
          <w:rFonts w:hint="default" w:cs="Times New Roman"/>
          <w:b/>
          <w:color w:val="auto"/>
          <w:szCs w:val="24"/>
          <w:highlight w:val="none"/>
          <w:lang w:val="zh-CN" w:eastAsia="zh-CN"/>
        </w:rPr>
        <w:t>双鸭山气象站常规气象项目统计（2005-2024年）</w:t>
      </w:r>
    </w:p>
    <w:tbl>
      <w:tblPr>
        <w:tblStyle w:val="39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2837"/>
        <w:gridCol w:w="1984"/>
        <w:gridCol w:w="1701"/>
        <w:gridCol w:w="1134"/>
      </w:tblGrid>
      <w:tr w14:paraId="7592DF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12813FB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统计项目</w:t>
            </w:r>
          </w:p>
        </w:tc>
        <w:tc>
          <w:tcPr>
            <w:tcW w:w="1164" w:type="pct"/>
            <w:noWrap w:val="0"/>
            <w:vAlign w:val="center"/>
          </w:tcPr>
          <w:p w14:paraId="78D8AA6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统计值</w:t>
            </w:r>
          </w:p>
        </w:tc>
        <w:tc>
          <w:tcPr>
            <w:tcW w:w="998" w:type="pct"/>
            <w:noWrap w:val="0"/>
            <w:vAlign w:val="center"/>
          </w:tcPr>
          <w:p w14:paraId="5A09AB4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极值出现时间</w:t>
            </w:r>
          </w:p>
        </w:tc>
        <w:tc>
          <w:tcPr>
            <w:tcW w:w="665" w:type="pct"/>
            <w:noWrap w:val="0"/>
            <w:vAlign w:val="center"/>
          </w:tcPr>
          <w:p w14:paraId="7521EE0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极值</w:t>
            </w:r>
          </w:p>
        </w:tc>
      </w:tr>
      <w:tr w14:paraId="7A9E8C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3330E31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多年平均气温（℃）</w:t>
            </w:r>
          </w:p>
        </w:tc>
        <w:tc>
          <w:tcPr>
            <w:tcW w:w="1164" w:type="pct"/>
            <w:noWrap w:val="0"/>
            <w:vAlign w:val="center"/>
          </w:tcPr>
          <w:p w14:paraId="5EA073A8">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en-US" w:eastAsia="zh-CN"/>
              </w:rPr>
              <w:t>5.1</w:t>
            </w:r>
          </w:p>
        </w:tc>
        <w:tc>
          <w:tcPr>
            <w:tcW w:w="998" w:type="pct"/>
            <w:noWrap w:val="0"/>
            <w:vAlign w:val="center"/>
          </w:tcPr>
          <w:p w14:paraId="5004D6E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665" w:type="pct"/>
            <w:noWrap w:val="0"/>
            <w:vAlign w:val="center"/>
          </w:tcPr>
          <w:p w14:paraId="5506B06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29D987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0F2C975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累年极端最高气温（℃）</w:t>
            </w:r>
          </w:p>
        </w:tc>
        <w:tc>
          <w:tcPr>
            <w:tcW w:w="1164" w:type="pct"/>
            <w:noWrap w:val="0"/>
            <w:vAlign w:val="center"/>
          </w:tcPr>
          <w:p w14:paraId="7CEB64C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34.</w:t>
            </w:r>
            <w:r>
              <w:rPr>
                <w:rFonts w:hint="default" w:ascii="Times New Roman" w:hAnsi="Times New Roman" w:cs="Times New Roman"/>
                <w:snapToGrid w:val="0"/>
                <w:color w:val="auto"/>
                <w:highlight w:val="none"/>
                <w:lang w:val="en-US" w:eastAsia="zh-CN"/>
              </w:rPr>
              <w:t>3</w:t>
            </w:r>
          </w:p>
        </w:tc>
        <w:tc>
          <w:tcPr>
            <w:tcW w:w="998" w:type="pct"/>
            <w:noWrap w:val="0"/>
            <w:vAlign w:val="center"/>
          </w:tcPr>
          <w:p w14:paraId="278C194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2010.6.26</w:t>
            </w:r>
          </w:p>
        </w:tc>
        <w:tc>
          <w:tcPr>
            <w:tcW w:w="665" w:type="pct"/>
            <w:noWrap w:val="0"/>
            <w:vAlign w:val="center"/>
          </w:tcPr>
          <w:p w14:paraId="36DFB44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37.2</w:t>
            </w:r>
          </w:p>
        </w:tc>
      </w:tr>
      <w:tr w14:paraId="65C21C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2EC7EBA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累年极端最低气温（℃）</w:t>
            </w:r>
          </w:p>
        </w:tc>
        <w:tc>
          <w:tcPr>
            <w:tcW w:w="1164" w:type="pct"/>
            <w:noWrap w:val="0"/>
            <w:vAlign w:val="center"/>
          </w:tcPr>
          <w:p w14:paraId="5DE093D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-26.</w:t>
            </w:r>
            <w:r>
              <w:rPr>
                <w:rFonts w:hint="default" w:ascii="Times New Roman" w:hAnsi="Times New Roman" w:cs="Times New Roman"/>
                <w:snapToGrid w:val="0"/>
                <w:color w:val="auto"/>
                <w:highlight w:val="none"/>
                <w:lang w:val="en-US" w:eastAsia="zh-CN"/>
              </w:rPr>
              <w:t>8</w:t>
            </w:r>
          </w:p>
        </w:tc>
        <w:tc>
          <w:tcPr>
            <w:tcW w:w="998" w:type="pct"/>
            <w:noWrap w:val="0"/>
            <w:vAlign w:val="center"/>
          </w:tcPr>
          <w:p w14:paraId="4A98D9B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2010.0.13</w:t>
            </w:r>
          </w:p>
        </w:tc>
        <w:tc>
          <w:tcPr>
            <w:tcW w:w="665" w:type="pct"/>
            <w:noWrap w:val="0"/>
            <w:vAlign w:val="center"/>
          </w:tcPr>
          <w:p w14:paraId="5CB142B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-30.2</w:t>
            </w:r>
          </w:p>
        </w:tc>
      </w:tr>
      <w:tr w14:paraId="3D3F89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42CDB53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多年平均气压（hPa）</w:t>
            </w:r>
          </w:p>
        </w:tc>
        <w:tc>
          <w:tcPr>
            <w:tcW w:w="1164" w:type="pct"/>
            <w:noWrap w:val="0"/>
            <w:vAlign w:val="center"/>
          </w:tcPr>
          <w:p w14:paraId="0FE9C9E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992.0</w:t>
            </w:r>
          </w:p>
        </w:tc>
        <w:tc>
          <w:tcPr>
            <w:tcW w:w="1701" w:type="dxa"/>
            <w:noWrap w:val="0"/>
            <w:vAlign w:val="center"/>
          </w:tcPr>
          <w:p w14:paraId="461CEF5E">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1C3B3838">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58A381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703D9A4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多年平均水汽压（hPa）</w:t>
            </w:r>
          </w:p>
        </w:tc>
        <w:tc>
          <w:tcPr>
            <w:tcW w:w="1164" w:type="pct"/>
            <w:noWrap w:val="0"/>
            <w:vAlign w:val="center"/>
          </w:tcPr>
          <w:p w14:paraId="71FE0EE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8.</w:t>
            </w:r>
            <w:r>
              <w:rPr>
                <w:rFonts w:hint="default" w:ascii="Times New Roman" w:hAnsi="Times New Roman" w:cs="Times New Roman"/>
                <w:snapToGrid w:val="0"/>
                <w:color w:val="auto"/>
                <w:highlight w:val="none"/>
                <w:lang w:val="en-US" w:eastAsia="zh-CN"/>
              </w:rPr>
              <w:t>1</w:t>
            </w:r>
          </w:p>
        </w:tc>
        <w:tc>
          <w:tcPr>
            <w:tcW w:w="1701" w:type="dxa"/>
            <w:noWrap w:val="0"/>
            <w:vAlign w:val="center"/>
          </w:tcPr>
          <w:p w14:paraId="7E04C2BF">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36868A4E">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6E7AC4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5A9C85D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多年平均相对湿度（%）</w:t>
            </w:r>
          </w:p>
        </w:tc>
        <w:tc>
          <w:tcPr>
            <w:tcW w:w="1164" w:type="pct"/>
            <w:noWrap w:val="0"/>
            <w:vAlign w:val="center"/>
          </w:tcPr>
          <w:p w14:paraId="0AE292F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61.</w:t>
            </w:r>
            <w:r>
              <w:rPr>
                <w:rFonts w:hint="default" w:ascii="Times New Roman" w:hAnsi="Times New Roman" w:cs="Times New Roman"/>
                <w:snapToGrid w:val="0"/>
                <w:color w:val="auto"/>
                <w:highlight w:val="none"/>
                <w:lang w:val="en-US" w:eastAsia="zh-CN"/>
              </w:rPr>
              <w:t>8</w:t>
            </w:r>
          </w:p>
        </w:tc>
        <w:tc>
          <w:tcPr>
            <w:tcW w:w="1701" w:type="dxa"/>
            <w:noWrap w:val="0"/>
            <w:vAlign w:val="center"/>
          </w:tcPr>
          <w:p w14:paraId="1D89D9DA">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7724CAE7">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1C63BB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7689A446">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zh-CN" w:eastAsia="zh-CN"/>
              </w:rPr>
              <w:t>多年平均年降雨量</w:t>
            </w:r>
            <w:r>
              <w:rPr>
                <w:rFonts w:hint="default" w:ascii="Times New Roman" w:hAnsi="Times New Roman" w:cs="Times New Roman"/>
                <w:snapToGrid w:val="0"/>
                <w:color w:val="auto"/>
                <w:highlight w:val="none"/>
                <w:lang w:val="en-US" w:eastAsia="zh-CN"/>
              </w:rPr>
              <w:t>（mm）</w:t>
            </w:r>
          </w:p>
        </w:tc>
        <w:tc>
          <w:tcPr>
            <w:tcW w:w="1164" w:type="pct"/>
            <w:noWrap w:val="0"/>
            <w:vAlign w:val="center"/>
          </w:tcPr>
          <w:p w14:paraId="4B0F0444">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en-US" w:eastAsia="zh-CN"/>
              </w:rPr>
              <w:t>604.0</w:t>
            </w:r>
          </w:p>
        </w:tc>
        <w:tc>
          <w:tcPr>
            <w:tcW w:w="1701" w:type="dxa"/>
            <w:noWrap w:val="0"/>
            <w:vAlign w:val="center"/>
          </w:tcPr>
          <w:p w14:paraId="40E7378B">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19B9059C">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419169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78975B59">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zh-CN" w:eastAsia="zh-CN"/>
              </w:rPr>
              <w:t>多年平均最大日降雨量</w:t>
            </w:r>
            <w:r>
              <w:rPr>
                <w:rFonts w:hint="default" w:ascii="Times New Roman" w:hAnsi="Times New Roman" w:cs="Times New Roman"/>
                <w:snapToGrid w:val="0"/>
                <w:color w:val="auto"/>
                <w:highlight w:val="none"/>
                <w:lang w:val="en-US" w:eastAsia="zh-CN"/>
              </w:rPr>
              <w:t>（mm）</w:t>
            </w:r>
          </w:p>
        </w:tc>
        <w:tc>
          <w:tcPr>
            <w:tcW w:w="1164" w:type="pct"/>
            <w:noWrap w:val="0"/>
            <w:vAlign w:val="center"/>
          </w:tcPr>
          <w:p w14:paraId="4C2D8EC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64.5</w:t>
            </w:r>
          </w:p>
        </w:tc>
        <w:tc>
          <w:tcPr>
            <w:tcW w:w="998" w:type="pct"/>
            <w:noWrap w:val="0"/>
            <w:vAlign w:val="center"/>
          </w:tcPr>
          <w:p w14:paraId="4F362E0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2012.9.18</w:t>
            </w:r>
          </w:p>
        </w:tc>
        <w:tc>
          <w:tcPr>
            <w:tcW w:w="665" w:type="pct"/>
            <w:noWrap w:val="0"/>
            <w:vAlign w:val="center"/>
          </w:tcPr>
          <w:p w14:paraId="73855BA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64.5</w:t>
            </w:r>
          </w:p>
        </w:tc>
      </w:tr>
      <w:tr w14:paraId="36C857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8" w:type="pct"/>
            <w:vMerge w:val="restart"/>
            <w:noWrap w:val="0"/>
            <w:vAlign w:val="center"/>
          </w:tcPr>
          <w:p w14:paraId="0DCD2FE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灾害天气统计</w:t>
            </w:r>
          </w:p>
        </w:tc>
        <w:tc>
          <w:tcPr>
            <w:tcW w:w="1664" w:type="pct"/>
            <w:noWrap w:val="0"/>
            <w:vAlign w:val="center"/>
          </w:tcPr>
          <w:p w14:paraId="361474C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多年平均沙暴日数（d）</w:t>
            </w:r>
          </w:p>
        </w:tc>
        <w:tc>
          <w:tcPr>
            <w:tcW w:w="1164" w:type="pct"/>
            <w:noWrap w:val="0"/>
            <w:vAlign w:val="center"/>
          </w:tcPr>
          <w:p w14:paraId="293C204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w:t>
            </w:r>
          </w:p>
        </w:tc>
        <w:tc>
          <w:tcPr>
            <w:tcW w:w="1701" w:type="dxa"/>
            <w:noWrap w:val="0"/>
            <w:vAlign w:val="center"/>
          </w:tcPr>
          <w:p w14:paraId="21AA8EA4">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69D8A321">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030E8B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8" w:type="pct"/>
            <w:vMerge w:val="continue"/>
            <w:noWrap w:val="0"/>
            <w:vAlign w:val="center"/>
          </w:tcPr>
          <w:p w14:paraId="7CE93755">
            <w:pPr>
              <w:pStyle w:val="73"/>
              <w:bidi w:val="0"/>
              <w:rPr>
                <w:rFonts w:hint="default" w:ascii="Times New Roman" w:hAnsi="Times New Roman" w:cs="Times New Roman"/>
                <w:snapToGrid w:val="0"/>
                <w:color w:val="auto"/>
                <w:highlight w:val="none"/>
                <w:lang w:val="zh-CN" w:eastAsia="zh-CN"/>
              </w:rPr>
            </w:pPr>
          </w:p>
        </w:tc>
        <w:tc>
          <w:tcPr>
            <w:tcW w:w="1664" w:type="pct"/>
            <w:noWrap w:val="0"/>
            <w:vAlign w:val="center"/>
          </w:tcPr>
          <w:p w14:paraId="42BA854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多年平均雷暴日数（d）</w:t>
            </w:r>
          </w:p>
        </w:tc>
        <w:tc>
          <w:tcPr>
            <w:tcW w:w="1164" w:type="pct"/>
            <w:noWrap w:val="0"/>
            <w:vAlign w:val="center"/>
          </w:tcPr>
          <w:p w14:paraId="6729781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23.</w:t>
            </w:r>
            <w:r>
              <w:rPr>
                <w:rFonts w:hint="default" w:ascii="Times New Roman" w:hAnsi="Times New Roman" w:cs="Times New Roman"/>
                <w:snapToGrid w:val="0"/>
                <w:color w:val="auto"/>
                <w:highlight w:val="none"/>
                <w:lang w:val="en-US" w:eastAsia="zh-CN"/>
              </w:rPr>
              <w:t>6</w:t>
            </w:r>
          </w:p>
        </w:tc>
        <w:tc>
          <w:tcPr>
            <w:tcW w:w="1701" w:type="dxa"/>
            <w:noWrap w:val="0"/>
            <w:vAlign w:val="center"/>
          </w:tcPr>
          <w:p w14:paraId="0C8330E2">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249670E2">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4F4F1B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8" w:type="pct"/>
            <w:vMerge w:val="continue"/>
            <w:noWrap w:val="0"/>
            <w:vAlign w:val="center"/>
          </w:tcPr>
          <w:p w14:paraId="460A8EB7">
            <w:pPr>
              <w:pStyle w:val="73"/>
              <w:bidi w:val="0"/>
              <w:rPr>
                <w:rFonts w:hint="default" w:ascii="Times New Roman" w:hAnsi="Times New Roman" w:cs="Times New Roman"/>
                <w:snapToGrid w:val="0"/>
                <w:color w:val="auto"/>
                <w:highlight w:val="none"/>
                <w:lang w:val="zh-CN" w:eastAsia="zh-CN"/>
              </w:rPr>
            </w:pPr>
          </w:p>
        </w:tc>
        <w:tc>
          <w:tcPr>
            <w:tcW w:w="1664" w:type="pct"/>
            <w:noWrap w:val="0"/>
            <w:vAlign w:val="center"/>
          </w:tcPr>
          <w:p w14:paraId="4AD7A91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多年平均冰雹日数（d）</w:t>
            </w:r>
          </w:p>
        </w:tc>
        <w:tc>
          <w:tcPr>
            <w:tcW w:w="1164" w:type="pct"/>
            <w:noWrap w:val="0"/>
            <w:vAlign w:val="center"/>
          </w:tcPr>
          <w:p w14:paraId="00C639E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1.1</w:t>
            </w:r>
          </w:p>
        </w:tc>
        <w:tc>
          <w:tcPr>
            <w:tcW w:w="1701" w:type="dxa"/>
            <w:noWrap w:val="0"/>
            <w:vAlign w:val="center"/>
          </w:tcPr>
          <w:p w14:paraId="6CE762B0">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5F9DE13E">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32EB6B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8" w:type="pct"/>
            <w:vMerge w:val="continue"/>
            <w:noWrap w:val="0"/>
            <w:vAlign w:val="center"/>
          </w:tcPr>
          <w:p w14:paraId="1E56E5C7">
            <w:pPr>
              <w:pStyle w:val="73"/>
              <w:bidi w:val="0"/>
              <w:rPr>
                <w:rFonts w:hint="default" w:ascii="Times New Roman" w:hAnsi="Times New Roman" w:cs="Times New Roman"/>
                <w:snapToGrid w:val="0"/>
                <w:color w:val="auto"/>
                <w:highlight w:val="none"/>
                <w:lang w:val="zh-CN" w:eastAsia="zh-CN"/>
              </w:rPr>
            </w:pPr>
          </w:p>
        </w:tc>
        <w:tc>
          <w:tcPr>
            <w:tcW w:w="1664" w:type="pct"/>
            <w:noWrap w:val="0"/>
            <w:vAlign w:val="center"/>
          </w:tcPr>
          <w:p w14:paraId="4B18CC2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多年平均大风日数（d）</w:t>
            </w:r>
          </w:p>
        </w:tc>
        <w:tc>
          <w:tcPr>
            <w:tcW w:w="1164" w:type="pct"/>
            <w:noWrap w:val="0"/>
            <w:vAlign w:val="center"/>
          </w:tcPr>
          <w:p w14:paraId="589A1F63">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en-US" w:eastAsia="zh-CN"/>
              </w:rPr>
              <w:t>7.1</w:t>
            </w:r>
          </w:p>
        </w:tc>
        <w:tc>
          <w:tcPr>
            <w:tcW w:w="1701" w:type="dxa"/>
            <w:noWrap w:val="0"/>
            <w:vAlign w:val="center"/>
          </w:tcPr>
          <w:p w14:paraId="63BB3DD5">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60DBEC7D">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38AD3F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53636F7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多年实测极大风速（m/s）</w:t>
            </w:r>
          </w:p>
        </w:tc>
        <w:tc>
          <w:tcPr>
            <w:tcW w:w="1164" w:type="pct"/>
            <w:noWrap w:val="0"/>
            <w:vAlign w:val="center"/>
          </w:tcPr>
          <w:p w14:paraId="5C5AFD0C">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en-US" w:eastAsia="zh-CN"/>
              </w:rPr>
              <w:t>19.3</w:t>
            </w:r>
          </w:p>
        </w:tc>
        <w:tc>
          <w:tcPr>
            <w:tcW w:w="998" w:type="pct"/>
            <w:noWrap w:val="0"/>
            <w:vAlign w:val="center"/>
          </w:tcPr>
          <w:p w14:paraId="74A3D83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2017.10.1</w:t>
            </w:r>
          </w:p>
        </w:tc>
        <w:tc>
          <w:tcPr>
            <w:tcW w:w="665" w:type="pct"/>
            <w:noWrap w:val="0"/>
            <w:vAlign w:val="center"/>
          </w:tcPr>
          <w:p w14:paraId="58CDFDF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27.9</w:t>
            </w:r>
          </w:p>
        </w:tc>
      </w:tr>
      <w:tr w14:paraId="2DD0BE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09436AB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多年平均风速（m/s）</w:t>
            </w:r>
          </w:p>
        </w:tc>
        <w:tc>
          <w:tcPr>
            <w:tcW w:w="1164" w:type="pct"/>
            <w:noWrap w:val="0"/>
            <w:vAlign w:val="center"/>
          </w:tcPr>
          <w:p w14:paraId="7E8EA0F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1.8</w:t>
            </w:r>
          </w:p>
        </w:tc>
        <w:tc>
          <w:tcPr>
            <w:tcW w:w="1701" w:type="dxa"/>
            <w:noWrap w:val="0"/>
            <w:vAlign w:val="center"/>
          </w:tcPr>
          <w:p w14:paraId="57857C7B">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114330E2">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r w14:paraId="337293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72" w:type="pct"/>
            <w:gridSpan w:val="2"/>
            <w:noWrap w:val="0"/>
            <w:vAlign w:val="center"/>
          </w:tcPr>
          <w:p w14:paraId="5783F72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多年主导风向、风向频率（%）</w:t>
            </w:r>
          </w:p>
        </w:tc>
        <w:tc>
          <w:tcPr>
            <w:tcW w:w="1164" w:type="pct"/>
            <w:noWrap w:val="0"/>
            <w:vAlign w:val="center"/>
          </w:tcPr>
          <w:p w14:paraId="32EB20F6">
            <w:pPr>
              <w:pStyle w:val="73"/>
              <w:bidi w:val="0"/>
              <w:rPr>
                <w:rFonts w:hint="default" w:ascii="Times New Roman" w:hAnsi="Times New Roman" w:cs="Times New Roman"/>
                <w:snapToGrid w:val="0"/>
                <w:color w:val="auto"/>
                <w:highlight w:val="none"/>
                <w:lang w:val="en-US" w:eastAsia="zh-CN"/>
              </w:rPr>
            </w:pPr>
            <w:r>
              <w:rPr>
                <w:rFonts w:hint="default" w:ascii="Times New Roman" w:hAnsi="Times New Roman" w:cs="Times New Roman"/>
                <w:snapToGrid w:val="0"/>
                <w:color w:val="auto"/>
                <w:highlight w:val="none"/>
                <w:lang w:val="zh-CN" w:eastAsia="zh-CN"/>
              </w:rPr>
              <w:t>SW/</w:t>
            </w:r>
            <w:r>
              <w:rPr>
                <w:rFonts w:hint="default" w:ascii="Times New Roman" w:hAnsi="Times New Roman" w:cs="Times New Roman"/>
                <w:snapToGrid w:val="0"/>
                <w:color w:val="auto"/>
                <w:highlight w:val="none"/>
                <w:lang w:val="en-US" w:eastAsia="zh-CN"/>
              </w:rPr>
              <w:t>14.55</w:t>
            </w:r>
          </w:p>
        </w:tc>
        <w:tc>
          <w:tcPr>
            <w:tcW w:w="1701" w:type="dxa"/>
            <w:noWrap w:val="0"/>
            <w:vAlign w:val="center"/>
          </w:tcPr>
          <w:p w14:paraId="1A6332AC">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c>
          <w:tcPr>
            <w:tcW w:w="1134" w:type="dxa"/>
            <w:noWrap w:val="0"/>
            <w:vAlign w:val="center"/>
          </w:tcPr>
          <w:p w14:paraId="5778FDDC">
            <w:pPr>
              <w:pStyle w:val="73"/>
              <w:bidi w:val="0"/>
              <w:ind w:firstLine="0" w:firstLineChars="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t>
            </w:r>
          </w:p>
        </w:tc>
      </w:tr>
    </w:tbl>
    <w:p w14:paraId="1F74B557">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（1）主导风向</w:t>
      </w:r>
    </w:p>
    <w:p w14:paraId="11F9DCE1">
      <w:pPr>
        <w:bidi w:val="0"/>
        <w:rPr>
          <w:rFonts w:hint="default" w:ascii="Times New Roman" w:hAnsi="Times New Roman" w:cs="Times New Roman"/>
          <w:color w:val="auto"/>
          <w:highlight w:val="none"/>
        </w:rPr>
        <w:sectPr>
          <w:footerReference r:id="rId10" w:type="default"/>
          <w:pgSz w:w="11906" w:h="16838"/>
          <w:pgMar w:top="1440" w:right="1800" w:bottom="1440" w:left="1800" w:header="992" w:footer="850" w:gutter="0"/>
          <w:pgBorders>
            <w:top w:val="none" w:sz="0" w:space="0"/>
            <w:left w:val="none" w:sz="0" w:space="0"/>
            <w:bottom w:val="none" w:sz="0" w:space="0"/>
            <w:right w:val="none" w:sz="0" w:space="0"/>
          </w:pgBorders>
          <w:pgNumType w:fmt="numberInDash"/>
          <w:cols w:space="720" w:num="1"/>
          <w:docGrid w:type="lines" w:linePitch="326" w:charSpace="0"/>
        </w:sectPr>
      </w:pPr>
      <w:r>
        <w:rPr>
          <w:rFonts w:hint="default" w:ascii="Times New Roman" w:hAnsi="Times New Roman" w:cs="Times New Roman"/>
          <w:color w:val="auto"/>
          <w:highlight w:val="none"/>
          <w:lang w:val="en-US" w:eastAsia="zh-CN"/>
        </w:rPr>
        <w:t>根据双鸭山市（2005-2024年）的风向频率变化统计结果可知，主要风向夹角为SSW（11.57%）、SW（14.55%）、WSW（14.33%），其中SW风频最大。</w:t>
      </w:r>
    </w:p>
    <w:p w14:paraId="68E498C1">
      <w:pPr>
        <w:widowControl/>
        <w:spacing w:before="163" w:beforeLines="50" w:line="240" w:lineRule="auto"/>
        <w:ind w:firstLine="0" w:firstLineChars="0"/>
        <w:jc w:val="center"/>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1-2（1）双鸭山市（2005-2024年）风向频率表（%）</w:t>
      </w:r>
    </w:p>
    <w:tbl>
      <w:tblPr>
        <w:tblStyle w:val="47"/>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715"/>
        <w:gridCol w:w="609"/>
        <w:gridCol w:w="1058"/>
        <w:gridCol w:w="681"/>
        <w:gridCol w:w="683"/>
        <w:gridCol w:w="683"/>
        <w:gridCol w:w="686"/>
        <w:gridCol w:w="683"/>
        <w:gridCol w:w="683"/>
        <w:gridCol w:w="686"/>
        <w:gridCol w:w="683"/>
        <w:gridCol w:w="800"/>
        <w:gridCol w:w="787"/>
        <w:gridCol w:w="686"/>
        <w:gridCol w:w="836"/>
        <w:gridCol w:w="876"/>
        <w:gridCol w:w="772"/>
        <w:gridCol w:w="687"/>
      </w:tblGrid>
      <w:tr w14:paraId="6EEC6D7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269" w:type="pct"/>
            <w:tcBorders>
              <w:top w:val="single" w:color="000000" w:sz="12" w:space="0"/>
              <w:left w:val="nil"/>
              <w:bottom w:val="single" w:color="000000" w:sz="4" w:space="0"/>
              <w:right w:val="single" w:color="000000" w:sz="4" w:space="0"/>
            </w:tcBorders>
            <w:noWrap w:val="0"/>
            <w:vAlign w:val="center"/>
          </w:tcPr>
          <w:p w14:paraId="56A5A1F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风向</w:t>
            </w:r>
          </w:p>
        </w:tc>
        <w:tc>
          <w:tcPr>
            <w:tcW w:w="229" w:type="pct"/>
            <w:tcBorders>
              <w:top w:val="single" w:color="000000" w:sz="12" w:space="0"/>
              <w:left w:val="single" w:color="000000" w:sz="4" w:space="0"/>
              <w:bottom w:val="single" w:color="000000" w:sz="4" w:space="0"/>
              <w:right w:val="single" w:color="000000" w:sz="4" w:space="0"/>
            </w:tcBorders>
            <w:noWrap w:val="0"/>
            <w:vAlign w:val="center"/>
          </w:tcPr>
          <w:p w14:paraId="1A50FFC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w:t>
            </w:r>
          </w:p>
        </w:tc>
        <w:tc>
          <w:tcPr>
            <w:tcW w:w="398" w:type="pct"/>
            <w:tcBorders>
              <w:top w:val="single" w:color="000000" w:sz="12" w:space="0"/>
              <w:left w:val="single" w:color="000000" w:sz="4" w:space="0"/>
              <w:bottom w:val="single" w:color="000000" w:sz="4" w:space="0"/>
              <w:right w:val="single" w:color="000000" w:sz="4" w:space="0"/>
            </w:tcBorders>
            <w:noWrap w:val="0"/>
            <w:vAlign w:val="center"/>
          </w:tcPr>
          <w:p w14:paraId="756868F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NNE</w:t>
            </w:r>
          </w:p>
        </w:tc>
        <w:tc>
          <w:tcPr>
            <w:tcW w:w="256" w:type="pct"/>
            <w:tcBorders>
              <w:top w:val="single" w:color="000000" w:sz="12" w:space="0"/>
              <w:left w:val="single" w:color="000000" w:sz="4" w:space="0"/>
              <w:bottom w:val="single" w:color="000000" w:sz="4" w:space="0"/>
              <w:right w:val="single" w:color="000000" w:sz="4" w:space="0"/>
            </w:tcBorders>
            <w:noWrap w:val="0"/>
            <w:vAlign w:val="center"/>
          </w:tcPr>
          <w:p w14:paraId="26514CE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NE</w:t>
            </w:r>
          </w:p>
        </w:tc>
        <w:tc>
          <w:tcPr>
            <w:tcW w:w="257" w:type="pct"/>
            <w:tcBorders>
              <w:top w:val="single" w:color="000000" w:sz="12" w:space="0"/>
              <w:left w:val="single" w:color="000000" w:sz="4" w:space="0"/>
              <w:bottom w:val="single" w:color="000000" w:sz="4" w:space="0"/>
              <w:right w:val="single" w:color="000000" w:sz="4" w:space="0"/>
            </w:tcBorders>
            <w:noWrap w:val="0"/>
            <w:vAlign w:val="center"/>
          </w:tcPr>
          <w:p w14:paraId="33A543E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ENE</w:t>
            </w:r>
          </w:p>
        </w:tc>
        <w:tc>
          <w:tcPr>
            <w:tcW w:w="257" w:type="pct"/>
            <w:tcBorders>
              <w:top w:val="single" w:color="000000" w:sz="12" w:space="0"/>
              <w:left w:val="single" w:color="000000" w:sz="4" w:space="0"/>
              <w:bottom w:val="single" w:color="000000" w:sz="4" w:space="0"/>
              <w:right w:val="single" w:color="000000" w:sz="4" w:space="0"/>
            </w:tcBorders>
            <w:noWrap w:val="0"/>
            <w:vAlign w:val="center"/>
          </w:tcPr>
          <w:p w14:paraId="7614485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w:t>
            </w:r>
          </w:p>
        </w:tc>
        <w:tc>
          <w:tcPr>
            <w:tcW w:w="258" w:type="pct"/>
            <w:tcBorders>
              <w:top w:val="single" w:color="000000" w:sz="12" w:space="0"/>
              <w:left w:val="single" w:color="000000" w:sz="4" w:space="0"/>
              <w:bottom w:val="single" w:color="000000" w:sz="4" w:space="0"/>
              <w:right w:val="single" w:color="000000" w:sz="4" w:space="0"/>
            </w:tcBorders>
            <w:noWrap w:val="0"/>
            <w:vAlign w:val="center"/>
          </w:tcPr>
          <w:p w14:paraId="5140F9F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ESE</w:t>
            </w:r>
          </w:p>
        </w:tc>
        <w:tc>
          <w:tcPr>
            <w:tcW w:w="257" w:type="pct"/>
            <w:tcBorders>
              <w:top w:val="single" w:color="000000" w:sz="12" w:space="0"/>
              <w:left w:val="single" w:color="000000" w:sz="4" w:space="0"/>
              <w:bottom w:val="single" w:color="000000" w:sz="4" w:space="0"/>
              <w:right w:val="single" w:color="000000" w:sz="4" w:space="0"/>
            </w:tcBorders>
            <w:noWrap w:val="0"/>
            <w:vAlign w:val="center"/>
          </w:tcPr>
          <w:p w14:paraId="4F9DCB0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SE</w:t>
            </w:r>
          </w:p>
        </w:tc>
        <w:tc>
          <w:tcPr>
            <w:tcW w:w="257" w:type="pct"/>
            <w:tcBorders>
              <w:top w:val="single" w:color="000000" w:sz="12" w:space="0"/>
              <w:left w:val="single" w:color="000000" w:sz="4" w:space="0"/>
              <w:bottom w:val="single" w:color="000000" w:sz="4" w:space="0"/>
              <w:right w:val="single" w:color="000000" w:sz="4" w:space="0"/>
            </w:tcBorders>
            <w:noWrap w:val="0"/>
            <w:vAlign w:val="center"/>
          </w:tcPr>
          <w:p w14:paraId="6C75FF4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SSE</w:t>
            </w:r>
          </w:p>
        </w:tc>
        <w:tc>
          <w:tcPr>
            <w:tcW w:w="258" w:type="pct"/>
            <w:tcBorders>
              <w:top w:val="single" w:color="000000" w:sz="12" w:space="0"/>
              <w:left w:val="single" w:color="000000" w:sz="4" w:space="0"/>
              <w:bottom w:val="single" w:color="000000" w:sz="4" w:space="0"/>
              <w:right w:val="single" w:color="000000" w:sz="4" w:space="0"/>
            </w:tcBorders>
            <w:noWrap w:val="0"/>
            <w:vAlign w:val="center"/>
          </w:tcPr>
          <w:p w14:paraId="5EFE3B3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w:t>
            </w:r>
          </w:p>
        </w:tc>
        <w:tc>
          <w:tcPr>
            <w:tcW w:w="257" w:type="pct"/>
            <w:tcBorders>
              <w:top w:val="single" w:color="000000" w:sz="12" w:space="0"/>
              <w:left w:val="single" w:color="000000" w:sz="4" w:space="0"/>
              <w:bottom w:val="single" w:color="000000" w:sz="4" w:space="0"/>
              <w:right w:val="single" w:color="000000" w:sz="4" w:space="0"/>
            </w:tcBorders>
            <w:noWrap w:val="0"/>
            <w:vAlign w:val="center"/>
          </w:tcPr>
          <w:p w14:paraId="24641CD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SSW</w:t>
            </w:r>
          </w:p>
        </w:tc>
        <w:tc>
          <w:tcPr>
            <w:tcW w:w="301" w:type="pct"/>
            <w:tcBorders>
              <w:top w:val="single" w:color="000000" w:sz="12" w:space="0"/>
              <w:left w:val="single" w:color="000000" w:sz="4" w:space="0"/>
              <w:bottom w:val="single" w:color="000000" w:sz="4" w:space="0"/>
              <w:right w:val="single" w:color="000000" w:sz="4" w:space="0"/>
            </w:tcBorders>
            <w:noWrap w:val="0"/>
            <w:vAlign w:val="center"/>
          </w:tcPr>
          <w:p w14:paraId="5047AD6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SW</w:t>
            </w:r>
          </w:p>
        </w:tc>
        <w:tc>
          <w:tcPr>
            <w:tcW w:w="296" w:type="pct"/>
            <w:tcBorders>
              <w:top w:val="single" w:color="000000" w:sz="12" w:space="0"/>
              <w:left w:val="single" w:color="000000" w:sz="4" w:space="0"/>
              <w:bottom w:val="single" w:color="000000" w:sz="4" w:space="0"/>
              <w:right w:val="single" w:color="000000" w:sz="4" w:space="0"/>
            </w:tcBorders>
            <w:noWrap w:val="0"/>
            <w:vAlign w:val="center"/>
          </w:tcPr>
          <w:p w14:paraId="02C27AF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WSW</w:t>
            </w:r>
          </w:p>
        </w:tc>
        <w:tc>
          <w:tcPr>
            <w:tcW w:w="258" w:type="pct"/>
            <w:tcBorders>
              <w:top w:val="single" w:color="000000" w:sz="12" w:space="0"/>
              <w:left w:val="single" w:color="000000" w:sz="4" w:space="0"/>
              <w:bottom w:val="single" w:color="000000" w:sz="4" w:space="0"/>
              <w:right w:val="single" w:color="000000" w:sz="4" w:space="0"/>
            </w:tcBorders>
            <w:noWrap w:val="0"/>
            <w:vAlign w:val="center"/>
          </w:tcPr>
          <w:p w14:paraId="564C40A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w:t>
            </w:r>
          </w:p>
        </w:tc>
        <w:tc>
          <w:tcPr>
            <w:tcW w:w="314" w:type="pct"/>
            <w:tcBorders>
              <w:top w:val="single" w:color="000000" w:sz="12" w:space="0"/>
              <w:left w:val="single" w:color="000000" w:sz="4" w:space="0"/>
              <w:bottom w:val="single" w:color="000000" w:sz="4" w:space="0"/>
              <w:right w:val="single" w:color="000000" w:sz="4" w:space="0"/>
            </w:tcBorders>
            <w:noWrap w:val="0"/>
            <w:vAlign w:val="center"/>
          </w:tcPr>
          <w:p w14:paraId="23B689E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WNW</w:t>
            </w:r>
          </w:p>
        </w:tc>
        <w:tc>
          <w:tcPr>
            <w:tcW w:w="329" w:type="pct"/>
            <w:tcBorders>
              <w:top w:val="single" w:color="000000" w:sz="12" w:space="0"/>
              <w:left w:val="single" w:color="000000" w:sz="4" w:space="0"/>
              <w:bottom w:val="single" w:color="000000" w:sz="4" w:space="0"/>
              <w:right w:val="single" w:color="000000" w:sz="4" w:space="0"/>
            </w:tcBorders>
            <w:noWrap w:val="0"/>
            <w:vAlign w:val="center"/>
          </w:tcPr>
          <w:p w14:paraId="7D33BE4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NW</w:t>
            </w:r>
          </w:p>
        </w:tc>
        <w:tc>
          <w:tcPr>
            <w:tcW w:w="290" w:type="pct"/>
            <w:tcBorders>
              <w:top w:val="single" w:color="000000" w:sz="12" w:space="0"/>
              <w:left w:val="single" w:color="000000" w:sz="4" w:space="0"/>
              <w:bottom w:val="single" w:color="000000" w:sz="4" w:space="0"/>
              <w:right w:val="single" w:color="000000" w:sz="4" w:space="0"/>
            </w:tcBorders>
            <w:noWrap w:val="0"/>
            <w:vAlign w:val="center"/>
          </w:tcPr>
          <w:p w14:paraId="4BABD1F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NNW</w:t>
            </w:r>
          </w:p>
        </w:tc>
        <w:tc>
          <w:tcPr>
            <w:tcW w:w="258" w:type="pct"/>
            <w:tcBorders>
              <w:top w:val="single" w:color="000000" w:sz="12" w:space="0"/>
              <w:left w:val="single" w:color="000000" w:sz="4" w:space="0"/>
              <w:bottom w:val="single" w:color="000000" w:sz="4" w:space="0"/>
              <w:right w:val="nil"/>
            </w:tcBorders>
            <w:noWrap w:val="0"/>
            <w:vAlign w:val="center"/>
          </w:tcPr>
          <w:p w14:paraId="00E773B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C</w:t>
            </w:r>
          </w:p>
        </w:tc>
      </w:tr>
      <w:tr w14:paraId="5BE8EB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269" w:type="pct"/>
            <w:tcBorders>
              <w:top w:val="single" w:color="000000" w:sz="4" w:space="0"/>
              <w:left w:val="nil"/>
              <w:bottom w:val="single" w:color="000000" w:sz="12" w:space="0"/>
              <w:right w:val="single" w:color="000000" w:sz="4" w:space="0"/>
            </w:tcBorders>
            <w:noWrap w:val="0"/>
            <w:vAlign w:val="center"/>
          </w:tcPr>
          <w:p w14:paraId="4096DB8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频率</w:t>
            </w:r>
          </w:p>
        </w:tc>
        <w:tc>
          <w:tcPr>
            <w:tcW w:w="628" w:type="dxa"/>
            <w:tcBorders>
              <w:top w:val="single" w:color="000000" w:sz="4" w:space="0"/>
              <w:left w:val="single" w:color="000000" w:sz="4" w:space="0"/>
              <w:bottom w:val="single" w:color="000000" w:sz="12" w:space="0"/>
              <w:right w:val="single" w:color="000000" w:sz="4" w:space="0"/>
            </w:tcBorders>
            <w:noWrap w:val="0"/>
            <w:vAlign w:val="center"/>
          </w:tcPr>
          <w:p w14:paraId="7E24750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4.46</w:t>
            </w:r>
          </w:p>
        </w:tc>
        <w:tc>
          <w:tcPr>
            <w:tcW w:w="1092" w:type="dxa"/>
            <w:tcBorders>
              <w:top w:val="single" w:color="000000" w:sz="4" w:space="0"/>
              <w:left w:val="single" w:color="000000" w:sz="4" w:space="0"/>
              <w:bottom w:val="single" w:color="000000" w:sz="12" w:space="0"/>
              <w:right w:val="single" w:color="000000" w:sz="4" w:space="0"/>
            </w:tcBorders>
            <w:noWrap w:val="0"/>
            <w:vAlign w:val="center"/>
          </w:tcPr>
          <w:p w14:paraId="1D57B89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3.547</w:t>
            </w:r>
          </w:p>
        </w:tc>
        <w:tc>
          <w:tcPr>
            <w:tcW w:w="703" w:type="dxa"/>
            <w:tcBorders>
              <w:top w:val="single" w:color="000000" w:sz="4" w:space="0"/>
              <w:left w:val="single" w:color="000000" w:sz="4" w:space="0"/>
              <w:bottom w:val="single" w:color="000000" w:sz="12" w:space="0"/>
              <w:right w:val="single" w:color="000000" w:sz="4" w:space="0"/>
            </w:tcBorders>
            <w:noWrap w:val="0"/>
            <w:vAlign w:val="center"/>
          </w:tcPr>
          <w:p w14:paraId="031FB0A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4.08</w:t>
            </w:r>
          </w:p>
        </w:tc>
        <w:tc>
          <w:tcPr>
            <w:tcW w:w="705" w:type="dxa"/>
            <w:tcBorders>
              <w:top w:val="single" w:color="000000" w:sz="4" w:space="0"/>
              <w:left w:val="single" w:color="000000" w:sz="4" w:space="0"/>
              <w:bottom w:val="single" w:color="000000" w:sz="12" w:space="0"/>
              <w:right w:val="single" w:color="000000" w:sz="4" w:space="0"/>
            </w:tcBorders>
            <w:noWrap w:val="0"/>
            <w:vAlign w:val="center"/>
          </w:tcPr>
          <w:p w14:paraId="6262073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2.54</w:t>
            </w:r>
          </w:p>
        </w:tc>
        <w:tc>
          <w:tcPr>
            <w:tcW w:w="705" w:type="dxa"/>
            <w:tcBorders>
              <w:top w:val="single" w:color="000000" w:sz="4" w:space="0"/>
              <w:left w:val="single" w:color="000000" w:sz="4" w:space="0"/>
              <w:bottom w:val="single" w:color="000000" w:sz="12" w:space="0"/>
              <w:right w:val="single" w:color="000000" w:sz="4" w:space="0"/>
            </w:tcBorders>
            <w:noWrap w:val="0"/>
            <w:vAlign w:val="center"/>
          </w:tcPr>
          <w:p w14:paraId="590E98D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2.015</w:t>
            </w:r>
          </w:p>
        </w:tc>
        <w:tc>
          <w:tcPr>
            <w:tcW w:w="708" w:type="dxa"/>
            <w:tcBorders>
              <w:top w:val="single" w:color="000000" w:sz="4" w:space="0"/>
              <w:left w:val="single" w:color="000000" w:sz="4" w:space="0"/>
              <w:bottom w:val="single" w:color="000000" w:sz="12" w:space="0"/>
              <w:right w:val="single" w:color="000000" w:sz="4" w:space="0"/>
            </w:tcBorders>
            <w:noWrap w:val="0"/>
            <w:vAlign w:val="center"/>
          </w:tcPr>
          <w:p w14:paraId="6014F02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1.47</w:t>
            </w:r>
          </w:p>
        </w:tc>
        <w:tc>
          <w:tcPr>
            <w:tcW w:w="705" w:type="dxa"/>
            <w:tcBorders>
              <w:top w:val="single" w:color="000000" w:sz="4" w:space="0"/>
              <w:left w:val="single" w:color="000000" w:sz="4" w:space="0"/>
              <w:bottom w:val="single" w:color="000000" w:sz="12" w:space="0"/>
              <w:right w:val="single" w:color="000000" w:sz="4" w:space="0"/>
            </w:tcBorders>
            <w:noWrap w:val="0"/>
            <w:vAlign w:val="center"/>
          </w:tcPr>
          <w:p w14:paraId="65B2E18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2.23</w:t>
            </w:r>
          </w:p>
        </w:tc>
        <w:tc>
          <w:tcPr>
            <w:tcW w:w="705" w:type="dxa"/>
            <w:tcBorders>
              <w:top w:val="single" w:color="000000" w:sz="4" w:space="0"/>
              <w:left w:val="single" w:color="000000" w:sz="4" w:space="0"/>
              <w:bottom w:val="single" w:color="000000" w:sz="12" w:space="0"/>
              <w:right w:val="single" w:color="000000" w:sz="4" w:space="0"/>
            </w:tcBorders>
            <w:noWrap w:val="0"/>
            <w:vAlign w:val="center"/>
          </w:tcPr>
          <w:p w14:paraId="43DDACB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3.505</w:t>
            </w:r>
          </w:p>
        </w:tc>
        <w:tc>
          <w:tcPr>
            <w:tcW w:w="708" w:type="dxa"/>
            <w:tcBorders>
              <w:top w:val="single" w:color="000000" w:sz="4" w:space="0"/>
              <w:left w:val="single" w:color="000000" w:sz="4" w:space="0"/>
              <w:bottom w:val="single" w:color="000000" w:sz="12" w:space="0"/>
              <w:right w:val="single" w:color="000000" w:sz="4" w:space="0"/>
            </w:tcBorders>
            <w:noWrap w:val="0"/>
            <w:vAlign w:val="center"/>
          </w:tcPr>
          <w:p w14:paraId="00A41DE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9.275</w:t>
            </w:r>
          </w:p>
        </w:tc>
        <w:tc>
          <w:tcPr>
            <w:tcW w:w="705" w:type="dxa"/>
            <w:tcBorders>
              <w:top w:val="single" w:color="000000" w:sz="4" w:space="0"/>
              <w:left w:val="single" w:color="000000" w:sz="4" w:space="0"/>
              <w:bottom w:val="single" w:color="000000" w:sz="12" w:space="0"/>
              <w:right w:val="single" w:color="000000" w:sz="4" w:space="0"/>
            </w:tcBorders>
            <w:noWrap w:val="0"/>
            <w:vAlign w:val="center"/>
          </w:tcPr>
          <w:p w14:paraId="0E0785C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11.565</w:t>
            </w:r>
          </w:p>
        </w:tc>
        <w:tc>
          <w:tcPr>
            <w:tcW w:w="826" w:type="dxa"/>
            <w:tcBorders>
              <w:top w:val="single" w:color="000000" w:sz="4" w:space="0"/>
              <w:left w:val="single" w:color="000000" w:sz="4" w:space="0"/>
              <w:bottom w:val="single" w:color="000000" w:sz="12" w:space="0"/>
              <w:right w:val="single" w:color="000000" w:sz="4" w:space="0"/>
            </w:tcBorders>
            <w:noWrap w:val="0"/>
            <w:vAlign w:val="center"/>
          </w:tcPr>
          <w:p w14:paraId="52F4062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14.55</w:t>
            </w:r>
          </w:p>
        </w:tc>
        <w:tc>
          <w:tcPr>
            <w:tcW w:w="812" w:type="dxa"/>
            <w:tcBorders>
              <w:top w:val="single" w:color="000000" w:sz="4" w:space="0"/>
              <w:left w:val="single" w:color="000000" w:sz="4" w:space="0"/>
              <w:bottom w:val="single" w:color="000000" w:sz="12" w:space="0"/>
              <w:right w:val="single" w:color="000000" w:sz="4" w:space="0"/>
            </w:tcBorders>
            <w:noWrap w:val="0"/>
            <w:vAlign w:val="center"/>
          </w:tcPr>
          <w:p w14:paraId="5EB9A83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14.33</w:t>
            </w:r>
          </w:p>
        </w:tc>
        <w:tc>
          <w:tcPr>
            <w:tcW w:w="708" w:type="dxa"/>
            <w:tcBorders>
              <w:top w:val="single" w:color="000000" w:sz="4" w:space="0"/>
              <w:left w:val="single" w:color="000000" w:sz="4" w:space="0"/>
              <w:bottom w:val="single" w:color="000000" w:sz="12" w:space="0"/>
              <w:right w:val="single" w:color="000000" w:sz="4" w:space="0"/>
            </w:tcBorders>
            <w:noWrap w:val="0"/>
            <w:vAlign w:val="center"/>
          </w:tcPr>
          <w:p w14:paraId="3F5F2A2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9.02</w:t>
            </w:r>
          </w:p>
        </w:tc>
        <w:tc>
          <w:tcPr>
            <w:tcW w:w="862" w:type="dxa"/>
            <w:tcBorders>
              <w:top w:val="single" w:color="000000" w:sz="4" w:space="0"/>
              <w:left w:val="single" w:color="000000" w:sz="4" w:space="0"/>
              <w:bottom w:val="single" w:color="000000" w:sz="12" w:space="0"/>
              <w:right w:val="single" w:color="000000" w:sz="4" w:space="0"/>
            </w:tcBorders>
            <w:noWrap w:val="0"/>
            <w:vAlign w:val="center"/>
          </w:tcPr>
          <w:p w14:paraId="46C564E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4.65</w:t>
            </w:r>
          </w:p>
        </w:tc>
        <w:tc>
          <w:tcPr>
            <w:tcW w:w="903" w:type="dxa"/>
            <w:tcBorders>
              <w:top w:val="single" w:color="000000" w:sz="4" w:space="0"/>
              <w:left w:val="single" w:color="000000" w:sz="4" w:space="0"/>
              <w:bottom w:val="single" w:color="000000" w:sz="12" w:space="0"/>
              <w:right w:val="single" w:color="000000" w:sz="4" w:space="0"/>
            </w:tcBorders>
            <w:noWrap w:val="0"/>
            <w:vAlign w:val="center"/>
          </w:tcPr>
          <w:p w14:paraId="0E73D07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4.27</w:t>
            </w:r>
          </w:p>
        </w:tc>
        <w:tc>
          <w:tcPr>
            <w:tcW w:w="797" w:type="dxa"/>
            <w:tcBorders>
              <w:top w:val="single" w:color="000000" w:sz="4" w:space="0"/>
              <w:left w:val="single" w:color="000000" w:sz="4" w:space="0"/>
              <w:bottom w:val="single" w:color="000000" w:sz="12" w:space="0"/>
              <w:right w:val="single" w:color="000000" w:sz="4" w:space="0"/>
            </w:tcBorders>
            <w:noWrap w:val="0"/>
            <w:vAlign w:val="center"/>
          </w:tcPr>
          <w:p w14:paraId="0A9ED7C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3.17</w:t>
            </w:r>
          </w:p>
        </w:tc>
        <w:tc>
          <w:tcPr>
            <w:tcW w:w="709" w:type="dxa"/>
            <w:tcBorders>
              <w:top w:val="single" w:color="000000" w:sz="4" w:space="0"/>
              <w:left w:val="single" w:color="000000" w:sz="4" w:space="0"/>
              <w:bottom w:val="single" w:color="000000" w:sz="12" w:space="0"/>
              <w:right w:val="nil"/>
            </w:tcBorders>
            <w:noWrap w:val="0"/>
            <w:vAlign w:val="center"/>
          </w:tcPr>
          <w:p w14:paraId="192AB7B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5.105</w:t>
            </w:r>
          </w:p>
        </w:tc>
      </w:tr>
    </w:tbl>
    <w:p w14:paraId="0777FB65">
      <w:pPr>
        <w:widowControl/>
        <w:spacing w:before="163" w:beforeLines="50" w:line="240" w:lineRule="auto"/>
        <w:ind w:firstLine="0" w:firstLineChars="0"/>
        <w:jc w:val="center"/>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1-2（2）双鸭山市（2005-2024年）各月风向频率表（%）</w:t>
      </w:r>
    </w:p>
    <w:tbl>
      <w:tblPr>
        <w:tblStyle w:val="47"/>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739"/>
        <w:gridCol w:w="680"/>
        <w:gridCol w:w="756"/>
        <w:gridCol w:w="802"/>
        <w:gridCol w:w="729"/>
        <w:gridCol w:w="681"/>
        <w:gridCol w:w="686"/>
        <w:gridCol w:w="681"/>
        <w:gridCol w:w="681"/>
        <w:gridCol w:w="681"/>
        <w:gridCol w:w="802"/>
        <w:gridCol w:w="802"/>
        <w:gridCol w:w="850"/>
        <w:gridCol w:w="681"/>
        <w:gridCol w:w="891"/>
        <w:gridCol w:w="681"/>
        <w:gridCol w:w="837"/>
        <w:gridCol w:w="794"/>
      </w:tblGrid>
      <w:tr w14:paraId="0E03E0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12" w:space="0"/>
              <w:left w:val="nil"/>
              <w:bottom w:val="single" w:color="000000" w:sz="4" w:space="0"/>
              <w:right w:val="single" w:color="000000" w:sz="4" w:space="0"/>
            </w:tcBorders>
            <w:noWrap w:val="0"/>
            <w:vAlign w:val="center"/>
          </w:tcPr>
          <w:p w14:paraId="6C5C32C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风向</w:t>
            </w:r>
          </w:p>
          <w:p w14:paraId="12A9D0C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风频</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779903D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w:t>
            </w:r>
          </w:p>
        </w:tc>
        <w:tc>
          <w:tcPr>
            <w:tcW w:w="281" w:type="pct"/>
            <w:tcBorders>
              <w:top w:val="single" w:color="000000" w:sz="12" w:space="0"/>
              <w:left w:val="single" w:color="000000" w:sz="4" w:space="0"/>
              <w:bottom w:val="single" w:color="000000" w:sz="4" w:space="0"/>
              <w:right w:val="single" w:color="000000" w:sz="4" w:space="0"/>
            </w:tcBorders>
            <w:noWrap w:val="0"/>
            <w:vAlign w:val="center"/>
          </w:tcPr>
          <w:p w14:paraId="73A114A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NNE</w:t>
            </w:r>
          </w:p>
        </w:tc>
        <w:tc>
          <w:tcPr>
            <w:tcW w:w="298" w:type="pct"/>
            <w:tcBorders>
              <w:top w:val="single" w:color="000000" w:sz="12" w:space="0"/>
              <w:left w:val="single" w:color="000000" w:sz="4" w:space="0"/>
              <w:bottom w:val="single" w:color="000000" w:sz="4" w:space="0"/>
              <w:right w:val="single" w:color="000000" w:sz="4" w:space="0"/>
            </w:tcBorders>
            <w:noWrap w:val="0"/>
            <w:vAlign w:val="center"/>
          </w:tcPr>
          <w:p w14:paraId="62DC9B8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NE</w:t>
            </w:r>
          </w:p>
        </w:tc>
        <w:tc>
          <w:tcPr>
            <w:tcW w:w="271" w:type="pct"/>
            <w:tcBorders>
              <w:top w:val="single" w:color="000000" w:sz="12" w:space="0"/>
              <w:left w:val="single" w:color="000000" w:sz="4" w:space="0"/>
              <w:bottom w:val="single" w:color="000000" w:sz="4" w:space="0"/>
              <w:right w:val="single" w:color="000000" w:sz="4" w:space="0"/>
            </w:tcBorders>
            <w:noWrap w:val="0"/>
            <w:vAlign w:val="center"/>
          </w:tcPr>
          <w:p w14:paraId="459E046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ENE</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5C6C585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w:t>
            </w:r>
          </w:p>
        </w:tc>
        <w:tc>
          <w:tcPr>
            <w:tcW w:w="255" w:type="pct"/>
            <w:tcBorders>
              <w:top w:val="single" w:color="000000" w:sz="12" w:space="0"/>
              <w:left w:val="single" w:color="000000" w:sz="4" w:space="0"/>
              <w:bottom w:val="single" w:color="000000" w:sz="4" w:space="0"/>
              <w:right w:val="single" w:color="000000" w:sz="4" w:space="0"/>
            </w:tcBorders>
            <w:noWrap w:val="0"/>
            <w:vAlign w:val="center"/>
          </w:tcPr>
          <w:p w14:paraId="7855B02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ESE</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6A57552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SE</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1AAD4C4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SSE</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5C6346E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w:t>
            </w:r>
          </w:p>
        </w:tc>
        <w:tc>
          <w:tcPr>
            <w:tcW w:w="298" w:type="pct"/>
            <w:tcBorders>
              <w:top w:val="single" w:color="000000" w:sz="12" w:space="0"/>
              <w:left w:val="single" w:color="000000" w:sz="4" w:space="0"/>
              <w:bottom w:val="single" w:color="000000" w:sz="4" w:space="0"/>
              <w:right w:val="single" w:color="000000" w:sz="4" w:space="0"/>
            </w:tcBorders>
            <w:noWrap w:val="0"/>
            <w:vAlign w:val="center"/>
          </w:tcPr>
          <w:p w14:paraId="3E5D38A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SSW</w:t>
            </w:r>
          </w:p>
        </w:tc>
        <w:tc>
          <w:tcPr>
            <w:tcW w:w="298" w:type="pct"/>
            <w:tcBorders>
              <w:top w:val="single" w:color="000000" w:sz="12" w:space="0"/>
              <w:left w:val="single" w:color="000000" w:sz="4" w:space="0"/>
              <w:bottom w:val="single" w:color="000000" w:sz="4" w:space="0"/>
              <w:right w:val="single" w:color="000000" w:sz="4" w:space="0"/>
            </w:tcBorders>
            <w:noWrap w:val="0"/>
            <w:vAlign w:val="center"/>
          </w:tcPr>
          <w:p w14:paraId="3200DBF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SW</w:t>
            </w:r>
          </w:p>
        </w:tc>
        <w:tc>
          <w:tcPr>
            <w:tcW w:w="316" w:type="pct"/>
            <w:tcBorders>
              <w:top w:val="single" w:color="000000" w:sz="12" w:space="0"/>
              <w:left w:val="single" w:color="000000" w:sz="4" w:space="0"/>
              <w:bottom w:val="single" w:color="000000" w:sz="4" w:space="0"/>
              <w:right w:val="single" w:color="000000" w:sz="4" w:space="0"/>
            </w:tcBorders>
            <w:noWrap w:val="0"/>
            <w:vAlign w:val="center"/>
          </w:tcPr>
          <w:p w14:paraId="59A821E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WSW</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12A2CF6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w:t>
            </w:r>
          </w:p>
        </w:tc>
        <w:tc>
          <w:tcPr>
            <w:tcW w:w="331" w:type="pct"/>
            <w:tcBorders>
              <w:top w:val="single" w:color="000000" w:sz="12" w:space="0"/>
              <w:left w:val="single" w:color="000000" w:sz="4" w:space="0"/>
              <w:bottom w:val="single" w:color="000000" w:sz="4" w:space="0"/>
              <w:right w:val="single" w:color="000000" w:sz="4" w:space="0"/>
            </w:tcBorders>
            <w:noWrap w:val="0"/>
            <w:vAlign w:val="center"/>
          </w:tcPr>
          <w:p w14:paraId="5DCEEAE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WNW</w:t>
            </w:r>
          </w:p>
        </w:tc>
        <w:tc>
          <w:tcPr>
            <w:tcW w:w="253" w:type="pct"/>
            <w:tcBorders>
              <w:top w:val="single" w:color="000000" w:sz="12" w:space="0"/>
              <w:left w:val="single" w:color="000000" w:sz="4" w:space="0"/>
              <w:bottom w:val="single" w:color="000000" w:sz="4" w:space="0"/>
              <w:right w:val="single" w:color="000000" w:sz="4" w:space="0"/>
            </w:tcBorders>
            <w:noWrap w:val="0"/>
            <w:vAlign w:val="center"/>
          </w:tcPr>
          <w:p w14:paraId="72308E3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NW</w:t>
            </w:r>
          </w:p>
        </w:tc>
        <w:tc>
          <w:tcPr>
            <w:tcW w:w="311" w:type="pct"/>
            <w:tcBorders>
              <w:top w:val="single" w:color="000000" w:sz="12" w:space="0"/>
              <w:left w:val="single" w:color="000000" w:sz="4" w:space="0"/>
              <w:bottom w:val="single" w:color="000000" w:sz="4" w:space="0"/>
              <w:right w:val="single" w:color="000000" w:sz="4" w:space="0"/>
            </w:tcBorders>
            <w:noWrap w:val="0"/>
            <w:vAlign w:val="center"/>
          </w:tcPr>
          <w:p w14:paraId="7F13375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NNW</w:t>
            </w:r>
          </w:p>
        </w:tc>
        <w:tc>
          <w:tcPr>
            <w:tcW w:w="295" w:type="pct"/>
            <w:tcBorders>
              <w:top w:val="single" w:color="000000" w:sz="12" w:space="0"/>
              <w:left w:val="single" w:color="000000" w:sz="4" w:space="0"/>
              <w:bottom w:val="single" w:color="000000" w:sz="4" w:space="0"/>
              <w:right w:val="nil"/>
            </w:tcBorders>
            <w:noWrap w:val="0"/>
            <w:vAlign w:val="center"/>
          </w:tcPr>
          <w:p w14:paraId="4A9022A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C</w:t>
            </w:r>
          </w:p>
        </w:tc>
      </w:tr>
      <w:tr w14:paraId="304C61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5B1560C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1AD148A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3.5</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22B6986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715CE4F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19924D4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7CD793F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0.8</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565A272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0.3</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7956B62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1DBFC33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73B833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7F950E9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13.5</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3909ABD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17</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7E4A95E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15.2</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17C613E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9.6</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1CB30F1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5.1</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4B2DD59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3.8</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69B7E25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w:t>
            </w:r>
          </w:p>
        </w:tc>
        <w:tc>
          <w:tcPr>
            <w:tcW w:w="820" w:type="dxa"/>
            <w:tcBorders>
              <w:top w:val="single" w:color="000000" w:sz="4" w:space="0"/>
              <w:left w:val="single" w:color="000000" w:sz="4" w:space="0"/>
              <w:bottom w:val="single" w:color="000000" w:sz="4" w:space="0"/>
              <w:right w:val="nil"/>
            </w:tcBorders>
            <w:noWrap w:val="0"/>
            <w:vAlign w:val="center"/>
          </w:tcPr>
          <w:p w14:paraId="40E9C4A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4.3</w:t>
            </w:r>
          </w:p>
        </w:tc>
      </w:tr>
      <w:tr w14:paraId="111097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061C051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2</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14C7BAC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4.5</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18C45DA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1CFF94E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3.2</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317336D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76AA6B7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0.9</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09B35F6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54BC415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A30600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0E0C0C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8.7</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31910F7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11.2</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F19D31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15.5</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29C266E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15.6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7A4E63E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12.9</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77CFFE0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5.7</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4F35161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5.9</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7B368EB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3.5</w:t>
            </w:r>
          </w:p>
        </w:tc>
        <w:tc>
          <w:tcPr>
            <w:tcW w:w="820" w:type="dxa"/>
            <w:tcBorders>
              <w:top w:val="single" w:color="000000" w:sz="4" w:space="0"/>
              <w:left w:val="single" w:color="000000" w:sz="4" w:space="0"/>
              <w:bottom w:val="single" w:color="000000" w:sz="4" w:space="0"/>
              <w:right w:val="nil"/>
            </w:tcBorders>
            <w:noWrap w:val="0"/>
            <w:vAlign w:val="center"/>
          </w:tcPr>
          <w:p w14:paraId="4209E66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3.7</w:t>
            </w:r>
          </w:p>
        </w:tc>
      </w:tr>
      <w:tr w14:paraId="2B3B39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747702B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3</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ABD3D7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5.5</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53B2192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3.7</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9F1FE3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3.6</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5CE74BE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16C867C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336D0C7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DE7F51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787B11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A6C371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6.4</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29316F3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6A5917B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6516010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7270DC2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11.6</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5E1BD07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2DF3A0C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6.5</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55F612F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4.3</w:t>
            </w:r>
          </w:p>
        </w:tc>
        <w:tc>
          <w:tcPr>
            <w:tcW w:w="820" w:type="dxa"/>
            <w:tcBorders>
              <w:top w:val="single" w:color="000000" w:sz="4" w:space="0"/>
              <w:left w:val="single" w:color="000000" w:sz="4" w:space="0"/>
              <w:bottom w:val="single" w:color="000000" w:sz="4" w:space="0"/>
              <w:right w:val="nil"/>
            </w:tcBorders>
            <w:noWrap w:val="0"/>
            <w:vAlign w:val="center"/>
          </w:tcPr>
          <w:p w14:paraId="063746D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4.8</w:t>
            </w:r>
          </w:p>
        </w:tc>
      </w:tr>
      <w:tr w14:paraId="07CEAD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256F6B5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6FAC0E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471FD2E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12564E1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3.8</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3FAD6AC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9A8951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2AA6EE2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2D47E6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3E47CF6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966A63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7.6</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2B7D5D2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10.3</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4341A04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12.6</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534E786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5422EEB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9.1</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1F11DDF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6.2</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3D88ACB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5.9</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0DA6E0A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4.9</w:t>
            </w:r>
          </w:p>
        </w:tc>
        <w:tc>
          <w:tcPr>
            <w:tcW w:w="820" w:type="dxa"/>
            <w:tcBorders>
              <w:top w:val="single" w:color="000000" w:sz="4" w:space="0"/>
              <w:left w:val="single" w:color="000000" w:sz="4" w:space="0"/>
              <w:bottom w:val="single" w:color="000000" w:sz="4" w:space="0"/>
              <w:right w:val="nil"/>
            </w:tcBorders>
            <w:noWrap w:val="0"/>
            <w:vAlign w:val="center"/>
          </w:tcPr>
          <w:p w14:paraId="3B211A1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3.9</w:t>
            </w:r>
          </w:p>
        </w:tc>
      </w:tr>
      <w:tr w14:paraId="7E20A9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7758AE9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5</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B205D1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4.8</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51191B6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3.9</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5A8BCDB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6.1</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5C54ED8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5A9ADE3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5FE4F5F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2.8</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E87C61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397371C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7860BF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672B79A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FA1E58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14.3</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2AD84C4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BC2835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3522017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7E980A7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1265016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3.2</w:t>
            </w:r>
          </w:p>
        </w:tc>
        <w:tc>
          <w:tcPr>
            <w:tcW w:w="820" w:type="dxa"/>
            <w:tcBorders>
              <w:top w:val="single" w:color="000000" w:sz="4" w:space="0"/>
              <w:left w:val="single" w:color="000000" w:sz="4" w:space="0"/>
              <w:bottom w:val="single" w:color="000000" w:sz="4" w:space="0"/>
              <w:right w:val="nil"/>
            </w:tcBorders>
            <w:noWrap w:val="0"/>
            <w:vAlign w:val="center"/>
          </w:tcPr>
          <w:p w14:paraId="7919ABA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4.1</w:t>
            </w:r>
          </w:p>
        </w:tc>
      </w:tr>
      <w:tr w14:paraId="0D93280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1FCE888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66FB38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4.4</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677486A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4.3</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7DECBD4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74EFED4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A7C6BD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7642D0A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594A2D8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5.2</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AFE657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D90A39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9.8</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6DFEF9D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11.3</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6A0E521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12.2</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2FCC053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3310523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5.7</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1AA294E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38676D3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0AECAFA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2.6</w:t>
            </w:r>
          </w:p>
        </w:tc>
        <w:tc>
          <w:tcPr>
            <w:tcW w:w="820" w:type="dxa"/>
            <w:tcBorders>
              <w:top w:val="single" w:color="000000" w:sz="4" w:space="0"/>
              <w:left w:val="single" w:color="000000" w:sz="4" w:space="0"/>
              <w:bottom w:val="single" w:color="000000" w:sz="4" w:space="0"/>
              <w:right w:val="nil"/>
            </w:tcBorders>
            <w:noWrap w:val="0"/>
            <w:vAlign w:val="center"/>
          </w:tcPr>
          <w:p w14:paraId="0D75306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w:t>
            </w:r>
          </w:p>
        </w:tc>
      </w:tr>
      <w:tr w14:paraId="5A9F2BA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02682D9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674158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3732970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6CE8997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670CD0B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42959F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105758E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73B299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35AE1D4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72A512D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11.3</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0F670D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11.8</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40483EF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13.2</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689F528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5A0B8C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4.7</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4571239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2.2</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009C3FA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2.1</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1EBBF21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2.3</w:t>
            </w:r>
          </w:p>
        </w:tc>
        <w:tc>
          <w:tcPr>
            <w:tcW w:w="820" w:type="dxa"/>
            <w:tcBorders>
              <w:top w:val="single" w:color="000000" w:sz="4" w:space="0"/>
              <w:left w:val="single" w:color="000000" w:sz="4" w:space="0"/>
              <w:bottom w:val="single" w:color="000000" w:sz="4" w:space="0"/>
              <w:right w:val="nil"/>
            </w:tcBorders>
            <w:noWrap w:val="0"/>
            <w:vAlign w:val="center"/>
          </w:tcPr>
          <w:p w14:paraId="5889ECB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7.6</w:t>
            </w:r>
          </w:p>
        </w:tc>
      </w:tr>
      <w:tr w14:paraId="538872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7B123BC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8</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631381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3.9</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11C99FC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4.5</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43082F5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6.5</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47560FB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3.2</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F44422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2.2</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4B5184C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2.3</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0ABAE2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94604B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8A686D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8.5</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577BC84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506B6B4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13.7</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665E8A2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F22CE8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6.2</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1583FE0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2.5</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0DA644C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32B0787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2.6</w:t>
            </w:r>
          </w:p>
        </w:tc>
        <w:tc>
          <w:tcPr>
            <w:tcW w:w="820" w:type="dxa"/>
            <w:tcBorders>
              <w:top w:val="single" w:color="000000" w:sz="4" w:space="0"/>
              <w:left w:val="single" w:color="000000" w:sz="4" w:space="0"/>
              <w:bottom w:val="single" w:color="000000" w:sz="4" w:space="0"/>
              <w:right w:val="nil"/>
            </w:tcBorders>
            <w:noWrap w:val="0"/>
            <w:vAlign w:val="center"/>
          </w:tcPr>
          <w:p w14:paraId="7357BE8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8.1</w:t>
            </w:r>
          </w:p>
        </w:tc>
      </w:tr>
      <w:tr w14:paraId="665955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3464678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53E991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7D79402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A96E3E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058E753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56655A0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09EEB6A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9D3CCF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574DBE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31F1FB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10.8</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15A90C4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13.9</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67894A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16.2</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350E328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14.8</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54874F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7.7</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12E8429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3.7</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5A3F51D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3.8</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6195BC7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820" w:type="dxa"/>
            <w:tcBorders>
              <w:top w:val="single" w:color="000000" w:sz="4" w:space="0"/>
              <w:left w:val="single" w:color="000000" w:sz="4" w:space="0"/>
              <w:bottom w:val="single" w:color="000000" w:sz="4" w:space="0"/>
              <w:right w:val="nil"/>
            </w:tcBorders>
            <w:noWrap w:val="0"/>
            <w:vAlign w:val="center"/>
          </w:tcPr>
          <w:p w14:paraId="53776BE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5.6</w:t>
            </w:r>
          </w:p>
        </w:tc>
      </w:tr>
      <w:tr w14:paraId="291115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21FA1B1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10</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6B0181F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4.6</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09D5B91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2.2</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24C669B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2.2</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78B7552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8CCEBD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602420A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3F5753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30AFCCC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2.9</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EF74C2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8.8</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25B22AB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12.2</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4A2939D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16.7</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3E1D1A5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17.4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0BC867C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10.6</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1361DEC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6.4</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383A73F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4.6</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4ED0097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3.1</w:t>
            </w:r>
          </w:p>
        </w:tc>
        <w:tc>
          <w:tcPr>
            <w:tcW w:w="820" w:type="dxa"/>
            <w:tcBorders>
              <w:top w:val="single" w:color="000000" w:sz="4" w:space="0"/>
              <w:left w:val="single" w:color="000000" w:sz="4" w:space="0"/>
              <w:bottom w:val="single" w:color="000000" w:sz="4" w:space="0"/>
              <w:right w:val="nil"/>
            </w:tcBorders>
            <w:noWrap w:val="0"/>
            <w:vAlign w:val="center"/>
          </w:tcPr>
          <w:p w14:paraId="3FEFB7F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3.8</w:t>
            </w:r>
          </w:p>
        </w:tc>
      </w:tr>
      <w:tr w14:paraId="3C09C1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4" w:space="0"/>
              <w:right w:val="single" w:color="000000" w:sz="4" w:space="0"/>
            </w:tcBorders>
            <w:noWrap w:val="0"/>
            <w:vAlign w:val="center"/>
          </w:tcPr>
          <w:p w14:paraId="065EAB0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C11B33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4.6</w:t>
            </w:r>
          </w:p>
        </w:tc>
        <w:tc>
          <w:tcPr>
            <w:tcW w:w="780" w:type="dxa"/>
            <w:tcBorders>
              <w:top w:val="single" w:color="000000" w:sz="4" w:space="0"/>
              <w:left w:val="single" w:color="000000" w:sz="4" w:space="0"/>
              <w:bottom w:val="single" w:color="000000" w:sz="4" w:space="0"/>
              <w:right w:val="single" w:color="000000" w:sz="4" w:space="0"/>
            </w:tcBorders>
            <w:noWrap w:val="0"/>
            <w:vAlign w:val="center"/>
          </w:tcPr>
          <w:p w14:paraId="6AF266C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3.2</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66AD7DE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3.6</w:t>
            </w:r>
          </w:p>
        </w:tc>
        <w:tc>
          <w:tcPr>
            <w:tcW w:w="752" w:type="dxa"/>
            <w:tcBorders>
              <w:top w:val="single" w:color="000000" w:sz="4" w:space="0"/>
              <w:left w:val="single" w:color="000000" w:sz="4" w:space="0"/>
              <w:bottom w:val="single" w:color="000000" w:sz="4" w:space="0"/>
              <w:right w:val="single" w:color="000000" w:sz="4" w:space="0"/>
            </w:tcBorders>
            <w:noWrap w:val="0"/>
            <w:vAlign w:val="center"/>
          </w:tcPr>
          <w:p w14:paraId="0EEF559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1.7</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191E869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0.9</w:t>
            </w:r>
          </w:p>
        </w:tc>
        <w:tc>
          <w:tcPr>
            <w:tcW w:w="708" w:type="dxa"/>
            <w:tcBorders>
              <w:top w:val="single" w:color="000000" w:sz="4" w:space="0"/>
              <w:left w:val="single" w:color="000000" w:sz="4" w:space="0"/>
              <w:bottom w:val="single" w:color="000000" w:sz="4" w:space="0"/>
              <w:right w:val="single" w:color="000000" w:sz="4" w:space="0"/>
            </w:tcBorders>
            <w:noWrap w:val="0"/>
            <w:vAlign w:val="center"/>
          </w:tcPr>
          <w:p w14:paraId="34C00BB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9136B7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1.5</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33FE16D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46FFE11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7.8</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0B9B1F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10.1</w:t>
            </w:r>
          </w:p>
        </w:tc>
        <w:tc>
          <w:tcPr>
            <w:tcW w:w="827" w:type="dxa"/>
            <w:tcBorders>
              <w:top w:val="single" w:color="000000" w:sz="4" w:space="0"/>
              <w:left w:val="single" w:color="000000" w:sz="4" w:space="0"/>
              <w:bottom w:val="single" w:color="000000" w:sz="4" w:space="0"/>
              <w:right w:val="single" w:color="000000" w:sz="4" w:space="0"/>
            </w:tcBorders>
            <w:noWrap w:val="0"/>
            <w:vAlign w:val="center"/>
          </w:tcPr>
          <w:p w14:paraId="7D17EF0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14.5</w:t>
            </w:r>
          </w:p>
        </w:tc>
        <w:tc>
          <w:tcPr>
            <w:tcW w:w="877" w:type="dxa"/>
            <w:tcBorders>
              <w:top w:val="single" w:color="000000" w:sz="4" w:space="0"/>
              <w:left w:val="single" w:color="000000" w:sz="4" w:space="0"/>
              <w:bottom w:val="single" w:color="000000" w:sz="4" w:space="0"/>
              <w:right w:val="single" w:color="000000" w:sz="4" w:space="0"/>
            </w:tcBorders>
            <w:noWrap w:val="0"/>
            <w:vAlign w:val="center"/>
          </w:tcPr>
          <w:p w14:paraId="43E0669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17.2</w:t>
            </w:r>
          </w:p>
        </w:tc>
        <w:tc>
          <w:tcPr>
            <w:tcW w:w="702" w:type="dxa"/>
            <w:tcBorders>
              <w:top w:val="single" w:color="000000" w:sz="4" w:space="0"/>
              <w:left w:val="single" w:color="000000" w:sz="4" w:space="0"/>
              <w:bottom w:val="single" w:color="000000" w:sz="4" w:space="0"/>
              <w:right w:val="single" w:color="000000" w:sz="4" w:space="0"/>
            </w:tcBorders>
            <w:noWrap w:val="0"/>
            <w:vAlign w:val="center"/>
          </w:tcPr>
          <w:p w14:paraId="257BD4F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13.2</w:t>
            </w: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0941526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5.6</w:t>
            </w:r>
          </w:p>
        </w:tc>
        <w:tc>
          <w:tcPr>
            <w:tcW w:w="703" w:type="dxa"/>
            <w:tcBorders>
              <w:top w:val="single" w:color="000000" w:sz="4" w:space="0"/>
              <w:left w:val="single" w:color="000000" w:sz="4" w:space="0"/>
              <w:bottom w:val="single" w:color="000000" w:sz="4" w:space="0"/>
              <w:right w:val="single" w:color="000000" w:sz="4" w:space="0"/>
            </w:tcBorders>
            <w:noWrap w:val="0"/>
            <w:vAlign w:val="center"/>
          </w:tcPr>
          <w:p w14:paraId="4DF9950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5.2</w:t>
            </w:r>
          </w:p>
        </w:tc>
        <w:tc>
          <w:tcPr>
            <w:tcW w:w="864" w:type="dxa"/>
            <w:tcBorders>
              <w:top w:val="single" w:color="000000" w:sz="4" w:space="0"/>
              <w:left w:val="single" w:color="000000" w:sz="4" w:space="0"/>
              <w:bottom w:val="single" w:color="000000" w:sz="4" w:space="0"/>
              <w:right w:val="single" w:color="000000" w:sz="4" w:space="0"/>
            </w:tcBorders>
            <w:noWrap w:val="0"/>
            <w:vAlign w:val="center"/>
          </w:tcPr>
          <w:p w14:paraId="68460CD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3.5</w:t>
            </w:r>
          </w:p>
        </w:tc>
        <w:tc>
          <w:tcPr>
            <w:tcW w:w="820" w:type="dxa"/>
            <w:tcBorders>
              <w:top w:val="single" w:color="000000" w:sz="4" w:space="0"/>
              <w:left w:val="single" w:color="000000" w:sz="4" w:space="0"/>
              <w:bottom w:val="single" w:color="000000" w:sz="4" w:space="0"/>
              <w:right w:val="nil"/>
            </w:tcBorders>
            <w:noWrap w:val="0"/>
            <w:vAlign w:val="center"/>
          </w:tcPr>
          <w:p w14:paraId="5F26E12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4.7</w:t>
            </w:r>
          </w:p>
        </w:tc>
      </w:tr>
      <w:tr w14:paraId="4880FA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75" w:type="pct"/>
            <w:tcBorders>
              <w:top w:val="single" w:color="000000" w:sz="4" w:space="0"/>
              <w:left w:val="nil"/>
              <w:bottom w:val="single" w:color="000000" w:sz="12" w:space="0"/>
              <w:right w:val="single" w:color="000000" w:sz="4" w:space="0"/>
            </w:tcBorders>
            <w:noWrap w:val="0"/>
            <w:vAlign w:val="center"/>
          </w:tcPr>
          <w:p w14:paraId="7CA76A3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12</w:t>
            </w:r>
          </w:p>
        </w:tc>
        <w:tc>
          <w:tcPr>
            <w:tcW w:w="702" w:type="dxa"/>
            <w:tcBorders>
              <w:top w:val="single" w:color="000000" w:sz="4" w:space="0"/>
              <w:left w:val="single" w:color="000000" w:sz="4" w:space="0"/>
              <w:bottom w:val="single" w:color="000000" w:sz="12" w:space="0"/>
              <w:right w:val="single" w:color="000000" w:sz="4" w:space="0"/>
            </w:tcBorders>
            <w:noWrap w:val="0"/>
            <w:vAlign w:val="center"/>
          </w:tcPr>
          <w:p w14:paraId="00C318D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4.1</w:t>
            </w:r>
          </w:p>
        </w:tc>
        <w:tc>
          <w:tcPr>
            <w:tcW w:w="780" w:type="dxa"/>
            <w:tcBorders>
              <w:top w:val="single" w:color="000000" w:sz="4" w:space="0"/>
              <w:left w:val="single" w:color="000000" w:sz="4" w:space="0"/>
              <w:bottom w:val="single" w:color="000000" w:sz="12" w:space="0"/>
              <w:right w:val="single" w:color="000000" w:sz="4" w:space="0"/>
            </w:tcBorders>
            <w:noWrap w:val="0"/>
            <w:vAlign w:val="center"/>
          </w:tcPr>
          <w:p w14:paraId="6D62669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2.8</w:t>
            </w:r>
          </w:p>
        </w:tc>
        <w:tc>
          <w:tcPr>
            <w:tcW w:w="827" w:type="dxa"/>
            <w:tcBorders>
              <w:top w:val="single" w:color="000000" w:sz="4" w:space="0"/>
              <w:left w:val="single" w:color="000000" w:sz="4" w:space="0"/>
              <w:bottom w:val="single" w:color="000000" w:sz="12" w:space="0"/>
              <w:right w:val="single" w:color="000000" w:sz="4" w:space="0"/>
            </w:tcBorders>
            <w:noWrap w:val="0"/>
            <w:vAlign w:val="center"/>
          </w:tcPr>
          <w:p w14:paraId="6729BD6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w:t>
            </w:r>
          </w:p>
        </w:tc>
        <w:tc>
          <w:tcPr>
            <w:tcW w:w="752" w:type="dxa"/>
            <w:tcBorders>
              <w:top w:val="single" w:color="000000" w:sz="4" w:space="0"/>
              <w:left w:val="single" w:color="000000" w:sz="4" w:space="0"/>
              <w:bottom w:val="single" w:color="000000" w:sz="12" w:space="0"/>
              <w:right w:val="single" w:color="000000" w:sz="4" w:space="0"/>
            </w:tcBorders>
            <w:noWrap w:val="0"/>
            <w:vAlign w:val="center"/>
          </w:tcPr>
          <w:p w14:paraId="3F0A9FC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1.5</w:t>
            </w:r>
          </w:p>
        </w:tc>
        <w:tc>
          <w:tcPr>
            <w:tcW w:w="702" w:type="dxa"/>
            <w:tcBorders>
              <w:top w:val="single" w:color="000000" w:sz="4" w:space="0"/>
              <w:left w:val="single" w:color="000000" w:sz="4" w:space="0"/>
              <w:bottom w:val="single" w:color="000000" w:sz="12" w:space="0"/>
              <w:right w:val="single" w:color="000000" w:sz="4" w:space="0"/>
            </w:tcBorders>
            <w:noWrap w:val="0"/>
            <w:vAlign w:val="center"/>
          </w:tcPr>
          <w:p w14:paraId="650F342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0.7</w:t>
            </w:r>
          </w:p>
        </w:tc>
        <w:tc>
          <w:tcPr>
            <w:tcW w:w="708" w:type="dxa"/>
            <w:tcBorders>
              <w:top w:val="single" w:color="000000" w:sz="4" w:space="0"/>
              <w:left w:val="single" w:color="000000" w:sz="4" w:space="0"/>
              <w:bottom w:val="single" w:color="000000" w:sz="12" w:space="0"/>
              <w:right w:val="single" w:color="000000" w:sz="4" w:space="0"/>
            </w:tcBorders>
            <w:noWrap w:val="0"/>
            <w:vAlign w:val="center"/>
          </w:tcPr>
          <w:p w14:paraId="5F6DC97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0.6</w:t>
            </w:r>
          </w:p>
        </w:tc>
        <w:tc>
          <w:tcPr>
            <w:tcW w:w="702" w:type="dxa"/>
            <w:tcBorders>
              <w:top w:val="single" w:color="000000" w:sz="4" w:space="0"/>
              <w:left w:val="single" w:color="000000" w:sz="4" w:space="0"/>
              <w:bottom w:val="single" w:color="000000" w:sz="12" w:space="0"/>
              <w:right w:val="single" w:color="000000" w:sz="4" w:space="0"/>
            </w:tcBorders>
            <w:noWrap w:val="0"/>
            <w:vAlign w:val="center"/>
          </w:tcPr>
          <w:p w14:paraId="308AFD3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w:t>
            </w:r>
          </w:p>
        </w:tc>
        <w:tc>
          <w:tcPr>
            <w:tcW w:w="702" w:type="dxa"/>
            <w:tcBorders>
              <w:top w:val="single" w:color="000000" w:sz="4" w:space="0"/>
              <w:left w:val="single" w:color="000000" w:sz="4" w:space="0"/>
              <w:bottom w:val="single" w:color="000000" w:sz="12" w:space="0"/>
              <w:right w:val="single" w:color="000000" w:sz="4" w:space="0"/>
            </w:tcBorders>
            <w:noWrap w:val="0"/>
            <w:vAlign w:val="center"/>
          </w:tcPr>
          <w:p w14:paraId="6D67136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2.5</w:t>
            </w:r>
          </w:p>
        </w:tc>
        <w:tc>
          <w:tcPr>
            <w:tcW w:w="702" w:type="dxa"/>
            <w:tcBorders>
              <w:top w:val="single" w:color="000000" w:sz="4" w:space="0"/>
              <w:left w:val="single" w:color="000000" w:sz="4" w:space="0"/>
              <w:bottom w:val="single" w:color="000000" w:sz="12" w:space="0"/>
              <w:right w:val="single" w:color="000000" w:sz="4" w:space="0"/>
            </w:tcBorders>
            <w:noWrap w:val="0"/>
            <w:vAlign w:val="center"/>
          </w:tcPr>
          <w:p w14:paraId="770A43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9.7</w:t>
            </w:r>
          </w:p>
        </w:tc>
        <w:tc>
          <w:tcPr>
            <w:tcW w:w="827" w:type="dxa"/>
            <w:tcBorders>
              <w:top w:val="single" w:color="000000" w:sz="4" w:space="0"/>
              <w:left w:val="single" w:color="000000" w:sz="4" w:space="0"/>
              <w:bottom w:val="single" w:color="000000" w:sz="12" w:space="0"/>
              <w:right w:val="single" w:color="000000" w:sz="4" w:space="0"/>
            </w:tcBorders>
            <w:noWrap w:val="0"/>
            <w:vAlign w:val="center"/>
          </w:tcPr>
          <w:p w14:paraId="7F81669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12.3</w:t>
            </w:r>
          </w:p>
        </w:tc>
        <w:tc>
          <w:tcPr>
            <w:tcW w:w="827" w:type="dxa"/>
            <w:tcBorders>
              <w:top w:val="single" w:color="000000" w:sz="4" w:space="0"/>
              <w:left w:val="single" w:color="000000" w:sz="4" w:space="0"/>
              <w:bottom w:val="single" w:color="000000" w:sz="12" w:space="0"/>
              <w:right w:val="single" w:color="000000" w:sz="4" w:space="0"/>
            </w:tcBorders>
            <w:noWrap w:val="0"/>
            <w:vAlign w:val="center"/>
          </w:tcPr>
          <w:p w14:paraId="2B8B3FA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16.7</w:t>
            </w:r>
          </w:p>
        </w:tc>
        <w:tc>
          <w:tcPr>
            <w:tcW w:w="877" w:type="dxa"/>
            <w:tcBorders>
              <w:top w:val="single" w:color="000000" w:sz="4" w:space="0"/>
              <w:left w:val="single" w:color="000000" w:sz="4" w:space="0"/>
              <w:bottom w:val="single" w:color="000000" w:sz="12" w:space="0"/>
              <w:right w:val="single" w:color="000000" w:sz="4" w:space="0"/>
            </w:tcBorders>
            <w:noWrap w:val="0"/>
            <w:vAlign w:val="center"/>
          </w:tcPr>
          <w:p w14:paraId="4707C4E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18.5</w:t>
            </w:r>
          </w:p>
        </w:tc>
        <w:tc>
          <w:tcPr>
            <w:tcW w:w="702" w:type="dxa"/>
            <w:tcBorders>
              <w:top w:val="single" w:color="000000" w:sz="4" w:space="0"/>
              <w:left w:val="single" w:color="000000" w:sz="4" w:space="0"/>
              <w:bottom w:val="single" w:color="000000" w:sz="12" w:space="0"/>
              <w:right w:val="single" w:color="000000" w:sz="4" w:space="0"/>
            </w:tcBorders>
            <w:noWrap w:val="0"/>
            <w:vAlign w:val="center"/>
          </w:tcPr>
          <w:p w14:paraId="75C973D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11.6</w:t>
            </w:r>
          </w:p>
        </w:tc>
        <w:tc>
          <w:tcPr>
            <w:tcW w:w="919" w:type="dxa"/>
            <w:tcBorders>
              <w:top w:val="single" w:color="000000" w:sz="4" w:space="0"/>
              <w:left w:val="single" w:color="000000" w:sz="4" w:space="0"/>
              <w:bottom w:val="single" w:color="000000" w:sz="12" w:space="0"/>
              <w:right w:val="single" w:color="000000" w:sz="4" w:space="0"/>
            </w:tcBorders>
            <w:noWrap w:val="0"/>
            <w:vAlign w:val="center"/>
          </w:tcPr>
          <w:p w14:paraId="5932298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w:t>
            </w:r>
          </w:p>
        </w:tc>
        <w:tc>
          <w:tcPr>
            <w:tcW w:w="703" w:type="dxa"/>
            <w:tcBorders>
              <w:top w:val="single" w:color="000000" w:sz="4" w:space="0"/>
              <w:left w:val="single" w:color="000000" w:sz="4" w:space="0"/>
              <w:bottom w:val="single" w:color="000000" w:sz="12" w:space="0"/>
              <w:right w:val="single" w:color="000000" w:sz="4" w:space="0"/>
            </w:tcBorders>
            <w:noWrap w:val="0"/>
            <w:vAlign w:val="center"/>
          </w:tcPr>
          <w:p w14:paraId="1E59440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3.3</w:t>
            </w:r>
          </w:p>
        </w:tc>
        <w:tc>
          <w:tcPr>
            <w:tcW w:w="864" w:type="dxa"/>
            <w:tcBorders>
              <w:top w:val="single" w:color="000000" w:sz="4" w:space="0"/>
              <w:left w:val="single" w:color="000000" w:sz="4" w:space="0"/>
              <w:bottom w:val="single" w:color="000000" w:sz="12" w:space="0"/>
              <w:right w:val="single" w:color="000000" w:sz="4" w:space="0"/>
            </w:tcBorders>
            <w:noWrap w:val="0"/>
            <w:vAlign w:val="center"/>
          </w:tcPr>
          <w:p w14:paraId="703423C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c>
          <w:tcPr>
            <w:tcW w:w="820" w:type="dxa"/>
            <w:tcBorders>
              <w:top w:val="single" w:color="000000" w:sz="4" w:space="0"/>
              <w:left w:val="single" w:color="000000" w:sz="4" w:space="0"/>
              <w:bottom w:val="single" w:color="000000" w:sz="12" w:space="0"/>
              <w:right w:val="nil"/>
            </w:tcBorders>
            <w:noWrap w:val="0"/>
            <w:vAlign w:val="center"/>
          </w:tcPr>
          <w:p w14:paraId="70A1307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4.1</w:t>
            </w:r>
          </w:p>
        </w:tc>
      </w:tr>
    </w:tbl>
    <w:p w14:paraId="4DE9670A">
      <w:pPr>
        <w:pageBreakBefore w:val="0"/>
        <w:widowControl w:val="0"/>
        <w:kinsoku/>
        <w:topLinePunct w:val="0"/>
        <w:bidi w:val="0"/>
        <w:ind w:left="0" w:leftChars="0" w:firstLine="0" w:firstLineChars="0"/>
        <w:jc w:val="left"/>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eastAsia="宋体" w:cs="Times New Roman"/>
          <w:color w:val="auto"/>
          <w:kern w:val="2"/>
          <w:sz w:val="21"/>
          <w:szCs w:val="21"/>
          <w:highlight w:val="none"/>
          <w:lang w:val="zh-CN" w:eastAsia="zh-CN" w:bidi="ar-SA"/>
        </w:rPr>
        <w:t>注：3、4、5月为春季，6、7、8月为夏季，9、10为秋季，11、12、1、2为冬季</w:t>
      </w:r>
    </w:p>
    <w:p w14:paraId="54A2E2F9">
      <w:pPr>
        <w:pageBreakBefore w:val="0"/>
        <w:widowControl w:val="0"/>
        <w:kinsoku/>
        <w:topLinePunct w:val="0"/>
        <w:bidi w:val="0"/>
        <w:rPr>
          <w:rFonts w:hint="default" w:ascii="Times New Roman" w:hAnsi="Times New Roman" w:cs="Times New Roman"/>
          <w:color w:val="auto"/>
          <w:highlight w:val="none"/>
        </w:rPr>
        <w:sectPr>
          <w:pgSz w:w="16838" w:h="11906" w:orient="landscape"/>
          <w:pgMar w:top="1440" w:right="1800" w:bottom="1440" w:left="1800" w:header="992" w:footer="850" w:gutter="0"/>
          <w:pgBorders>
            <w:top w:val="none" w:sz="0" w:space="0"/>
            <w:left w:val="none" w:sz="0" w:space="0"/>
            <w:bottom w:val="none" w:sz="0" w:space="0"/>
            <w:right w:val="none" w:sz="0" w:space="0"/>
          </w:pgBorders>
          <w:pgNumType w:fmt="numberInDash"/>
          <w:cols w:space="720" w:num="1"/>
          <w:docGrid w:type="lines" w:linePitch="326" w:charSpace="0"/>
        </w:sectPr>
      </w:pPr>
    </w:p>
    <w:p w14:paraId="6A887F4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黑体" w:cs="Times New Roman"/>
          <w:color w:val="auto"/>
          <w:kern w:val="2"/>
          <w:sz w:val="24"/>
          <w:szCs w:val="21"/>
          <w:highlight w:val="none"/>
          <w:lang w:val="zh-CN" w:eastAsia="zh-CN" w:bidi="ar-SA"/>
        </w:rPr>
      </w:pPr>
      <w:r>
        <w:rPr>
          <w:rFonts w:hint="default" w:ascii="Times New Roman" w:hAnsi="Times New Roman" w:cs="Times New Roman"/>
          <w:color w:val="auto"/>
          <w:highlight w:val="none"/>
        </w:rPr>
        <w:drawing>
          <wp:inline distT="0" distB="0" distL="0" distR="0">
            <wp:extent cx="3711575" cy="3568065"/>
            <wp:effectExtent l="0" t="0" r="3175" b="1333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33"/>
                    <a:stretch>
                      <a:fillRect/>
                    </a:stretch>
                  </pic:blipFill>
                  <pic:spPr>
                    <a:xfrm>
                      <a:off x="0" y="0"/>
                      <a:ext cx="3711575" cy="3568065"/>
                    </a:xfrm>
                    <a:prstGeom prst="rect">
                      <a:avLst/>
                    </a:prstGeom>
                  </pic:spPr>
                </pic:pic>
              </a:graphicData>
            </a:graphic>
          </wp:inline>
        </w:drawing>
      </w:r>
    </w:p>
    <w:p w14:paraId="718C5918">
      <w:pPr>
        <w:widowControl/>
        <w:spacing w:before="163" w:beforeLines="50" w:line="240" w:lineRule="auto"/>
        <w:ind w:firstLine="0" w:firstLineChars="0"/>
        <w:jc w:val="center"/>
        <w:rPr>
          <w:rFonts w:hint="default" w:cs="Times New Roman"/>
          <w:b/>
          <w:color w:val="auto"/>
          <w:szCs w:val="24"/>
          <w:highlight w:val="none"/>
          <w:lang w:val="en-US" w:eastAsia="zh-CN"/>
        </w:rPr>
      </w:pPr>
      <w:r>
        <w:rPr>
          <w:rFonts w:hint="default" w:cs="Times New Roman"/>
          <w:b/>
          <w:color w:val="auto"/>
          <w:szCs w:val="24"/>
          <w:highlight w:val="none"/>
          <w:lang w:val="zh-CN" w:eastAsia="zh-CN"/>
        </w:rPr>
        <w:t>图4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1  </w:t>
      </w:r>
      <w:r>
        <w:rPr>
          <w:rFonts w:hint="default" w:cs="Times New Roman"/>
          <w:b/>
          <w:color w:val="auto"/>
          <w:szCs w:val="24"/>
          <w:highlight w:val="none"/>
          <w:lang w:val="zh-CN" w:eastAsia="zh-CN"/>
        </w:rPr>
        <w:t>双鸭山市（2005-2024年）20年风频玫瑰图</w:t>
      </w:r>
    </w:p>
    <w:p w14:paraId="66C54936">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eastAsia="宋体" w:cs="Times New Roman"/>
          <w:color w:val="auto"/>
          <w:kern w:val="2"/>
          <w:sz w:val="24"/>
          <w:szCs w:val="21"/>
          <w:highlight w:val="none"/>
          <w:lang w:val="en-US" w:eastAsia="zh-CN" w:bidi="ar-SA"/>
        </w:rPr>
        <w:t>（2）202</w:t>
      </w:r>
      <w:r>
        <w:rPr>
          <w:rFonts w:hint="default" w:ascii="Times New Roman" w:hAnsi="Times New Roman" w:cs="Times New Roman"/>
          <w:color w:val="auto"/>
          <w:kern w:val="2"/>
          <w:sz w:val="24"/>
          <w:szCs w:val="21"/>
          <w:highlight w:val="none"/>
          <w:lang w:val="en-US" w:eastAsia="zh-CN" w:bidi="ar-SA"/>
        </w:rPr>
        <w:t>4</w:t>
      </w:r>
      <w:r>
        <w:rPr>
          <w:rFonts w:hint="default" w:ascii="Times New Roman" w:hAnsi="Times New Roman" w:eastAsia="宋体" w:cs="Times New Roman"/>
          <w:color w:val="auto"/>
          <w:kern w:val="2"/>
          <w:sz w:val="24"/>
          <w:szCs w:val="21"/>
          <w:highlight w:val="none"/>
          <w:lang w:val="en-US" w:eastAsia="zh-CN" w:bidi="ar-SA"/>
        </w:rPr>
        <w:t>年气象</w:t>
      </w:r>
    </w:p>
    <w:p w14:paraId="37957F9A">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eastAsia="宋体" w:cs="Times New Roman"/>
          <w:color w:val="auto"/>
          <w:kern w:val="2"/>
          <w:sz w:val="24"/>
          <w:szCs w:val="21"/>
          <w:highlight w:val="none"/>
          <w:lang w:val="en-US" w:eastAsia="zh-CN" w:bidi="ar-SA"/>
        </w:rPr>
        <w:t>①温度</w:t>
      </w:r>
    </w:p>
    <w:p w14:paraId="2F077734">
      <w:pPr>
        <w:pageBreakBefore w:val="0"/>
        <w:widowControl w:val="0"/>
        <w:kinsoku/>
        <w:topLinePunct w:val="0"/>
        <w:bidi w:val="0"/>
        <w:spacing w:line="500" w:lineRule="exact"/>
        <w:ind w:firstLine="480" w:firstLineChars="200"/>
        <w:jc w:val="both"/>
        <w:rPr>
          <w:rFonts w:hint="default" w:ascii="Times New Roman" w:hAnsi="Times New Roman" w:eastAsia="黑体" w:cs="Times New Roman"/>
          <w:color w:val="auto"/>
          <w:kern w:val="2"/>
          <w:sz w:val="24"/>
          <w:szCs w:val="21"/>
          <w:highlight w:val="none"/>
          <w:lang w:val="zh-CN" w:eastAsia="zh-CN" w:bidi="ar-SA"/>
        </w:rPr>
      </w:pPr>
      <w:r>
        <w:rPr>
          <w:rFonts w:hint="default" w:ascii="Times New Roman" w:hAnsi="Times New Roman" w:eastAsia="宋体" w:cs="Times New Roman"/>
          <w:color w:val="auto"/>
          <w:kern w:val="2"/>
          <w:sz w:val="24"/>
          <w:szCs w:val="21"/>
          <w:highlight w:val="none"/>
          <w:lang w:val="en-US" w:eastAsia="zh-CN" w:bidi="ar-SA"/>
        </w:rPr>
        <w:t>双鸭山市</w:t>
      </w:r>
      <w:r>
        <w:rPr>
          <w:rFonts w:hint="default" w:ascii="Times New Roman" w:hAnsi="Times New Roman" w:cs="Times New Roman"/>
          <w:color w:val="auto"/>
          <w:kern w:val="2"/>
          <w:sz w:val="24"/>
          <w:szCs w:val="21"/>
          <w:highlight w:val="none"/>
          <w:lang w:val="en-US" w:eastAsia="zh-CN" w:bidi="ar-SA"/>
        </w:rPr>
        <w:t>2024年</w:t>
      </w:r>
      <w:r>
        <w:rPr>
          <w:rFonts w:hint="default" w:ascii="Times New Roman" w:hAnsi="Times New Roman" w:eastAsia="宋体" w:cs="Times New Roman"/>
          <w:color w:val="auto"/>
          <w:kern w:val="2"/>
          <w:sz w:val="24"/>
          <w:szCs w:val="21"/>
          <w:highlight w:val="none"/>
          <w:lang w:val="en-US" w:eastAsia="zh-CN" w:bidi="ar-SA"/>
        </w:rPr>
        <w:t>平均气温月变化情况见下表，年平均气温月变化曲线见下图。从年平均气温月变化资料中可以看出该地区7月份平均气温最高（</w:t>
      </w:r>
      <w:r>
        <w:rPr>
          <w:rFonts w:hint="default" w:ascii="Times New Roman" w:hAnsi="Times New Roman" w:cs="Times New Roman"/>
          <w:color w:val="auto"/>
          <w:kern w:val="2"/>
          <w:sz w:val="24"/>
          <w:szCs w:val="21"/>
          <w:highlight w:val="none"/>
          <w:lang w:val="en-US" w:eastAsia="zh-CN" w:bidi="ar-SA"/>
        </w:rPr>
        <w:t>28.07</w:t>
      </w:r>
      <w:r>
        <w:rPr>
          <w:rFonts w:hint="default" w:ascii="Times New Roman" w:hAnsi="Times New Roman" w:eastAsia="宋体" w:cs="Times New Roman"/>
          <w:color w:val="auto"/>
          <w:kern w:val="2"/>
          <w:sz w:val="24"/>
          <w:szCs w:val="21"/>
          <w:highlight w:val="none"/>
          <w:lang w:val="en-US" w:eastAsia="zh-CN" w:bidi="ar-SA"/>
        </w:rPr>
        <w:t>ºC），1月份气温平均最低（-</w:t>
      </w:r>
      <w:r>
        <w:rPr>
          <w:rFonts w:hint="default" w:ascii="Times New Roman" w:hAnsi="Times New Roman" w:cs="Times New Roman"/>
          <w:color w:val="auto"/>
          <w:kern w:val="2"/>
          <w:sz w:val="24"/>
          <w:szCs w:val="21"/>
          <w:highlight w:val="none"/>
          <w:lang w:val="en-US" w:eastAsia="zh-CN" w:bidi="ar-SA"/>
        </w:rPr>
        <w:t>15.49</w:t>
      </w:r>
      <w:r>
        <w:rPr>
          <w:rFonts w:hint="default" w:ascii="Times New Roman" w:hAnsi="Times New Roman" w:eastAsia="宋体" w:cs="Times New Roman"/>
          <w:color w:val="auto"/>
          <w:kern w:val="2"/>
          <w:sz w:val="24"/>
          <w:szCs w:val="21"/>
          <w:highlight w:val="none"/>
          <w:lang w:val="en-US" w:eastAsia="zh-CN" w:bidi="ar-SA"/>
        </w:rPr>
        <w:t>ºC）。</w:t>
      </w:r>
    </w:p>
    <w:p w14:paraId="22CC2C8C">
      <w:pPr>
        <w:widowControl/>
        <w:spacing w:before="163" w:beforeLines="50" w:line="240" w:lineRule="auto"/>
        <w:ind w:firstLine="0" w:firstLineChars="0"/>
        <w:jc w:val="center"/>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1-3</w:t>
      </w:r>
      <w:r>
        <w:rPr>
          <w:rFonts w:hint="default" w:cs="Times New Roman"/>
          <w:b/>
          <w:color w:val="auto"/>
          <w:szCs w:val="24"/>
          <w:highlight w:val="none"/>
          <w:lang w:val="en-US" w:eastAsia="zh-CN"/>
        </w:rPr>
        <w:t xml:space="preserve">  </w:t>
      </w:r>
      <w:r>
        <w:rPr>
          <w:rFonts w:hint="default" w:cs="Times New Roman"/>
          <w:b/>
          <w:color w:val="auto"/>
          <w:szCs w:val="24"/>
          <w:highlight w:val="none"/>
          <w:lang w:val="zh-CN" w:eastAsia="zh-CN"/>
        </w:rPr>
        <w:t>双鸭山市2024年各月平均气温统计表（℃）</w:t>
      </w:r>
    </w:p>
    <w:tbl>
      <w:tblPr>
        <w:tblStyle w:val="4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2"/>
        <w:gridCol w:w="749"/>
        <w:gridCol w:w="646"/>
        <w:gridCol w:w="646"/>
        <w:gridCol w:w="681"/>
        <w:gridCol w:w="681"/>
        <w:gridCol w:w="681"/>
        <w:gridCol w:w="681"/>
        <w:gridCol w:w="681"/>
        <w:gridCol w:w="681"/>
        <w:gridCol w:w="578"/>
        <w:gridCol w:w="646"/>
        <w:gridCol w:w="749"/>
      </w:tblGrid>
      <w:tr w14:paraId="1AF1D9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tcBorders>
              <w:top w:val="single" w:color="auto" w:sz="12" w:space="0"/>
              <w:left w:val="nil"/>
              <w:bottom w:val="single" w:color="auto" w:sz="4" w:space="0"/>
              <w:right w:val="single" w:color="auto" w:sz="4" w:space="0"/>
            </w:tcBorders>
            <w:noWrap w:val="0"/>
            <w:vAlign w:val="center"/>
          </w:tcPr>
          <w:p w14:paraId="6F7F9B0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月份</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4FF4500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448B3BF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2</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323F325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3</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52F499F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4</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1FB9C56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5</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398680D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6</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14F7F22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7</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0655F33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8</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27724A7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9</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2B2CC86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10</w:t>
            </w:r>
          </w:p>
        </w:tc>
        <w:tc>
          <w:tcPr>
            <w:tcW w:w="0" w:type="auto"/>
            <w:tcBorders>
              <w:top w:val="single" w:color="auto" w:sz="12" w:space="0"/>
              <w:left w:val="single" w:color="auto" w:sz="4" w:space="0"/>
              <w:bottom w:val="single" w:color="auto" w:sz="4" w:space="0"/>
              <w:right w:val="single" w:color="auto" w:sz="4" w:space="0"/>
            </w:tcBorders>
            <w:noWrap w:val="0"/>
            <w:vAlign w:val="center"/>
          </w:tcPr>
          <w:p w14:paraId="00A52D7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11</w:t>
            </w:r>
          </w:p>
        </w:tc>
        <w:tc>
          <w:tcPr>
            <w:tcW w:w="0" w:type="auto"/>
            <w:tcBorders>
              <w:top w:val="single" w:color="auto" w:sz="12" w:space="0"/>
              <w:left w:val="single" w:color="auto" w:sz="4" w:space="0"/>
              <w:bottom w:val="single" w:color="auto" w:sz="4" w:space="0"/>
              <w:right w:val="nil"/>
            </w:tcBorders>
            <w:noWrap w:val="0"/>
            <w:vAlign w:val="center"/>
          </w:tcPr>
          <w:p w14:paraId="739D71C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12</w:t>
            </w:r>
          </w:p>
        </w:tc>
      </w:tr>
      <w:tr w14:paraId="5F9940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tcBorders>
              <w:top w:val="single" w:color="auto" w:sz="4" w:space="0"/>
              <w:left w:val="nil"/>
              <w:bottom w:val="single" w:color="auto" w:sz="12" w:space="0"/>
              <w:right w:val="single" w:color="auto" w:sz="4" w:space="0"/>
            </w:tcBorders>
            <w:noWrap w:val="0"/>
            <w:vAlign w:val="center"/>
          </w:tcPr>
          <w:p w14:paraId="6AA495A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温度</w:t>
            </w:r>
          </w:p>
        </w:tc>
        <w:tc>
          <w:tcPr>
            <w:tcW w:w="726" w:type="dxa"/>
            <w:tcBorders>
              <w:top w:val="single" w:color="auto" w:sz="4" w:space="0"/>
              <w:left w:val="single" w:color="auto" w:sz="4" w:space="0"/>
              <w:bottom w:val="single" w:color="auto" w:sz="12" w:space="0"/>
              <w:right w:val="single" w:color="auto" w:sz="4" w:space="0"/>
            </w:tcBorders>
            <w:noWrap w:val="0"/>
            <w:vAlign w:val="bottom"/>
          </w:tcPr>
          <w:p w14:paraId="7A5BA02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-15.49 </w:t>
            </w:r>
          </w:p>
        </w:tc>
        <w:tc>
          <w:tcPr>
            <w:tcW w:w="726" w:type="dxa"/>
            <w:tcBorders>
              <w:top w:val="single" w:color="auto" w:sz="4" w:space="0"/>
              <w:left w:val="single" w:color="auto" w:sz="4" w:space="0"/>
              <w:bottom w:val="single" w:color="auto" w:sz="12" w:space="0"/>
              <w:right w:val="single" w:color="auto" w:sz="4" w:space="0"/>
            </w:tcBorders>
            <w:noWrap w:val="0"/>
            <w:vAlign w:val="bottom"/>
          </w:tcPr>
          <w:p w14:paraId="1652D9F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-9.62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749CF59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-2.52 </w:t>
            </w:r>
          </w:p>
        </w:tc>
        <w:tc>
          <w:tcPr>
            <w:tcW w:w="556" w:type="dxa"/>
            <w:tcBorders>
              <w:top w:val="single" w:color="auto" w:sz="4" w:space="0"/>
              <w:left w:val="single" w:color="auto" w:sz="4" w:space="0"/>
              <w:bottom w:val="single" w:color="auto" w:sz="12" w:space="0"/>
              <w:right w:val="single" w:color="auto" w:sz="4" w:space="0"/>
            </w:tcBorders>
            <w:noWrap w:val="0"/>
            <w:vAlign w:val="bottom"/>
          </w:tcPr>
          <w:p w14:paraId="5615F28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10.54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1CF1156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13.65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564ED1C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17.40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4949726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23.26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52F545C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22.77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6FAC718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16.00 </w:t>
            </w:r>
          </w:p>
        </w:tc>
        <w:tc>
          <w:tcPr>
            <w:tcW w:w="556" w:type="dxa"/>
            <w:tcBorders>
              <w:top w:val="single" w:color="auto" w:sz="4" w:space="0"/>
              <w:left w:val="single" w:color="auto" w:sz="4" w:space="0"/>
              <w:bottom w:val="single" w:color="auto" w:sz="12" w:space="0"/>
              <w:right w:val="single" w:color="auto" w:sz="4" w:space="0"/>
            </w:tcBorders>
            <w:noWrap w:val="0"/>
            <w:vAlign w:val="bottom"/>
          </w:tcPr>
          <w:p w14:paraId="7A3F95A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8.26 </w:t>
            </w:r>
          </w:p>
        </w:tc>
        <w:tc>
          <w:tcPr>
            <w:tcW w:w="641" w:type="dxa"/>
            <w:tcBorders>
              <w:top w:val="single" w:color="auto" w:sz="4" w:space="0"/>
              <w:left w:val="single" w:color="auto" w:sz="4" w:space="0"/>
              <w:bottom w:val="single" w:color="auto" w:sz="12" w:space="0"/>
              <w:right w:val="single" w:color="auto" w:sz="4" w:space="0"/>
            </w:tcBorders>
            <w:noWrap w:val="0"/>
            <w:vAlign w:val="bottom"/>
          </w:tcPr>
          <w:p w14:paraId="6ABE9BE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-2.80 </w:t>
            </w:r>
          </w:p>
        </w:tc>
        <w:tc>
          <w:tcPr>
            <w:tcW w:w="726" w:type="dxa"/>
            <w:tcBorders>
              <w:top w:val="single" w:color="auto" w:sz="4" w:space="0"/>
              <w:left w:val="single" w:color="auto" w:sz="4" w:space="0"/>
              <w:bottom w:val="single" w:color="auto" w:sz="12" w:space="0"/>
              <w:right w:val="nil"/>
            </w:tcBorders>
            <w:noWrap w:val="0"/>
            <w:vAlign w:val="bottom"/>
          </w:tcPr>
          <w:p w14:paraId="03A9124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-12.99 </w:t>
            </w:r>
          </w:p>
        </w:tc>
      </w:tr>
    </w:tbl>
    <w:p w14:paraId="0512B1A4">
      <w:pPr>
        <w:pageBreakBefore w:val="0"/>
        <w:widowControl w:val="0"/>
        <w:kinsoku/>
        <w:topLinePunct w:val="0"/>
        <w:bidi w:val="0"/>
        <w:spacing w:line="240" w:lineRule="auto"/>
        <w:ind w:firstLine="0" w:firstLineChars="0"/>
        <w:jc w:val="both"/>
        <w:rPr>
          <w:rFonts w:hint="default" w:ascii="Times New Roman" w:hAnsi="Times New Roman" w:cs="Times New Roman"/>
          <w:color w:val="auto"/>
          <w:highlight w:val="none"/>
        </w:rPr>
      </w:pPr>
    </w:p>
    <w:p w14:paraId="1F673676">
      <w:pPr>
        <w:pageBreakBefore w:val="0"/>
        <w:widowControl w:val="0"/>
        <w:kinsoku/>
        <w:topLinePunct w:val="0"/>
        <w:bidi w:val="0"/>
        <w:spacing w:line="240" w:lineRule="auto"/>
        <w:ind w:firstLine="0" w:firstLineChars="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cs="Times New Roman"/>
          <w:color w:val="auto"/>
          <w:highlight w:val="none"/>
        </w:rPr>
        <w:drawing>
          <wp:inline distT="0" distB="0" distL="114300" distR="114300">
            <wp:extent cx="5271135" cy="2023745"/>
            <wp:effectExtent l="4445" t="4445" r="20320" b="10160"/>
            <wp:docPr id="209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7FF7D80">
      <w:pPr>
        <w:widowControl/>
        <w:spacing w:before="163" w:beforeLines="50" w:line="240" w:lineRule="auto"/>
        <w:ind w:firstLine="0" w:firstLineChars="0"/>
        <w:jc w:val="center"/>
        <w:rPr>
          <w:rFonts w:hint="default" w:cs="Times New Roman"/>
          <w:b/>
          <w:color w:val="auto"/>
          <w:szCs w:val="24"/>
          <w:highlight w:val="none"/>
          <w:lang w:val="zh-CN" w:eastAsia="zh-CN"/>
        </w:rPr>
      </w:pPr>
      <w:r>
        <w:rPr>
          <w:rFonts w:hint="default" w:cs="Times New Roman"/>
          <w:b/>
          <w:color w:val="auto"/>
          <w:szCs w:val="24"/>
          <w:highlight w:val="none"/>
          <w:lang w:val="zh-CN" w:eastAsia="zh-CN"/>
        </w:rPr>
        <w:t>图4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-2  </w:t>
      </w:r>
      <w:r>
        <w:rPr>
          <w:rFonts w:hint="default" w:cs="Times New Roman"/>
          <w:b/>
          <w:color w:val="auto"/>
          <w:szCs w:val="24"/>
          <w:highlight w:val="none"/>
          <w:lang w:val="zh-CN" w:eastAsia="zh-CN"/>
        </w:rPr>
        <w:t>年平均温度的月变化图</w:t>
      </w:r>
    </w:p>
    <w:p w14:paraId="61CC47C9">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eastAsia="宋体" w:cs="Times New Roman"/>
          <w:color w:val="auto"/>
          <w:kern w:val="2"/>
          <w:sz w:val="24"/>
          <w:szCs w:val="21"/>
          <w:highlight w:val="none"/>
          <w:lang w:val="en-US" w:eastAsia="zh-CN" w:bidi="ar-SA"/>
        </w:rPr>
        <w:t>②风速</w:t>
      </w:r>
    </w:p>
    <w:p w14:paraId="79C9803E">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cs="Times New Roman"/>
          <w:color w:val="auto"/>
          <w:kern w:val="2"/>
          <w:sz w:val="24"/>
          <w:szCs w:val="21"/>
          <w:highlight w:val="none"/>
          <w:lang w:val="en-US" w:eastAsia="zh-CN" w:bidi="ar-SA"/>
        </w:rPr>
        <w:t>双鸭山市2024年</w:t>
      </w:r>
      <w:r>
        <w:rPr>
          <w:rFonts w:hint="default" w:ascii="Times New Roman" w:hAnsi="Times New Roman" w:eastAsia="宋体" w:cs="Times New Roman"/>
          <w:color w:val="auto"/>
          <w:kern w:val="2"/>
          <w:sz w:val="24"/>
          <w:szCs w:val="21"/>
          <w:highlight w:val="none"/>
          <w:lang w:val="en-US" w:eastAsia="zh-CN" w:bidi="ar-SA"/>
        </w:rPr>
        <w:t>平均风速随月份的变化情况分别见下表，月平均风速变化曲线见下图。</w:t>
      </w:r>
    </w:p>
    <w:p w14:paraId="027230E8">
      <w:pPr>
        <w:pageBreakBefore w:val="0"/>
        <w:widowControl w:val="0"/>
        <w:kinsoku/>
        <w:topLinePunct w:val="0"/>
        <w:bidi w:val="0"/>
        <w:spacing w:line="240" w:lineRule="auto"/>
        <w:ind w:firstLine="0" w:firstLineChars="0"/>
        <w:jc w:val="center"/>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-4  </w:t>
      </w:r>
      <w:r>
        <w:rPr>
          <w:rFonts w:hint="default" w:cs="Times New Roman"/>
          <w:b/>
          <w:color w:val="auto"/>
          <w:szCs w:val="24"/>
          <w:highlight w:val="none"/>
          <w:lang w:val="zh-CN" w:eastAsia="zh-CN"/>
        </w:rPr>
        <w:t>双鸭山市2024年年平均风速的月变化（m/s）</w:t>
      </w:r>
    </w:p>
    <w:tbl>
      <w:tblPr>
        <w:tblStyle w:val="4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656"/>
        <w:gridCol w:w="656"/>
        <w:gridCol w:w="656"/>
        <w:gridCol w:w="656"/>
        <w:gridCol w:w="656"/>
        <w:gridCol w:w="656"/>
        <w:gridCol w:w="656"/>
        <w:gridCol w:w="656"/>
        <w:gridCol w:w="656"/>
        <w:gridCol w:w="656"/>
        <w:gridCol w:w="657"/>
        <w:gridCol w:w="649"/>
      </w:tblGrid>
      <w:tr w14:paraId="2D705A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pct"/>
            <w:tcBorders>
              <w:top w:val="single" w:color="auto" w:sz="12" w:space="0"/>
              <w:left w:val="nil"/>
              <w:bottom w:val="single" w:color="auto" w:sz="4" w:space="0"/>
              <w:right w:val="single" w:color="auto" w:sz="4" w:space="0"/>
            </w:tcBorders>
            <w:noWrap w:val="0"/>
            <w:vAlign w:val="center"/>
          </w:tcPr>
          <w:p w14:paraId="7D4A5FE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月份</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72A7E0C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27FA75B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2</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383C75A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3</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685CE5A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4</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37A69BB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5</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6794859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6</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76CEA7C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7</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714A35B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8</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70E334E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9</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7326F86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10</w:t>
            </w:r>
          </w:p>
        </w:tc>
        <w:tc>
          <w:tcPr>
            <w:tcW w:w="385" w:type="pct"/>
            <w:tcBorders>
              <w:top w:val="single" w:color="auto" w:sz="12" w:space="0"/>
              <w:left w:val="single" w:color="auto" w:sz="4" w:space="0"/>
              <w:bottom w:val="single" w:color="auto" w:sz="4" w:space="0"/>
              <w:right w:val="single" w:color="auto" w:sz="4" w:space="0"/>
            </w:tcBorders>
            <w:noWrap w:val="0"/>
            <w:vAlign w:val="center"/>
          </w:tcPr>
          <w:p w14:paraId="54BF93E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11</w:t>
            </w:r>
          </w:p>
        </w:tc>
        <w:tc>
          <w:tcPr>
            <w:tcW w:w="385" w:type="pct"/>
            <w:tcBorders>
              <w:top w:val="single" w:color="auto" w:sz="12" w:space="0"/>
              <w:left w:val="single" w:color="auto" w:sz="4" w:space="0"/>
              <w:bottom w:val="single" w:color="auto" w:sz="4" w:space="0"/>
              <w:right w:val="nil"/>
            </w:tcBorders>
            <w:noWrap w:val="0"/>
            <w:vAlign w:val="center"/>
          </w:tcPr>
          <w:p w14:paraId="0DFAAE0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12</w:t>
            </w:r>
          </w:p>
        </w:tc>
      </w:tr>
      <w:tr w14:paraId="0A1B8F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5" w:type="pct"/>
            <w:tcBorders>
              <w:top w:val="single" w:color="auto" w:sz="4" w:space="0"/>
              <w:left w:val="nil"/>
              <w:bottom w:val="single" w:color="auto" w:sz="12" w:space="0"/>
              <w:right w:val="single" w:color="auto" w:sz="4" w:space="0"/>
            </w:tcBorders>
            <w:noWrap w:val="0"/>
            <w:vAlign w:val="center"/>
          </w:tcPr>
          <w:p w14:paraId="1264CBD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风速</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5D4B6A2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1.74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5106C79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2.07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6B73E53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2.03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4D3297D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2.32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49CF7B6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1.96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192814C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1.50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72A5A1E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1.46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4CEF3A4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1.43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5B7A46E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2.01 </w:t>
            </w:r>
          </w:p>
        </w:tc>
        <w:tc>
          <w:tcPr>
            <w:tcW w:w="656" w:type="dxa"/>
            <w:tcBorders>
              <w:top w:val="single" w:color="auto" w:sz="4" w:space="0"/>
              <w:left w:val="single" w:color="auto" w:sz="4" w:space="0"/>
              <w:bottom w:val="single" w:color="auto" w:sz="12" w:space="0"/>
              <w:right w:val="single" w:color="auto" w:sz="4" w:space="0"/>
            </w:tcBorders>
            <w:noWrap w:val="0"/>
            <w:vAlign w:val="bottom"/>
          </w:tcPr>
          <w:p w14:paraId="33C4576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2.19 </w:t>
            </w:r>
          </w:p>
        </w:tc>
        <w:tc>
          <w:tcPr>
            <w:tcW w:w="657" w:type="dxa"/>
            <w:tcBorders>
              <w:top w:val="single" w:color="auto" w:sz="4" w:space="0"/>
              <w:left w:val="single" w:color="auto" w:sz="4" w:space="0"/>
              <w:bottom w:val="single" w:color="auto" w:sz="12" w:space="0"/>
              <w:right w:val="single" w:color="auto" w:sz="4" w:space="0"/>
            </w:tcBorders>
            <w:noWrap w:val="0"/>
            <w:vAlign w:val="bottom"/>
          </w:tcPr>
          <w:p w14:paraId="5540962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1.75 </w:t>
            </w:r>
          </w:p>
        </w:tc>
        <w:tc>
          <w:tcPr>
            <w:tcW w:w="649" w:type="dxa"/>
            <w:tcBorders>
              <w:top w:val="single" w:color="auto" w:sz="4" w:space="0"/>
              <w:left w:val="single" w:color="auto" w:sz="4" w:space="0"/>
              <w:bottom w:val="single" w:color="auto" w:sz="12" w:space="0"/>
              <w:right w:val="nil"/>
            </w:tcBorders>
            <w:noWrap w:val="0"/>
            <w:vAlign w:val="bottom"/>
          </w:tcPr>
          <w:p w14:paraId="53D73C5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2.19 </w:t>
            </w:r>
          </w:p>
        </w:tc>
      </w:tr>
    </w:tbl>
    <w:p w14:paraId="3E45F0F8">
      <w:pPr>
        <w:keepNext w:val="0"/>
        <w:keepLines w:val="0"/>
        <w:pageBreakBefore w:val="0"/>
        <w:widowControl w:val="0"/>
        <w:kinsoku/>
        <w:wordWrap/>
        <w:overflowPunct/>
        <w:topLinePunct w:val="0"/>
        <w:autoSpaceDE/>
        <w:autoSpaceDN/>
        <w:bidi w:val="0"/>
        <w:adjustRightInd/>
        <w:snapToGrid/>
        <w:spacing w:before="164" w:beforeLines="50" w:after="164" w:afterLines="50" w:line="240" w:lineRule="auto"/>
        <w:ind w:firstLine="0" w:firstLineChars="0"/>
        <w:jc w:val="center"/>
        <w:textAlignment w:val="auto"/>
        <w:rPr>
          <w:rFonts w:hint="default" w:cs="Times New Roman"/>
          <w:b/>
          <w:color w:val="auto"/>
          <w:szCs w:val="24"/>
          <w:highlight w:val="none"/>
          <w:lang w:val="zh-CN" w:eastAsia="zh-CN"/>
        </w:rPr>
      </w:pPr>
      <w:r>
        <w:rPr>
          <w:rFonts w:hint="default" w:ascii="Times New Roman" w:hAnsi="Times New Roman" w:cs="Times New Roman"/>
          <w:color w:val="auto"/>
          <w:highlight w:val="none"/>
        </w:rPr>
        <w:drawing>
          <wp:inline distT="0" distB="0" distL="114300" distR="114300">
            <wp:extent cx="5270500" cy="2028825"/>
            <wp:effectExtent l="4445" t="4445" r="20955" b="5080"/>
            <wp:docPr id="2094"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rFonts w:hint="default" w:cs="Times New Roman"/>
          <w:b/>
          <w:color w:val="auto"/>
          <w:szCs w:val="24"/>
          <w:highlight w:val="none"/>
          <w:lang w:val="zh-CN" w:eastAsia="zh-CN"/>
        </w:rPr>
        <w:t>图4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-3  </w:t>
      </w:r>
      <w:r>
        <w:rPr>
          <w:rFonts w:hint="default" w:cs="Times New Roman"/>
          <w:b/>
          <w:color w:val="auto"/>
          <w:szCs w:val="24"/>
          <w:highlight w:val="none"/>
          <w:lang w:val="zh-CN" w:eastAsia="zh-CN"/>
        </w:rPr>
        <w:t>年平均风速的月变化图</w:t>
      </w:r>
    </w:p>
    <w:p w14:paraId="1A7A4CF7">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cs="Times New Roman"/>
          <w:color w:val="auto"/>
          <w:kern w:val="2"/>
          <w:sz w:val="24"/>
          <w:szCs w:val="21"/>
          <w:highlight w:val="none"/>
          <w:lang w:val="en-US" w:eastAsia="zh-CN" w:bidi="ar-SA"/>
        </w:rPr>
        <w:t>双鸭山市2024年</w:t>
      </w:r>
      <w:r>
        <w:rPr>
          <w:rFonts w:hint="default" w:ascii="Times New Roman" w:hAnsi="Times New Roman" w:eastAsia="宋体" w:cs="Times New Roman"/>
          <w:color w:val="auto"/>
          <w:kern w:val="2"/>
          <w:sz w:val="24"/>
          <w:szCs w:val="21"/>
          <w:highlight w:val="none"/>
          <w:lang w:val="en-US" w:eastAsia="zh-CN" w:bidi="ar-SA"/>
        </w:rPr>
        <w:t>季小时平均风速的日变化情况见下表，季小时平均风速的日变化曲线见下图。</w:t>
      </w:r>
    </w:p>
    <w:p w14:paraId="19BD23EC">
      <w:pPr>
        <w:pageBreakBefore w:val="0"/>
        <w:widowControl w:val="0"/>
        <w:kinsoku/>
        <w:topLinePunct w:val="0"/>
        <w:bidi w:val="0"/>
        <w:spacing w:line="240" w:lineRule="auto"/>
        <w:ind w:firstLine="0" w:firstLineChars="0"/>
        <w:jc w:val="center"/>
        <w:rPr>
          <w:rFonts w:hint="default" w:cs="Times New Roman"/>
          <w:b/>
          <w:color w:val="auto"/>
          <w:szCs w:val="24"/>
          <w:highlight w:val="none"/>
          <w:lang w:val="zh-CN" w:eastAsia="zh-CN"/>
        </w:rPr>
      </w:pPr>
      <w:r>
        <w:rPr>
          <w:rFonts w:hint="default" w:ascii="Times New Roman" w:hAnsi="Times New Roman" w:cs="Times New Roman"/>
          <w:color w:val="auto"/>
          <w:highlight w:val="none"/>
        </w:rPr>
        <w:drawing>
          <wp:inline distT="0" distB="0" distL="114300" distR="114300">
            <wp:extent cx="5271135" cy="2199005"/>
            <wp:effectExtent l="4445" t="4445" r="20320" b="6350"/>
            <wp:docPr id="209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rFonts w:hint="default" w:cs="Times New Roman"/>
          <w:b/>
          <w:color w:val="auto"/>
          <w:szCs w:val="24"/>
          <w:highlight w:val="none"/>
          <w:lang w:val="zh-CN" w:eastAsia="zh-CN"/>
        </w:rPr>
        <w:t>图4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-4  </w:t>
      </w:r>
      <w:r>
        <w:rPr>
          <w:rFonts w:hint="default" w:cs="Times New Roman"/>
          <w:b/>
          <w:color w:val="auto"/>
          <w:szCs w:val="24"/>
          <w:highlight w:val="none"/>
          <w:lang w:val="zh-CN" w:eastAsia="zh-CN"/>
        </w:rPr>
        <w:t>季小时平均风速的日变化图</w:t>
      </w:r>
    </w:p>
    <w:p w14:paraId="7846B9C0">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eastAsia="宋体" w:cs="Times New Roman"/>
          <w:color w:val="auto"/>
          <w:kern w:val="2"/>
          <w:sz w:val="24"/>
          <w:szCs w:val="21"/>
          <w:highlight w:val="none"/>
          <w:lang w:val="en-US" w:eastAsia="zh-CN" w:bidi="ar-SA"/>
        </w:rPr>
        <w:t>③风向风频</w:t>
      </w:r>
    </w:p>
    <w:p w14:paraId="37811B32">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cs="Times New Roman"/>
          <w:color w:val="auto"/>
          <w:kern w:val="2"/>
          <w:sz w:val="24"/>
          <w:szCs w:val="21"/>
          <w:highlight w:val="none"/>
          <w:lang w:val="en-US" w:eastAsia="zh-CN" w:bidi="ar-SA"/>
        </w:rPr>
        <w:t>2024年</w:t>
      </w:r>
      <w:r>
        <w:rPr>
          <w:rFonts w:hint="default" w:ascii="Times New Roman" w:hAnsi="Times New Roman" w:eastAsia="宋体" w:cs="Times New Roman"/>
          <w:color w:val="auto"/>
          <w:kern w:val="2"/>
          <w:sz w:val="24"/>
          <w:szCs w:val="21"/>
          <w:highlight w:val="none"/>
          <w:lang w:val="en-US" w:eastAsia="zh-CN" w:bidi="ar-SA"/>
        </w:rPr>
        <w:t>每月、各季及长期平均各向风频变化情况见下表，全年及四季风频玫瑰见下图。</w:t>
      </w:r>
    </w:p>
    <w:p w14:paraId="5FD926A4">
      <w:pPr>
        <w:keepNext w:val="0"/>
        <w:keepLines w:val="0"/>
        <w:pageBreakBefore w:val="0"/>
        <w:widowControl w:val="0"/>
        <w:kinsoku/>
        <w:wordWrap/>
        <w:overflowPunct/>
        <w:topLinePunct w:val="0"/>
        <w:autoSpaceDE/>
        <w:autoSpaceDN/>
        <w:bidi w:val="0"/>
        <w:adjustRightInd/>
        <w:snapToGrid/>
        <w:spacing w:before="164" w:beforeLines="50" w:after="164" w:afterLines="50" w:line="240" w:lineRule="auto"/>
        <w:ind w:firstLine="0" w:firstLineChars="0"/>
        <w:jc w:val="center"/>
        <w:textAlignment w:val="auto"/>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-5  </w:t>
      </w:r>
      <w:r>
        <w:rPr>
          <w:rFonts w:hint="default" w:cs="Times New Roman"/>
          <w:b/>
          <w:color w:val="auto"/>
          <w:szCs w:val="24"/>
          <w:highlight w:val="none"/>
          <w:lang w:val="zh-CN" w:eastAsia="zh-CN"/>
        </w:rPr>
        <w:t>双鸭山市2024年季小时平均风速的日变化情况</w:t>
      </w:r>
    </w:p>
    <w:tbl>
      <w:tblPr>
        <w:tblStyle w:val="47"/>
        <w:tblW w:w="0" w:type="auto"/>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1209"/>
        <w:gridCol w:w="750"/>
        <w:gridCol w:w="586"/>
        <w:gridCol w:w="586"/>
        <w:gridCol w:w="581"/>
        <w:gridCol w:w="583"/>
        <w:gridCol w:w="583"/>
        <w:gridCol w:w="581"/>
        <w:gridCol w:w="581"/>
        <w:gridCol w:w="581"/>
        <w:gridCol w:w="581"/>
        <w:gridCol w:w="582"/>
        <w:gridCol w:w="577"/>
      </w:tblGrid>
      <w:tr w14:paraId="489B6B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12" w:space="0"/>
              <w:left w:val="nil"/>
              <w:bottom w:val="single" w:color="000000" w:sz="4" w:space="0"/>
              <w:right w:val="single" w:color="000000" w:sz="4" w:space="0"/>
            </w:tcBorders>
            <w:noWrap w:val="0"/>
            <w:vAlign w:val="center"/>
          </w:tcPr>
          <w:p w14:paraId="67F40B7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小时（h）</w:t>
            </w:r>
          </w:p>
          <w:p w14:paraId="04EB483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风速</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lang w:val="zh-CN" w:eastAsia="zh-CN"/>
              </w:rPr>
              <w:t>m/s</w:t>
            </w:r>
            <w:r>
              <w:rPr>
                <w:rFonts w:hint="default" w:ascii="Times New Roman" w:hAnsi="Times New Roman" w:cs="Times New Roman"/>
                <w:color w:val="auto"/>
                <w:highlight w:val="none"/>
                <w:lang w:val="en-US" w:eastAsia="zh-CN"/>
              </w:rPr>
              <w:t>）</w:t>
            </w:r>
          </w:p>
        </w:tc>
        <w:tc>
          <w:tcPr>
            <w:tcW w:w="750" w:type="dxa"/>
            <w:tcBorders>
              <w:top w:val="single" w:color="000000" w:sz="12" w:space="0"/>
              <w:left w:val="single" w:color="000000" w:sz="4" w:space="0"/>
              <w:bottom w:val="single" w:color="000000" w:sz="4" w:space="0"/>
              <w:right w:val="single" w:color="000000" w:sz="4" w:space="0"/>
            </w:tcBorders>
            <w:noWrap w:val="0"/>
            <w:vAlign w:val="center"/>
          </w:tcPr>
          <w:p w14:paraId="408DC40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w:t>
            </w:r>
          </w:p>
        </w:tc>
        <w:tc>
          <w:tcPr>
            <w:tcW w:w="586" w:type="dxa"/>
            <w:tcBorders>
              <w:top w:val="single" w:color="000000" w:sz="12" w:space="0"/>
              <w:left w:val="single" w:color="000000" w:sz="4" w:space="0"/>
              <w:bottom w:val="single" w:color="000000" w:sz="4" w:space="0"/>
              <w:right w:val="single" w:color="000000" w:sz="4" w:space="0"/>
            </w:tcBorders>
            <w:noWrap w:val="0"/>
            <w:vAlign w:val="center"/>
          </w:tcPr>
          <w:p w14:paraId="33F8C41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w:t>
            </w:r>
          </w:p>
        </w:tc>
        <w:tc>
          <w:tcPr>
            <w:tcW w:w="586" w:type="dxa"/>
            <w:tcBorders>
              <w:top w:val="single" w:color="000000" w:sz="12" w:space="0"/>
              <w:left w:val="single" w:color="000000" w:sz="4" w:space="0"/>
              <w:bottom w:val="single" w:color="000000" w:sz="4" w:space="0"/>
              <w:right w:val="single" w:color="000000" w:sz="4" w:space="0"/>
            </w:tcBorders>
            <w:noWrap w:val="0"/>
            <w:vAlign w:val="center"/>
          </w:tcPr>
          <w:p w14:paraId="43EC30B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3</w:t>
            </w:r>
          </w:p>
        </w:tc>
        <w:tc>
          <w:tcPr>
            <w:tcW w:w="581" w:type="dxa"/>
            <w:tcBorders>
              <w:top w:val="single" w:color="000000" w:sz="12" w:space="0"/>
              <w:left w:val="single" w:color="000000" w:sz="4" w:space="0"/>
              <w:bottom w:val="single" w:color="000000" w:sz="4" w:space="0"/>
              <w:right w:val="single" w:color="000000" w:sz="4" w:space="0"/>
            </w:tcBorders>
            <w:noWrap w:val="0"/>
            <w:vAlign w:val="center"/>
          </w:tcPr>
          <w:p w14:paraId="069E4F4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4</w:t>
            </w:r>
          </w:p>
        </w:tc>
        <w:tc>
          <w:tcPr>
            <w:tcW w:w="583" w:type="dxa"/>
            <w:tcBorders>
              <w:top w:val="single" w:color="000000" w:sz="12" w:space="0"/>
              <w:left w:val="single" w:color="000000" w:sz="4" w:space="0"/>
              <w:bottom w:val="single" w:color="000000" w:sz="4" w:space="0"/>
              <w:right w:val="single" w:color="000000" w:sz="4" w:space="0"/>
            </w:tcBorders>
            <w:noWrap w:val="0"/>
            <w:vAlign w:val="center"/>
          </w:tcPr>
          <w:p w14:paraId="537ED4D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5</w:t>
            </w:r>
          </w:p>
        </w:tc>
        <w:tc>
          <w:tcPr>
            <w:tcW w:w="583" w:type="dxa"/>
            <w:tcBorders>
              <w:top w:val="single" w:color="000000" w:sz="12" w:space="0"/>
              <w:left w:val="single" w:color="000000" w:sz="4" w:space="0"/>
              <w:bottom w:val="single" w:color="000000" w:sz="4" w:space="0"/>
              <w:right w:val="single" w:color="000000" w:sz="4" w:space="0"/>
            </w:tcBorders>
            <w:noWrap w:val="0"/>
            <w:vAlign w:val="center"/>
          </w:tcPr>
          <w:p w14:paraId="34217DB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6</w:t>
            </w:r>
          </w:p>
        </w:tc>
        <w:tc>
          <w:tcPr>
            <w:tcW w:w="581" w:type="dxa"/>
            <w:tcBorders>
              <w:top w:val="single" w:color="000000" w:sz="12" w:space="0"/>
              <w:left w:val="single" w:color="000000" w:sz="4" w:space="0"/>
              <w:bottom w:val="single" w:color="000000" w:sz="4" w:space="0"/>
              <w:right w:val="single" w:color="000000" w:sz="4" w:space="0"/>
            </w:tcBorders>
            <w:noWrap w:val="0"/>
            <w:vAlign w:val="center"/>
          </w:tcPr>
          <w:p w14:paraId="5979796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7</w:t>
            </w:r>
          </w:p>
        </w:tc>
        <w:tc>
          <w:tcPr>
            <w:tcW w:w="581" w:type="dxa"/>
            <w:tcBorders>
              <w:top w:val="single" w:color="000000" w:sz="12" w:space="0"/>
              <w:left w:val="single" w:color="000000" w:sz="4" w:space="0"/>
              <w:bottom w:val="single" w:color="000000" w:sz="4" w:space="0"/>
              <w:right w:val="single" w:color="000000" w:sz="4" w:space="0"/>
            </w:tcBorders>
            <w:noWrap w:val="0"/>
            <w:vAlign w:val="center"/>
          </w:tcPr>
          <w:p w14:paraId="2318023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8</w:t>
            </w:r>
          </w:p>
        </w:tc>
        <w:tc>
          <w:tcPr>
            <w:tcW w:w="581" w:type="dxa"/>
            <w:tcBorders>
              <w:top w:val="single" w:color="000000" w:sz="12" w:space="0"/>
              <w:left w:val="single" w:color="000000" w:sz="4" w:space="0"/>
              <w:bottom w:val="single" w:color="000000" w:sz="4" w:space="0"/>
              <w:right w:val="single" w:color="000000" w:sz="4" w:space="0"/>
            </w:tcBorders>
            <w:noWrap w:val="0"/>
            <w:vAlign w:val="center"/>
          </w:tcPr>
          <w:p w14:paraId="414D6EE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9</w:t>
            </w:r>
          </w:p>
        </w:tc>
        <w:tc>
          <w:tcPr>
            <w:tcW w:w="581" w:type="dxa"/>
            <w:tcBorders>
              <w:top w:val="single" w:color="000000" w:sz="12" w:space="0"/>
              <w:left w:val="single" w:color="000000" w:sz="4" w:space="0"/>
              <w:bottom w:val="single" w:color="000000" w:sz="4" w:space="0"/>
              <w:right w:val="single" w:color="000000" w:sz="4" w:space="0"/>
            </w:tcBorders>
            <w:noWrap w:val="0"/>
            <w:vAlign w:val="center"/>
          </w:tcPr>
          <w:p w14:paraId="0050BB1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10</w:t>
            </w:r>
          </w:p>
        </w:tc>
        <w:tc>
          <w:tcPr>
            <w:tcW w:w="582" w:type="dxa"/>
            <w:tcBorders>
              <w:top w:val="single" w:color="000000" w:sz="12" w:space="0"/>
              <w:left w:val="single" w:color="000000" w:sz="4" w:space="0"/>
              <w:bottom w:val="single" w:color="000000" w:sz="4" w:space="0"/>
              <w:right w:val="single" w:color="000000" w:sz="4" w:space="0"/>
            </w:tcBorders>
            <w:noWrap w:val="0"/>
            <w:vAlign w:val="center"/>
          </w:tcPr>
          <w:p w14:paraId="4B9D5CA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11</w:t>
            </w:r>
          </w:p>
        </w:tc>
        <w:tc>
          <w:tcPr>
            <w:tcW w:w="577" w:type="dxa"/>
            <w:tcBorders>
              <w:top w:val="single" w:color="000000" w:sz="12" w:space="0"/>
              <w:left w:val="single" w:color="000000" w:sz="4" w:space="0"/>
              <w:bottom w:val="single" w:color="000000" w:sz="4" w:space="0"/>
              <w:right w:val="nil"/>
            </w:tcBorders>
            <w:noWrap w:val="0"/>
            <w:vAlign w:val="center"/>
          </w:tcPr>
          <w:p w14:paraId="0141D84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12</w:t>
            </w:r>
          </w:p>
        </w:tc>
      </w:tr>
      <w:tr w14:paraId="006E0E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08B1DF5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春季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1508DBD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1.73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4292D9B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1.70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3CD1F1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1.86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39C57A1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1.83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0E0BD61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1.89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391A6C1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1.97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002847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1.98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65E6A28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2.21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FDD63B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2.38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BB76E7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2.55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032F753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2.63 </w:t>
            </w:r>
          </w:p>
        </w:tc>
        <w:tc>
          <w:tcPr>
            <w:tcW w:w="577" w:type="dxa"/>
            <w:tcBorders>
              <w:top w:val="single" w:color="000000" w:sz="4" w:space="0"/>
              <w:left w:val="single" w:color="000000" w:sz="4" w:space="0"/>
              <w:bottom w:val="single" w:color="000000" w:sz="4" w:space="0"/>
              <w:right w:val="nil"/>
            </w:tcBorders>
            <w:noWrap w:val="0"/>
            <w:vAlign w:val="bottom"/>
          </w:tcPr>
          <w:p w14:paraId="0BAD749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2.69 </w:t>
            </w:r>
          </w:p>
        </w:tc>
      </w:tr>
      <w:tr w14:paraId="486ED4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0FD36FB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夏季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4477936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1.26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0B80F5E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1.30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4E4A686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1.34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FBF2D7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1.33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1DF0913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1.35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035E059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1.39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46FCE49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1.48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07BFE18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1.55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D7AC0C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1.63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646B694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1.68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670BF49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1.81 </w:t>
            </w:r>
          </w:p>
        </w:tc>
        <w:tc>
          <w:tcPr>
            <w:tcW w:w="577" w:type="dxa"/>
            <w:tcBorders>
              <w:top w:val="single" w:color="000000" w:sz="4" w:space="0"/>
              <w:left w:val="single" w:color="000000" w:sz="4" w:space="0"/>
              <w:bottom w:val="single" w:color="000000" w:sz="4" w:space="0"/>
              <w:right w:val="nil"/>
            </w:tcBorders>
            <w:noWrap w:val="0"/>
            <w:vAlign w:val="bottom"/>
          </w:tcPr>
          <w:p w14:paraId="785BFD2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1.81 </w:t>
            </w:r>
          </w:p>
        </w:tc>
      </w:tr>
      <w:tr w14:paraId="72D419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4FDE1E3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秋季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4D8827E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1.74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4EDE80E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1.75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659D0FE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1.86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A63F03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1.79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2925091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1.92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53E2921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1.94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6C13326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8A7230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12A39D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37E447A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2.44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41E94F8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2.45 </w:t>
            </w:r>
          </w:p>
        </w:tc>
        <w:tc>
          <w:tcPr>
            <w:tcW w:w="577" w:type="dxa"/>
            <w:tcBorders>
              <w:top w:val="single" w:color="000000" w:sz="4" w:space="0"/>
              <w:left w:val="single" w:color="000000" w:sz="4" w:space="0"/>
              <w:bottom w:val="single" w:color="000000" w:sz="4" w:space="0"/>
              <w:right w:val="nil"/>
            </w:tcBorders>
            <w:noWrap w:val="0"/>
            <w:vAlign w:val="bottom"/>
          </w:tcPr>
          <w:p w14:paraId="07177EF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2.45 </w:t>
            </w:r>
          </w:p>
        </w:tc>
      </w:tr>
      <w:tr w14:paraId="60F55B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385986C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冬季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3DA0339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1.76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0C67323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1.76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564E15F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1.89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1D49D60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1.85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14E331A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1.86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1218824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1.93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0988577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1.89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49FDCEF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4557C58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2.02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4751AD8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2.21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059685E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2.44 </w:t>
            </w:r>
          </w:p>
        </w:tc>
        <w:tc>
          <w:tcPr>
            <w:tcW w:w="577" w:type="dxa"/>
            <w:tcBorders>
              <w:top w:val="single" w:color="000000" w:sz="4" w:space="0"/>
              <w:left w:val="single" w:color="000000" w:sz="4" w:space="0"/>
              <w:bottom w:val="single" w:color="000000" w:sz="4" w:space="0"/>
              <w:right w:val="nil"/>
            </w:tcBorders>
            <w:noWrap w:val="0"/>
            <w:vAlign w:val="bottom"/>
          </w:tcPr>
          <w:p w14:paraId="2D1B6EC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2.56 </w:t>
            </w:r>
          </w:p>
        </w:tc>
      </w:tr>
      <w:tr w14:paraId="15DD6C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2EE7DBA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小时（h）</w:t>
            </w:r>
          </w:p>
          <w:p w14:paraId="0BE19CC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风速</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lang w:val="zh-CN" w:eastAsia="zh-CN"/>
              </w:rPr>
              <w:t>m/s</w:t>
            </w:r>
            <w:r>
              <w:rPr>
                <w:rFonts w:hint="default" w:ascii="Times New Roman" w:hAnsi="Times New Roman" w:cs="Times New Roman"/>
                <w:color w:val="auto"/>
                <w:highlight w:val="none"/>
                <w:lang w:val="en-US" w:eastAsia="zh-CN"/>
              </w:rPr>
              <w:t>）</w:t>
            </w:r>
          </w:p>
        </w:tc>
        <w:tc>
          <w:tcPr>
            <w:tcW w:w="750" w:type="dxa"/>
            <w:tcBorders>
              <w:top w:val="single" w:color="000000" w:sz="4" w:space="0"/>
              <w:left w:val="single" w:color="000000" w:sz="4" w:space="0"/>
              <w:bottom w:val="single" w:color="000000" w:sz="4" w:space="0"/>
              <w:right w:val="single" w:color="000000" w:sz="4" w:space="0"/>
            </w:tcBorders>
            <w:noWrap w:val="0"/>
            <w:vAlign w:val="center"/>
          </w:tcPr>
          <w:p w14:paraId="7D9B713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13</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602B4F3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14</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7B8F42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15</w:t>
            </w:r>
          </w:p>
        </w:tc>
        <w:tc>
          <w:tcPr>
            <w:tcW w:w="581" w:type="dxa"/>
            <w:tcBorders>
              <w:top w:val="single" w:color="000000" w:sz="4" w:space="0"/>
              <w:left w:val="single" w:color="000000" w:sz="4" w:space="0"/>
              <w:bottom w:val="single" w:color="000000" w:sz="4" w:space="0"/>
              <w:right w:val="single" w:color="000000" w:sz="4" w:space="0"/>
            </w:tcBorders>
            <w:noWrap w:val="0"/>
            <w:vAlign w:val="center"/>
          </w:tcPr>
          <w:p w14:paraId="42C1A5E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16</w:t>
            </w:r>
          </w:p>
        </w:tc>
        <w:tc>
          <w:tcPr>
            <w:tcW w:w="583" w:type="dxa"/>
            <w:tcBorders>
              <w:top w:val="single" w:color="000000" w:sz="4" w:space="0"/>
              <w:left w:val="single" w:color="000000" w:sz="4" w:space="0"/>
              <w:bottom w:val="single" w:color="000000" w:sz="4" w:space="0"/>
              <w:right w:val="single" w:color="000000" w:sz="4" w:space="0"/>
            </w:tcBorders>
            <w:noWrap w:val="0"/>
            <w:vAlign w:val="center"/>
          </w:tcPr>
          <w:p w14:paraId="59A089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17</w:t>
            </w:r>
          </w:p>
        </w:tc>
        <w:tc>
          <w:tcPr>
            <w:tcW w:w="583" w:type="dxa"/>
            <w:tcBorders>
              <w:top w:val="single" w:color="000000" w:sz="4" w:space="0"/>
              <w:left w:val="single" w:color="000000" w:sz="4" w:space="0"/>
              <w:bottom w:val="single" w:color="000000" w:sz="4" w:space="0"/>
              <w:right w:val="single" w:color="000000" w:sz="4" w:space="0"/>
            </w:tcBorders>
            <w:noWrap w:val="0"/>
            <w:vAlign w:val="center"/>
          </w:tcPr>
          <w:p w14:paraId="60146A0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18</w:t>
            </w:r>
          </w:p>
        </w:tc>
        <w:tc>
          <w:tcPr>
            <w:tcW w:w="581" w:type="dxa"/>
            <w:tcBorders>
              <w:top w:val="single" w:color="000000" w:sz="4" w:space="0"/>
              <w:left w:val="single" w:color="000000" w:sz="4" w:space="0"/>
              <w:bottom w:val="single" w:color="000000" w:sz="4" w:space="0"/>
              <w:right w:val="single" w:color="000000" w:sz="4" w:space="0"/>
            </w:tcBorders>
            <w:noWrap w:val="0"/>
            <w:vAlign w:val="center"/>
          </w:tcPr>
          <w:p w14:paraId="2E14018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19</w:t>
            </w:r>
          </w:p>
        </w:tc>
        <w:tc>
          <w:tcPr>
            <w:tcW w:w="581" w:type="dxa"/>
            <w:tcBorders>
              <w:top w:val="single" w:color="000000" w:sz="4" w:space="0"/>
              <w:left w:val="single" w:color="000000" w:sz="4" w:space="0"/>
              <w:bottom w:val="single" w:color="000000" w:sz="4" w:space="0"/>
              <w:right w:val="single" w:color="000000" w:sz="4" w:space="0"/>
            </w:tcBorders>
            <w:noWrap w:val="0"/>
            <w:vAlign w:val="center"/>
          </w:tcPr>
          <w:p w14:paraId="099FD73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20</w:t>
            </w:r>
          </w:p>
        </w:tc>
        <w:tc>
          <w:tcPr>
            <w:tcW w:w="581" w:type="dxa"/>
            <w:tcBorders>
              <w:top w:val="single" w:color="000000" w:sz="4" w:space="0"/>
              <w:left w:val="single" w:color="000000" w:sz="4" w:space="0"/>
              <w:bottom w:val="single" w:color="000000" w:sz="4" w:space="0"/>
              <w:right w:val="single" w:color="000000" w:sz="4" w:space="0"/>
            </w:tcBorders>
            <w:noWrap w:val="0"/>
            <w:vAlign w:val="center"/>
          </w:tcPr>
          <w:p w14:paraId="1A99D80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21</w:t>
            </w:r>
          </w:p>
        </w:tc>
        <w:tc>
          <w:tcPr>
            <w:tcW w:w="581" w:type="dxa"/>
            <w:tcBorders>
              <w:top w:val="single" w:color="000000" w:sz="4" w:space="0"/>
              <w:left w:val="single" w:color="000000" w:sz="4" w:space="0"/>
              <w:bottom w:val="single" w:color="000000" w:sz="4" w:space="0"/>
              <w:right w:val="single" w:color="000000" w:sz="4" w:space="0"/>
            </w:tcBorders>
            <w:noWrap w:val="0"/>
            <w:vAlign w:val="center"/>
          </w:tcPr>
          <w:p w14:paraId="5672F93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22</w:t>
            </w:r>
          </w:p>
        </w:tc>
        <w:tc>
          <w:tcPr>
            <w:tcW w:w="582" w:type="dxa"/>
            <w:tcBorders>
              <w:top w:val="single" w:color="000000" w:sz="4" w:space="0"/>
              <w:left w:val="single" w:color="000000" w:sz="4" w:space="0"/>
              <w:bottom w:val="single" w:color="000000" w:sz="4" w:space="0"/>
              <w:right w:val="single" w:color="000000" w:sz="4" w:space="0"/>
            </w:tcBorders>
            <w:noWrap w:val="0"/>
            <w:vAlign w:val="center"/>
          </w:tcPr>
          <w:p w14:paraId="1D09DCC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23</w:t>
            </w:r>
          </w:p>
        </w:tc>
        <w:tc>
          <w:tcPr>
            <w:tcW w:w="577" w:type="dxa"/>
            <w:tcBorders>
              <w:top w:val="single" w:color="000000" w:sz="4" w:space="0"/>
              <w:left w:val="single" w:color="000000" w:sz="4" w:space="0"/>
              <w:bottom w:val="single" w:color="000000" w:sz="4" w:space="0"/>
              <w:right w:val="nil"/>
            </w:tcBorders>
            <w:noWrap w:val="0"/>
            <w:vAlign w:val="center"/>
          </w:tcPr>
          <w:p w14:paraId="010DD92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24</w:t>
            </w:r>
          </w:p>
        </w:tc>
      </w:tr>
      <w:tr w14:paraId="55FD25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6911FBC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春季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562A7B1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2.65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0EC0118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2.73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5256114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2.64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6E7E919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2.47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73315EA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2.29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5A22F14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1.92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45CCDF9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43D5D41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1.71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02D8415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1.76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4E9FC2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1.67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305F7F2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1.72 </w:t>
            </w:r>
          </w:p>
        </w:tc>
        <w:tc>
          <w:tcPr>
            <w:tcW w:w="577" w:type="dxa"/>
            <w:tcBorders>
              <w:top w:val="single" w:color="000000" w:sz="4" w:space="0"/>
              <w:left w:val="single" w:color="000000" w:sz="4" w:space="0"/>
              <w:bottom w:val="single" w:color="000000" w:sz="4" w:space="0"/>
              <w:right w:val="nil"/>
            </w:tcBorders>
            <w:noWrap w:val="0"/>
            <w:vAlign w:val="bottom"/>
          </w:tcPr>
          <w:p w14:paraId="46062B0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1.69 </w:t>
            </w:r>
          </w:p>
        </w:tc>
      </w:tr>
      <w:tr w14:paraId="44D1A3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6C660FC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夏季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505A7A7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1.84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1B66D1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1.80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7EDA481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1.76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515A18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1.61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691D8BA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1.48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6380103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924F0B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1.14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6439168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1.15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410890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1.23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26A26B4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1.33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3CC8D50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1.33 </w:t>
            </w:r>
          </w:p>
        </w:tc>
        <w:tc>
          <w:tcPr>
            <w:tcW w:w="577" w:type="dxa"/>
            <w:tcBorders>
              <w:top w:val="single" w:color="000000" w:sz="4" w:space="0"/>
              <w:left w:val="single" w:color="000000" w:sz="4" w:space="0"/>
              <w:bottom w:val="single" w:color="000000" w:sz="4" w:space="0"/>
              <w:right w:val="nil"/>
            </w:tcBorders>
            <w:noWrap w:val="0"/>
            <w:vAlign w:val="bottom"/>
          </w:tcPr>
          <w:p w14:paraId="06F0AB5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1.25 </w:t>
            </w:r>
          </w:p>
        </w:tc>
      </w:tr>
      <w:tr w14:paraId="38EA0E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4" w:space="0"/>
              <w:right w:val="single" w:color="000000" w:sz="4" w:space="0"/>
            </w:tcBorders>
            <w:noWrap w:val="0"/>
            <w:vAlign w:val="center"/>
          </w:tcPr>
          <w:p w14:paraId="7F4C7CF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秋季</w:t>
            </w:r>
          </w:p>
        </w:tc>
        <w:tc>
          <w:tcPr>
            <w:tcW w:w="750" w:type="dxa"/>
            <w:tcBorders>
              <w:top w:val="single" w:color="000000" w:sz="4" w:space="0"/>
              <w:left w:val="single" w:color="000000" w:sz="4" w:space="0"/>
              <w:bottom w:val="single" w:color="000000" w:sz="4" w:space="0"/>
              <w:right w:val="single" w:color="000000" w:sz="4" w:space="0"/>
            </w:tcBorders>
            <w:noWrap w:val="0"/>
            <w:vAlign w:val="bottom"/>
          </w:tcPr>
          <w:p w14:paraId="7691AED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2.48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6C40F27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2.33 </w:t>
            </w:r>
          </w:p>
        </w:tc>
        <w:tc>
          <w:tcPr>
            <w:tcW w:w="586" w:type="dxa"/>
            <w:tcBorders>
              <w:top w:val="single" w:color="000000" w:sz="4" w:space="0"/>
              <w:left w:val="single" w:color="000000" w:sz="4" w:space="0"/>
              <w:bottom w:val="single" w:color="000000" w:sz="4" w:space="0"/>
              <w:right w:val="single" w:color="000000" w:sz="4" w:space="0"/>
            </w:tcBorders>
            <w:noWrap w:val="0"/>
            <w:vAlign w:val="bottom"/>
          </w:tcPr>
          <w:p w14:paraId="234FA0D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2.30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1CC584D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2.09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3B2AD49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1.72 </w:t>
            </w:r>
          </w:p>
        </w:tc>
        <w:tc>
          <w:tcPr>
            <w:tcW w:w="583" w:type="dxa"/>
            <w:tcBorders>
              <w:top w:val="single" w:color="000000" w:sz="4" w:space="0"/>
              <w:left w:val="single" w:color="000000" w:sz="4" w:space="0"/>
              <w:bottom w:val="single" w:color="000000" w:sz="4" w:space="0"/>
              <w:right w:val="single" w:color="000000" w:sz="4" w:space="0"/>
            </w:tcBorders>
            <w:noWrap w:val="0"/>
            <w:vAlign w:val="bottom"/>
          </w:tcPr>
          <w:p w14:paraId="1234C3E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1.68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697E72C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1.70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50D000C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1.82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77EF4A1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1.73 </w:t>
            </w:r>
          </w:p>
        </w:tc>
        <w:tc>
          <w:tcPr>
            <w:tcW w:w="581" w:type="dxa"/>
            <w:tcBorders>
              <w:top w:val="single" w:color="000000" w:sz="4" w:space="0"/>
              <w:left w:val="single" w:color="000000" w:sz="4" w:space="0"/>
              <w:bottom w:val="single" w:color="000000" w:sz="4" w:space="0"/>
              <w:right w:val="single" w:color="000000" w:sz="4" w:space="0"/>
            </w:tcBorders>
            <w:noWrap w:val="0"/>
            <w:vAlign w:val="bottom"/>
          </w:tcPr>
          <w:p w14:paraId="3C2601A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1.75 </w:t>
            </w:r>
          </w:p>
        </w:tc>
        <w:tc>
          <w:tcPr>
            <w:tcW w:w="582" w:type="dxa"/>
            <w:tcBorders>
              <w:top w:val="single" w:color="000000" w:sz="4" w:space="0"/>
              <w:left w:val="single" w:color="000000" w:sz="4" w:space="0"/>
              <w:bottom w:val="single" w:color="000000" w:sz="4" w:space="0"/>
              <w:right w:val="single" w:color="000000" w:sz="4" w:space="0"/>
            </w:tcBorders>
            <w:noWrap w:val="0"/>
            <w:vAlign w:val="bottom"/>
          </w:tcPr>
          <w:p w14:paraId="7959D39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1.76 </w:t>
            </w:r>
          </w:p>
        </w:tc>
        <w:tc>
          <w:tcPr>
            <w:tcW w:w="577" w:type="dxa"/>
            <w:tcBorders>
              <w:top w:val="single" w:color="000000" w:sz="4" w:space="0"/>
              <w:left w:val="single" w:color="000000" w:sz="4" w:space="0"/>
              <w:bottom w:val="single" w:color="000000" w:sz="4" w:space="0"/>
              <w:right w:val="nil"/>
            </w:tcBorders>
            <w:noWrap w:val="0"/>
            <w:vAlign w:val="bottom"/>
          </w:tcPr>
          <w:p w14:paraId="33CCCBC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1.75 </w:t>
            </w:r>
          </w:p>
        </w:tc>
      </w:tr>
      <w:tr w14:paraId="2926186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atLeast"/>
          <w:jc w:val="center"/>
        </w:trPr>
        <w:tc>
          <w:tcPr>
            <w:tcW w:w="1209" w:type="dxa"/>
            <w:tcBorders>
              <w:top w:val="single" w:color="000000" w:sz="4" w:space="0"/>
              <w:left w:val="nil"/>
              <w:bottom w:val="single" w:color="000000" w:sz="12" w:space="0"/>
              <w:right w:val="single" w:color="000000" w:sz="4" w:space="0"/>
            </w:tcBorders>
            <w:noWrap w:val="0"/>
            <w:vAlign w:val="center"/>
          </w:tcPr>
          <w:p w14:paraId="0703AE9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冬季</w:t>
            </w:r>
          </w:p>
        </w:tc>
        <w:tc>
          <w:tcPr>
            <w:tcW w:w="750" w:type="dxa"/>
            <w:tcBorders>
              <w:top w:val="single" w:color="000000" w:sz="4" w:space="0"/>
              <w:left w:val="single" w:color="000000" w:sz="4" w:space="0"/>
              <w:bottom w:val="single" w:color="000000" w:sz="12" w:space="0"/>
              <w:right w:val="single" w:color="000000" w:sz="4" w:space="0"/>
            </w:tcBorders>
            <w:noWrap w:val="0"/>
            <w:vAlign w:val="bottom"/>
          </w:tcPr>
          <w:p w14:paraId="0C110BC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2.53 </w:t>
            </w:r>
          </w:p>
        </w:tc>
        <w:tc>
          <w:tcPr>
            <w:tcW w:w="586" w:type="dxa"/>
            <w:tcBorders>
              <w:top w:val="single" w:color="000000" w:sz="4" w:space="0"/>
              <w:left w:val="single" w:color="000000" w:sz="4" w:space="0"/>
              <w:bottom w:val="single" w:color="000000" w:sz="12" w:space="0"/>
              <w:right w:val="single" w:color="000000" w:sz="4" w:space="0"/>
            </w:tcBorders>
            <w:noWrap w:val="0"/>
            <w:vAlign w:val="bottom"/>
          </w:tcPr>
          <w:p w14:paraId="1F401B5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2.39 </w:t>
            </w:r>
          </w:p>
        </w:tc>
        <w:tc>
          <w:tcPr>
            <w:tcW w:w="586" w:type="dxa"/>
            <w:tcBorders>
              <w:top w:val="single" w:color="000000" w:sz="4" w:space="0"/>
              <w:left w:val="single" w:color="000000" w:sz="4" w:space="0"/>
              <w:bottom w:val="single" w:color="000000" w:sz="12" w:space="0"/>
              <w:right w:val="single" w:color="000000" w:sz="4" w:space="0"/>
            </w:tcBorders>
            <w:noWrap w:val="0"/>
            <w:vAlign w:val="bottom"/>
          </w:tcPr>
          <w:p w14:paraId="2611D13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2.21 </w:t>
            </w:r>
          </w:p>
        </w:tc>
        <w:tc>
          <w:tcPr>
            <w:tcW w:w="581" w:type="dxa"/>
            <w:tcBorders>
              <w:top w:val="single" w:color="000000" w:sz="4" w:space="0"/>
              <w:left w:val="single" w:color="000000" w:sz="4" w:space="0"/>
              <w:bottom w:val="single" w:color="000000" w:sz="12" w:space="0"/>
              <w:right w:val="single" w:color="000000" w:sz="4" w:space="0"/>
            </w:tcBorders>
            <w:noWrap w:val="0"/>
            <w:vAlign w:val="bottom"/>
          </w:tcPr>
          <w:p w14:paraId="4A84F2B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2.05 </w:t>
            </w:r>
          </w:p>
        </w:tc>
        <w:tc>
          <w:tcPr>
            <w:tcW w:w="583" w:type="dxa"/>
            <w:tcBorders>
              <w:top w:val="single" w:color="000000" w:sz="4" w:space="0"/>
              <w:left w:val="single" w:color="000000" w:sz="4" w:space="0"/>
              <w:bottom w:val="single" w:color="000000" w:sz="12" w:space="0"/>
              <w:right w:val="single" w:color="000000" w:sz="4" w:space="0"/>
            </w:tcBorders>
            <w:noWrap w:val="0"/>
            <w:vAlign w:val="bottom"/>
          </w:tcPr>
          <w:p w14:paraId="3E30BA4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1.84 </w:t>
            </w:r>
          </w:p>
        </w:tc>
        <w:tc>
          <w:tcPr>
            <w:tcW w:w="583" w:type="dxa"/>
            <w:tcBorders>
              <w:top w:val="single" w:color="000000" w:sz="4" w:space="0"/>
              <w:left w:val="single" w:color="000000" w:sz="4" w:space="0"/>
              <w:bottom w:val="single" w:color="000000" w:sz="12" w:space="0"/>
              <w:right w:val="single" w:color="000000" w:sz="4" w:space="0"/>
            </w:tcBorders>
            <w:noWrap w:val="0"/>
            <w:vAlign w:val="bottom"/>
          </w:tcPr>
          <w:p w14:paraId="36EFACE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1.88 </w:t>
            </w:r>
          </w:p>
        </w:tc>
        <w:tc>
          <w:tcPr>
            <w:tcW w:w="581" w:type="dxa"/>
            <w:tcBorders>
              <w:top w:val="single" w:color="000000" w:sz="4" w:space="0"/>
              <w:left w:val="single" w:color="000000" w:sz="4" w:space="0"/>
              <w:bottom w:val="single" w:color="000000" w:sz="12" w:space="0"/>
              <w:right w:val="single" w:color="000000" w:sz="4" w:space="0"/>
            </w:tcBorders>
            <w:noWrap w:val="0"/>
            <w:vAlign w:val="bottom"/>
          </w:tcPr>
          <w:p w14:paraId="6372CA4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1.84 </w:t>
            </w:r>
          </w:p>
        </w:tc>
        <w:tc>
          <w:tcPr>
            <w:tcW w:w="581" w:type="dxa"/>
            <w:tcBorders>
              <w:top w:val="single" w:color="000000" w:sz="4" w:space="0"/>
              <w:left w:val="single" w:color="000000" w:sz="4" w:space="0"/>
              <w:bottom w:val="single" w:color="000000" w:sz="12" w:space="0"/>
              <w:right w:val="single" w:color="000000" w:sz="4" w:space="0"/>
            </w:tcBorders>
            <w:noWrap w:val="0"/>
            <w:vAlign w:val="bottom"/>
          </w:tcPr>
          <w:p w14:paraId="04F0B57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1.86 </w:t>
            </w:r>
          </w:p>
        </w:tc>
        <w:tc>
          <w:tcPr>
            <w:tcW w:w="581" w:type="dxa"/>
            <w:tcBorders>
              <w:top w:val="single" w:color="000000" w:sz="4" w:space="0"/>
              <w:left w:val="single" w:color="000000" w:sz="4" w:space="0"/>
              <w:bottom w:val="single" w:color="000000" w:sz="12" w:space="0"/>
              <w:right w:val="single" w:color="000000" w:sz="4" w:space="0"/>
            </w:tcBorders>
            <w:noWrap w:val="0"/>
            <w:vAlign w:val="bottom"/>
          </w:tcPr>
          <w:p w14:paraId="0CBC290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1.88 </w:t>
            </w:r>
          </w:p>
        </w:tc>
        <w:tc>
          <w:tcPr>
            <w:tcW w:w="581" w:type="dxa"/>
            <w:tcBorders>
              <w:top w:val="single" w:color="000000" w:sz="4" w:space="0"/>
              <w:left w:val="single" w:color="000000" w:sz="4" w:space="0"/>
              <w:bottom w:val="single" w:color="000000" w:sz="12" w:space="0"/>
              <w:right w:val="single" w:color="000000" w:sz="4" w:space="0"/>
            </w:tcBorders>
            <w:noWrap w:val="0"/>
            <w:vAlign w:val="bottom"/>
          </w:tcPr>
          <w:p w14:paraId="0AC1A44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1.85 </w:t>
            </w:r>
          </w:p>
        </w:tc>
        <w:tc>
          <w:tcPr>
            <w:tcW w:w="582" w:type="dxa"/>
            <w:tcBorders>
              <w:top w:val="single" w:color="000000" w:sz="4" w:space="0"/>
              <w:left w:val="single" w:color="000000" w:sz="4" w:space="0"/>
              <w:bottom w:val="single" w:color="000000" w:sz="12" w:space="0"/>
              <w:right w:val="single" w:color="000000" w:sz="4" w:space="0"/>
            </w:tcBorders>
            <w:noWrap w:val="0"/>
            <w:vAlign w:val="bottom"/>
          </w:tcPr>
          <w:p w14:paraId="38E422D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1.77 </w:t>
            </w:r>
          </w:p>
        </w:tc>
        <w:tc>
          <w:tcPr>
            <w:tcW w:w="577" w:type="dxa"/>
            <w:tcBorders>
              <w:top w:val="single" w:color="000000" w:sz="4" w:space="0"/>
              <w:left w:val="single" w:color="000000" w:sz="4" w:space="0"/>
              <w:bottom w:val="single" w:color="000000" w:sz="12" w:space="0"/>
              <w:right w:val="nil"/>
            </w:tcBorders>
            <w:noWrap w:val="0"/>
            <w:vAlign w:val="bottom"/>
          </w:tcPr>
          <w:p w14:paraId="36B5769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1.74 </w:t>
            </w:r>
          </w:p>
        </w:tc>
      </w:tr>
    </w:tbl>
    <w:p w14:paraId="710B6303">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r>
        <w:rPr>
          <w:rFonts w:hint="default" w:ascii="Times New Roman" w:hAnsi="Times New Roman" w:eastAsia="宋体" w:cs="Times New Roman"/>
          <w:color w:val="auto"/>
          <w:kern w:val="2"/>
          <w:sz w:val="24"/>
          <w:szCs w:val="21"/>
          <w:highlight w:val="none"/>
          <w:lang w:val="en-US" w:eastAsia="zh-CN" w:bidi="ar-SA"/>
        </w:rPr>
        <w:t>④主导风向</w:t>
      </w:r>
    </w:p>
    <w:p w14:paraId="1A928D6A">
      <w:pPr>
        <w:pageBreakBefore w:val="0"/>
        <w:widowControl w:val="0"/>
        <w:kinsoku/>
        <w:topLinePunct w:val="0"/>
        <w:bidi w:val="0"/>
        <w:spacing w:line="500" w:lineRule="exact"/>
        <w:ind w:firstLine="480" w:firstLineChars="200"/>
        <w:jc w:val="both"/>
        <w:rPr>
          <w:rFonts w:hint="default" w:ascii="Times New Roman" w:hAnsi="Times New Roman" w:cs="Times New Roman"/>
          <w:color w:val="auto"/>
          <w:highlight w:val="none"/>
        </w:rPr>
      </w:pPr>
      <w:r>
        <w:rPr>
          <w:rFonts w:hint="default" w:ascii="Times New Roman" w:hAnsi="Times New Roman" w:cs="Times New Roman"/>
          <w:color w:val="auto"/>
          <w:kern w:val="2"/>
          <w:sz w:val="24"/>
          <w:szCs w:val="21"/>
          <w:highlight w:val="none"/>
          <w:lang w:val="en-US" w:eastAsia="zh-CN" w:bidi="ar-SA"/>
        </w:rPr>
        <w:t>双鸭山市2024年</w:t>
      </w:r>
      <w:r>
        <w:rPr>
          <w:rFonts w:hint="default" w:ascii="Times New Roman" w:hAnsi="Times New Roman" w:eastAsia="宋体" w:cs="Times New Roman"/>
          <w:color w:val="auto"/>
          <w:kern w:val="2"/>
          <w:sz w:val="24"/>
          <w:szCs w:val="21"/>
          <w:highlight w:val="none"/>
          <w:lang w:val="en-US" w:eastAsia="zh-CN" w:bidi="ar-SA"/>
        </w:rPr>
        <w:t>主要风向夹角为</w:t>
      </w:r>
      <w:r>
        <w:rPr>
          <w:rFonts w:hint="default" w:ascii="Times New Roman" w:hAnsi="Times New Roman" w:cs="Times New Roman"/>
          <w:color w:val="auto"/>
          <w:highlight w:val="none"/>
          <w:lang w:val="en-US" w:eastAsia="zh-CN"/>
        </w:rPr>
        <w:t>SSW（13.2%）、SW（13.7%）、WSW（13.6%）</w:t>
      </w:r>
      <w:r>
        <w:rPr>
          <w:rFonts w:hint="default" w:ascii="Times New Roman" w:hAnsi="Times New Roman" w:eastAsia="宋体" w:cs="Times New Roman"/>
          <w:color w:val="auto"/>
          <w:kern w:val="2"/>
          <w:sz w:val="24"/>
          <w:szCs w:val="21"/>
          <w:highlight w:val="none"/>
          <w:lang w:val="en-US" w:eastAsia="zh-CN" w:bidi="ar-SA"/>
        </w:rPr>
        <w:t>，风频之和为</w:t>
      </w:r>
      <w:r>
        <w:rPr>
          <w:rFonts w:hint="default" w:ascii="Times New Roman" w:hAnsi="Times New Roman" w:cs="Times New Roman"/>
          <w:color w:val="auto"/>
          <w:kern w:val="2"/>
          <w:sz w:val="24"/>
          <w:szCs w:val="21"/>
          <w:highlight w:val="none"/>
          <w:lang w:val="en-US" w:eastAsia="zh-CN" w:bidi="ar-SA"/>
        </w:rPr>
        <w:t>40.5</w:t>
      </w:r>
      <w:r>
        <w:rPr>
          <w:rFonts w:hint="default" w:ascii="Times New Roman" w:hAnsi="Times New Roman" w:eastAsia="宋体" w:cs="Times New Roman"/>
          <w:color w:val="auto"/>
          <w:kern w:val="2"/>
          <w:sz w:val="24"/>
          <w:szCs w:val="21"/>
          <w:highlight w:val="none"/>
          <w:lang w:val="en-US" w:eastAsia="zh-CN" w:bidi="ar-SA"/>
        </w:rPr>
        <w:t>%＞30%，因此，该区域</w:t>
      </w:r>
      <w:r>
        <w:rPr>
          <w:rFonts w:hint="default" w:ascii="Times New Roman" w:hAnsi="Times New Roman" w:cs="Times New Roman"/>
          <w:color w:val="auto"/>
          <w:kern w:val="2"/>
          <w:sz w:val="24"/>
          <w:szCs w:val="21"/>
          <w:highlight w:val="none"/>
          <w:lang w:val="en-US" w:eastAsia="zh-CN" w:bidi="ar-SA"/>
        </w:rPr>
        <w:t>2024年</w:t>
      </w:r>
      <w:r>
        <w:rPr>
          <w:rFonts w:hint="default" w:ascii="Times New Roman" w:hAnsi="Times New Roman" w:eastAsia="宋体" w:cs="Times New Roman"/>
          <w:color w:val="auto"/>
          <w:kern w:val="2"/>
          <w:sz w:val="24"/>
          <w:szCs w:val="21"/>
          <w:highlight w:val="none"/>
          <w:lang w:val="en-US" w:eastAsia="zh-CN" w:bidi="ar-SA"/>
        </w:rPr>
        <w:t>主导风向为WSW-SW-SSW。</w:t>
      </w:r>
    </w:p>
    <w:p w14:paraId="28CE9B42">
      <w:pPr>
        <w:pageBreakBefore w:val="0"/>
        <w:widowControl w:val="0"/>
        <w:kinsoku/>
        <w:topLinePunct w:val="0"/>
        <w:bidi w:val="0"/>
        <w:spacing w:line="500" w:lineRule="exact"/>
        <w:ind w:firstLine="480" w:firstLineChars="200"/>
        <w:jc w:val="both"/>
        <w:rPr>
          <w:rFonts w:hint="default" w:ascii="Times New Roman" w:hAnsi="Times New Roman" w:cs="Times New Roman"/>
          <w:color w:val="auto"/>
          <w:highlight w:val="none"/>
        </w:rPr>
        <w:sectPr>
          <w:pgSz w:w="11906" w:h="16838"/>
          <w:pgMar w:top="1440" w:right="1800" w:bottom="1440" w:left="1800" w:header="992" w:footer="850" w:gutter="0"/>
          <w:pgBorders>
            <w:top w:val="none" w:sz="0" w:space="0"/>
            <w:left w:val="none" w:sz="0" w:space="0"/>
            <w:bottom w:val="none" w:sz="0" w:space="0"/>
            <w:right w:val="none" w:sz="0" w:space="0"/>
          </w:pgBorders>
          <w:pgNumType w:fmt="numberInDash"/>
          <w:cols w:space="720" w:num="1"/>
          <w:docGrid w:type="lines" w:linePitch="326" w:charSpace="0"/>
        </w:sectPr>
      </w:pPr>
    </w:p>
    <w:p w14:paraId="4C6251B0">
      <w:pPr>
        <w:keepNext w:val="0"/>
        <w:keepLines w:val="0"/>
        <w:pageBreakBefore w:val="0"/>
        <w:widowControl w:val="0"/>
        <w:kinsoku/>
        <w:wordWrap/>
        <w:overflowPunct/>
        <w:topLinePunct w:val="0"/>
        <w:autoSpaceDE/>
        <w:autoSpaceDN/>
        <w:bidi w:val="0"/>
        <w:adjustRightInd/>
        <w:snapToGrid/>
        <w:spacing w:before="164" w:beforeLines="50" w:after="164" w:afterLines="50" w:line="240" w:lineRule="auto"/>
        <w:ind w:firstLine="0" w:firstLineChars="0"/>
        <w:jc w:val="center"/>
        <w:textAlignment w:val="auto"/>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-6  </w:t>
      </w:r>
      <w:r>
        <w:rPr>
          <w:rFonts w:hint="default" w:cs="Times New Roman"/>
          <w:b/>
          <w:color w:val="auto"/>
          <w:szCs w:val="24"/>
          <w:highlight w:val="none"/>
          <w:lang w:val="zh-CN" w:eastAsia="zh-CN"/>
        </w:rPr>
        <w:t>双鸭山市2024年各月平均风频的月变化</w:t>
      </w:r>
    </w:p>
    <w:tbl>
      <w:tblPr>
        <w:tblStyle w:val="398"/>
        <w:tblW w:w="517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605"/>
        <w:gridCol w:w="747"/>
        <w:gridCol w:w="747"/>
        <w:gridCol w:w="661"/>
        <w:gridCol w:w="767"/>
        <w:gridCol w:w="786"/>
        <w:gridCol w:w="747"/>
        <w:gridCol w:w="747"/>
        <w:gridCol w:w="786"/>
        <w:gridCol w:w="747"/>
        <w:gridCol w:w="786"/>
        <w:gridCol w:w="808"/>
        <w:gridCol w:w="778"/>
        <w:gridCol w:w="859"/>
        <w:gridCol w:w="613"/>
        <w:gridCol w:w="795"/>
        <w:gridCol w:w="605"/>
      </w:tblGrid>
      <w:tr w14:paraId="62B37C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79B4D79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风向频率%</w:t>
            </w:r>
          </w:p>
        </w:tc>
        <w:tc>
          <w:tcPr>
            <w:tcW w:w="217" w:type="pct"/>
            <w:noWrap w:val="0"/>
            <w:vAlign w:val="center"/>
          </w:tcPr>
          <w:p w14:paraId="5AD3A3F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N</w:t>
            </w:r>
          </w:p>
        </w:tc>
        <w:tc>
          <w:tcPr>
            <w:tcW w:w="268" w:type="pct"/>
            <w:noWrap w:val="0"/>
            <w:vAlign w:val="center"/>
          </w:tcPr>
          <w:p w14:paraId="6D47B32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NNE</w:t>
            </w:r>
          </w:p>
        </w:tc>
        <w:tc>
          <w:tcPr>
            <w:tcW w:w="268" w:type="pct"/>
            <w:noWrap w:val="0"/>
            <w:vAlign w:val="center"/>
          </w:tcPr>
          <w:p w14:paraId="0064BD9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NE</w:t>
            </w:r>
          </w:p>
        </w:tc>
        <w:tc>
          <w:tcPr>
            <w:tcW w:w="237" w:type="pct"/>
            <w:noWrap w:val="0"/>
            <w:vAlign w:val="center"/>
          </w:tcPr>
          <w:p w14:paraId="349170A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ENE</w:t>
            </w:r>
          </w:p>
        </w:tc>
        <w:tc>
          <w:tcPr>
            <w:tcW w:w="275" w:type="pct"/>
            <w:noWrap w:val="0"/>
            <w:vAlign w:val="center"/>
          </w:tcPr>
          <w:p w14:paraId="7D4A03F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E</w:t>
            </w:r>
          </w:p>
        </w:tc>
        <w:tc>
          <w:tcPr>
            <w:tcW w:w="282" w:type="pct"/>
            <w:noWrap w:val="0"/>
            <w:vAlign w:val="center"/>
          </w:tcPr>
          <w:p w14:paraId="0405DAB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ESE</w:t>
            </w:r>
          </w:p>
        </w:tc>
        <w:tc>
          <w:tcPr>
            <w:tcW w:w="268" w:type="pct"/>
            <w:noWrap w:val="0"/>
            <w:vAlign w:val="center"/>
          </w:tcPr>
          <w:p w14:paraId="21CB4EA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SE</w:t>
            </w:r>
          </w:p>
        </w:tc>
        <w:tc>
          <w:tcPr>
            <w:tcW w:w="268" w:type="pct"/>
            <w:noWrap w:val="0"/>
            <w:vAlign w:val="center"/>
          </w:tcPr>
          <w:p w14:paraId="4DC8004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SSE</w:t>
            </w:r>
          </w:p>
        </w:tc>
        <w:tc>
          <w:tcPr>
            <w:tcW w:w="282" w:type="pct"/>
            <w:noWrap w:val="0"/>
            <w:vAlign w:val="center"/>
          </w:tcPr>
          <w:p w14:paraId="43D273E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S</w:t>
            </w:r>
          </w:p>
        </w:tc>
        <w:tc>
          <w:tcPr>
            <w:tcW w:w="268" w:type="pct"/>
            <w:noWrap w:val="0"/>
            <w:vAlign w:val="center"/>
          </w:tcPr>
          <w:p w14:paraId="26E7E1C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SSW</w:t>
            </w:r>
          </w:p>
        </w:tc>
        <w:tc>
          <w:tcPr>
            <w:tcW w:w="282" w:type="pct"/>
            <w:noWrap w:val="0"/>
            <w:vAlign w:val="center"/>
          </w:tcPr>
          <w:p w14:paraId="4E138D2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SW</w:t>
            </w:r>
          </w:p>
        </w:tc>
        <w:tc>
          <w:tcPr>
            <w:tcW w:w="290" w:type="pct"/>
            <w:noWrap w:val="0"/>
            <w:vAlign w:val="center"/>
          </w:tcPr>
          <w:p w14:paraId="3D2B92B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WSW</w:t>
            </w:r>
          </w:p>
        </w:tc>
        <w:tc>
          <w:tcPr>
            <w:tcW w:w="279" w:type="pct"/>
            <w:noWrap w:val="0"/>
            <w:vAlign w:val="center"/>
          </w:tcPr>
          <w:p w14:paraId="25D2DC8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w:t>
            </w:r>
          </w:p>
        </w:tc>
        <w:tc>
          <w:tcPr>
            <w:tcW w:w="308" w:type="pct"/>
            <w:noWrap w:val="0"/>
            <w:vAlign w:val="center"/>
          </w:tcPr>
          <w:p w14:paraId="26A9F2C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WNW</w:t>
            </w:r>
          </w:p>
        </w:tc>
        <w:tc>
          <w:tcPr>
            <w:tcW w:w="220" w:type="pct"/>
            <w:noWrap w:val="0"/>
            <w:vAlign w:val="center"/>
          </w:tcPr>
          <w:p w14:paraId="7CBC901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NW</w:t>
            </w:r>
          </w:p>
        </w:tc>
        <w:tc>
          <w:tcPr>
            <w:tcW w:w="285" w:type="pct"/>
            <w:noWrap w:val="0"/>
            <w:vAlign w:val="center"/>
          </w:tcPr>
          <w:p w14:paraId="6090646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NNW</w:t>
            </w:r>
          </w:p>
        </w:tc>
        <w:tc>
          <w:tcPr>
            <w:tcW w:w="217" w:type="pct"/>
            <w:noWrap w:val="0"/>
            <w:vAlign w:val="center"/>
          </w:tcPr>
          <w:p w14:paraId="259E32D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C</w:t>
            </w:r>
          </w:p>
        </w:tc>
      </w:tr>
      <w:tr w14:paraId="2DDD3B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13BE26E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1月</w:t>
            </w:r>
          </w:p>
        </w:tc>
        <w:tc>
          <w:tcPr>
            <w:tcW w:w="605" w:type="dxa"/>
            <w:noWrap w:val="0"/>
            <w:vAlign w:val="bottom"/>
          </w:tcPr>
          <w:p w14:paraId="4ABC6B7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6.72 </w:t>
            </w:r>
          </w:p>
        </w:tc>
        <w:tc>
          <w:tcPr>
            <w:tcW w:w="747" w:type="dxa"/>
            <w:noWrap w:val="0"/>
            <w:vAlign w:val="bottom"/>
          </w:tcPr>
          <w:p w14:paraId="74B8003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5.91 </w:t>
            </w:r>
          </w:p>
        </w:tc>
        <w:tc>
          <w:tcPr>
            <w:tcW w:w="747" w:type="dxa"/>
            <w:noWrap w:val="0"/>
            <w:vAlign w:val="bottom"/>
          </w:tcPr>
          <w:p w14:paraId="6E8DFCA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4.84 </w:t>
            </w:r>
          </w:p>
        </w:tc>
        <w:tc>
          <w:tcPr>
            <w:tcW w:w="661" w:type="dxa"/>
            <w:noWrap w:val="0"/>
            <w:vAlign w:val="bottom"/>
          </w:tcPr>
          <w:p w14:paraId="6305EB2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1.88 </w:t>
            </w:r>
          </w:p>
        </w:tc>
        <w:tc>
          <w:tcPr>
            <w:tcW w:w="767" w:type="dxa"/>
            <w:noWrap w:val="0"/>
            <w:vAlign w:val="bottom"/>
          </w:tcPr>
          <w:p w14:paraId="161CA8B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0.00 </w:t>
            </w:r>
          </w:p>
        </w:tc>
        <w:tc>
          <w:tcPr>
            <w:tcW w:w="786" w:type="dxa"/>
            <w:noWrap w:val="0"/>
            <w:vAlign w:val="bottom"/>
          </w:tcPr>
          <w:p w14:paraId="6A7C834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0.67 </w:t>
            </w:r>
          </w:p>
        </w:tc>
        <w:tc>
          <w:tcPr>
            <w:tcW w:w="747" w:type="dxa"/>
            <w:noWrap w:val="0"/>
            <w:vAlign w:val="bottom"/>
          </w:tcPr>
          <w:p w14:paraId="7AF8A00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0.54 </w:t>
            </w:r>
          </w:p>
        </w:tc>
        <w:tc>
          <w:tcPr>
            <w:tcW w:w="747" w:type="dxa"/>
            <w:noWrap w:val="0"/>
            <w:vAlign w:val="bottom"/>
          </w:tcPr>
          <w:p w14:paraId="04154E0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2.82 </w:t>
            </w:r>
          </w:p>
        </w:tc>
        <w:tc>
          <w:tcPr>
            <w:tcW w:w="786" w:type="dxa"/>
            <w:noWrap w:val="0"/>
            <w:vAlign w:val="bottom"/>
          </w:tcPr>
          <w:p w14:paraId="68DC0BA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15.32 </w:t>
            </w:r>
          </w:p>
        </w:tc>
        <w:tc>
          <w:tcPr>
            <w:tcW w:w="747" w:type="dxa"/>
            <w:noWrap w:val="0"/>
            <w:vAlign w:val="bottom"/>
          </w:tcPr>
          <w:p w14:paraId="235C994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14.92 </w:t>
            </w:r>
          </w:p>
        </w:tc>
        <w:tc>
          <w:tcPr>
            <w:tcW w:w="786" w:type="dxa"/>
            <w:noWrap w:val="0"/>
            <w:vAlign w:val="bottom"/>
          </w:tcPr>
          <w:p w14:paraId="1FDBEBF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16.94 </w:t>
            </w:r>
          </w:p>
        </w:tc>
        <w:tc>
          <w:tcPr>
            <w:tcW w:w="808" w:type="dxa"/>
            <w:noWrap w:val="0"/>
            <w:vAlign w:val="bottom"/>
          </w:tcPr>
          <w:p w14:paraId="4EF218D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6.32 </w:t>
            </w:r>
          </w:p>
        </w:tc>
        <w:tc>
          <w:tcPr>
            <w:tcW w:w="778" w:type="dxa"/>
            <w:noWrap w:val="0"/>
            <w:vAlign w:val="bottom"/>
          </w:tcPr>
          <w:p w14:paraId="060280C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7.80 </w:t>
            </w:r>
          </w:p>
        </w:tc>
        <w:tc>
          <w:tcPr>
            <w:tcW w:w="859" w:type="dxa"/>
            <w:noWrap w:val="0"/>
            <w:vAlign w:val="bottom"/>
          </w:tcPr>
          <w:p w14:paraId="7851766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5.78 </w:t>
            </w:r>
          </w:p>
        </w:tc>
        <w:tc>
          <w:tcPr>
            <w:tcW w:w="613" w:type="dxa"/>
            <w:noWrap w:val="0"/>
            <w:vAlign w:val="bottom"/>
          </w:tcPr>
          <w:p w14:paraId="0C09847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5.51 </w:t>
            </w:r>
          </w:p>
        </w:tc>
        <w:tc>
          <w:tcPr>
            <w:tcW w:w="795" w:type="dxa"/>
            <w:noWrap w:val="0"/>
            <w:vAlign w:val="bottom"/>
          </w:tcPr>
          <w:p w14:paraId="4B3A47D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4.03 </w:t>
            </w:r>
          </w:p>
        </w:tc>
        <w:tc>
          <w:tcPr>
            <w:tcW w:w="605" w:type="dxa"/>
            <w:noWrap w:val="0"/>
            <w:vAlign w:val="bottom"/>
          </w:tcPr>
          <w:p w14:paraId="62A7168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0.00 </w:t>
            </w:r>
          </w:p>
        </w:tc>
      </w:tr>
      <w:tr w14:paraId="638768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3A636AE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2月</w:t>
            </w:r>
          </w:p>
        </w:tc>
        <w:tc>
          <w:tcPr>
            <w:tcW w:w="605" w:type="dxa"/>
            <w:noWrap w:val="0"/>
            <w:vAlign w:val="bottom"/>
          </w:tcPr>
          <w:p w14:paraId="6202659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5.89 </w:t>
            </w:r>
          </w:p>
        </w:tc>
        <w:tc>
          <w:tcPr>
            <w:tcW w:w="747" w:type="dxa"/>
            <w:noWrap w:val="0"/>
            <w:vAlign w:val="bottom"/>
          </w:tcPr>
          <w:p w14:paraId="7E90B78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3.59 </w:t>
            </w:r>
          </w:p>
        </w:tc>
        <w:tc>
          <w:tcPr>
            <w:tcW w:w="747" w:type="dxa"/>
            <w:noWrap w:val="0"/>
            <w:vAlign w:val="bottom"/>
          </w:tcPr>
          <w:p w14:paraId="5215774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3.16 </w:t>
            </w:r>
          </w:p>
        </w:tc>
        <w:tc>
          <w:tcPr>
            <w:tcW w:w="661" w:type="dxa"/>
            <w:noWrap w:val="0"/>
            <w:vAlign w:val="bottom"/>
          </w:tcPr>
          <w:p w14:paraId="326EB7F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1.29 </w:t>
            </w:r>
          </w:p>
        </w:tc>
        <w:tc>
          <w:tcPr>
            <w:tcW w:w="767" w:type="dxa"/>
            <w:noWrap w:val="0"/>
            <w:vAlign w:val="bottom"/>
          </w:tcPr>
          <w:p w14:paraId="33C7613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1.15 </w:t>
            </w:r>
          </w:p>
        </w:tc>
        <w:tc>
          <w:tcPr>
            <w:tcW w:w="786" w:type="dxa"/>
            <w:noWrap w:val="0"/>
            <w:vAlign w:val="bottom"/>
          </w:tcPr>
          <w:p w14:paraId="707D604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1.72 </w:t>
            </w:r>
          </w:p>
        </w:tc>
        <w:tc>
          <w:tcPr>
            <w:tcW w:w="747" w:type="dxa"/>
            <w:noWrap w:val="0"/>
            <w:vAlign w:val="bottom"/>
          </w:tcPr>
          <w:p w14:paraId="438869A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1.87 </w:t>
            </w:r>
          </w:p>
        </w:tc>
        <w:tc>
          <w:tcPr>
            <w:tcW w:w="747" w:type="dxa"/>
            <w:noWrap w:val="0"/>
            <w:vAlign w:val="bottom"/>
          </w:tcPr>
          <w:p w14:paraId="54CF2D0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4.60 </w:t>
            </w:r>
          </w:p>
        </w:tc>
        <w:tc>
          <w:tcPr>
            <w:tcW w:w="786" w:type="dxa"/>
            <w:noWrap w:val="0"/>
            <w:vAlign w:val="bottom"/>
          </w:tcPr>
          <w:p w14:paraId="38C22C0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17.82 </w:t>
            </w:r>
          </w:p>
        </w:tc>
        <w:tc>
          <w:tcPr>
            <w:tcW w:w="747" w:type="dxa"/>
            <w:noWrap w:val="0"/>
            <w:vAlign w:val="bottom"/>
          </w:tcPr>
          <w:p w14:paraId="2BF5FFC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15.52 </w:t>
            </w:r>
          </w:p>
        </w:tc>
        <w:tc>
          <w:tcPr>
            <w:tcW w:w="786" w:type="dxa"/>
            <w:noWrap w:val="0"/>
            <w:vAlign w:val="bottom"/>
          </w:tcPr>
          <w:p w14:paraId="126589A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16.95 </w:t>
            </w:r>
          </w:p>
        </w:tc>
        <w:tc>
          <w:tcPr>
            <w:tcW w:w="808" w:type="dxa"/>
            <w:noWrap w:val="0"/>
            <w:vAlign w:val="bottom"/>
          </w:tcPr>
          <w:p w14:paraId="08580E2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10.06 </w:t>
            </w:r>
          </w:p>
        </w:tc>
        <w:tc>
          <w:tcPr>
            <w:tcW w:w="778" w:type="dxa"/>
            <w:noWrap w:val="0"/>
            <w:vAlign w:val="bottom"/>
          </w:tcPr>
          <w:p w14:paraId="06A4408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6.61 </w:t>
            </w:r>
          </w:p>
        </w:tc>
        <w:tc>
          <w:tcPr>
            <w:tcW w:w="859" w:type="dxa"/>
            <w:noWrap w:val="0"/>
            <w:vAlign w:val="bottom"/>
          </w:tcPr>
          <w:p w14:paraId="4ED53AD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4.60 </w:t>
            </w:r>
          </w:p>
        </w:tc>
        <w:tc>
          <w:tcPr>
            <w:tcW w:w="613" w:type="dxa"/>
            <w:noWrap w:val="0"/>
            <w:vAlign w:val="bottom"/>
          </w:tcPr>
          <w:p w14:paraId="5AA0554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2.73 </w:t>
            </w:r>
          </w:p>
        </w:tc>
        <w:tc>
          <w:tcPr>
            <w:tcW w:w="795" w:type="dxa"/>
            <w:noWrap w:val="0"/>
            <w:vAlign w:val="bottom"/>
          </w:tcPr>
          <w:p w14:paraId="407435B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2.30 </w:t>
            </w:r>
          </w:p>
        </w:tc>
        <w:tc>
          <w:tcPr>
            <w:tcW w:w="605" w:type="dxa"/>
            <w:noWrap w:val="0"/>
            <w:vAlign w:val="bottom"/>
          </w:tcPr>
          <w:p w14:paraId="57F97DE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0.14 </w:t>
            </w:r>
          </w:p>
        </w:tc>
      </w:tr>
      <w:tr w14:paraId="16A77E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4D74ABE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3月</w:t>
            </w:r>
          </w:p>
        </w:tc>
        <w:tc>
          <w:tcPr>
            <w:tcW w:w="605" w:type="dxa"/>
            <w:noWrap w:val="0"/>
            <w:vAlign w:val="bottom"/>
          </w:tcPr>
          <w:p w14:paraId="70C4A2F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3.90 </w:t>
            </w:r>
          </w:p>
        </w:tc>
        <w:tc>
          <w:tcPr>
            <w:tcW w:w="747" w:type="dxa"/>
            <w:noWrap w:val="0"/>
            <w:vAlign w:val="bottom"/>
          </w:tcPr>
          <w:p w14:paraId="0AD7661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3.09 </w:t>
            </w:r>
          </w:p>
        </w:tc>
        <w:tc>
          <w:tcPr>
            <w:tcW w:w="747" w:type="dxa"/>
            <w:noWrap w:val="0"/>
            <w:vAlign w:val="bottom"/>
          </w:tcPr>
          <w:p w14:paraId="7873907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4.03 </w:t>
            </w:r>
          </w:p>
        </w:tc>
        <w:tc>
          <w:tcPr>
            <w:tcW w:w="661" w:type="dxa"/>
            <w:noWrap w:val="0"/>
            <w:vAlign w:val="bottom"/>
          </w:tcPr>
          <w:p w14:paraId="54D38D5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1.34 </w:t>
            </w:r>
          </w:p>
        </w:tc>
        <w:tc>
          <w:tcPr>
            <w:tcW w:w="767" w:type="dxa"/>
            <w:noWrap w:val="0"/>
            <w:vAlign w:val="bottom"/>
          </w:tcPr>
          <w:p w14:paraId="338B168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1.08 </w:t>
            </w:r>
          </w:p>
        </w:tc>
        <w:tc>
          <w:tcPr>
            <w:tcW w:w="786" w:type="dxa"/>
            <w:noWrap w:val="0"/>
            <w:vAlign w:val="bottom"/>
          </w:tcPr>
          <w:p w14:paraId="1FE7010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2.02 </w:t>
            </w:r>
          </w:p>
        </w:tc>
        <w:tc>
          <w:tcPr>
            <w:tcW w:w="747" w:type="dxa"/>
            <w:noWrap w:val="0"/>
            <w:vAlign w:val="bottom"/>
          </w:tcPr>
          <w:p w14:paraId="3E5521C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1.21 </w:t>
            </w:r>
          </w:p>
        </w:tc>
        <w:tc>
          <w:tcPr>
            <w:tcW w:w="747" w:type="dxa"/>
            <w:noWrap w:val="0"/>
            <w:vAlign w:val="bottom"/>
          </w:tcPr>
          <w:p w14:paraId="3009DC3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4.17 </w:t>
            </w:r>
          </w:p>
        </w:tc>
        <w:tc>
          <w:tcPr>
            <w:tcW w:w="786" w:type="dxa"/>
            <w:noWrap w:val="0"/>
            <w:vAlign w:val="bottom"/>
          </w:tcPr>
          <w:p w14:paraId="516B0A8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8.47 </w:t>
            </w:r>
          </w:p>
        </w:tc>
        <w:tc>
          <w:tcPr>
            <w:tcW w:w="747" w:type="dxa"/>
            <w:noWrap w:val="0"/>
            <w:vAlign w:val="bottom"/>
          </w:tcPr>
          <w:p w14:paraId="31200A6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12.37 </w:t>
            </w:r>
          </w:p>
        </w:tc>
        <w:tc>
          <w:tcPr>
            <w:tcW w:w="786" w:type="dxa"/>
            <w:noWrap w:val="0"/>
            <w:vAlign w:val="bottom"/>
          </w:tcPr>
          <w:p w14:paraId="16E5EB5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16.94 </w:t>
            </w:r>
          </w:p>
        </w:tc>
        <w:tc>
          <w:tcPr>
            <w:tcW w:w="808" w:type="dxa"/>
            <w:noWrap w:val="0"/>
            <w:vAlign w:val="bottom"/>
          </w:tcPr>
          <w:p w14:paraId="3620B02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16.40 </w:t>
            </w:r>
          </w:p>
        </w:tc>
        <w:tc>
          <w:tcPr>
            <w:tcW w:w="778" w:type="dxa"/>
            <w:noWrap w:val="0"/>
            <w:vAlign w:val="bottom"/>
          </w:tcPr>
          <w:p w14:paraId="2197D41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10.35 </w:t>
            </w:r>
          </w:p>
        </w:tc>
        <w:tc>
          <w:tcPr>
            <w:tcW w:w="859" w:type="dxa"/>
            <w:noWrap w:val="0"/>
            <w:vAlign w:val="bottom"/>
          </w:tcPr>
          <w:p w14:paraId="48CE688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5.24 </w:t>
            </w:r>
          </w:p>
        </w:tc>
        <w:tc>
          <w:tcPr>
            <w:tcW w:w="613" w:type="dxa"/>
            <w:noWrap w:val="0"/>
            <w:vAlign w:val="bottom"/>
          </w:tcPr>
          <w:p w14:paraId="3E78844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5.65 </w:t>
            </w:r>
          </w:p>
        </w:tc>
        <w:tc>
          <w:tcPr>
            <w:tcW w:w="795" w:type="dxa"/>
            <w:noWrap w:val="0"/>
            <w:vAlign w:val="bottom"/>
          </w:tcPr>
          <w:p w14:paraId="00E6F73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3.36 </w:t>
            </w:r>
          </w:p>
        </w:tc>
        <w:tc>
          <w:tcPr>
            <w:tcW w:w="605" w:type="dxa"/>
            <w:noWrap w:val="0"/>
            <w:vAlign w:val="bottom"/>
          </w:tcPr>
          <w:p w14:paraId="3332A16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0.40 </w:t>
            </w:r>
          </w:p>
        </w:tc>
      </w:tr>
      <w:tr w14:paraId="44A365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45BD2B4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4月</w:t>
            </w:r>
          </w:p>
        </w:tc>
        <w:tc>
          <w:tcPr>
            <w:tcW w:w="605" w:type="dxa"/>
            <w:noWrap w:val="0"/>
            <w:vAlign w:val="bottom"/>
          </w:tcPr>
          <w:p w14:paraId="42139D0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0.97 </w:t>
            </w:r>
          </w:p>
        </w:tc>
        <w:tc>
          <w:tcPr>
            <w:tcW w:w="747" w:type="dxa"/>
            <w:noWrap w:val="0"/>
            <w:vAlign w:val="bottom"/>
          </w:tcPr>
          <w:p w14:paraId="5B80CD4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1.67 </w:t>
            </w:r>
          </w:p>
        </w:tc>
        <w:tc>
          <w:tcPr>
            <w:tcW w:w="747" w:type="dxa"/>
            <w:noWrap w:val="0"/>
            <w:vAlign w:val="bottom"/>
          </w:tcPr>
          <w:p w14:paraId="4BD969B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2.36 </w:t>
            </w:r>
          </w:p>
        </w:tc>
        <w:tc>
          <w:tcPr>
            <w:tcW w:w="661" w:type="dxa"/>
            <w:noWrap w:val="0"/>
            <w:vAlign w:val="bottom"/>
          </w:tcPr>
          <w:p w14:paraId="67656ED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1.94 </w:t>
            </w:r>
          </w:p>
        </w:tc>
        <w:tc>
          <w:tcPr>
            <w:tcW w:w="767" w:type="dxa"/>
            <w:noWrap w:val="0"/>
            <w:vAlign w:val="bottom"/>
          </w:tcPr>
          <w:p w14:paraId="161A368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2.36 </w:t>
            </w:r>
          </w:p>
        </w:tc>
        <w:tc>
          <w:tcPr>
            <w:tcW w:w="786" w:type="dxa"/>
            <w:noWrap w:val="0"/>
            <w:vAlign w:val="bottom"/>
          </w:tcPr>
          <w:p w14:paraId="3B5C17C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1.39 </w:t>
            </w:r>
          </w:p>
        </w:tc>
        <w:tc>
          <w:tcPr>
            <w:tcW w:w="747" w:type="dxa"/>
            <w:noWrap w:val="0"/>
            <w:vAlign w:val="bottom"/>
          </w:tcPr>
          <w:p w14:paraId="2668500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2.78 </w:t>
            </w:r>
          </w:p>
        </w:tc>
        <w:tc>
          <w:tcPr>
            <w:tcW w:w="747" w:type="dxa"/>
            <w:noWrap w:val="0"/>
            <w:vAlign w:val="bottom"/>
          </w:tcPr>
          <w:p w14:paraId="7813FE6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5.42 </w:t>
            </w:r>
          </w:p>
        </w:tc>
        <w:tc>
          <w:tcPr>
            <w:tcW w:w="786" w:type="dxa"/>
            <w:noWrap w:val="0"/>
            <w:vAlign w:val="bottom"/>
          </w:tcPr>
          <w:p w14:paraId="2F4B20C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9.44 </w:t>
            </w:r>
          </w:p>
        </w:tc>
        <w:tc>
          <w:tcPr>
            <w:tcW w:w="747" w:type="dxa"/>
            <w:noWrap w:val="0"/>
            <w:vAlign w:val="bottom"/>
          </w:tcPr>
          <w:p w14:paraId="09CBB66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17.92 </w:t>
            </w:r>
          </w:p>
        </w:tc>
        <w:tc>
          <w:tcPr>
            <w:tcW w:w="786" w:type="dxa"/>
            <w:noWrap w:val="0"/>
            <w:vAlign w:val="bottom"/>
          </w:tcPr>
          <w:p w14:paraId="08CB4DC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14.86 </w:t>
            </w:r>
          </w:p>
        </w:tc>
        <w:tc>
          <w:tcPr>
            <w:tcW w:w="808" w:type="dxa"/>
            <w:noWrap w:val="0"/>
            <w:vAlign w:val="bottom"/>
          </w:tcPr>
          <w:p w14:paraId="0E7DB38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14.72 </w:t>
            </w:r>
          </w:p>
        </w:tc>
        <w:tc>
          <w:tcPr>
            <w:tcW w:w="778" w:type="dxa"/>
            <w:noWrap w:val="0"/>
            <w:vAlign w:val="bottom"/>
          </w:tcPr>
          <w:p w14:paraId="4B77818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8.33 </w:t>
            </w:r>
          </w:p>
        </w:tc>
        <w:tc>
          <w:tcPr>
            <w:tcW w:w="859" w:type="dxa"/>
            <w:noWrap w:val="0"/>
            <w:vAlign w:val="bottom"/>
          </w:tcPr>
          <w:p w14:paraId="2EECCB8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8.19 </w:t>
            </w:r>
          </w:p>
        </w:tc>
        <w:tc>
          <w:tcPr>
            <w:tcW w:w="613" w:type="dxa"/>
            <w:noWrap w:val="0"/>
            <w:vAlign w:val="bottom"/>
          </w:tcPr>
          <w:p w14:paraId="59C1891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5.42 </w:t>
            </w:r>
          </w:p>
        </w:tc>
        <w:tc>
          <w:tcPr>
            <w:tcW w:w="795" w:type="dxa"/>
            <w:noWrap w:val="0"/>
            <w:vAlign w:val="bottom"/>
          </w:tcPr>
          <w:p w14:paraId="55D1A09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1.94 </w:t>
            </w:r>
          </w:p>
        </w:tc>
        <w:tc>
          <w:tcPr>
            <w:tcW w:w="605" w:type="dxa"/>
            <w:noWrap w:val="0"/>
            <w:vAlign w:val="bottom"/>
          </w:tcPr>
          <w:p w14:paraId="68042B4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0.28 </w:t>
            </w:r>
          </w:p>
        </w:tc>
      </w:tr>
      <w:tr w14:paraId="155EBE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5A82B5F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5月</w:t>
            </w:r>
          </w:p>
        </w:tc>
        <w:tc>
          <w:tcPr>
            <w:tcW w:w="605" w:type="dxa"/>
            <w:noWrap w:val="0"/>
            <w:vAlign w:val="bottom"/>
          </w:tcPr>
          <w:p w14:paraId="19BCC3A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3.63 </w:t>
            </w:r>
          </w:p>
        </w:tc>
        <w:tc>
          <w:tcPr>
            <w:tcW w:w="747" w:type="dxa"/>
            <w:noWrap w:val="0"/>
            <w:vAlign w:val="bottom"/>
          </w:tcPr>
          <w:p w14:paraId="651E1E4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7.12 </w:t>
            </w:r>
          </w:p>
        </w:tc>
        <w:tc>
          <w:tcPr>
            <w:tcW w:w="747" w:type="dxa"/>
            <w:noWrap w:val="0"/>
            <w:vAlign w:val="bottom"/>
          </w:tcPr>
          <w:p w14:paraId="6D4AB5E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10.22 </w:t>
            </w:r>
          </w:p>
        </w:tc>
        <w:tc>
          <w:tcPr>
            <w:tcW w:w="661" w:type="dxa"/>
            <w:noWrap w:val="0"/>
            <w:vAlign w:val="bottom"/>
          </w:tcPr>
          <w:p w14:paraId="7945E65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4.84 </w:t>
            </w:r>
          </w:p>
        </w:tc>
        <w:tc>
          <w:tcPr>
            <w:tcW w:w="767" w:type="dxa"/>
            <w:noWrap w:val="0"/>
            <w:vAlign w:val="bottom"/>
          </w:tcPr>
          <w:p w14:paraId="66AEB23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1.48 </w:t>
            </w:r>
          </w:p>
        </w:tc>
        <w:tc>
          <w:tcPr>
            <w:tcW w:w="786" w:type="dxa"/>
            <w:noWrap w:val="0"/>
            <w:vAlign w:val="bottom"/>
          </w:tcPr>
          <w:p w14:paraId="639EE8D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1.21 </w:t>
            </w:r>
          </w:p>
        </w:tc>
        <w:tc>
          <w:tcPr>
            <w:tcW w:w="747" w:type="dxa"/>
            <w:noWrap w:val="0"/>
            <w:vAlign w:val="bottom"/>
          </w:tcPr>
          <w:p w14:paraId="69C31F9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2.02 </w:t>
            </w:r>
          </w:p>
        </w:tc>
        <w:tc>
          <w:tcPr>
            <w:tcW w:w="747" w:type="dxa"/>
            <w:noWrap w:val="0"/>
            <w:vAlign w:val="bottom"/>
          </w:tcPr>
          <w:p w14:paraId="2423703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2.96 </w:t>
            </w:r>
          </w:p>
        </w:tc>
        <w:tc>
          <w:tcPr>
            <w:tcW w:w="786" w:type="dxa"/>
            <w:noWrap w:val="0"/>
            <w:vAlign w:val="bottom"/>
          </w:tcPr>
          <w:p w14:paraId="621F36B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12.90 </w:t>
            </w:r>
          </w:p>
        </w:tc>
        <w:tc>
          <w:tcPr>
            <w:tcW w:w="747" w:type="dxa"/>
            <w:noWrap w:val="0"/>
            <w:vAlign w:val="bottom"/>
          </w:tcPr>
          <w:p w14:paraId="676F91C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12.77 </w:t>
            </w:r>
          </w:p>
        </w:tc>
        <w:tc>
          <w:tcPr>
            <w:tcW w:w="786" w:type="dxa"/>
            <w:noWrap w:val="0"/>
            <w:vAlign w:val="bottom"/>
          </w:tcPr>
          <w:p w14:paraId="2CB59BD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13.31 </w:t>
            </w:r>
          </w:p>
        </w:tc>
        <w:tc>
          <w:tcPr>
            <w:tcW w:w="808" w:type="dxa"/>
            <w:noWrap w:val="0"/>
            <w:vAlign w:val="bottom"/>
          </w:tcPr>
          <w:p w14:paraId="48B543F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11.96 </w:t>
            </w:r>
          </w:p>
        </w:tc>
        <w:tc>
          <w:tcPr>
            <w:tcW w:w="778" w:type="dxa"/>
            <w:noWrap w:val="0"/>
            <w:vAlign w:val="bottom"/>
          </w:tcPr>
          <w:p w14:paraId="449A1FD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5.78 </w:t>
            </w:r>
          </w:p>
        </w:tc>
        <w:tc>
          <w:tcPr>
            <w:tcW w:w="859" w:type="dxa"/>
            <w:noWrap w:val="0"/>
            <w:vAlign w:val="bottom"/>
          </w:tcPr>
          <w:p w14:paraId="568332F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4.03 </w:t>
            </w:r>
          </w:p>
        </w:tc>
        <w:tc>
          <w:tcPr>
            <w:tcW w:w="613" w:type="dxa"/>
            <w:noWrap w:val="0"/>
            <w:vAlign w:val="bottom"/>
          </w:tcPr>
          <w:p w14:paraId="539AC6D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3.36 </w:t>
            </w:r>
          </w:p>
        </w:tc>
        <w:tc>
          <w:tcPr>
            <w:tcW w:w="795" w:type="dxa"/>
            <w:noWrap w:val="0"/>
            <w:vAlign w:val="bottom"/>
          </w:tcPr>
          <w:p w14:paraId="7603836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2.02 </w:t>
            </w:r>
          </w:p>
        </w:tc>
        <w:tc>
          <w:tcPr>
            <w:tcW w:w="605" w:type="dxa"/>
            <w:noWrap w:val="0"/>
            <w:vAlign w:val="bottom"/>
          </w:tcPr>
          <w:p w14:paraId="65C253D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0.40 </w:t>
            </w:r>
          </w:p>
        </w:tc>
      </w:tr>
      <w:tr w14:paraId="4E11F7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6B59892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6月</w:t>
            </w:r>
          </w:p>
        </w:tc>
        <w:tc>
          <w:tcPr>
            <w:tcW w:w="605" w:type="dxa"/>
            <w:noWrap w:val="0"/>
            <w:vAlign w:val="bottom"/>
          </w:tcPr>
          <w:p w14:paraId="3FF5FF4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7.36 </w:t>
            </w:r>
          </w:p>
        </w:tc>
        <w:tc>
          <w:tcPr>
            <w:tcW w:w="747" w:type="dxa"/>
            <w:noWrap w:val="0"/>
            <w:vAlign w:val="bottom"/>
          </w:tcPr>
          <w:p w14:paraId="6D8FEE5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10.56 </w:t>
            </w:r>
          </w:p>
        </w:tc>
        <w:tc>
          <w:tcPr>
            <w:tcW w:w="747" w:type="dxa"/>
            <w:noWrap w:val="0"/>
            <w:vAlign w:val="bottom"/>
          </w:tcPr>
          <w:p w14:paraId="54D2F65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16.81 </w:t>
            </w:r>
          </w:p>
        </w:tc>
        <w:tc>
          <w:tcPr>
            <w:tcW w:w="661" w:type="dxa"/>
            <w:noWrap w:val="0"/>
            <w:vAlign w:val="bottom"/>
          </w:tcPr>
          <w:p w14:paraId="4BE7C9B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5.69 </w:t>
            </w:r>
          </w:p>
        </w:tc>
        <w:tc>
          <w:tcPr>
            <w:tcW w:w="767" w:type="dxa"/>
            <w:noWrap w:val="0"/>
            <w:vAlign w:val="bottom"/>
          </w:tcPr>
          <w:p w14:paraId="5B50D1D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2.78 </w:t>
            </w:r>
          </w:p>
        </w:tc>
        <w:tc>
          <w:tcPr>
            <w:tcW w:w="786" w:type="dxa"/>
            <w:noWrap w:val="0"/>
            <w:vAlign w:val="bottom"/>
          </w:tcPr>
          <w:p w14:paraId="3DFC97E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1.81 </w:t>
            </w:r>
          </w:p>
        </w:tc>
        <w:tc>
          <w:tcPr>
            <w:tcW w:w="747" w:type="dxa"/>
            <w:noWrap w:val="0"/>
            <w:vAlign w:val="bottom"/>
          </w:tcPr>
          <w:p w14:paraId="740604A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1.39 </w:t>
            </w:r>
          </w:p>
        </w:tc>
        <w:tc>
          <w:tcPr>
            <w:tcW w:w="747" w:type="dxa"/>
            <w:noWrap w:val="0"/>
            <w:vAlign w:val="bottom"/>
          </w:tcPr>
          <w:p w14:paraId="1317931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1.81 </w:t>
            </w:r>
          </w:p>
        </w:tc>
        <w:tc>
          <w:tcPr>
            <w:tcW w:w="786" w:type="dxa"/>
            <w:noWrap w:val="0"/>
            <w:vAlign w:val="bottom"/>
          </w:tcPr>
          <w:p w14:paraId="7B57FEB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13.19 </w:t>
            </w:r>
          </w:p>
        </w:tc>
        <w:tc>
          <w:tcPr>
            <w:tcW w:w="747" w:type="dxa"/>
            <w:noWrap w:val="0"/>
            <w:vAlign w:val="bottom"/>
          </w:tcPr>
          <w:p w14:paraId="221C462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11.11 </w:t>
            </w:r>
          </w:p>
        </w:tc>
        <w:tc>
          <w:tcPr>
            <w:tcW w:w="786" w:type="dxa"/>
            <w:noWrap w:val="0"/>
            <w:vAlign w:val="bottom"/>
          </w:tcPr>
          <w:p w14:paraId="68568F2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10.83 </w:t>
            </w:r>
          </w:p>
        </w:tc>
        <w:tc>
          <w:tcPr>
            <w:tcW w:w="808" w:type="dxa"/>
            <w:noWrap w:val="0"/>
            <w:vAlign w:val="bottom"/>
          </w:tcPr>
          <w:p w14:paraId="69286CC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7.78 </w:t>
            </w:r>
          </w:p>
        </w:tc>
        <w:tc>
          <w:tcPr>
            <w:tcW w:w="778" w:type="dxa"/>
            <w:noWrap w:val="0"/>
            <w:vAlign w:val="bottom"/>
          </w:tcPr>
          <w:p w14:paraId="37C6963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2.78 </w:t>
            </w:r>
          </w:p>
        </w:tc>
        <w:tc>
          <w:tcPr>
            <w:tcW w:w="859" w:type="dxa"/>
            <w:noWrap w:val="0"/>
            <w:vAlign w:val="bottom"/>
          </w:tcPr>
          <w:p w14:paraId="5398C38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1.81 </w:t>
            </w:r>
          </w:p>
        </w:tc>
        <w:tc>
          <w:tcPr>
            <w:tcW w:w="613" w:type="dxa"/>
            <w:noWrap w:val="0"/>
            <w:vAlign w:val="bottom"/>
          </w:tcPr>
          <w:p w14:paraId="094E8F0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1.25 </w:t>
            </w:r>
          </w:p>
        </w:tc>
        <w:tc>
          <w:tcPr>
            <w:tcW w:w="795" w:type="dxa"/>
            <w:noWrap w:val="0"/>
            <w:vAlign w:val="bottom"/>
          </w:tcPr>
          <w:p w14:paraId="521896C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1.94 </w:t>
            </w:r>
          </w:p>
        </w:tc>
        <w:tc>
          <w:tcPr>
            <w:tcW w:w="605" w:type="dxa"/>
            <w:noWrap w:val="0"/>
            <w:vAlign w:val="bottom"/>
          </w:tcPr>
          <w:p w14:paraId="37A13C8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1.11 </w:t>
            </w:r>
          </w:p>
        </w:tc>
      </w:tr>
      <w:tr w14:paraId="59A03E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4490ECE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7月</w:t>
            </w:r>
          </w:p>
        </w:tc>
        <w:tc>
          <w:tcPr>
            <w:tcW w:w="605" w:type="dxa"/>
            <w:noWrap w:val="0"/>
            <w:vAlign w:val="bottom"/>
          </w:tcPr>
          <w:p w14:paraId="6DAABF7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5.24 </w:t>
            </w:r>
          </w:p>
        </w:tc>
        <w:tc>
          <w:tcPr>
            <w:tcW w:w="747" w:type="dxa"/>
            <w:noWrap w:val="0"/>
            <w:vAlign w:val="bottom"/>
          </w:tcPr>
          <w:p w14:paraId="6BCA873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6.59 </w:t>
            </w:r>
          </w:p>
        </w:tc>
        <w:tc>
          <w:tcPr>
            <w:tcW w:w="747" w:type="dxa"/>
            <w:noWrap w:val="0"/>
            <w:vAlign w:val="bottom"/>
          </w:tcPr>
          <w:p w14:paraId="08A4FA7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7.39 </w:t>
            </w:r>
          </w:p>
        </w:tc>
        <w:tc>
          <w:tcPr>
            <w:tcW w:w="661" w:type="dxa"/>
            <w:noWrap w:val="0"/>
            <w:vAlign w:val="bottom"/>
          </w:tcPr>
          <w:p w14:paraId="6012E94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3.23 </w:t>
            </w:r>
          </w:p>
        </w:tc>
        <w:tc>
          <w:tcPr>
            <w:tcW w:w="767" w:type="dxa"/>
            <w:noWrap w:val="0"/>
            <w:vAlign w:val="bottom"/>
          </w:tcPr>
          <w:p w14:paraId="41FCCBF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2.02 </w:t>
            </w:r>
          </w:p>
        </w:tc>
        <w:tc>
          <w:tcPr>
            <w:tcW w:w="786" w:type="dxa"/>
            <w:noWrap w:val="0"/>
            <w:vAlign w:val="bottom"/>
          </w:tcPr>
          <w:p w14:paraId="0388166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1.75 </w:t>
            </w:r>
          </w:p>
        </w:tc>
        <w:tc>
          <w:tcPr>
            <w:tcW w:w="747" w:type="dxa"/>
            <w:noWrap w:val="0"/>
            <w:vAlign w:val="bottom"/>
          </w:tcPr>
          <w:p w14:paraId="16FBEAA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3.36 </w:t>
            </w:r>
          </w:p>
        </w:tc>
        <w:tc>
          <w:tcPr>
            <w:tcW w:w="747" w:type="dxa"/>
            <w:noWrap w:val="0"/>
            <w:vAlign w:val="bottom"/>
          </w:tcPr>
          <w:p w14:paraId="26F3FCC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5.65 </w:t>
            </w:r>
          </w:p>
        </w:tc>
        <w:tc>
          <w:tcPr>
            <w:tcW w:w="786" w:type="dxa"/>
            <w:noWrap w:val="0"/>
            <w:vAlign w:val="bottom"/>
          </w:tcPr>
          <w:p w14:paraId="56570AC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18.01 </w:t>
            </w:r>
          </w:p>
        </w:tc>
        <w:tc>
          <w:tcPr>
            <w:tcW w:w="747" w:type="dxa"/>
            <w:noWrap w:val="0"/>
            <w:vAlign w:val="bottom"/>
          </w:tcPr>
          <w:p w14:paraId="7938C2F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14.92 </w:t>
            </w:r>
          </w:p>
        </w:tc>
        <w:tc>
          <w:tcPr>
            <w:tcW w:w="786" w:type="dxa"/>
            <w:noWrap w:val="0"/>
            <w:vAlign w:val="bottom"/>
          </w:tcPr>
          <w:p w14:paraId="1A57178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10.35 </w:t>
            </w:r>
          </w:p>
        </w:tc>
        <w:tc>
          <w:tcPr>
            <w:tcW w:w="808" w:type="dxa"/>
            <w:noWrap w:val="0"/>
            <w:vAlign w:val="bottom"/>
          </w:tcPr>
          <w:p w14:paraId="3E16545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7.26 </w:t>
            </w:r>
          </w:p>
        </w:tc>
        <w:tc>
          <w:tcPr>
            <w:tcW w:w="778" w:type="dxa"/>
            <w:noWrap w:val="0"/>
            <w:vAlign w:val="bottom"/>
          </w:tcPr>
          <w:p w14:paraId="7857757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3.09 </w:t>
            </w:r>
          </w:p>
        </w:tc>
        <w:tc>
          <w:tcPr>
            <w:tcW w:w="859" w:type="dxa"/>
            <w:noWrap w:val="0"/>
            <w:vAlign w:val="bottom"/>
          </w:tcPr>
          <w:p w14:paraId="1C656D0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2.82 </w:t>
            </w:r>
          </w:p>
        </w:tc>
        <w:tc>
          <w:tcPr>
            <w:tcW w:w="613" w:type="dxa"/>
            <w:noWrap w:val="0"/>
            <w:vAlign w:val="bottom"/>
          </w:tcPr>
          <w:p w14:paraId="72FF129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4.70 </w:t>
            </w:r>
          </w:p>
        </w:tc>
        <w:tc>
          <w:tcPr>
            <w:tcW w:w="795" w:type="dxa"/>
            <w:noWrap w:val="0"/>
            <w:vAlign w:val="bottom"/>
          </w:tcPr>
          <w:p w14:paraId="008FD01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2.96 </w:t>
            </w:r>
          </w:p>
        </w:tc>
        <w:tc>
          <w:tcPr>
            <w:tcW w:w="605" w:type="dxa"/>
            <w:noWrap w:val="0"/>
            <w:vAlign w:val="bottom"/>
          </w:tcPr>
          <w:p w14:paraId="5AA0C73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0.67 </w:t>
            </w:r>
          </w:p>
        </w:tc>
      </w:tr>
      <w:tr w14:paraId="22A235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10404D7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8月</w:t>
            </w:r>
          </w:p>
        </w:tc>
        <w:tc>
          <w:tcPr>
            <w:tcW w:w="605" w:type="dxa"/>
            <w:noWrap w:val="0"/>
            <w:vAlign w:val="bottom"/>
          </w:tcPr>
          <w:p w14:paraId="430C00B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6.32 </w:t>
            </w:r>
          </w:p>
        </w:tc>
        <w:tc>
          <w:tcPr>
            <w:tcW w:w="747" w:type="dxa"/>
            <w:noWrap w:val="0"/>
            <w:vAlign w:val="bottom"/>
          </w:tcPr>
          <w:p w14:paraId="292EFBE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8.06 </w:t>
            </w:r>
          </w:p>
        </w:tc>
        <w:tc>
          <w:tcPr>
            <w:tcW w:w="747" w:type="dxa"/>
            <w:noWrap w:val="0"/>
            <w:vAlign w:val="bottom"/>
          </w:tcPr>
          <w:p w14:paraId="41EEBBE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9.27 </w:t>
            </w:r>
          </w:p>
        </w:tc>
        <w:tc>
          <w:tcPr>
            <w:tcW w:w="661" w:type="dxa"/>
            <w:noWrap w:val="0"/>
            <w:vAlign w:val="bottom"/>
          </w:tcPr>
          <w:p w14:paraId="213EC8D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1.21 </w:t>
            </w:r>
          </w:p>
        </w:tc>
        <w:tc>
          <w:tcPr>
            <w:tcW w:w="767" w:type="dxa"/>
            <w:noWrap w:val="0"/>
            <w:vAlign w:val="bottom"/>
          </w:tcPr>
          <w:p w14:paraId="520382F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0.94 </w:t>
            </w:r>
          </w:p>
        </w:tc>
        <w:tc>
          <w:tcPr>
            <w:tcW w:w="786" w:type="dxa"/>
            <w:noWrap w:val="0"/>
            <w:vAlign w:val="bottom"/>
          </w:tcPr>
          <w:p w14:paraId="37CEA2C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2.55 </w:t>
            </w:r>
          </w:p>
        </w:tc>
        <w:tc>
          <w:tcPr>
            <w:tcW w:w="747" w:type="dxa"/>
            <w:noWrap w:val="0"/>
            <w:vAlign w:val="bottom"/>
          </w:tcPr>
          <w:p w14:paraId="3F8C8AE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2.55 </w:t>
            </w:r>
          </w:p>
        </w:tc>
        <w:tc>
          <w:tcPr>
            <w:tcW w:w="747" w:type="dxa"/>
            <w:noWrap w:val="0"/>
            <w:vAlign w:val="bottom"/>
          </w:tcPr>
          <w:p w14:paraId="392E6B6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4.57 </w:t>
            </w:r>
          </w:p>
        </w:tc>
        <w:tc>
          <w:tcPr>
            <w:tcW w:w="786" w:type="dxa"/>
            <w:noWrap w:val="0"/>
            <w:vAlign w:val="bottom"/>
          </w:tcPr>
          <w:p w14:paraId="2EF351F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12.23 </w:t>
            </w:r>
          </w:p>
        </w:tc>
        <w:tc>
          <w:tcPr>
            <w:tcW w:w="747" w:type="dxa"/>
            <w:noWrap w:val="0"/>
            <w:vAlign w:val="bottom"/>
          </w:tcPr>
          <w:p w14:paraId="187B9C2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13.58 </w:t>
            </w:r>
          </w:p>
        </w:tc>
        <w:tc>
          <w:tcPr>
            <w:tcW w:w="786" w:type="dxa"/>
            <w:noWrap w:val="0"/>
            <w:vAlign w:val="bottom"/>
          </w:tcPr>
          <w:p w14:paraId="0515A71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8.87 </w:t>
            </w:r>
          </w:p>
        </w:tc>
        <w:tc>
          <w:tcPr>
            <w:tcW w:w="808" w:type="dxa"/>
            <w:noWrap w:val="0"/>
            <w:vAlign w:val="bottom"/>
          </w:tcPr>
          <w:p w14:paraId="3009547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10.62 </w:t>
            </w:r>
          </w:p>
        </w:tc>
        <w:tc>
          <w:tcPr>
            <w:tcW w:w="778" w:type="dxa"/>
            <w:noWrap w:val="0"/>
            <w:vAlign w:val="bottom"/>
          </w:tcPr>
          <w:p w14:paraId="34C21F6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4.70 </w:t>
            </w:r>
          </w:p>
        </w:tc>
        <w:tc>
          <w:tcPr>
            <w:tcW w:w="859" w:type="dxa"/>
            <w:noWrap w:val="0"/>
            <w:vAlign w:val="bottom"/>
          </w:tcPr>
          <w:p w14:paraId="7308EC1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3.49 </w:t>
            </w:r>
          </w:p>
        </w:tc>
        <w:tc>
          <w:tcPr>
            <w:tcW w:w="613" w:type="dxa"/>
            <w:noWrap w:val="0"/>
            <w:vAlign w:val="bottom"/>
          </w:tcPr>
          <w:p w14:paraId="176DA2F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5.24 </w:t>
            </w:r>
          </w:p>
        </w:tc>
        <w:tc>
          <w:tcPr>
            <w:tcW w:w="795" w:type="dxa"/>
            <w:noWrap w:val="0"/>
            <w:vAlign w:val="bottom"/>
          </w:tcPr>
          <w:p w14:paraId="452E7A7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4.17 </w:t>
            </w:r>
          </w:p>
        </w:tc>
        <w:tc>
          <w:tcPr>
            <w:tcW w:w="605" w:type="dxa"/>
            <w:noWrap w:val="0"/>
            <w:vAlign w:val="bottom"/>
          </w:tcPr>
          <w:p w14:paraId="6B36218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1.61 </w:t>
            </w:r>
          </w:p>
        </w:tc>
      </w:tr>
      <w:tr w14:paraId="523F13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5A70D21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9月</w:t>
            </w:r>
          </w:p>
        </w:tc>
        <w:tc>
          <w:tcPr>
            <w:tcW w:w="605" w:type="dxa"/>
            <w:noWrap w:val="0"/>
            <w:vAlign w:val="bottom"/>
          </w:tcPr>
          <w:p w14:paraId="1223678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2.64 </w:t>
            </w:r>
          </w:p>
        </w:tc>
        <w:tc>
          <w:tcPr>
            <w:tcW w:w="747" w:type="dxa"/>
            <w:noWrap w:val="0"/>
            <w:vAlign w:val="bottom"/>
          </w:tcPr>
          <w:p w14:paraId="6E17608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2.50 </w:t>
            </w:r>
          </w:p>
        </w:tc>
        <w:tc>
          <w:tcPr>
            <w:tcW w:w="747" w:type="dxa"/>
            <w:noWrap w:val="0"/>
            <w:vAlign w:val="bottom"/>
          </w:tcPr>
          <w:p w14:paraId="52A32E5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1.67 </w:t>
            </w:r>
          </w:p>
        </w:tc>
        <w:tc>
          <w:tcPr>
            <w:tcW w:w="661" w:type="dxa"/>
            <w:noWrap w:val="0"/>
            <w:vAlign w:val="bottom"/>
          </w:tcPr>
          <w:p w14:paraId="0C53EB7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0.97 </w:t>
            </w:r>
          </w:p>
        </w:tc>
        <w:tc>
          <w:tcPr>
            <w:tcW w:w="767" w:type="dxa"/>
            <w:noWrap w:val="0"/>
            <w:vAlign w:val="bottom"/>
          </w:tcPr>
          <w:p w14:paraId="5AF5F0B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0.42 </w:t>
            </w:r>
          </w:p>
        </w:tc>
        <w:tc>
          <w:tcPr>
            <w:tcW w:w="786" w:type="dxa"/>
            <w:noWrap w:val="0"/>
            <w:vAlign w:val="bottom"/>
          </w:tcPr>
          <w:p w14:paraId="2482A53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0.83 </w:t>
            </w:r>
          </w:p>
        </w:tc>
        <w:tc>
          <w:tcPr>
            <w:tcW w:w="747" w:type="dxa"/>
            <w:noWrap w:val="0"/>
            <w:vAlign w:val="bottom"/>
          </w:tcPr>
          <w:p w14:paraId="0F478AE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1.11 </w:t>
            </w:r>
          </w:p>
        </w:tc>
        <w:tc>
          <w:tcPr>
            <w:tcW w:w="747" w:type="dxa"/>
            <w:noWrap w:val="0"/>
            <w:vAlign w:val="bottom"/>
          </w:tcPr>
          <w:p w14:paraId="55F2E8F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5.83 </w:t>
            </w:r>
          </w:p>
        </w:tc>
        <w:tc>
          <w:tcPr>
            <w:tcW w:w="786" w:type="dxa"/>
            <w:noWrap w:val="0"/>
            <w:vAlign w:val="bottom"/>
          </w:tcPr>
          <w:p w14:paraId="5226577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19.03 </w:t>
            </w:r>
          </w:p>
        </w:tc>
        <w:tc>
          <w:tcPr>
            <w:tcW w:w="747" w:type="dxa"/>
            <w:noWrap w:val="0"/>
            <w:vAlign w:val="bottom"/>
          </w:tcPr>
          <w:p w14:paraId="2BE89EB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17.78 </w:t>
            </w:r>
          </w:p>
        </w:tc>
        <w:tc>
          <w:tcPr>
            <w:tcW w:w="786" w:type="dxa"/>
            <w:noWrap w:val="0"/>
            <w:vAlign w:val="bottom"/>
          </w:tcPr>
          <w:p w14:paraId="6D950F1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16.81 </w:t>
            </w:r>
          </w:p>
        </w:tc>
        <w:tc>
          <w:tcPr>
            <w:tcW w:w="808" w:type="dxa"/>
            <w:noWrap w:val="0"/>
            <w:vAlign w:val="bottom"/>
          </w:tcPr>
          <w:p w14:paraId="5381919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16.81 </w:t>
            </w:r>
          </w:p>
        </w:tc>
        <w:tc>
          <w:tcPr>
            <w:tcW w:w="778" w:type="dxa"/>
            <w:noWrap w:val="0"/>
            <w:vAlign w:val="bottom"/>
          </w:tcPr>
          <w:p w14:paraId="3582856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5.14 </w:t>
            </w:r>
          </w:p>
        </w:tc>
        <w:tc>
          <w:tcPr>
            <w:tcW w:w="859" w:type="dxa"/>
            <w:noWrap w:val="0"/>
            <w:vAlign w:val="bottom"/>
          </w:tcPr>
          <w:p w14:paraId="7F6DC2E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3.33 </w:t>
            </w:r>
          </w:p>
        </w:tc>
        <w:tc>
          <w:tcPr>
            <w:tcW w:w="613" w:type="dxa"/>
            <w:noWrap w:val="0"/>
            <w:vAlign w:val="bottom"/>
          </w:tcPr>
          <w:p w14:paraId="2E94CEB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2.64 </w:t>
            </w:r>
          </w:p>
        </w:tc>
        <w:tc>
          <w:tcPr>
            <w:tcW w:w="795" w:type="dxa"/>
            <w:noWrap w:val="0"/>
            <w:vAlign w:val="bottom"/>
          </w:tcPr>
          <w:p w14:paraId="0582C8F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2.36 </w:t>
            </w:r>
          </w:p>
        </w:tc>
        <w:tc>
          <w:tcPr>
            <w:tcW w:w="605" w:type="dxa"/>
            <w:noWrap w:val="0"/>
            <w:vAlign w:val="bottom"/>
          </w:tcPr>
          <w:p w14:paraId="3FF04D5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0.14 </w:t>
            </w:r>
          </w:p>
        </w:tc>
      </w:tr>
      <w:tr w14:paraId="0DA97F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0FEAD87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10月</w:t>
            </w:r>
          </w:p>
        </w:tc>
        <w:tc>
          <w:tcPr>
            <w:tcW w:w="605" w:type="dxa"/>
            <w:noWrap w:val="0"/>
            <w:vAlign w:val="bottom"/>
          </w:tcPr>
          <w:p w14:paraId="5477EAC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2.82 </w:t>
            </w:r>
          </w:p>
        </w:tc>
        <w:tc>
          <w:tcPr>
            <w:tcW w:w="747" w:type="dxa"/>
            <w:noWrap w:val="0"/>
            <w:vAlign w:val="bottom"/>
          </w:tcPr>
          <w:p w14:paraId="445796D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2.42 </w:t>
            </w:r>
          </w:p>
        </w:tc>
        <w:tc>
          <w:tcPr>
            <w:tcW w:w="747" w:type="dxa"/>
            <w:noWrap w:val="0"/>
            <w:vAlign w:val="bottom"/>
          </w:tcPr>
          <w:p w14:paraId="1FB4244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1.08 </w:t>
            </w:r>
          </w:p>
        </w:tc>
        <w:tc>
          <w:tcPr>
            <w:tcW w:w="661" w:type="dxa"/>
            <w:noWrap w:val="0"/>
            <w:vAlign w:val="bottom"/>
          </w:tcPr>
          <w:p w14:paraId="4AEDFFA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0.27 </w:t>
            </w:r>
          </w:p>
        </w:tc>
        <w:tc>
          <w:tcPr>
            <w:tcW w:w="767" w:type="dxa"/>
            <w:noWrap w:val="0"/>
            <w:vAlign w:val="bottom"/>
          </w:tcPr>
          <w:p w14:paraId="2BC37DA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1.34 </w:t>
            </w:r>
          </w:p>
        </w:tc>
        <w:tc>
          <w:tcPr>
            <w:tcW w:w="786" w:type="dxa"/>
            <w:noWrap w:val="0"/>
            <w:vAlign w:val="bottom"/>
          </w:tcPr>
          <w:p w14:paraId="72AAB57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0.67 </w:t>
            </w:r>
          </w:p>
        </w:tc>
        <w:tc>
          <w:tcPr>
            <w:tcW w:w="747" w:type="dxa"/>
            <w:noWrap w:val="0"/>
            <w:vAlign w:val="bottom"/>
          </w:tcPr>
          <w:p w14:paraId="7BE405F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1.08 </w:t>
            </w:r>
          </w:p>
        </w:tc>
        <w:tc>
          <w:tcPr>
            <w:tcW w:w="747" w:type="dxa"/>
            <w:noWrap w:val="0"/>
            <w:vAlign w:val="bottom"/>
          </w:tcPr>
          <w:p w14:paraId="10CBB1E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5.51 </w:t>
            </w:r>
          </w:p>
        </w:tc>
        <w:tc>
          <w:tcPr>
            <w:tcW w:w="786" w:type="dxa"/>
            <w:noWrap w:val="0"/>
            <w:vAlign w:val="bottom"/>
          </w:tcPr>
          <w:p w14:paraId="60F7F87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19.22 </w:t>
            </w:r>
          </w:p>
        </w:tc>
        <w:tc>
          <w:tcPr>
            <w:tcW w:w="747" w:type="dxa"/>
            <w:noWrap w:val="0"/>
            <w:vAlign w:val="bottom"/>
          </w:tcPr>
          <w:p w14:paraId="663A57A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17.07 </w:t>
            </w:r>
          </w:p>
        </w:tc>
        <w:tc>
          <w:tcPr>
            <w:tcW w:w="786" w:type="dxa"/>
            <w:noWrap w:val="0"/>
            <w:vAlign w:val="bottom"/>
          </w:tcPr>
          <w:p w14:paraId="739DE0D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17.20 </w:t>
            </w:r>
          </w:p>
        </w:tc>
        <w:tc>
          <w:tcPr>
            <w:tcW w:w="808" w:type="dxa"/>
            <w:noWrap w:val="0"/>
            <w:vAlign w:val="bottom"/>
          </w:tcPr>
          <w:p w14:paraId="22835E0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13.58 </w:t>
            </w:r>
          </w:p>
        </w:tc>
        <w:tc>
          <w:tcPr>
            <w:tcW w:w="778" w:type="dxa"/>
            <w:noWrap w:val="0"/>
            <w:vAlign w:val="bottom"/>
          </w:tcPr>
          <w:p w14:paraId="596C1B9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7.26 </w:t>
            </w:r>
          </w:p>
        </w:tc>
        <w:tc>
          <w:tcPr>
            <w:tcW w:w="859" w:type="dxa"/>
            <w:noWrap w:val="0"/>
            <w:vAlign w:val="bottom"/>
          </w:tcPr>
          <w:p w14:paraId="19E501E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4.17 </w:t>
            </w:r>
          </w:p>
        </w:tc>
        <w:tc>
          <w:tcPr>
            <w:tcW w:w="613" w:type="dxa"/>
            <w:noWrap w:val="0"/>
            <w:vAlign w:val="bottom"/>
          </w:tcPr>
          <w:p w14:paraId="252B9FD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3.63 </w:t>
            </w:r>
          </w:p>
        </w:tc>
        <w:tc>
          <w:tcPr>
            <w:tcW w:w="795" w:type="dxa"/>
            <w:noWrap w:val="0"/>
            <w:vAlign w:val="bottom"/>
          </w:tcPr>
          <w:p w14:paraId="643A0A7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2.55 </w:t>
            </w:r>
          </w:p>
        </w:tc>
        <w:tc>
          <w:tcPr>
            <w:tcW w:w="605" w:type="dxa"/>
            <w:noWrap w:val="0"/>
            <w:vAlign w:val="bottom"/>
          </w:tcPr>
          <w:p w14:paraId="10DFD5F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0.13 </w:t>
            </w:r>
          </w:p>
        </w:tc>
      </w:tr>
      <w:tr w14:paraId="363751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4913858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11月</w:t>
            </w:r>
          </w:p>
        </w:tc>
        <w:tc>
          <w:tcPr>
            <w:tcW w:w="605" w:type="dxa"/>
            <w:noWrap w:val="0"/>
            <w:vAlign w:val="bottom"/>
          </w:tcPr>
          <w:p w14:paraId="64C7E33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3.89 </w:t>
            </w:r>
          </w:p>
        </w:tc>
        <w:tc>
          <w:tcPr>
            <w:tcW w:w="747" w:type="dxa"/>
            <w:noWrap w:val="0"/>
            <w:vAlign w:val="bottom"/>
          </w:tcPr>
          <w:p w14:paraId="3040863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1.94 </w:t>
            </w:r>
          </w:p>
        </w:tc>
        <w:tc>
          <w:tcPr>
            <w:tcW w:w="747" w:type="dxa"/>
            <w:noWrap w:val="0"/>
            <w:vAlign w:val="bottom"/>
          </w:tcPr>
          <w:p w14:paraId="5A780A2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5.14 </w:t>
            </w:r>
          </w:p>
        </w:tc>
        <w:tc>
          <w:tcPr>
            <w:tcW w:w="661" w:type="dxa"/>
            <w:noWrap w:val="0"/>
            <w:vAlign w:val="bottom"/>
          </w:tcPr>
          <w:p w14:paraId="2DBC8017">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1.81 </w:t>
            </w:r>
          </w:p>
        </w:tc>
        <w:tc>
          <w:tcPr>
            <w:tcW w:w="767" w:type="dxa"/>
            <w:noWrap w:val="0"/>
            <w:vAlign w:val="bottom"/>
          </w:tcPr>
          <w:p w14:paraId="59A018B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0.69 </w:t>
            </w:r>
          </w:p>
        </w:tc>
        <w:tc>
          <w:tcPr>
            <w:tcW w:w="786" w:type="dxa"/>
            <w:noWrap w:val="0"/>
            <w:vAlign w:val="bottom"/>
          </w:tcPr>
          <w:p w14:paraId="43F9FD8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2.92 </w:t>
            </w:r>
          </w:p>
        </w:tc>
        <w:tc>
          <w:tcPr>
            <w:tcW w:w="747" w:type="dxa"/>
            <w:noWrap w:val="0"/>
            <w:vAlign w:val="bottom"/>
          </w:tcPr>
          <w:p w14:paraId="6D120CE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3.47 </w:t>
            </w:r>
          </w:p>
        </w:tc>
        <w:tc>
          <w:tcPr>
            <w:tcW w:w="747" w:type="dxa"/>
            <w:noWrap w:val="0"/>
            <w:vAlign w:val="bottom"/>
          </w:tcPr>
          <w:p w14:paraId="56DDEF5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2.50 </w:t>
            </w:r>
          </w:p>
        </w:tc>
        <w:tc>
          <w:tcPr>
            <w:tcW w:w="786" w:type="dxa"/>
            <w:noWrap w:val="0"/>
            <w:vAlign w:val="bottom"/>
          </w:tcPr>
          <w:p w14:paraId="5E20B9D5">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10.42 </w:t>
            </w:r>
          </w:p>
        </w:tc>
        <w:tc>
          <w:tcPr>
            <w:tcW w:w="747" w:type="dxa"/>
            <w:noWrap w:val="0"/>
            <w:vAlign w:val="bottom"/>
          </w:tcPr>
          <w:p w14:paraId="4C29157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14.17 </w:t>
            </w:r>
          </w:p>
        </w:tc>
        <w:tc>
          <w:tcPr>
            <w:tcW w:w="786" w:type="dxa"/>
            <w:noWrap w:val="0"/>
            <w:vAlign w:val="bottom"/>
          </w:tcPr>
          <w:p w14:paraId="164C53A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17.50 </w:t>
            </w:r>
          </w:p>
        </w:tc>
        <w:tc>
          <w:tcPr>
            <w:tcW w:w="808" w:type="dxa"/>
            <w:noWrap w:val="0"/>
            <w:vAlign w:val="bottom"/>
          </w:tcPr>
          <w:p w14:paraId="2279D0B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8.47 </w:t>
            </w:r>
          </w:p>
        </w:tc>
        <w:tc>
          <w:tcPr>
            <w:tcW w:w="778" w:type="dxa"/>
            <w:noWrap w:val="0"/>
            <w:vAlign w:val="bottom"/>
          </w:tcPr>
          <w:p w14:paraId="36946BE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6.67 </w:t>
            </w:r>
          </w:p>
        </w:tc>
        <w:tc>
          <w:tcPr>
            <w:tcW w:w="859" w:type="dxa"/>
            <w:noWrap w:val="0"/>
            <w:vAlign w:val="bottom"/>
          </w:tcPr>
          <w:p w14:paraId="04569FC1">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9.03 </w:t>
            </w:r>
          </w:p>
        </w:tc>
        <w:tc>
          <w:tcPr>
            <w:tcW w:w="613" w:type="dxa"/>
            <w:noWrap w:val="0"/>
            <w:vAlign w:val="bottom"/>
          </w:tcPr>
          <w:p w14:paraId="6B416CAC">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6.39 </w:t>
            </w:r>
          </w:p>
        </w:tc>
        <w:tc>
          <w:tcPr>
            <w:tcW w:w="795" w:type="dxa"/>
            <w:noWrap w:val="0"/>
            <w:vAlign w:val="bottom"/>
          </w:tcPr>
          <w:p w14:paraId="2665ACA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4.58 </w:t>
            </w:r>
          </w:p>
        </w:tc>
        <w:tc>
          <w:tcPr>
            <w:tcW w:w="605" w:type="dxa"/>
            <w:noWrap w:val="0"/>
            <w:vAlign w:val="bottom"/>
          </w:tcPr>
          <w:p w14:paraId="7CA1F6F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0.42 </w:t>
            </w:r>
          </w:p>
        </w:tc>
      </w:tr>
      <w:tr w14:paraId="55F4A6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6" w:type="pct"/>
            <w:noWrap w:val="0"/>
            <w:vAlign w:val="center"/>
          </w:tcPr>
          <w:p w14:paraId="2A859F83">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zh-CN" w:eastAsia="zh-CN"/>
              </w:rPr>
              <w:t>12月</w:t>
            </w:r>
          </w:p>
        </w:tc>
        <w:tc>
          <w:tcPr>
            <w:tcW w:w="605" w:type="dxa"/>
            <w:noWrap w:val="0"/>
            <w:vAlign w:val="bottom"/>
          </w:tcPr>
          <w:p w14:paraId="6C4CE5E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1.21 </w:t>
            </w:r>
          </w:p>
        </w:tc>
        <w:tc>
          <w:tcPr>
            <w:tcW w:w="747" w:type="dxa"/>
            <w:noWrap w:val="0"/>
            <w:vAlign w:val="bottom"/>
          </w:tcPr>
          <w:p w14:paraId="7D8CDF49">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0.54 </w:t>
            </w:r>
          </w:p>
        </w:tc>
        <w:tc>
          <w:tcPr>
            <w:tcW w:w="747" w:type="dxa"/>
            <w:noWrap w:val="0"/>
            <w:vAlign w:val="bottom"/>
          </w:tcPr>
          <w:p w14:paraId="235D6D78">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1.34 </w:t>
            </w:r>
          </w:p>
        </w:tc>
        <w:tc>
          <w:tcPr>
            <w:tcW w:w="661" w:type="dxa"/>
            <w:noWrap w:val="0"/>
            <w:vAlign w:val="bottom"/>
          </w:tcPr>
          <w:p w14:paraId="2BFF1ED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0.00 </w:t>
            </w:r>
          </w:p>
        </w:tc>
        <w:tc>
          <w:tcPr>
            <w:tcW w:w="767" w:type="dxa"/>
            <w:noWrap w:val="0"/>
            <w:vAlign w:val="bottom"/>
          </w:tcPr>
          <w:p w14:paraId="6279BF7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0.27 </w:t>
            </w:r>
          </w:p>
        </w:tc>
        <w:tc>
          <w:tcPr>
            <w:tcW w:w="786" w:type="dxa"/>
            <w:noWrap w:val="0"/>
            <w:vAlign w:val="bottom"/>
          </w:tcPr>
          <w:p w14:paraId="294C8ADF">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0.54 </w:t>
            </w:r>
          </w:p>
        </w:tc>
        <w:tc>
          <w:tcPr>
            <w:tcW w:w="747" w:type="dxa"/>
            <w:noWrap w:val="0"/>
            <w:vAlign w:val="bottom"/>
          </w:tcPr>
          <w:p w14:paraId="7927BAC0">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1.08 </w:t>
            </w:r>
          </w:p>
        </w:tc>
        <w:tc>
          <w:tcPr>
            <w:tcW w:w="747" w:type="dxa"/>
            <w:noWrap w:val="0"/>
            <w:vAlign w:val="bottom"/>
          </w:tcPr>
          <w:p w14:paraId="779C9A42">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3.36 </w:t>
            </w:r>
          </w:p>
        </w:tc>
        <w:tc>
          <w:tcPr>
            <w:tcW w:w="786" w:type="dxa"/>
            <w:noWrap w:val="0"/>
            <w:vAlign w:val="bottom"/>
          </w:tcPr>
          <w:p w14:paraId="1FFB66A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18.28 </w:t>
            </w:r>
          </w:p>
        </w:tc>
        <w:tc>
          <w:tcPr>
            <w:tcW w:w="747" w:type="dxa"/>
            <w:noWrap w:val="0"/>
            <w:vAlign w:val="bottom"/>
          </w:tcPr>
          <w:p w14:paraId="5FD3879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11.56 </w:t>
            </w:r>
          </w:p>
        </w:tc>
        <w:tc>
          <w:tcPr>
            <w:tcW w:w="786" w:type="dxa"/>
            <w:noWrap w:val="0"/>
            <w:vAlign w:val="bottom"/>
          </w:tcPr>
          <w:p w14:paraId="5575A71D">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15.99 </w:t>
            </w:r>
          </w:p>
        </w:tc>
        <w:tc>
          <w:tcPr>
            <w:tcW w:w="808" w:type="dxa"/>
            <w:noWrap w:val="0"/>
            <w:vAlign w:val="bottom"/>
          </w:tcPr>
          <w:p w14:paraId="72770E2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19.89 </w:t>
            </w:r>
          </w:p>
        </w:tc>
        <w:tc>
          <w:tcPr>
            <w:tcW w:w="778" w:type="dxa"/>
            <w:noWrap w:val="0"/>
            <w:vAlign w:val="bottom"/>
          </w:tcPr>
          <w:p w14:paraId="0F2D3696">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15.05 </w:t>
            </w:r>
          </w:p>
        </w:tc>
        <w:tc>
          <w:tcPr>
            <w:tcW w:w="859" w:type="dxa"/>
            <w:noWrap w:val="0"/>
            <w:vAlign w:val="bottom"/>
          </w:tcPr>
          <w:p w14:paraId="26830DCE">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6.18 </w:t>
            </w:r>
          </w:p>
        </w:tc>
        <w:tc>
          <w:tcPr>
            <w:tcW w:w="613" w:type="dxa"/>
            <w:noWrap w:val="0"/>
            <w:vAlign w:val="bottom"/>
          </w:tcPr>
          <w:p w14:paraId="25B57C84">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2.96 </w:t>
            </w:r>
          </w:p>
        </w:tc>
        <w:tc>
          <w:tcPr>
            <w:tcW w:w="795" w:type="dxa"/>
            <w:noWrap w:val="0"/>
            <w:vAlign w:val="bottom"/>
          </w:tcPr>
          <w:p w14:paraId="02E9BA6A">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1.48 </w:t>
            </w:r>
          </w:p>
        </w:tc>
        <w:tc>
          <w:tcPr>
            <w:tcW w:w="605" w:type="dxa"/>
            <w:noWrap w:val="0"/>
            <w:vAlign w:val="bottom"/>
          </w:tcPr>
          <w:p w14:paraId="22060CDB">
            <w:pPr>
              <w:pStyle w:val="73"/>
              <w:bidi w:val="0"/>
              <w:rPr>
                <w:rFonts w:hint="default" w:ascii="Times New Roman" w:hAnsi="Times New Roman" w:cs="Times New Roman"/>
                <w:snapToGrid w:val="0"/>
                <w:color w:val="auto"/>
                <w:highlight w:val="none"/>
                <w:lang w:val="zh-CN" w:eastAsia="zh-CN"/>
              </w:rPr>
            </w:pPr>
            <w:r>
              <w:rPr>
                <w:rFonts w:hint="default" w:ascii="Times New Roman" w:hAnsi="Times New Roman" w:cs="Times New Roman"/>
                <w:snapToGrid w:val="0"/>
                <w:color w:val="auto"/>
                <w:highlight w:val="none"/>
                <w:lang w:val="en-US" w:eastAsia="zh-CN"/>
              </w:rPr>
              <w:t xml:space="preserve">0.27 </w:t>
            </w:r>
          </w:p>
        </w:tc>
      </w:tr>
    </w:tbl>
    <w:p w14:paraId="34D7A9DD">
      <w:pPr>
        <w:keepNext w:val="0"/>
        <w:keepLines w:val="0"/>
        <w:pageBreakBefore w:val="0"/>
        <w:widowControl w:val="0"/>
        <w:kinsoku/>
        <w:wordWrap/>
        <w:overflowPunct/>
        <w:topLinePunct w:val="0"/>
        <w:autoSpaceDE/>
        <w:autoSpaceDN/>
        <w:bidi w:val="0"/>
        <w:adjustRightInd/>
        <w:snapToGrid/>
        <w:spacing w:before="164" w:beforeLines="50" w:after="164" w:afterLines="50" w:line="240" w:lineRule="auto"/>
        <w:ind w:firstLine="0" w:firstLineChars="0"/>
        <w:jc w:val="center"/>
        <w:textAlignment w:val="auto"/>
        <w:rPr>
          <w:rFonts w:hint="default" w:cs="Times New Roman"/>
          <w:b/>
          <w:color w:val="auto"/>
          <w:szCs w:val="24"/>
          <w:highlight w:val="none"/>
          <w:lang w:val="zh-CN" w:eastAsia="zh-CN"/>
        </w:rPr>
      </w:pPr>
      <w:r>
        <w:rPr>
          <w:rFonts w:hint="default" w:cs="Times New Roman"/>
          <w:b/>
          <w:color w:val="auto"/>
          <w:szCs w:val="24"/>
          <w:highlight w:val="none"/>
          <w:lang w:val="zh-CN" w:eastAsia="zh-CN"/>
        </w:rPr>
        <w:t>表4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-7  </w:t>
      </w:r>
      <w:r>
        <w:rPr>
          <w:rFonts w:hint="default" w:cs="Times New Roman"/>
          <w:b/>
          <w:color w:val="auto"/>
          <w:szCs w:val="24"/>
          <w:highlight w:val="none"/>
          <w:lang w:val="zh-CN" w:eastAsia="zh-CN"/>
        </w:rPr>
        <w:t>双鸭山市2024年均风频的季变化及年均风频</w:t>
      </w:r>
    </w:p>
    <w:tbl>
      <w:tblPr>
        <w:tblStyle w:val="47"/>
        <w:tblW w:w="523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30" w:type="dxa"/>
          <w:bottom w:w="0" w:type="dxa"/>
          <w:right w:w="30" w:type="dxa"/>
        </w:tblCellMar>
      </w:tblPr>
      <w:tblGrid>
        <w:gridCol w:w="1511"/>
        <w:gridCol w:w="739"/>
        <w:gridCol w:w="717"/>
        <w:gridCol w:w="642"/>
        <w:gridCol w:w="672"/>
        <w:gridCol w:w="647"/>
        <w:gridCol w:w="795"/>
        <w:gridCol w:w="642"/>
        <w:gridCol w:w="642"/>
        <w:gridCol w:w="739"/>
        <w:gridCol w:w="739"/>
        <w:gridCol w:w="803"/>
        <w:gridCol w:w="837"/>
        <w:gridCol w:w="803"/>
        <w:gridCol w:w="890"/>
        <w:gridCol w:w="644"/>
        <w:gridCol w:w="820"/>
        <w:gridCol w:w="644"/>
      </w:tblGrid>
      <w:tr w14:paraId="111EA0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0" w:type="dxa"/>
            <w:bottom w:w="0" w:type="dxa"/>
            <w:right w:w="30" w:type="dxa"/>
          </w:tblCellMar>
        </w:tblPrEx>
        <w:trPr>
          <w:trHeight w:val="397" w:hRule="atLeast"/>
          <w:jc w:val="center"/>
        </w:trPr>
        <w:tc>
          <w:tcPr>
            <w:tcW w:w="542" w:type="pct"/>
            <w:tcBorders>
              <w:top w:val="single" w:color="auto" w:sz="12" w:space="0"/>
              <w:left w:val="nil"/>
              <w:bottom w:val="single" w:color="auto" w:sz="4" w:space="0"/>
              <w:right w:val="single" w:color="auto" w:sz="4" w:space="0"/>
            </w:tcBorders>
            <w:noWrap w:val="0"/>
            <w:vAlign w:val="center"/>
          </w:tcPr>
          <w:p w14:paraId="3510940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风向频率%</w:t>
            </w:r>
          </w:p>
        </w:tc>
        <w:tc>
          <w:tcPr>
            <w:tcW w:w="265" w:type="pct"/>
            <w:tcBorders>
              <w:top w:val="single" w:color="auto" w:sz="12" w:space="0"/>
              <w:left w:val="single" w:color="auto" w:sz="4" w:space="0"/>
              <w:bottom w:val="single" w:color="auto" w:sz="4" w:space="0"/>
              <w:right w:val="single" w:color="auto" w:sz="4" w:space="0"/>
            </w:tcBorders>
            <w:noWrap w:val="0"/>
            <w:vAlign w:val="center"/>
          </w:tcPr>
          <w:p w14:paraId="7123ADC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w:t>
            </w:r>
          </w:p>
        </w:tc>
        <w:tc>
          <w:tcPr>
            <w:tcW w:w="257" w:type="pct"/>
            <w:tcBorders>
              <w:top w:val="single" w:color="auto" w:sz="12" w:space="0"/>
              <w:left w:val="single" w:color="auto" w:sz="4" w:space="0"/>
              <w:bottom w:val="single" w:color="auto" w:sz="4" w:space="0"/>
              <w:right w:val="single" w:color="auto" w:sz="4" w:space="0"/>
            </w:tcBorders>
            <w:noWrap w:val="0"/>
            <w:vAlign w:val="center"/>
          </w:tcPr>
          <w:p w14:paraId="29C74E4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NNE</w:t>
            </w:r>
          </w:p>
        </w:tc>
        <w:tc>
          <w:tcPr>
            <w:tcW w:w="230" w:type="pct"/>
            <w:tcBorders>
              <w:top w:val="single" w:color="auto" w:sz="12" w:space="0"/>
              <w:left w:val="single" w:color="auto" w:sz="4" w:space="0"/>
              <w:bottom w:val="single" w:color="auto" w:sz="4" w:space="0"/>
              <w:right w:val="single" w:color="auto" w:sz="4" w:space="0"/>
            </w:tcBorders>
            <w:noWrap w:val="0"/>
            <w:vAlign w:val="center"/>
          </w:tcPr>
          <w:p w14:paraId="47D74CF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NE</w:t>
            </w:r>
          </w:p>
        </w:tc>
        <w:tc>
          <w:tcPr>
            <w:tcW w:w="241" w:type="pct"/>
            <w:tcBorders>
              <w:top w:val="single" w:color="auto" w:sz="12" w:space="0"/>
              <w:left w:val="single" w:color="auto" w:sz="4" w:space="0"/>
              <w:bottom w:val="single" w:color="auto" w:sz="4" w:space="0"/>
              <w:right w:val="single" w:color="auto" w:sz="4" w:space="0"/>
            </w:tcBorders>
            <w:noWrap w:val="0"/>
            <w:vAlign w:val="center"/>
          </w:tcPr>
          <w:p w14:paraId="4BCEFF0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ENE</w:t>
            </w:r>
          </w:p>
        </w:tc>
        <w:tc>
          <w:tcPr>
            <w:tcW w:w="232" w:type="pct"/>
            <w:tcBorders>
              <w:top w:val="single" w:color="auto" w:sz="12" w:space="0"/>
              <w:left w:val="single" w:color="auto" w:sz="4" w:space="0"/>
              <w:bottom w:val="single" w:color="auto" w:sz="4" w:space="0"/>
              <w:right w:val="single" w:color="auto" w:sz="4" w:space="0"/>
            </w:tcBorders>
            <w:noWrap w:val="0"/>
            <w:vAlign w:val="center"/>
          </w:tcPr>
          <w:p w14:paraId="3AEC131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w:t>
            </w:r>
          </w:p>
        </w:tc>
        <w:tc>
          <w:tcPr>
            <w:tcW w:w="285" w:type="pct"/>
            <w:tcBorders>
              <w:top w:val="single" w:color="auto" w:sz="12" w:space="0"/>
              <w:left w:val="single" w:color="auto" w:sz="4" w:space="0"/>
              <w:bottom w:val="single" w:color="auto" w:sz="4" w:space="0"/>
              <w:right w:val="single" w:color="auto" w:sz="4" w:space="0"/>
            </w:tcBorders>
            <w:noWrap w:val="0"/>
            <w:vAlign w:val="center"/>
          </w:tcPr>
          <w:p w14:paraId="0DBE6BA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ESE</w:t>
            </w:r>
          </w:p>
        </w:tc>
        <w:tc>
          <w:tcPr>
            <w:tcW w:w="230" w:type="pct"/>
            <w:tcBorders>
              <w:top w:val="single" w:color="auto" w:sz="12" w:space="0"/>
              <w:left w:val="single" w:color="auto" w:sz="4" w:space="0"/>
              <w:bottom w:val="single" w:color="auto" w:sz="4" w:space="0"/>
              <w:right w:val="single" w:color="auto" w:sz="4" w:space="0"/>
            </w:tcBorders>
            <w:noWrap w:val="0"/>
            <w:vAlign w:val="center"/>
          </w:tcPr>
          <w:p w14:paraId="0FCD0F3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SE</w:t>
            </w:r>
          </w:p>
        </w:tc>
        <w:tc>
          <w:tcPr>
            <w:tcW w:w="230" w:type="pct"/>
            <w:tcBorders>
              <w:top w:val="single" w:color="auto" w:sz="12" w:space="0"/>
              <w:left w:val="single" w:color="auto" w:sz="4" w:space="0"/>
              <w:bottom w:val="single" w:color="auto" w:sz="4" w:space="0"/>
              <w:right w:val="single" w:color="auto" w:sz="4" w:space="0"/>
            </w:tcBorders>
            <w:noWrap w:val="0"/>
            <w:vAlign w:val="center"/>
          </w:tcPr>
          <w:p w14:paraId="4010734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SSE</w:t>
            </w:r>
          </w:p>
        </w:tc>
        <w:tc>
          <w:tcPr>
            <w:tcW w:w="265" w:type="pct"/>
            <w:tcBorders>
              <w:top w:val="single" w:color="auto" w:sz="12" w:space="0"/>
              <w:left w:val="single" w:color="auto" w:sz="4" w:space="0"/>
              <w:bottom w:val="single" w:color="auto" w:sz="4" w:space="0"/>
              <w:right w:val="single" w:color="auto" w:sz="4" w:space="0"/>
            </w:tcBorders>
            <w:noWrap w:val="0"/>
            <w:vAlign w:val="center"/>
          </w:tcPr>
          <w:p w14:paraId="1B8AEF5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w:t>
            </w:r>
          </w:p>
        </w:tc>
        <w:tc>
          <w:tcPr>
            <w:tcW w:w="265" w:type="pct"/>
            <w:tcBorders>
              <w:top w:val="single" w:color="auto" w:sz="12" w:space="0"/>
              <w:left w:val="single" w:color="auto" w:sz="4" w:space="0"/>
              <w:bottom w:val="single" w:color="auto" w:sz="4" w:space="0"/>
              <w:right w:val="single" w:color="auto" w:sz="4" w:space="0"/>
            </w:tcBorders>
            <w:noWrap w:val="0"/>
            <w:vAlign w:val="center"/>
          </w:tcPr>
          <w:p w14:paraId="1229AC7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SSW</w:t>
            </w:r>
          </w:p>
        </w:tc>
        <w:tc>
          <w:tcPr>
            <w:tcW w:w="288" w:type="pct"/>
            <w:tcBorders>
              <w:top w:val="single" w:color="auto" w:sz="12" w:space="0"/>
              <w:left w:val="single" w:color="auto" w:sz="4" w:space="0"/>
              <w:bottom w:val="single" w:color="auto" w:sz="4" w:space="0"/>
              <w:right w:val="single" w:color="auto" w:sz="4" w:space="0"/>
            </w:tcBorders>
            <w:noWrap w:val="0"/>
            <w:vAlign w:val="center"/>
          </w:tcPr>
          <w:p w14:paraId="6D986B2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SW</w:t>
            </w:r>
          </w:p>
        </w:tc>
        <w:tc>
          <w:tcPr>
            <w:tcW w:w="300" w:type="pct"/>
            <w:tcBorders>
              <w:top w:val="single" w:color="auto" w:sz="12" w:space="0"/>
              <w:left w:val="single" w:color="auto" w:sz="4" w:space="0"/>
              <w:bottom w:val="single" w:color="auto" w:sz="4" w:space="0"/>
              <w:right w:val="single" w:color="auto" w:sz="4" w:space="0"/>
            </w:tcBorders>
            <w:noWrap w:val="0"/>
            <w:vAlign w:val="center"/>
          </w:tcPr>
          <w:p w14:paraId="0586FCA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WSW</w:t>
            </w:r>
          </w:p>
        </w:tc>
        <w:tc>
          <w:tcPr>
            <w:tcW w:w="288" w:type="pct"/>
            <w:tcBorders>
              <w:top w:val="single" w:color="auto" w:sz="12" w:space="0"/>
              <w:left w:val="single" w:color="auto" w:sz="4" w:space="0"/>
              <w:bottom w:val="single" w:color="auto" w:sz="4" w:space="0"/>
              <w:right w:val="single" w:color="auto" w:sz="4" w:space="0"/>
            </w:tcBorders>
            <w:noWrap w:val="0"/>
            <w:vAlign w:val="center"/>
          </w:tcPr>
          <w:p w14:paraId="5755927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w:t>
            </w:r>
          </w:p>
        </w:tc>
        <w:tc>
          <w:tcPr>
            <w:tcW w:w="319" w:type="pct"/>
            <w:tcBorders>
              <w:top w:val="single" w:color="auto" w:sz="12" w:space="0"/>
              <w:left w:val="single" w:color="auto" w:sz="4" w:space="0"/>
              <w:bottom w:val="single" w:color="auto" w:sz="4" w:space="0"/>
              <w:right w:val="single" w:color="auto" w:sz="4" w:space="0"/>
            </w:tcBorders>
            <w:noWrap w:val="0"/>
            <w:vAlign w:val="center"/>
          </w:tcPr>
          <w:p w14:paraId="197C22D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WNW</w:t>
            </w:r>
          </w:p>
        </w:tc>
        <w:tc>
          <w:tcPr>
            <w:tcW w:w="231" w:type="pct"/>
            <w:tcBorders>
              <w:top w:val="single" w:color="auto" w:sz="12" w:space="0"/>
              <w:left w:val="single" w:color="auto" w:sz="4" w:space="0"/>
              <w:bottom w:val="single" w:color="auto" w:sz="4" w:space="0"/>
              <w:right w:val="single" w:color="auto" w:sz="4" w:space="0"/>
            </w:tcBorders>
            <w:noWrap w:val="0"/>
            <w:vAlign w:val="center"/>
          </w:tcPr>
          <w:p w14:paraId="060D966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NW</w:t>
            </w:r>
          </w:p>
        </w:tc>
        <w:tc>
          <w:tcPr>
            <w:tcW w:w="294" w:type="pct"/>
            <w:tcBorders>
              <w:top w:val="single" w:color="auto" w:sz="12" w:space="0"/>
              <w:left w:val="single" w:color="auto" w:sz="4" w:space="0"/>
              <w:bottom w:val="single" w:color="auto" w:sz="4" w:space="0"/>
              <w:right w:val="single" w:color="auto" w:sz="4" w:space="0"/>
            </w:tcBorders>
            <w:noWrap w:val="0"/>
            <w:vAlign w:val="center"/>
          </w:tcPr>
          <w:p w14:paraId="7B4284D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NNW</w:t>
            </w:r>
          </w:p>
        </w:tc>
        <w:tc>
          <w:tcPr>
            <w:tcW w:w="231" w:type="pct"/>
            <w:tcBorders>
              <w:top w:val="single" w:color="auto" w:sz="12" w:space="0"/>
              <w:left w:val="single" w:color="auto" w:sz="4" w:space="0"/>
              <w:bottom w:val="single" w:color="auto" w:sz="4" w:space="0"/>
              <w:right w:val="nil"/>
            </w:tcBorders>
            <w:noWrap w:val="0"/>
            <w:vAlign w:val="center"/>
          </w:tcPr>
          <w:p w14:paraId="5558CF6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C</w:t>
            </w:r>
          </w:p>
        </w:tc>
      </w:tr>
      <w:tr w14:paraId="58F164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0" w:type="dxa"/>
            <w:bottom w:w="0" w:type="dxa"/>
            <w:right w:w="30" w:type="dxa"/>
          </w:tblCellMar>
        </w:tblPrEx>
        <w:trPr>
          <w:jc w:val="center"/>
        </w:trPr>
        <w:tc>
          <w:tcPr>
            <w:tcW w:w="542" w:type="pct"/>
            <w:tcBorders>
              <w:top w:val="single" w:color="auto" w:sz="4" w:space="0"/>
              <w:left w:val="nil"/>
              <w:bottom w:val="single" w:color="auto" w:sz="4" w:space="0"/>
              <w:right w:val="single" w:color="auto" w:sz="4" w:space="0"/>
            </w:tcBorders>
            <w:noWrap w:val="0"/>
            <w:vAlign w:val="center"/>
          </w:tcPr>
          <w:p w14:paraId="69E9B2A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春季</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123A36D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2.85 </w:t>
            </w:r>
          </w:p>
        </w:tc>
        <w:tc>
          <w:tcPr>
            <w:tcW w:w="717" w:type="dxa"/>
            <w:tcBorders>
              <w:top w:val="single" w:color="auto" w:sz="4" w:space="0"/>
              <w:left w:val="single" w:color="auto" w:sz="4" w:space="0"/>
              <w:bottom w:val="single" w:color="auto" w:sz="4" w:space="0"/>
              <w:right w:val="single" w:color="auto" w:sz="4" w:space="0"/>
            </w:tcBorders>
            <w:noWrap w:val="0"/>
            <w:vAlign w:val="bottom"/>
          </w:tcPr>
          <w:p w14:paraId="50E64D5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3.99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30DE873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5.57 </w:t>
            </w:r>
          </w:p>
        </w:tc>
        <w:tc>
          <w:tcPr>
            <w:tcW w:w="672" w:type="dxa"/>
            <w:tcBorders>
              <w:top w:val="single" w:color="auto" w:sz="4" w:space="0"/>
              <w:left w:val="single" w:color="auto" w:sz="4" w:space="0"/>
              <w:bottom w:val="single" w:color="auto" w:sz="4" w:space="0"/>
              <w:right w:val="single" w:color="auto" w:sz="4" w:space="0"/>
            </w:tcBorders>
            <w:noWrap w:val="0"/>
            <w:vAlign w:val="bottom"/>
          </w:tcPr>
          <w:p w14:paraId="3D97603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2.72 </w:t>
            </w:r>
          </w:p>
        </w:tc>
        <w:tc>
          <w:tcPr>
            <w:tcW w:w="647" w:type="dxa"/>
            <w:tcBorders>
              <w:top w:val="single" w:color="auto" w:sz="4" w:space="0"/>
              <w:left w:val="single" w:color="auto" w:sz="4" w:space="0"/>
              <w:bottom w:val="single" w:color="auto" w:sz="4" w:space="0"/>
              <w:right w:val="single" w:color="auto" w:sz="4" w:space="0"/>
            </w:tcBorders>
            <w:noWrap w:val="0"/>
            <w:vAlign w:val="bottom"/>
          </w:tcPr>
          <w:p w14:paraId="1DBFD5F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1.63 </w:t>
            </w:r>
          </w:p>
        </w:tc>
        <w:tc>
          <w:tcPr>
            <w:tcW w:w="795" w:type="dxa"/>
            <w:tcBorders>
              <w:top w:val="single" w:color="auto" w:sz="4" w:space="0"/>
              <w:left w:val="single" w:color="auto" w:sz="4" w:space="0"/>
              <w:bottom w:val="single" w:color="auto" w:sz="4" w:space="0"/>
              <w:right w:val="single" w:color="auto" w:sz="4" w:space="0"/>
            </w:tcBorders>
            <w:noWrap w:val="0"/>
            <w:vAlign w:val="bottom"/>
          </w:tcPr>
          <w:p w14:paraId="36AF1D3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1.54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0959E98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1.99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10C84D6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4.17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457D173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10.28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30936BF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14.31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2DA1A31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15.04 </w:t>
            </w:r>
          </w:p>
        </w:tc>
        <w:tc>
          <w:tcPr>
            <w:tcW w:w="837" w:type="dxa"/>
            <w:tcBorders>
              <w:top w:val="single" w:color="auto" w:sz="4" w:space="0"/>
              <w:left w:val="single" w:color="auto" w:sz="4" w:space="0"/>
              <w:bottom w:val="single" w:color="auto" w:sz="4" w:space="0"/>
              <w:right w:val="single" w:color="auto" w:sz="4" w:space="0"/>
            </w:tcBorders>
            <w:noWrap w:val="0"/>
            <w:vAlign w:val="bottom"/>
          </w:tcPr>
          <w:p w14:paraId="5A5706E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14.36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1858606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8.15 </w:t>
            </w:r>
          </w:p>
        </w:tc>
        <w:tc>
          <w:tcPr>
            <w:tcW w:w="890" w:type="dxa"/>
            <w:tcBorders>
              <w:top w:val="single" w:color="auto" w:sz="4" w:space="0"/>
              <w:left w:val="single" w:color="auto" w:sz="4" w:space="0"/>
              <w:bottom w:val="single" w:color="auto" w:sz="4" w:space="0"/>
              <w:right w:val="single" w:color="auto" w:sz="4" w:space="0"/>
            </w:tcBorders>
            <w:noWrap w:val="0"/>
            <w:vAlign w:val="bottom"/>
          </w:tcPr>
          <w:p w14:paraId="66C9505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5.80 </w:t>
            </w:r>
          </w:p>
        </w:tc>
        <w:tc>
          <w:tcPr>
            <w:tcW w:w="644" w:type="dxa"/>
            <w:tcBorders>
              <w:top w:val="single" w:color="auto" w:sz="4" w:space="0"/>
              <w:left w:val="single" w:color="auto" w:sz="4" w:space="0"/>
              <w:bottom w:val="single" w:color="auto" w:sz="4" w:space="0"/>
              <w:right w:val="single" w:color="auto" w:sz="4" w:space="0"/>
            </w:tcBorders>
            <w:noWrap w:val="0"/>
            <w:vAlign w:val="bottom"/>
          </w:tcPr>
          <w:p w14:paraId="1ADDB01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4.80 </w:t>
            </w:r>
          </w:p>
        </w:tc>
        <w:tc>
          <w:tcPr>
            <w:tcW w:w="820" w:type="dxa"/>
            <w:tcBorders>
              <w:top w:val="single" w:color="auto" w:sz="4" w:space="0"/>
              <w:left w:val="single" w:color="auto" w:sz="4" w:space="0"/>
              <w:bottom w:val="single" w:color="auto" w:sz="4" w:space="0"/>
              <w:right w:val="single" w:color="auto" w:sz="4" w:space="0"/>
            </w:tcBorders>
            <w:noWrap w:val="0"/>
            <w:vAlign w:val="bottom"/>
          </w:tcPr>
          <w:p w14:paraId="42198CF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2.45 </w:t>
            </w:r>
          </w:p>
        </w:tc>
        <w:tc>
          <w:tcPr>
            <w:tcW w:w="644" w:type="dxa"/>
            <w:tcBorders>
              <w:top w:val="single" w:color="auto" w:sz="4" w:space="0"/>
              <w:left w:val="single" w:color="auto" w:sz="4" w:space="0"/>
              <w:bottom w:val="single" w:color="auto" w:sz="4" w:space="0"/>
              <w:right w:val="nil"/>
            </w:tcBorders>
            <w:noWrap w:val="0"/>
            <w:vAlign w:val="bottom"/>
          </w:tcPr>
          <w:p w14:paraId="370416D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0.36 </w:t>
            </w:r>
          </w:p>
        </w:tc>
      </w:tr>
      <w:tr w14:paraId="1D81A2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0" w:type="dxa"/>
            <w:bottom w:w="0" w:type="dxa"/>
            <w:right w:w="30" w:type="dxa"/>
          </w:tblCellMar>
        </w:tblPrEx>
        <w:trPr>
          <w:jc w:val="center"/>
        </w:trPr>
        <w:tc>
          <w:tcPr>
            <w:tcW w:w="542" w:type="pct"/>
            <w:tcBorders>
              <w:top w:val="single" w:color="auto" w:sz="4" w:space="0"/>
              <w:left w:val="nil"/>
              <w:bottom w:val="single" w:color="auto" w:sz="4" w:space="0"/>
              <w:right w:val="single" w:color="auto" w:sz="4" w:space="0"/>
            </w:tcBorders>
            <w:noWrap w:val="0"/>
            <w:vAlign w:val="center"/>
          </w:tcPr>
          <w:p w14:paraId="6A4A00F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夏季</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1A6B147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6.30 </w:t>
            </w:r>
          </w:p>
        </w:tc>
        <w:tc>
          <w:tcPr>
            <w:tcW w:w="717" w:type="dxa"/>
            <w:tcBorders>
              <w:top w:val="single" w:color="auto" w:sz="4" w:space="0"/>
              <w:left w:val="single" w:color="auto" w:sz="4" w:space="0"/>
              <w:bottom w:val="single" w:color="auto" w:sz="4" w:space="0"/>
              <w:right w:val="single" w:color="auto" w:sz="4" w:space="0"/>
            </w:tcBorders>
            <w:noWrap w:val="0"/>
            <w:vAlign w:val="bottom"/>
          </w:tcPr>
          <w:p w14:paraId="5F66DF8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8.38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1C46D1F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11.10 </w:t>
            </w:r>
          </w:p>
        </w:tc>
        <w:tc>
          <w:tcPr>
            <w:tcW w:w="672" w:type="dxa"/>
            <w:tcBorders>
              <w:top w:val="single" w:color="auto" w:sz="4" w:space="0"/>
              <w:left w:val="single" w:color="auto" w:sz="4" w:space="0"/>
              <w:bottom w:val="single" w:color="auto" w:sz="4" w:space="0"/>
              <w:right w:val="single" w:color="auto" w:sz="4" w:space="0"/>
            </w:tcBorders>
            <w:noWrap w:val="0"/>
            <w:vAlign w:val="bottom"/>
          </w:tcPr>
          <w:p w14:paraId="3F13573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3.35 </w:t>
            </w:r>
          </w:p>
        </w:tc>
        <w:tc>
          <w:tcPr>
            <w:tcW w:w="647" w:type="dxa"/>
            <w:tcBorders>
              <w:top w:val="single" w:color="auto" w:sz="4" w:space="0"/>
              <w:left w:val="single" w:color="auto" w:sz="4" w:space="0"/>
              <w:bottom w:val="single" w:color="auto" w:sz="4" w:space="0"/>
              <w:right w:val="single" w:color="auto" w:sz="4" w:space="0"/>
            </w:tcBorders>
            <w:noWrap w:val="0"/>
            <w:vAlign w:val="bottom"/>
          </w:tcPr>
          <w:p w14:paraId="36A450E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1.90 </w:t>
            </w:r>
          </w:p>
        </w:tc>
        <w:tc>
          <w:tcPr>
            <w:tcW w:w="795" w:type="dxa"/>
            <w:tcBorders>
              <w:top w:val="single" w:color="auto" w:sz="4" w:space="0"/>
              <w:left w:val="single" w:color="auto" w:sz="4" w:space="0"/>
              <w:bottom w:val="single" w:color="auto" w:sz="4" w:space="0"/>
              <w:right w:val="single" w:color="auto" w:sz="4" w:space="0"/>
            </w:tcBorders>
            <w:noWrap w:val="0"/>
            <w:vAlign w:val="bottom"/>
          </w:tcPr>
          <w:p w14:paraId="024B473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2.04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766DE40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2.45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69C3F46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4.03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1FEEE99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14.49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04128D9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13.22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180DD48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10.01 </w:t>
            </w:r>
          </w:p>
        </w:tc>
        <w:tc>
          <w:tcPr>
            <w:tcW w:w="837" w:type="dxa"/>
            <w:tcBorders>
              <w:top w:val="single" w:color="auto" w:sz="4" w:space="0"/>
              <w:left w:val="single" w:color="auto" w:sz="4" w:space="0"/>
              <w:bottom w:val="single" w:color="auto" w:sz="4" w:space="0"/>
              <w:right w:val="single" w:color="auto" w:sz="4" w:space="0"/>
            </w:tcBorders>
            <w:noWrap w:val="0"/>
            <w:vAlign w:val="bottom"/>
          </w:tcPr>
          <w:p w14:paraId="4B8B40A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8.56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43196B5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3.53 </w:t>
            </w:r>
          </w:p>
        </w:tc>
        <w:tc>
          <w:tcPr>
            <w:tcW w:w="890" w:type="dxa"/>
            <w:tcBorders>
              <w:top w:val="single" w:color="auto" w:sz="4" w:space="0"/>
              <w:left w:val="single" w:color="auto" w:sz="4" w:space="0"/>
              <w:bottom w:val="single" w:color="auto" w:sz="4" w:space="0"/>
              <w:right w:val="single" w:color="auto" w:sz="4" w:space="0"/>
            </w:tcBorders>
            <w:noWrap w:val="0"/>
            <w:vAlign w:val="bottom"/>
          </w:tcPr>
          <w:p w14:paraId="01C7A82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2.72 </w:t>
            </w:r>
          </w:p>
        </w:tc>
        <w:tc>
          <w:tcPr>
            <w:tcW w:w="644" w:type="dxa"/>
            <w:tcBorders>
              <w:top w:val="single" w:color="auto" w:sz="4" w:space="0"/>
              <w:left w:val="single" w:color="auto" w:sz="4" w:space="0"/>
              <w:bottom w:val="single" w:color="auto" w:sz="4" w:space="0"/>
              <w:right w:val="single" w:color="auto" w:sz="4" w:space="0"/>
            </w:tcBorders>
            <w:noWrap w:val="0"/>
            <w:vAlign w:val="bottom"/>
          </w:tcPr>
          <w:p w14:paraId="1FEADDB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3.76 </w:t>
            </w:r>
          </w:p>
        </w:tc>
        <w:tc>
          <w:tcPr>
            <w:tcW w:w="820" w:type="dxa"/>
            <w:tcBorders>
              <w:top w:val="single" w:color="auto" w:sz="4" w:space="0"/>
              <w:left w:val="single" w:color="auto" w:sz="4" w:space="0"/>
              <w:bottom w:val="single" w:color="auto" w:sz="4" w:space="0"/>
              <w:right w:val="single" w:color="auto" w:sz="4" w:space="0"/>
            </w:tcBorders>
            <w:noWrap w:val="0"/>
            <w:vAlign w:val="bottom"/>
          </w:tcPr>
          <w:p w14:paraId="320FEA0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3.03 </w:t>
            </w:r>
          </w:p>
        </w:tc>
        <w:tc>
          <w:tcPr>
            <w:tcW w:w="644" w:type="dxa"/>
            <w:tcBorders>
              <w:top w:val="single" w:color="auto" w:sz="4" w:space="0"/>
              <w:left w:val="single" w:color="auto" w:sz="4" w:space="0"/>
              <w:bottom w:val="single" w:color="auto" w:sz="4" w:space="0"/>
              <w:right w:val="nil"/>
            </w:tcBorders>
            <w:noWrap w:val="0"/>
            <w:vAlign w:val="bottom"/>
          </w:tcPr>
          <w:p w14:paraId="619BD47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1.13 </w:t>
            </w:r>
          </w:p>
        </w:tc>
      </w:tr>
      <w:tr w14:paraId="28E977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0" w:type="dxa"/>
            <w:bottom w:w="0" w:type="dxa"/>
            <w:right w:w="30" w:type="dxa"/>
          </w:tblCellMar>
        </w:tblPrEx>
        <w:trPr>
          <w:jc w:val="center"/>
        </w:trPr>
        <w:tc>
          <w:tcPr>
            <w:tcW w:w="542" w:type="pct"/>
            <w:tcBorders>
              <w:top w:val="single" w:color="auto" w:sz="4" w:space="0"/>
              <w:left w:val="nil"/>
              <w:bottom w:val="single" w:color="auto" w:sz="4" w:space="0"/>
              <w:right w:val="single" w:color="auto" w:sz="4" w:space="0"/>
            </w:tcBorders>
            <w:noWrap w:val="0"/>
            <w:vAlign w:val="center"/>
          </w:tcPr>
          <w:p w14:paraId="7A99826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秋季</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0EF6AF7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3.11 </w:t>
            </w:r>
          </w:p>
        </w:tc>
        <w:tc>
          <w:tcPr>
            <w:tcW w:w="717" w:type="dxa"/>
            <w:tcBorders>
              <w:top w:val="single" w:color="auto" w:sz="4" w:space="0"/>
              <w:left w:val="single" w:color="auto" w:sz="4" w:space="0"/>
              <w:bottom w:val="single" w:color="auto" w:sz="4" w:space="0"/>
              <w:right w:val="single" w:color="auto" w:sz="4" w:space="0"/>
            </w:tcBorders>
            <w:noWrap w:val="0"/>
            <w:vAlign w:val="bottom"/>
          </w:tcPr>
          <w:p w14:paraId="384C452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2.29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0C85BAC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2.61 </w:t>
            </w:r>
          </w:p>
        </w:tc>
        <w:tc>
          <w:tcPr>
            <w:tcW w:w="672" w:type="dxa"/>
            <w:tcBorders>
              <w:top w:val="single" w:color="auto" w:sz="4" w:space="0"/>
              <w:left w:val="single" w:color="auto" w:sz="4" w:space="0"/>
              <w:bottom w:val="single" w:color="auto" w:sz="4" w:space="0"/>
              <w:right w:val="single" w:color="auto" w:sz="4" w:space="0"/>
            </w:tcBorders>
            <w:noWrap w:val="0"/>
            <w:vAlign w:val="bottom"/>
          </w:tcPr>
          <w:p w14:paraId="0FDD976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1.01 </w:t>
            </w:r>
          </w:p>
        </w:tc>
        <w:tc>
          <w:tcPr>
            <w:tcW w:w="647" w:type="dxa"/>
            <w:tcBorders>
              <w:top w:val="single" w:color="auto" w:sz="4" w:space="0"/>
              <w:left w:val="single" w:color="auto" w:sz="4" w:space="0"/>
              <w:bottom w:val="single" w:color="auto" w:sz="4" w:space="0"/>
              <w:right w:val="single" w:color="auto" w:sz="4" w:space="0"/>
            </w:tcBorders>
            <w:noWrap w:val="0"/>
            <w:vAlign w:val="bottom"/>
          </w:tcPr>
          <w:p w14:paraId="241D54B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0.82 </w:t>
            </w:r>
          </w:p>
        </w:tc>
        <w:tc>
          <w:tcPr>
            <w:tcW w:w="795" w:type="dxa"/>
            <w:tcBorders>
              <w:top w:val="single" w:color="auto" w:sz="4" w:space="0"/>
              <w:left w:val="single" w:color="auto" w:sz="4" w:space="0"/>
              <w:bottom w:val="single" w:color="auto" w:sz="4" w:space="0"/>
              <w:right w:val="single" w:color="auto" w:sz="4" w:space="0"/>
            </w:tcBorders>
            <w:noWrap w:val="0"/>
            <w:vAlign w:val="bottom"/>
          </w:tcPr>
          <w:p w14:paraId="6E08F9D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1.47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1112D3E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1.88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77C67B4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4.62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2CF884C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16.25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5213DA3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16.35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3FCA232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17.17 </w:t>
            </w:r>
          </w:p>
        </w:tc>
        <w:tc>
          <w:tcPr>
            <w:tcW w:w="837" w:type="dxa"/>
            <w:tcBorders>
              <w:top w:val="single" w:color="auto" w:sz="4" w:space="0"/>
              <w:left w:val="single" w:color="auto" w:sz="4" w:space="0"/>
              <w:bottom w:val="single" w:color="auto" w:sz="4" w:space="0"/>
              <w:right w:val="single" w:color="auto" w:sz="4" w:space="0"/>
            </w:tcBorders>
            <w:noWrap w:val="0"/>
            <w:vAlign w:val="bottom"/>
          </w:tcPr>
          <w:p w14:paraId="65355ED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12.96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4191649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6.36 </w:t>
            </w:r>
          </w:p>
        </w:tc>
        <w:tc>
          <w:tcPr>
            <w:tcW w:w="890" w:type="dxa"/>
            <w:tcBorders>
              <w:top w:val="single" w:color="auto" w:sz="4" w:space="0"/>
              <w:left w:val="single" w:color="auto" w:sz="4" w:space="0"/>
              <w:bottom w:val="single" w:color="auto" w:sz="4" w:space="0"/>
              <w:right w:val="single" w:color="auto" w:sz="4" w:space="0"/>
            </w:tcBorders>
            <w:noWrap w:val="0"/>
            <w:vAlign w:val="bottom"/>
          </w:tcPr>
          <w:p w14:paraId="1FA5B26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5.49 </w:t>
            </w:r>
          </w:p>
        </w:tc>
        <w:tc>
          <w:tcPr>
            <w:tcW w:w="644" w:type="dxa"/>
            <w:tcBorders>
              <w:top w:val="single" w:color="auto" w:sz="4" w:space="0"/>
              <w:left w:val="single" w:color="auto" w:sz="4" w:space="0"/>
              <w:bottom w:val="single" w:color="auto" w:sz="4" w:space="0"/>
              <w:right w:val="single" w:color="auto" w:sz="4" w:space="0"/>
            </w:tcBorders>
            <w:noWrap w:val="0"/>
            <w:vAlign w:val="bottom"/>
          </w:tcPr>
          <w:p w14:paraId="037910C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4.21 </w:t>
            </w:r>
          </w:p>
        </w:tc>
        <w:tc>
          <w:tcPr>
            <w:tcW w:w="820" w:type="dxa"/>
            <w:tcBorders>
              <w:top w:val="single" w:color="auto" w:sz="4" w:space="0"/>
              <w:left w:val="single" w:color="auto" w:sz="4" w:space="0"/>
              <w:bottom w:val="single" w:color="auto" w:sz="4" w:space="0"/>
              <w:right w:val="single" w:color="auto" w:sz="4" w:space="0"/>
            </w:tcBorders>
            <w:noWrap w:val="0"/>
            <w:vAlign w:val="bottom"/>
          </w:tcPr>
          <w:p w14:paraId="3F9C7A0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3.16 </w:t>
            </w:r>
          </w:p>
        </w:tc>
        <w:tc>
          <w:tcPr>
            <w:tcW w:w="644" w:type="dxa"/>
            <w:tcBorders>
              <w:top w:val="single" w:color="auto" w:sz="4" w:space="0"/>
              <w:left w:val="single" w:color="auto" w:sz="4" w:space="0"/>
              <w:bottom w:val="single" w:color="auto" w:sz="4" w:space="0"/>
              <w:right w:val="nil"/>
            </w:tcBorders>
            <w:noWrap w:val="0"/>
            <w:vAlign w:val="bottom"/>
          </w:tcPr>
          <w:p w14:paraId="57BCC3D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0.23 </w:t>
            </w:r>
          </w:p>
        </w:tc>
      </w:tr>
      <w:tr w14:paraId="0DC9FA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0" w:type="dxa"/>
            <w:bottom w:w="0" w:type="dxa"/>
            <w:right w:w="30" w:type="dxa"/>
          </w:tblCellMar>
        </w:tblPrEx>
        <w:trPr>
          <w:jc w:val="center"/>
        </w:trPr>
        <w:tc>
          <w:tcPr>
            <w:tcW w:w="542" w:type="pct"/>
            <w:tcBorders>
              <w:top w:val="single" w:color="auto" w:sz="4" w:space="0"/>
              <w:left w:val="nil"/>
              <w:bottom w:val="single" w:color="auto" w:sz="4" w:space="0"/>
              <w:right w:val="single" w:color="auto" w:sz="4" w:space="0"/>
            </w:tcBorders>
            <w:noWrap w:val="0"/>
            <w:vAlign w:val="center"/>
          </w:tcPr>
          <w:p w14:paraId="4A128E3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冬季</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011F23A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4.58 </w:t>
            </w:r>
          </w:p>
        </w:tc>
        <w:tc>
          <w:tcPr>
            <w:tcW w:w="717" w:type="dxa"/>
            <w:tcBorders>
              <w:top w:val="single" w:color="auto" w:sz="4" w:space="0"/>
              <w:left w:val="single" w:color="auto" w:sz="4" w:space="0"/>
              <w:bottom w:val="single" w:color="auto" w:sz="4" w:space="0"/>
              <w:right w:val="single" w:color="auto" w:sz="4" w:space="0"/>
            </w:tcBorders>
            <w:noWrap w:val="0"/>
            <w:vAlign w:val="bottom"/>
          </w:tcPr>
          <w:p w14:paraId="3AE636D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3.34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0491307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3.11 </w:t>
            </w:r>
          </w:p>
        </w:tc>
        <w:tc>
          <w:tcPr>
            <w:tcW w:w="672" w:type="dxa"/>
            <w:tcBorders>
              <w:top w:val="single" w:color="auto" w:sz="4" w:space="0"/>
              <w:left w:val="single" w:color="auto" w:sz="4" w:space="0"/>
              <w:bottom w:val="single" w:color="auto" w:sz="4" w:space="0"/>
              <w:right w:val="single" w:color="auto" w:sz="4" w:space="0"/>
            </w:tcBorders>
            <w:noWrap w:val="0"/>
            <w:vAlign w:val="bottom"/>
          </w:tcPr>
          <w:p w14:paraId="3731A0A8">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1.05 </w:t>
            </w:r>
          </w:p>
        </w:tc>
        <w:tc>
          <w:tcPr>
            <w:tcW w:w="647" w:type="dxa"/>
            <w:tcBorders>
              <w:top w:val="single" w:color="auto" w:sz="4" w:space="0"/>
              <w:left w:val="single" w:color="auto" w:sz="4" w:space="0"/>
              <w:bottom w:val="single" w:color="auto" w:sz="4" w:space="0"/>
              <w:right w:val="single" w:color="auto" w:sz="4" w:space="0"/>
            </w:tcBorders>
            <w:noWrap w:val="0"/>
            <w:vAlign w:val="bottom"/>
          </w:tcPr>
          <w:p w14:paraId="280C1FE5">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0.46 </w:t>
            </w:r>
          </w:p>
        </w:tc>
        <w:tc>
          <w:tcPr>
            <w:tcW w:w="795" w:type="dxa"/>
            <w:tcBorders>
              <w:top w:val="single" w:color="auto" w:sz="4" w:space="0"/>
              <w:left w:val="single" w:color="auto" w:sz="4" w:space="0"/>
              <w:bottom w:val="single" w:color="auto" w:sz="4" w:space="0"/>
              <w:right w:val="single" w:color="auto" w:sz="4" w:space="0"/>
            </w:tcBorders>
            <w:noWrap w:val="0"/>
            <w:vAlign w:val="bottom"/>
          </w:tcPr>
          <w:p w14:paraId="6C067FD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0.96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3AA30FD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1.14 </w:t>
            </w:r>
          </w:p>
        </w:tc>
        <w:tc>
          <w:tcPr>
            <w:tcW w:w="642" w:type="dxa"/>
            <w:tcBorders>
              <w:top w:val="single" w:color="auto" w:sz="4" w:space="0"/>
              <w:left w:val="single" w:color="auto" w:sz="4" w:space="0"/>
              <w:bottom w:val="single" w:color="auto" w:sz="4" w:space="0"/>
              <w:right w:val="single" w:color="auto" w:sz="4" w:space="0"/>
            </w:tcBorders>
            <w:noWrap w:val="0"/>
            <w:vAlign w:val="bottom"/>
          </w:tcPr>
          <w:p w14:paraId="750321FA">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3.57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026F6D47">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17.12 </w:t>
            </w:r>
          </w:p>
        </w:tc>
        <w:tc>
          <w:tcPr>
            <w:tcW w:w="739" w:type="dxa"/>
            <w:tcBorders>
              <w:top w:val="single" w:color="auto" w:sz="4" w:space="0"/>
              <w:left w:val="single" w:color="auto" w:sz="4" w:space="0"/>
              <w:bottom w:val="single" w:color="auto" w:sz="4" w:space="0"/>
              <w:right w:val="single" w:color="auto" w:sz="4" w:space="0"/>
            </w:tcBorders>
            <w:noWrap w:val="0"/>
            <w:vAlign w:val="bottom"/>
          </w:tcPr>
          <w:p w14:paraId="5CA11AE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13.97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11A678B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16.62 </w:t>
            </w:r>
          </w:p>
        </w:tc>
        <w:tc>
          <w:tcPr>
            <w:tcW w:w="837" w:type="dxa"/>
            <w:tcBorders>
              <w:top w:val="single" w:color="auto" w:sz="4" w:space="0"/>
              <w:left w:val="single" w:color="auto" w:sz="4" w:space="0"/>
              <w:bottom w:val="single" w:color="auto" w:sz="4" w:space="0"/>
              <w:right w:val="single" w:color="auto" w:sz="4" w:space="0"/>
            </w:tcBorders>
            <w:noWrap w:val="0"/>
            <w:vAlign w:val="bottom"/>
          </w:tcPr>
          <w:p w14:paraId="26964AC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12.13 </w:t>
            </w:r>
          </w:p>
        </w:tc>
        <w:tc>
          <w:tcPr>
            <w:tcW w:w="803" w:type="dxa"/>
            <w:tcBorders>
              <w:top w:val="single" w:color="auto" w:sz="4" w:space="0"/>
              <w:left w:val="single" w:color="auto" w:sz="4" w:space="0"/>
              <w:bottom w:val="single" w:color="auto" w:sz="4" w:space="0"/>
              <w:right w:val="single" w:color="auto" w:sz="4" w:space="0"/>
            </w:tcBorders>
            <w:noWrap w:val="0"/>
            <w:vAlign w:val="bottom"/>
          </w:tcPr>
          <w:p w14:paraId="7E72D99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9.89 </w:t>
            </w:r>
          </w:p>
        </w:tc>
        <w:tc>
          <w:tcPr>
            <w:tcW w:w="890" w:type="dxa"/>
            <w:tcBorders>
              <w:top w:val="single" w:color="auto" w:sz="4" w:space="0"/>
              <w:left w:val="single" w:color="auto" w:sz="4" w:space="0"/>
              <w:bottom w:val="single" w:color="auto" w:sz="4" w:space="0"/>
              <w:right w:val="single" w:color="auto" w:sz="4" w:space="0"/>
            </w:tcBorders>
            <w:noWrap w:val="0"/>
            <w:vAlign w:val="bottom"/>
          </w:tcPr>
          <w:p w14:paraId="1B1DC40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5.54 </w:t>
            </w:r>
          </w:p>
        </w:tc>
        <w:tc>
          <w:tcPr>
            <w:tcW w:w="644" w:type="dxa"/>
            <w:tcBorders>
              <w:top w:val="single" w:color="auto" w:sz="4" w:space="0"/>
              <w:left w:val="single" w:color="auto" w:sz="4" w:space="0"/>
              <w:bottom w:val="single" w:color="auto" w:sz="4" w:space="0"/>
              <w:right w:val="single" w:color="auto" w:sz="4" w:space="0"/>
            </w:tcBorders>
            <w:noWrap w:val="0"/>
            <w:vAlign w:val="bottom"/>
          </w:tcPr>
          <w:p w14:paraId="681D8FA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3.75 </w:t>
            </w:r>
          </w:p>
        </w:tc>
        <w:tc>
          <w:tcPr>
            <w:tcW w:w="820" w:type="dxa"/>
            <w:tcBorders>
              <w:top w:val="single" w:color="auto" w:sz="4" w:space="0"/>
              <w:left w:val="single" w:color="auto" w:sz="4" w:space="0"/>
              <w:bottom w:val="single" w:color="auto" w:sz="4" w:space="0"/>
              <w:right w:val="single" w:color="auto" w:sz="4" w:space="0"/>
            </w:tcBorders>
            <w:noWrap w:val="0"/>
            <w:vAlign w:val="bottom"/>
          </w:tcPr>
          <w:p w14:paraId="1449595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2.61 </w:t>
            </w:r>
          </w:p>
        </w:tc>
        <w:tc>
          <w:tcPr>
            <w:tcW w:w="644" w:type="dxa"/>
            <w:tcBorders>
              <w:top w:val="single" w:color="auto" w:sz="4" w:space="0"/>
              <w:left w:val="single" w:color="auto" w:sz="4" w:space="0"/>
              <w:bottom w:val="single" w:color="auto" w:sz="4" w:space="0"/>
              <w:right w:val="nil"/>
            </w:tcBorders>
            <w:noWrap w:val="0"/>
            <w:vAlign w:val="bottom"/>
          </w:tcPr>
          <w:p w14:paraId="4C974B6E">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0.14 </w:t>
            </w:r>
          </w:p>
        </w:tc>
      </w:tr>
      <w:tr w14:paraId="5272FE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30" w:type="dxa"/>
            <w:bottom w:w="0" w:type="dxa"/>
            <w:right w:w="30" w:type="dxa"/>
          </w:tblCellMar>
        </w:tblPrEx>
        <w:trPr>
          <w:jc w:val="center"/>
        </w:trPr>
        <w:tc>
          <w:tcPr>
            <w:tcW w:w="542" w:type="pct"/>
            <w:tcBorders>
              <w:top w:val="single" w:color="auto" w:sz="4" w:space="0"/>
              <w:left w:val="nil"/>
              <w:bottom w:val="single" w:color="auto" w:sz="12" w:space="0"/>
              <w:right w:val="single" w:color="auto" w:sz="4" w:space="0"/>
            </w:tcBorders>
            <w:noWrap w:val="0"/>
            <w:vAlign w:val="center"/>
          </w:tcPr>
          <w:p w14:paraId="2EBDBC7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eastAsia="zh-CN"/>
              </w:rPr>
              <w:t>全年</w:t>
            </w:r>
          </w:p>
        </w:tc>
        <w:tc>
          <w:tcPr>
            <w:tcW w:w="739" w:type="dxa"/>
            <w:tcBorders>
              <w:top w:val="single" w:color="auto" w:sz="4" w:space="0"/>
              <w:left w:val="single" w:color="auto" w:sz="4" w:space="0"/>
              <w:bottom w:val="single" w:color="auto" w:sz="12" w:space="0"/>
              <w:right w:val="single" w:color="auto" w:sz="4" w:space="0"/>
            </w:tcBorders>
            <w:noWrap w:val="0"/>
            <w:vAlign w:val="bottom"/>
          </w:tcPr>
          <w:p w14:paraId="777FB5C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4.21 </w:t>
            </w:r>
          </w:p>
        </w:tc>
        <w:tc>
          <w:tcPr>
            <w:tcW w:w="717" w:type="dxa"/>
            <w:tcBorders>
              <w:top w:val="single" w:color="auto" w:sz="4" w:space="0"/>
              <w:left w:val="single" w:color="auto" w:sz="4" w:space="0"/>
              <w:bottom w:val="single" w:color="auto" w:sz="12" w:space="0"/>
              <w:right w:val="single" w:color="auto" w:sz="4" w:space="0"/>
            </w:tcBorders>
            <w:noWrap w:val="0"/>
            <w:vAlign w:val="bottom"/>
          </w:tcPr>
          <w:p w14:paraId="55247BB1">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4.51 </w:t>
            </w:r>
          </w:p>
        </w:tc>
        <w:tc>
          <w:tcPr>
            <w:tcW w:w="642" w:type="dxa"/>
            <w:tcBorders>
              <w:top w:val="single" w:color="auto" w:sz="4" w:space="0"/>
              <w:left w:val="single" w:color="auto" w:sz="4" w:space="0"/>
              <w:bottom w:val="single" w:color="auto" w:sz="12" w:space="0"/>
              <w:right w:val="single" w:color="auto" w:sz="4" w:space="0"/>
            </w:tcBorders>
            <w:noWrap w:val="0"/>
            <w:vAlign w:val="bottom"/>
          </w:tcPr>
          <w:p w14:paraId="78ED3B2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5.61 </w:t>
            </w:r>
          </w:p>
        </w:tc>
        <w:tc>
          <w:tcPr>
            <w:tcW w:w="672" w:type="dxa"/>
            <w:tcBorders>
              <w:top w:val="single" w:color="auto" w:sz="4" w:space="0"/>
              <w:left w:val="single" w:color="auto" w:sz="4" w:space="0"/>
              <w:bottom w:val="single" w:color="auto" w:sz="12" w:space="0"/>
              <w:right w:val="single" w:color="auto" w:sz="4" w:space="0"/>
            </w:tcBorders>
            <w:noWrap w:val="0"/>
            <w:vAlign w:val="bottom"/>
          </w:tcPr>
          <w:p w14:paraId="76379979">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2.04 </w:t>
            </w:r>
          </w:p>
        </w:tc>
        <w:tc>
          <w:tcPr>
            <w:tcW w:w="647" w:type="dxa"/>
            <w:tcBorders>
              <w:top w:val="single" w:color="auto" w:sz="4" w:space="0"/>
              <w:left w:val="single" w:color="auto" w:sz="4" w:space="0"/>
              <w:bottom w:val="single" w:color="auto" w:sz="12" w:space="0"/>
              <w:right w:val="single" w:color="auto" w:sz="4" w:space="0"/>
            </w:tcBorders>
            <w:noWrap w:val="0"/>
            <w:vAlign w:val="bottom"/>
          </w:tcPr>
          <w:p w14:paraId="6BB2FD8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1.21 </w:t>
            </w:r>
          </w:p>
        </w:tc>
        <w:tc>
          <w:tcPr>
            <w:tcW w:w="795" w:type="dxa"/>
            <w:tcBorders>
              <w:top w:val="single" w:color="auto" w:sz="4" w:space="0"/>
              <w:left w:val="single" w:color="auto" w:sz="4" w:space="0"/>
              <w:bottom w:val="single" w:color="auto" w:sz="12" w:space="0"/>
              <w:right w:val="single" w:color="auto" w:sz="4" w:space="0"/>
            </w:tcBorders>
            <w:noWrap w:val="0"/>
            <w:vAlign w:val="bottom"/>
          </w:tcPr>
          <w:p w14:paraId="20B05990">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1.50 </w:t>
            </w:r>
          </w:p>
        </w:tc>
        <w:tc>
          <w:tcPr>
            <w:tcW w:w="642" w:type="dxa"/>
            <w:tcBorders>
              <w:top w:val="single" w:color="auto" w:sz="4" w:space="0"/>
              <w:left w:val="single" w:color="auto" w:sz="4" w:space="0"/>
              <w:bottom w:val="single" w:color="auto" w:sz="12" w:space="0"/>
              <w:right w:val="single" w:color="auto" w:sz="4" w:space="0"/>
            </w:tcBorders>
            <w:noWrap w:val="0"/>
            <w:vAlign w:val="bottom"/>
          </w:tcPr>
          <w:p w14:paraId="7569BBB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1.87 </w:t>
            </w:r>
          </w:p>
        </w:tc>
        <w:tc>
          <w:tcPr>
            <w:tcW w:w="642" w:type="dxa"/>
            <w:tcBorders>
              <w:top w:val="single" w:color="auto" w:sz="4" w:space="0"/>
              <w:left w:val="single" w:color="auto" w:sz="4" w:space="0"/>
              <w:bottom w:val="single" w:color="auto" w:sz="12" w:space="0"/>
              <w:right w:val="single" w:color="auto" w:sz="4" w:space="0"/>
            </w:tcBorders>
            <w:noWrap w:val="0"/>
            <w:vAlign w:val="bottom"/>
          </w:tcPr>
          <w:p w14:paraId="43C8689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4.10 </w:t>
            </w:r>
          </w:p>
        </w:tc>
        <w:tc>
          <w:tcPr>
            <w:tcW w:w="739" w:type="dxa"/>
            <w:tcBorders>
              <w:top w:val="single" w:color="auto" w:sz="4" w:space="0"/>
              <w:left w:val="single" w:color="auto" w:sz="4" w:space="0"/>
              <w:bottom w:val="single" w:color="auto" w:sz="12" w:space="0"/>
              <w:right w:val="single" w:color="auto" w:sz="4" w:space="0"/>
            </w:tcBorders>
            <w:noWrap w:val="0"/>
            <w:vAlign w:val="bottom"/>
          </w:tcPr>
          <w:p w14:paraId="0F8CED04">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14.53 </w:t>
            </w:r>
          </w:p>
        </w:tc>
        <w:tc>
          <w:tcPr>
            <w:tcW w:w="739" w:type="dxa"/>
            <w:tcBorders>
              <w:top w:val="single" w:color="auto" w:sz="4" w:space="0"/>
              <w:left w:val="single" w:color="auto" w:sz="4" w:space="0"/>
              <w:bottom w:val="single" w:color="auto" w:sz="12" w:space="0"/>
              <w:right w:val="single" w:color="auto" w:sz="4" w:space="0"/>
            </w:tcBorders>
            <w:noWrap w:val="0"/>
            <w:vAlign w:val="bottom"/>
          </w:tcPr>
          <w:p w14:paraId="7F8B409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14.46 </w:t>
            </w:r>
          </w:p>
        </w:tc>
        <w:tc>
          <w:tcPr>
            <w:tcW w:w="803" w:type="dxa"/>
            <w:tcBorders>
              <w:top w:val="single" w:color="auto" w:sz="4" w:space="0"/>
              <w:left w:val="single" w:color="auto" w:sz="4" w:space="0"/>
              <w:bottom w:val="single" w:color="auto" w:sz="12" w:space="0"/>
              <w:right w:val="single" w:color="auto" w:sz="4" w:space="0"/>
            </w:tcBorders>
            <w:noWrap w:val="0"/>
            <w:vAlign w:val="bottom"/>
          </w:tcPr>
          <w:p w14:paraId="0AAED37C">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14.70 </w:t>
            </w:r>
          </w:p>
        </w:tc>
        <w:tc>
          <w:tcPr>
            <w:tcW w:w="837" w:type="dxa"/>
            <w:tcBorders>
              <w:top w:val="single" w:color="auto" w:sz="4" w:space="0"/>
              <w:left w:val="single" w:color="auto" w:sz="4" w:space="0"/>
              <w:bottom w:val="single" w:color="auto" w:sz="12" w:space="0"/>
              <w:right w:val="single" w:color="auto" w:sz="4" w:space="0"/>
            </w:tcBorders>
            <w:noWrap w:val="0"/>
            <w:vAlign w:val="bottom"/>
          </w:tcPr>
          <w:p w14:paraId="4CC22AB3">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12.00 </w:t>
            </w:r>
          </w:p>
        </w:tc>
        <w:tc>
          <w:tcPr>
            <w:tcW w:w="803" w:type="dxa"/>
            <w:tcBorders>
              <w:top w:val="single" w:color="auto" w:sz="4" w:space="0"/>
              <w:left w:val="single" w:color="auto" w:sz="4" w:space="0"/>
              <w:bottom w:val="single" w:color="auto" w:sz="12" w:space="0"/>
              <w:right w:val="single" w:color="auto" w:sz="4" w:space="0"/>
            </w:tcBorders>
            <w:noWrap w:val="0"/>
            <w:vAlign w:val="bottom"/>
          </w:tcPr>
          <w:p w14:paraId="651F9E72">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6.98 </w:t>
            </w:r>
          </w:p>
        </w:tc>
        <w:tc>
          <w:tcPr>
            <w:tcW w:w="890" w:type="dxa"/>
            <w:tcBorders>
              <w:top w:val="single" w:color="auto" w:sz="4" w:space="0"/>
              <w:left w:val="single" w:color="auto" w:sz="4" w:space="0"/>
              <w:bottom w:val="single" w:color="auto" w:sz="12" w:space="0"/>
              <w:right w:val="single" w:color="auto" w:sz="4" w:space="0"/>
            </w:tcBorders>
            <w:noWrap w:val="0"/>
            <w:vAlign w:val="bottom"/>
          </w:tcPr>
          <w:p w14:paraId="1172185F">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4.88 </w:t>
            </w:r>
          </w:p>
        </w:tc>
        <w:tc>
          <w:tcPr>
            <w:tcW w:w="644" w:type="dxa"/>
            <w:tcBorders>
              <w:top w:val="single" w:color="auto" w:sz="4" w:space="0"/>
              <w:left w:val="single" w:color="auto" w:sz="4" w:space="0"/>
              <w:bottom w:val="single" w:color="auto" w:sz="12" w:space="0"/>
              <w:right w:val="single" w:color="auto" w:sz="4" w:space="0"/>
            </w:tcBorders>
            <w:noWrap w:val="0"/>
            <w:vAlign w:val="bottom"/>
          </w:tcPr>
          <w:p w14:paraId="14A1202B">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4.13 </w:t>
            </w:r>
          </w:p>
        </w:tc>
        <w:tc>
          <w:tcPr>
            <w:tcW w:w="820" w:type="dxa"/>
            <w:tcBorders>
              <w:top w:val="single" w:color="auto" w:sz="4" w:space="0"/>
              <w:left w:val="single" w:color="auto" w:sz="4" w:space="0"/>
              <w:bottom w:val="single" w:color="auto" w:sz="12" w:space="0"/>
              <w:right w:val="single" w:color="auto" w:sz="4" w:space="0"/>
            </w:tcBorders>
            <w:noWrap w:val="0"/>
            <w:vAlign w:val="bottom"/>
          </w:tcPr>
          <w:p w14:paraId="202F38FD">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2.81 </w:t>
            </w:r>
          </w:p>
        </w:tc>
        <w:tc>
          <w:tcPr>
            <w:tcW w:w="644" w:type="dxa"/>
            <w:tcBorders>
              <w:top w:val="single" w:color="auto" w:sz="4" w:space="0"/>
              <w:left w:val="single" w:color="auto" w:sz="4" w:space="0"/>
              <w:bottom w:val="single" w:color="auto" w:sz="12" w:space="0"/>
              <w:right w:val="nil"/>
            </w:tcBorders>
            <w:noWrap w:val="0"/>
            <w:vAlign w:val="bottom"/>
          </w:tcPr>
          <w:p w14:paraId="4E690F96">
            <w:pPr>
              <w:pStyle w:val="73"/>
              <w:bidi w:val="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en-US" w:eastAsia="zh-CN"/>
              </w:rPr>
              <w:t xml:space="preserve">0.47 </w:t>
            </w:r>
          </w:p>
        </w:tc>
      </w:tr>
    </w:tbl>
    <w:p w14:paraId="74E04AAD">
      <w:pPr>
        <w:pageBreakBefore w:val="0"/>
        <w:widowControl w:val="0"/>
        <w:kinsoku/>
        <w:topLinePunct w:val="0"/>
        <w:bidi w:val="0"/>
        <w:spacing w:line="500" w:lineRule="exact"/>
        <w:ind w:firstLine="480" w:firstLineChars="200"/>
        <w:jc w:val="both"/>
        <w:rPr>
          <w:rFonts w:hint="default" w:ascii="Times New Roman" w:hAnsi="Times New Roman" w:eastAsia="宋体" w:cs="Times New Roman"/>
          <w:color w:val="auto"/>
          <w:kern w:val="2"/>
          <w:sz w:val="24"/>
          <w:szCs w:val="21"/>
          <w:highlight w:val="none"/>
          <w:lang w:val="en-US" w:eastAsia="zh-CN" w:bidi="ar-SA"/>
        </w:rPr>
      </w:pPr>
    </w:p>
    <w:p w14:paraId="4670017C">
      <w:pPr>
        <w:pageBreakBefore w:val="0"/>
        <w:widowControl w:val="0"/>
        <w:kinsoku/>
        <w:topLinePunct w:val="0"/>
        <w:bidi w:val="0"/>
        <w:rPr>
          <w:rFonts w:hint="default" w:ascii="Times New Roman" w:hAnsi="Times New Roman" w:cs="Times New Roman"/>
          <w:color w:val="auto"/>
          <w:highlight w:val="none"/>
        </w:rPr>
        <w:sectPr>
          <w:pgSz w:w="16838" w:h="11906" w:orient="landscape"/>
          <w:pgMar w:top="1440" w:right="1800" w:bottom="1440" w:left="1800" w:header="992" w:footer="850" w:gutter="0"/>
          <w:pgBorders>
            <w:top w:val="none" w:sz="0" w:space="0"/>
            <w:left w:val="none" w:sz="0" w:space="0"/>
            <w:bottom w:val="none" w:sz="0" w:space="0"/>
            <w:right w:val="none" w:sz="0" w:space="0"/>
          </w:pgBorders>
          <w:pgNumType w:fmt="numberInDash"/>
          <w:cols w:space="720" w:num="1"/>
          <w:docGrid w:type="lines" w:linePitch="326" w:charSpace="0"/>
        </w:sectPr>
      </w:pPr>
    </w:p>
    <w:p w14:paraId="223C54DC">
      <w:pPr>
        <w:pageBreakBefore w:val="0"/>
        <w:widowControl w:val="0"/>
        <w:kinsoku/>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eastAsia="仿宋" w:cs="Times New Roman"/>
          <w:snapToGrid/>
          <w:color w:val="auto"/>
          <w:kern w:val="2"/>
          <w:highlight w:val="none"/>
          <w:lang w:val="en-US" w:eastAsia="zh-CN" w:bidi="ar-SA"/>
        </w:rPr>
      </w:pPr>
      <w:r>
        <w:rPr>
          <w:rFonts w:hint="default" w:ascii="Times New Roman" w:hAnsi="Times New Roman" w:cs="Times New Roman"/>
          <w:color w:val="auto"/>
          <w:highlight w:val="none"/>
        </w:rPr>
        <w:drawing>
          <wp:inline distT="0" distB="0" distL="0" distR="0">
            <wp:extent cx="5063490" cy="7228840"/>
            <wp:effectExtent l="0" t="0" r="3810" b="1016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063490" cy="7228840"/>
                    </a:xfrm>
                    <a:prstGeom prst="rect">
                      <a:avLst/>
                    </a:prstGeom>
                    <a:noFill/>
                    <a:ln>
                      <a:noFill/>
                    </a:ln>
                  </pic:spPr>
                </pic:pic>
              </a:graphicData>
            </a:graphic>
          </wp:inline>
        </w:drawing>
      </w:r>
    </w:p>
    <w:p w14:paraId="0ADD4D31">
      <w:pPr>
        <w:keepNext w:val="0"/>
        <w:keepLines w:val="0"/>
        <w:pageBreakBefore w:val="0"/>
        <w:widowControl w:val="0"/>
        <w:kinsoku/>
        <w:wordWrap/>
        <w:overflowPunct/>
        <w:topLinePunct w:val="0"/>
        <w:autoSpaceDE/>
        <w:autoSpaceDN/>
        <w:bidi w:val="0"/>
        <w:adjustRightInd/>
        <w:snapToGrid/>
        <w:spacing w:before="164" w:beforeLines="50" w:after="164" w:afterLines="50" w:line="240" w:lineRule="auto"/>
        <w:ind w:firstLine="0" w:firstLineChars="0"/>
        <w:jc w:val="center"/>
        <w:textAlignment w:val="auto"/>
        <w:rPr>
          <w:rFonts w:hint="default" w:cs="Times New Roman"/>
          <w:b/>
          <w:color w:val="auto"/>
          <w:szCs w:val="24"/>
          <w:highlight w:val="none"/>
          <w:lang w:val="zh-CN" w:eastAsia="zh-CN"/>
        </w:rPr>
      </w:pPr>
      <w:r>
        <w:rPr>
          <w:rFonts w:hint="default" w:cs="Times New Roman"/>
          <w:b/>
          <w:color w:val="auto"/>
          <w:szCs w:val="24"/>
          <w:highlight w:val="none"/>
          <w:lang w:val="zh-CN" w:eastAsia="zh-CN"/>
        </w:rPr>
        <w:t>图4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 xml:space="preserve">-5  </w:t>
      </w:r>
      <w:r>
        <w:rPr>
          <w:rFonts w:hint="default" w:cs="Times New Roman"/>
          <w:b/>
          <w:color w:val="auto"/>
          <w:szCs w:val="24"/>
          <w:highlight w:val="none"/>
          <w:lang w:val="zh-CN" w:eastAsia="zh-CN"/>
        </w:rPr>
        <w:t>双鸭山市2024年全年及四季风频玫瑰图</w:t>
      </w:r>
    </w:p>
    <w:p w14:paraId="5FB4DF4F">
      <w:pPr>
        <w:pStyle w:val="4"/>
        <w:spacing w:after="163"/>
        <w:rPr>
          <w:rFonts w:cs="Times New Roman"/>
          <w:color w:val="auto"/>
          <w:highlight w:val="none"/>
          <w:lang w:val="zh-CN"/>
        </w:rPr>
      </w:pPr>
      <w:bookmarkStart w:id="161" w:name="_Toc21509"/>
      <w:r>
        <w:rPr>
          <w:rFonts w:cs="Times New Roman"/>
          <w:color w:val="auto"/>
          <w:highlight w:val="none"/>
          <w:lang w:val="zh-CN"/>
        </w:rPr>
        <w:t>4.1.4 水文地质</w:t>
      </w:r>
      <w:bookmarkEnd w:id="161"/>
    </w:p>
    <w:p w14:paraId="79AE0045">
      <w:pPr>
        <w:pStyle w:val="117"/>
        <w:keepNext w:val="0"/>
        <w:keepLines w:val="0"/>
        <w:pageBreakBefore w:val="0"/>
        <w:widowControl w:val="0"/>
        <w:kinsoku/>
        <w:wordWrap/>
        <w:overflowPunct/>
        <w:topLinePunct w:val="0"/>
        <w:autoSpaceDE w:val="0"/>
        <w:autoSpaceDN w:val="0"/>
        <w:bidi w:val="0"/>
        <w:adjustRightInd/>
        <w:snapToGrid/>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双鸭山市境内有大小河流百条，大都属于老龄期河道，河床窄小，无自然湖泊，主要河流有安邦河、二道河、小黄河、（外）七星河、挠力河。安邦河属松花江水系，由南向北注入松花江；二道河、小黄河、七星河、挠力河属于乌苏里江水系，由西向东流入乌苏里江。</w:t>
      </w:r>
    </w:p>
    <w:p w14:paraId="1F09E669">
      <w:pPr>
        <w:pStyle w:val="117"/>
        <w:keepNext w:val="0"/>
        <w:keepLines w:val="0"/>
        <w:pageBreakBefore w:val="0"/>
        <w:widowControl w:val="0"/>
        <w:kinsoku/>
        <w:wordWrap/>
        <w:overflowPunct/>
        <w:topLinePunct w:val="0"/>
        <w:autoSpaceDE w:val="0"/>
        <w:autoSpaceDN w:val="0"/>
        <w:bidi w:val="0"/>
        <w:adjustRightInd/>
        <w:snapToGrid/>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安邦河是松花江下游右岸一级支流，属季节性河流。发源于完达山余脉，七星砬子东分水岭北麓，自南向北流经双鸭山市、集贤县福利镇至桦川县境内，由桦川县新河宫汇入松花江。干流全长167km，主要支流有马蹄河、柳树河、小安邦河、哈达密河4条。安邦河干流福利镇以上为山丘区河流，属完达山北麓之低山丘陵区，大部分为森林植被；在福利镇以下进入平原区，主要是山前平原及松花江滩地，大部分被开垦为耕地，地势平缓，自然河道衰老，河道窄浅，无明显河槽，形成无尾河，汛期常洪水泛滥。80年代后进行了大规模整治，开挖新河，就近流入松花江，两岸筑堤，成为灌溉河流。安邦河流域总面积原为2755k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，经治理后集水面积变为1679km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，福利屯水文站以上山丘集水面积547km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。安邦河干流中上游段经由定国山水库、双鸭山岭东区、尖山区过滚兔岭进入集贤县境内的福利镇，主河道长约20km，双鸭山市以上控制面积为455km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w:t>
      </w:r>
    </w:p>
    <w:p w14:paraId="5698B0AA">
      <w:pPr>
        <w:pStyle w:val="117"/>
        <w:keepNext w:val="0"/>
        <w:keepLines w:val="0"/>
        <w:pageBreakBefore w:val="0"/>
        <w:widowControl w:val="0"/>
        <w:kinsoku/>
        <w:wordWrap/>
        <w:overflowPunct/>
        <w:topLinePunct w:val="0"/>
        <w:autoSpaceDE w:val="0"/>
        <w:autoSpaceDN w:val="0"/>
        <w:bidi w:val="0"/>
        <w:adjustRightInd/>
        <w:snapToGrid/>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挠力河：发源于南部完达山分水岭一带，即宝清县与虎林市交界处。是流经区内的主要河流，由上游的大生河、宝密河等河流汇集而成，流入龙头桥水库，龙头桥水库下游即挠力河，开始流经本区，进入平原后迂回曲折，河床浅平，于东北方向流入乌苏里江。多年平均流量20m</w:t>
      </w:r>
      <w:r>
        <w:rPr>
          <w:rFonts w:hint="default" w:ascii="Times New Roman" w:hAnsi="Times New Roman" w:eastAsia="宋体" w:cs="Times New Roman"/>
          <w:color w:val="auto"/>
          <w:sz w:val="24"/>
          <w:szCs w:val="24"/>
          <w:highlight w:val="none"/>
          <w:vertAlign w:val="superscript"/>
        </w:rPr>
        <w:t>3</w:t>
      </w:r>
      <w:r>
        <w:rPr>
          <w:rFonts w:hint="default" w:ascii="Times New Roman" w:hAnsi="Times New Roman" w:eastAsia="宋体" w:cs="Times New Roman"/>
          <w:color w:val="auto"/>
          <w:sz w:val="24"/>
          <w:szCs w:val="24"/>
          <w:highlight w:val="none"/>
        </w:rPr>
        <w:t>/s左右，最大洪峰流量130m</w:t>
      </w:r>
      <w:r>
        <w:rPr>
          <w:rFonts w:hint="default" w:ascii="Times New Roman" w:hAnsi="Times New Roman" w:eastAsia="宋体" w:cs="Times New Roman"/>
          <w:color w:val="auto"/>
          <w:sz w:val="24"/>
          <w:szCs w:val="24"/>
          <w:highlight w:val="none"/>
          <w:vertAlign w:val="superscript"/>
        </w:rPr>
        <w:t>3</w:t>
      </w:r>
      <w:r>
        <w:rPr>
          <w:rFonts w:hint="default" w:ascii="Times New Roman" w:hAnsi="Times New Roman" w:eastAsia="宋体" w:cs="Times New Roman"/>
          <w:color w:val="auto"/>
          <w:sz w:val="24"/>
          <w:szCs w:val="24"/>
          <w:highlight w:val="none"/>
        </w:rPr>
        <w:t>/s，冬季有数月结冰断流，一般在五月冰雪融化期和七月雨季流量较大，出现波峰。十一月至翌年五月份为结冻期。</w:t>
      </w:r>
    </w:p>
    <w:p w14:paraId="4DBD2608">
      <w:pPr>
        <w:pStyle w:val="117"/>
        <w:keepNext w:val="0"/>
        <w:keepLines w:val="0"/>
        <w:pageBreakBefore w:val="0"/>
        <w:widowControl w:val="0"/>
        <w:kinsoku/>
        <w:wordWrap/>
        <w:overflowPunct/>
        <w:topLinePunct w:val="0"/>
        <w:autoSpaceDE w:val="0"/>
        <w:autoSpaceDN w:val="0"/>
        <w:bidi w:val="0"/>
        <w:adjustRightInd/>
        <w:snapToGrid/>
        <w:ind w:firstLine="480"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挠力河西侧支流有大梨树河、宝石河等，由西北向东南流，后又转为向东北流汇入挠力河。东侧支流有柳毛河，神经憋河，小索伦河、大索伦河、蛤蟆通河等，由南向北流入挠力河。</w:t>
      </w:r>
    </w:p>
    <w:p w14:paraId="256C2B8F">
      <w:pPr>
        <w:pStyle w:val="117"/>
        <w:keepNext w:val="0"/>
        <w:keepLines w:val="0"/>
        <w:pageBreakBefore w:val="0"/>
        <w:wordWrap/>
        <w:overflowPunct/>
        <w:topLinePunct w:val="0"/>
        <w:autoSpaceDE w:val="0"/>
        <w:autoSpaceDN w:val="0"/>
        <w:bidi w:val="0"/>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七星河：七星河为挠力河左岸一级支流，位于黑龙江省东部。发源于完达山脉北侧之七星砬子山，全长259.89km，其中双鸭山双鸭山林业局长度62km，宝清县长度1</w:t>
      </w:r>
      <w:r>
        <w:rPr>
          <w:rFonts w:hint="eastAsia" w:cs="Times New Roman"/>
          <w:color w:val="auto"/>
          <w:sz w:val="24"/>
          <w:szCs w:val="24"/>
          <w:highlight w:val="none"/>
          <w:lang w:eastAsia="zh-CN"/>
        </w:rPr>
        <w:t>52.31</w:t>
      </w:r>
      <w:r>
        <w:rPr>
          <w:rFonts w:hint="default" w:ascii="Times New Roman" w:hAnsi="Times New Roman" w:eastAsia="宋体" w:cs="Times New Roman"/>
          <w:color w:val="auto"/>
          <w:sz w:val="24"/>
          <w:szCs w:val="24"/>
          <w:highlight w:val="none"/>
        </w:rPr>
        <w:t>km，五九七农场长度45km，流域面积3985km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流经宝清县、双鸭山市、友谊县、富锦市四市县交界，在大王家附近注入挠力河。河口处地理坐标为东经132°39′49.03″，北纬46°44′29.40″。七星河流域内水系发达，从上游到下游依次有小马蹄河、大马蹄河、金沙河等较大的支流汇入。七星河宝清县段流域普遍为低山丘陵区，流域高程范围57～282m，河道平均坡度在3/1000以下。七星河河流域内土壤肥沃，沿河两岸的滩地被农民开垦为农田，现状主河槽窄而深，宽约6～29m，边坡系数大多小于1.5，主河槽蜿蜒曲折。</w:t>
      </w:r>
    </w:p>
    <w:p w14:paraId="6D37D517">
      <w:pPr>
        <w:bidi w:val="0"/>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本项目</w:t>
      </w:r>
      <w:r>
        <w:rPr>
          <w:rFonts w:hint="default" w:ascii="Times New Roman" w:hAnsi="Times New Roman" w:cs="Times New Roman"/>
          <w:color w:val="auto"/>
          <w:highlight w:val="none"/>
        </w:rPr>
        <w:t>位于</w:t>
      </w:r>
      <w:r>
        <w:rPr>
          <w:rFonts w:hint="default" w:ascii="Times New Roman" w:hAnsi="Times New Roman" w:cs="Times New Roman"/>
          <w:color w:val="auto"/>
          <w:highlight w:val="none"/>
          <w:lang w:val="en-US" w:eastAsia="zh-CN"/>
        </w:rPr>
        <w:t>双鸭山市</w:t>
      </w:r>
      <w:r>
        <w:rPr>
          <w:rFonts w:hint="eastAsia" w:ascii="Times New Roman" w:hAnsi="Times New Roman" w:cs="Times New Roman"/>
          <w:color w:val="auto"/>
          <w:highlight w:val="none"/>
          <w:lang w:val="en-US" w:eastAsia="zh-CN"/>
        </w:rPr>
        <w:t>岭东区</w:t>
      </w:r>
      <w:r>
        <w:rPr>
          <w:rFonts w:hint="default" w:ascii="Times New Roman" w:hAnsi="Times New Roman" w:cs="Times New Roman"/>
          <w:color w:val="auto"/>
          <w:highlight w:val="none"/>
          <w:lang w:eastAsia="zh-CN"/>
        </w:rPr>
        <w:t>，南部为丘陵地貌，北部为低平原区</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eastAsia="zh-CN"/>
        </w:rPr>
        <w:t>区内低平原区及台地区历史时期沉积了一定厚度的第四系松散层，岩性由全新统（</w:t>
      </w:r>
      <w:r>
        <w:rPr>
          <w:rFonts w:hint="default" w:ascii="Times New Roman" w:hAnsi="Times New Roman" w:cs="Times New Roman"/>
          <w:color w:val="auto"/>
          <w:highlight w:val="none"/>
        </w:rPr>
        <w:t>Q</w:t>
      </w:r>
      <w:r>
        <w:rPr>
          <w:rFonts w:hint="default" w:ascii="Times New Roman" w:hAnsi="Times New Roman" w:cs="Times New Roman"/>
          <w:color w:val="auto"/>
          <w:highlight w:val="none"/>
          <w:lang w:val="en-US" w:eastAsia="zh-CN"/>
        </w:rPr>
        <w:t>4</w:t>
      </w:r>
      <w:r>
        <w:rPr>
          <w:rFonts w:hint="default" w:ascii="Times New Roman" w:hAnsi="Times New Roman" w:cs="Times New Roman"/>
          <w:color w:val="auto"/>
          <w:highlight w:val="none"/>
          <w:lang w:eastAsia="zh-CN"/>
        </w:rPr>
        <w:t>）亚粘土、砂、砂砾石与上更新统别拉洪河组（</w:t>
      </w:r>
      <w:r>
        <w:rPr>
          <w:rFonts w:hint="default" w:ascii="Times New Roman" w:hAnsi="Times New Roman" w:cs="Times New Roman"/>
          <w:color w:val="auto"/>
          <w:highlight w:val="none"/>
        </w:rPr>
        <w:t>Q3b</w:t>
      </w:r>
      <w:r>
        <w:rPr>
          <w:rFonts w:hint="default" w:ascii="Times New Roman" w:hAnsi="Times New Roman" w:cs="Times New Roman"/>
          <w:color w:val="auto"/>
          <w:highlight w:val="none"/>
          <w:lang w:eastAsia="zh-CN"/>
        </w:rPr>
        <w:t>）亚粘土、粘土、砂、砂砾石及中更新统浓浆组（</w:t>
      </w:r>
      <w:r>
        <w:rPr>
          <w:rFonts w:hint="default" w:ascii="Times New Roman" w:hAnsi="Times New Roman" w:cs="Times New Roman"/>
          <w:color w:val="auto"/>
          <w:highlight w:val="none"/>
        </w:rPr>
        <w:t>Q2n</w:t>
      </w:r>
      <w:r>
        <w:rPr>
          <w:rFonts w:hint="default" w:ascii="Times New Roman" w:hAnsi="Times New Roman" w:cs="Times New Roman"/>
          <w:color w:val="auto"/>
          <w:highlight w:val="none"/>
          <w:lang w:eastAsia="zh-CN"/>
        </w:rPr>
        <w:t>）亚粘土、含粘土砂及砂组成，各时代沉积的砂、砂砾石层均为良好的含水层，亚粘土层及粘土层多为隔水层，但由于山前台地区亚粘土发育微孔隙裂隙，赋存地下水，为弱含水层。整个区内基岩近地表发育风化裂隙，花岗岩岩层风化带厚度为</w:t>
      </w:r>
      <w:r>
        <w:rPr>
          <w:rFonts w:hint="default" w:ascii="Times New Roman" w:hAnsi="Times New Roman" w:cs="Times New Roman"/>
          <w:color w:val="auto"/>
          <w:highlight w:val="none"/>
          <w:lang w:val="en-US" w:eastAsia="zh-CN"/>
        </w:rPr>
        <w:t>30-60m，白垩系碎屑岩风化带厚度为70-80m，风化带中节理裂隙发育且无填充物，</w:t>
      </w:r>
      <w:r>
        <w:rPr>
          <w:rFonts w:hint="default" w:ascii="Times New Roman" w:hAnsi="Times New Roman" w:cs="Times New Roman"/>
          <w:color w:val="auto"/>
          <w:highlight w:val="none"/>
          <w:lang w:eastAsia="zh-CN"/>
        </w:rPr>
        <w:t>具有随着深度的增加富水性减弱的特征，赋存风化裂隙水，为本区重要的含水岩层。基岩风化带以下岩石完整性较好，裂隙发育极少且多为闭合裂隙，与上覆含水层水量交换微弱，构成该区风化裂隙含水层的底板，属隔水层。本区</w:t>
      </w:r>
      <w:r>
        <w:rPr>
          <w:rFonts w:hint="default" w:ascii="Times New Roman" w:hAnsi="Times New Roman" w:cs="Times New Roman"/>
          <w:color w:val="auto"/>
          <w:highlight w:val="none"/>
        </w:rPr>
        <w:t>水文地质情况</w:t>
      </w:r>
      <w:r>
        <w:rPr>
          <w:rFonts w:hint="default" w:ascii="Times New Roman" w:hAnsi="Times New Roman" w:cs="Times New Roman"/>
          <w:color w:val="auto"/>
          <w:highlight w:val="none"/>
          <w:lang w:eastAsia="zh-CN"/>
        </w:rPr>
        <w:t>分述</w:t>
      </w:r>
      <w:r>
        <w:rPr>
          <w:rFonts w:hint="default" w:ascii="Times New Roman" w:hAnsi="Times New Roman" w:cs="Times New Roman"/>
          <w:color w:val="auto"/>
          <w:highlight w:val="none"/>
        </w:rPr>
        <w:t>如下：</w:t>
      </w:r>
    </w:p>
    <w:p w14:paraId="3A718418">
      <w:pPr>
        <w:bidi w:val="0"/>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lang w:val="en-US" w:eastAsia="zh-CN"/>
        </w:rPr>
        <w:t>1、</w:t>
      </w:r>
      <w:r>
        <w:rPr>
          <w:rFonts w:hint="default" w:ascii="Times New Roman" w:hAnsi="Times New Roman" w:cs="Times New Roman"/>
          <w:b/>
          <w:bCs/>
          <w:color w:val="auto"/>
          <w:highlight w:val="none"/>
        </w:rPr>
        <w:t>含水层</w:t>
      </w:r>
    </w:p>
    <w:p w14:paraId="6A0252F2">
      <w:pPr>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第四系</w:t>
      </w:r>
      <w:r>
        <w:rPr>
          <w:rFonts w:hint="default" w:ascii="Times New Roman" w:hAnsi="Times New Roman" w:cs="Times New Roman"/>
          <w:color w:val="auto"/>
          <w:highlight w:val="none"/>
          <w:lang w:eastAsia="zh-CN"/>
        </w:rPr>
        <w:t>松散岩类</w:t>
      </w:r>
      <w:r>
        <w:rPr>
          <w:rFonts w:hint="default" w:ascii="Times New Roman" w:hAnsi="Times New Roman" w:cs="Times New Roman"/>
          <w:color w:val="auto"/>
          <w:highlight w:val="none"/>
        </w:rPr>
        <w:t>孔隙水</w:t>
      </w:r>
    </w:p>
    <w:p w14:paraId="37EFC550">
      <w:pPr>
        <w:bidi w:val="0"/>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①低平原区第四系砂砾石层孔隙水</w:t>
      </w:r>
    </w:p>
    <w:p w14:paraId="169327AC">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a.水量丰富区（降深为5m，涌水量</w:t>
      </w:r>
      <w:r>
        <w:rPr>
          <w:rFonts w:hint="default" w:ascii="Times New Roman" w:hAnsi="Times New Roman" w:cs="Times New Roman"/>
          <w:color w:val="auto"/>
          <w:highlight w:val="none"/>
        </w:rPr>
        <w:t>1000-</w:t>
      </w:r>
      <w:r>
        <w:rPr>
          <w:rFonts w:hint="default" w:ascii="Times New Roman" w:hAnsi="Times New Roman" w:cs="Times New Roman"/>
          <w:color w:val="auto"/>
          <w:highlight w:val="none"/>
          <w:lang w:val="en-US" w:eastAsia="zh-CN"/>
        </w:rPr>
        <w:t>5</w:t>
      </w:r>
      <w:r>
        <w:rPr>
          <w:rFonts w:hint="default" w:ascii="Times New Roman" w:hAnsi="Times New Roman" w:cs="Times New Roman"/>
          <w:color w:val="auto"/>
          <w:highlight w:val="none"/>
        </w:rPr>
        <w:t>000m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w:t>
      </w:r>
      <w:r>
        <w:rPr>
          <w:rFonts w:hint="default" w:ascii="Times New Roman" w:hAnsi="Times New Roman" w:cs="Times New Roman"/>
          <w:color w:val="auto"/>
          <w:highlight w:val="none"/>
          <w:lang w:val="en-US" w:eastAsia="zh-CN"/>
        </w:rPr>
        <w:t>）</w:t>
      </w:r>
    </w:p>
    <w:p w14:paraId="37088D7A">
      <w:pPr>
        <w:bidi w:val="0"/>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其</w:t>
      </w:r>
      <w:r>
        <w:rPr>
          <w:rFonts w:hint="default" w:ascii="Times New Roman" w:hAnsi="Times New Roman" w:cs="Times New Roman"/>
          <w:color w:val="auto"/>
          <w:highlight w:val="none"/>
          <w:lang w:val="en-US" w:eastAsia="zh-CN"/>
        </w:rPr>
        <w:t>含水层由</w:t>
      </w:r>
      <w:r>
        <w:rPr>
          <w:rFonts w:hint="default" w:ascii="Times New Roman" w:hAnsi="Times New Roman" w:cs="Times New Roman"/>
          <w:color w:val="auto"/>
          <w:highlight w:val="none"/>
          <w:lang w:eastAsia="zh-CN"/>
        </w:rPr>
        <w:t>第四系全新统及第四系上更新统砂、砂砾石组成，多具承压性，局部为潜水，渗透系数为</w:t>
      </w:r>
      <w:r>
        <w:rPr>
          <w:rFonts w:hint="default" w:ascii="Times New Roman" w:hAnsi="Times New Roman" w:cs="Times New Roman"/>
          <w:color w:val="auto"/>
          <w:highlight w:val="none"/>
          <w:lang w:val="en-US" w:eastAsia="zh-CN"/>
        </w:rPr>
        <w:t>12.10-13.68m/d</w:t>
      </w:r>
      <w:r>
        <w:rPr>
          <w:rFonts w:hint="default" w:ascii="Times New Roman" w:hAnsi="Times New Roman" w:cs="Times New Roman"/>
          <w:color w:val="auto"/>
          <w:highlight w:val="none"/>
          <w:lang w:eastAsia="zh-CN"/>
        </w:rPr>
        <w:t>，含水层厚度为</w:t>
      </w:r>
      <w:r>
        <w:rPr>
          <w:rFonts w:hint="default" w:ascii="Times New Roman" w:hAnsi="Times New Roman" w:cs="Times New Roman"/>
          <w:color w:val="auto"/>
          <w:highlight w:val="none"/>
          <w:lang w:val="en-US" w:eastAsia="zh-CN"/>
        </w:rPr>
        <w:t>25-70m</w:t>
      </w:r>
      <w:r>
        <w:rPr>
          <w:rFonts w:hint="default" w:ascii="Times New Roman" w:hAnsi="Times New Roman" w:cs="Times New Roman"/>
          <w:color w:val="auto"/>
          <w:highlight w:val="none"/>
        </w:rPr>
        <w:t>，由南向北</w:t>
      </w:r>
      <w:r>
        <w:rPr>
          <w:rFonts w:hint="default" w:ascii="Times New Roman" w:hAnsi="Times New Roman" w:cs="Times New Roman"/>
          <w:color w:val="auto"/>
          <w:highlight w:val="none"/>
          <w:lang w:eastAsia="zh-CN"/>
        </w:rPr>
        <w:t>、由东向西</w:t>
      </w:r>
      <w:r>
        <w:rPr>
          <w:rFonts w:hint="default" w:ascii="Times New Roman" w:hAnsi="Times New Roman" w:cs="Times New Roman"/>
          <w:color w:val="auto"/>
          <w:highlight w:val="none"/>
        </w:rPr>
        <w:t>逐渐变厚，富水性也逐渐增大，地下水水位埋深</w:t>
      </w:r>
      <w:r>
        <w:rPr>
          <w:rFonts w:hint="default" w:ascii="Times New Roman" w:hAnsi="Times New Roman" w:cs="Times New Roman"/>
          <w:color w:val="auto"/>
          <w:highlight w:val="none"/>
          <w:lang w:eastAsia="zh-CN"/>
        </w:rPr>
        <w:t>一般为</w:t>
      </w:r>
      <w:r>
        <w:rPr>
          <w:rFonts w:hint="default" w:ascii="Times New Roman" w:hAnsi="Times New Roman" w:cs="Times New Roman"/>
          <w:color w:val="auto"/>
          <w:highlight w:val="none"/>
          <w:lang w:val="en-US" w:eastAsia="zh-CN"/>
        </w:rPr>
        <w:t>0.3</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2.0</w:t>
      </w:r>
      <w:r>
        <w:rPr>
          <w:rFonts w:hint="default" w:ascii="Times New Roman" w:hAnsi="Times New Roman" w:cs="Times New Roman"/>
          <w:color w:val="auto"/>
          <w:highlight w:val="none"/>
        </w:rPr>
        <w:t>m</w:t>
      </w:r>
      <w:r>
        <w:rPr>
          <w:rFonts w:hint="default" w:ascii="Times New Roman" w:hAnsi="Times New Roman" w:cs="Times New Roman"/>
          <w:color w:val="auto"/>
          <w:highlight w:val="none"/>
          <w:lang w:eastAsia="zh-CN"/>
        </w:rPr>
        <w:t>，局部大于</w:t>
      </w:r>
      <w:r>
        <w:rPr>
          <w:rFonts w:hint="default" w:ascii="Times New Roman" w:hAnsi="Times New Roman" w:cs="Times New Roman"/>
          <w:color w:val="auto"/>
          <w:highlight w:val="none"/>
          <w:lang w:val="en-US" w:eastAsia="zh-CN"/>
        </w:rPr>
        <w:t>2.0m</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eastAsia="zh-CN"/>
        </w:rPr>
        <w:t>推算</w:t>
      </w:r>
      <w:r>
        <w:rPr>
          <w:rFonts w:hint="default" w:ascii="Times New Roman" w:hAnsi="Times New Roman" w:cs="Times New Roman"/>
          <w:color w:val="auto"/>
          <w:highlight w:val="none"/>
        </w:rPr>
        <w:t>单井涌水量为1000-</w:t>
      </w:r>
      <w:r>
        <w:rPr>
          <w:rFonts w:hint="default" w:ascii="Times New Roman" w:hAnsi="Times New Roman" w:cs="Times New Roman"/>
          <w:color w:val="auto"/>
          <w:highlight w:val="none"/>
          <w:lang w:val="en-US" w:eastAsia="zh-CN"/>
        </w:rPr>
        <w:t>5</w:t>
      </w:r>
      <w:r>
        <w:rPr>
          <w:rFonts w:hint="default" w:ascii="Times New Roman" w:hAnsi="Times New Roman" w:cs="Times New Roman"/>
          <w:color w:val="auto"/>
          <w:highlight w:val="none"/>
        </w:rPr>
        <w:t>000m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w:t>
      </w:r>
      <w:r>
        <w:rPr>
          <w:rFonts w:hint="default" w:ascii="Times New Roman" w:hAnsi="Times New Roman" w:cs="Times New Roman"/>
          <w:color w:val="auto"/>
          <w:highlight w:val="none"/>
          <w:lang w:eastAsia="zh-CN"/>
        </w:rPr>
        <w:t>水量丰富</w:t>
      </w:r>
      <w:r>
        <w:rPr>
          <w:rFonts w:hint="default" w:ascii="Times New Roman" w:hAnsi="Times New Roman" w:cs="Times New Roman"/>
          <w:color w:val="auto"/>
          <w:highlight w:val="none"/>
        </w:rPr>
        <w:t>。地下水化学类型为HCO</w:t>
      </w:r>
      <w:r>
        <w:rPr>
          <w:rFonts w:hint="default" w:ascii="Times New Roman" w:hAnsi="Times New Roman" w:cs="Times New Roman"/>
          <w:color w:val="auto"/>
          <w:highlight w:val="none"/>
          <w:vertAlign w:val="subscript"/>
        </w:rPr>
        <w:t>3</w:t>
      </w:r>
      <w:r>
        <w:rPr>
          <w:rFonts w:hint="default" w:ascii="Times New Roman" w:hAnsi="Times New Roman" w:cs="Times New Roman"/>
          <w:color w:val="auto"/>
          <w:highlight w:val="none"/>
        </w:rPr>
        <w:t>-Ca·</w:t>
      </w:r>
      <w:r>
        <w:rPr>
          <w:rFonts w:hint="default" w:ascii="Times New Roman" w:hAnsi="Times New Roman" w:cs="Times New Roman"/>
          <w:color w:val="auto"/>
          <w:highlight w:val="none"/>
          <w:lang w:val="en-US" w:eastAsia="zh-CN"/>
        </w:rPr>
        <w:t>Mg</w:t>
      </w:r>
      <w:r>
        <w:rPr>
          <w:rFonts w:hint="default" w:ascii="Times New Roman" w:hAnsi="Times New Roman" w:cs="Times New Roman"/>
          <w:color w:val="auto"/>
          <w:highlight w:val="none"/>
        </w:rPr>
        <w:t>型，矿化度一般小于</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g/L，为低矿化度淡水。</w:t>
      </w:r>
    </w:p>
    <w:p w14:paraId="3DAE2CBD">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b.水量中等区（降深为5m，涌水量</w:t>
      </w:r>
      <w:r>
        <w:rPr>
          <w:rFonts w:hint="default" w:ascii="Times New Roman" w:hAnsi="Times New Roman" w:cs="Times New Roman"/>
          <w:color w:val="auto"/>
          <w:highlight w:val="none"/>
        </w:rPr>
        <w:t>100-</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000m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w:t>
      </w:r>
      <w:r>
        <w:rPr>
          <w:rFonts w:hint="default" w:ascii="Times New Roman" w:hAnsi="Times New Roman" w:cs="Times New Roman"/>
          <w:color w:val="auto"/>
          <w:highlight w:val="none"/>
          <w:lang w:val="en-US" w:eastAsia="zh-CN"/>
        </w:rPr>
        <w:t>）</w:t>
      </w:r>
    </w:p>
    <w:p w14:paraId="44A16417">
      <w:pPr>
        <w:bidi w:val="0"/>
        <w:rPr>
          <w:rFonts w:hint="default" w:ascii="Times New Roman" w:hAnsi="Times New Roman" w:cs="Times New Roman"/>
          <w:color w:val="auto"/>
          <w:highlight w:val="none"/>
          <w:lang w:eastAsia="zh-CN"/>
        </w:rPr>
      </w:pPr>
      <w:r>
        <w:rPr>
          <w:rFonts w:hint="eastAsia" w:ascii="Times New Roman" w:hAnsi="Times New Roman" w:cs="Times New Roman"/>
          <w:color w:val="auto"/>
          <w:highlight w:val="none"/>
          <w:lang w:val="en-US" w:eastAsia="zh-CN"/>
        </w:rPr>
        <w:t>其</w:t>
      </w:r>
      <w:r>
        <w:rPr>
          <w:rFonts w:hint="default" w:ascii="Times New Roman" w:hAnsi="Times New Roman" w:cs="Times New Roman"/>
          <w:color w:val="auto"/>
          <w:highlight w:val="none"/>
          <w:lang w:val="en-US" w:eastAsia="zh-CN"/>
        </w:rPr>
        <w:t>含水层由</w:t>
      </w:r>
      <w:r>
        <w:rPr>
          <w:rFonts w:hint="default" w:ascii="Times New Roman" w:hAnsi="Times New Roman" w:cs="Times New Roman"/>
          <w:color w:val="auto"/>
          <w:highlight w:val="none"/>
          <w:lang w:eastAsia="zh-CN"/>
        </w:rPr>
        <w:t>第四系全新统及第四系上更新统砂、砂砾石组成，多具承压性，局部为潜水，渗透系数为</w:t>
      </w:r>
      <w:r>
        <w:rPr>
          <w:rFonts w:hint="default" w:ascii="Times New Roman" w:hAnsi="Times New Roman" w:cs="Times New Roman"/>
          <w:color w:val="auto"/>
          <w:highlight w:val="none"/>
          <w:lang w:val="en-US" w:eastAsia="zh-CN"/>
        </w:rPr>
        <w:t>12.84-27.40m/d</w:t>
      </w:r>
      <w:r>
        <w:rPr>
          <w:rFonts w:hint="default" w:ascii="Times New Roman" w:hAnsi="Times New Roman" w:cs="Times New Roman"/>
          <w:color w:val="auto"/>
          <w:highlight w:val="none"/>
          <w:lang w:eastAsia="zh-CN"/>
        </w:rPr>
        <w:t>，含水层厚度为</w:t>
      </w:r>
      <w:r>
        <w:rPr>
          <w:rFonts w:hint="default" w:ascii="Times New Roman" w:hAnsi="Times New Roman" w:cs="Times New Roman"/>
          <w:color w:val="auto"/>
          <w:highlight w:val="none"/>
          <w:lang w:val="en-US" w:eastAsia="zh-CN"/>
        </w:rPr>
        <w:t>1.5-8m</w:t>
      </w:r>
      <w:r>
        <w:rPr>
          <w:rFonts w:hint="default" w:ascii="Times New Roman" w:hAnsi="Times New Roman" w:cs="Times New Roman"/>
          <w:color w:val="auto"/>
          <w:highlight w:val="none"/>
        </w:rPr>
        <w:t>，由南向北</w:t>
      </w:r>
      <w:r>
        <w:rPr>
          <w:rFonts w:hint="default" w:ascii="Times New Roman" w:hAnsi="Times New Roman" w:cs="Times New Roman"/>
          <w:color w:val="auto"/>
          <w:highlight w:val="none"/>
          <w:lang w:eastAsia="zh-CN"/>
        </w:rPr>
        <w:t>、由东向西</w:t>
      </w:r>
      <w:r>
        <w:rPr>
          <w:rFonts w:hint="default" w:ascii="Times New Roman" w:hAnsi="Times New Roman" w:cs="Times New Roman"/>
          <w:color w:val="auto"/>
          <w:highlight w:val="none"/>
        </w:rPr>
        <w:t>逐渐变厚，富水性也逐渐增大，地下水水位埋深</w:t>
      </w:r>
      <w:r>
        <w:rPr>
          <w:rFonts w:hint="default" w:ascii="Times New Roman" w:hAnsi="Times New Roman" w:cs="Times New Roman"/>
          <w:color w:val="auto"/>
          <w:highlight w:val="none"/>
          <w:lang w:val="en-US" w:eastAsia="zh-CN"/>
        </w:rPr>
        <w:t>1.5</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10</w:t>
      </w:r>
      <w:r>
        <w:rPr>
          <w:rFonts w:hint="default" w:ascii="Times New Roman" w:hAnsi="Times New Roman" w:cs="Times New Roman"/>
          <w:color w:val="auto"/>
          <w:highlight w:val="none"/>
        </w:rPr>
        <w:t>m。</w:t>
      </w:r>
      <w:r>
        <w:rPr>
          <w:rFonts w:hint="default" w:ascii="Times New Roman" w:hAnsi="Times New Roman" w:cs="Times New Roman"/>
          <w:color w:val="auto"/>
          <w:highlight w:val="none"/>
          <w:lang w:eastAsia="zh-CN"/>
        </w:rPr>
        <w:t>推算</w:t>
      </w:r>
      <w:r>
        <w:rPr>
          <w:rFonts w:hint="default" w:ascii="Times New Roman" w:hAnsi="Times New Roman" w:cs="Times New Roman"/>
          <w:color w:val="auto"/>
          <w:highlight w:val="none"/>
        </w:rPr>
        <w:t>单井涌水量为100-</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000m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w:t>
      </w:r>
      <w:r>
        <w:rPr>
          <w:rFonts w:hint="default" w:ascii="Times New Roman" w:hAnsi="Times New Roman" w:cs="Times New Roman"/>
          <w:color w:val="auto"/>
          <w:highlight w:val="none"/>
          <w:lang w:eastAsia="zh-CN"/>
        </w:rPr>
        <w:t>水量中等</w:t>
      </w:r>
      <w:r>
        <w:rPr>
          <w:rFonts w:hint="default" w:ascii="Times New Roman" w:hAnsi="Times New Roman" w:cs="Times New Roman"/>
          <w:color w:val="auto"/>
          <w:highlight w:val="none"/>
        </w:rPr>
        <w:t>。地下水化学类型为HCO</w:t>
      </w:r>
      <w:r>
        <w:rPr>
          <w:rFonts w:hint="default" w:ascii="Times New Roman" w:hAnsi="Times New Roman" w:cs="Times New Roman"/>
          <w:color w:val="auto"/>
          <w:highlight w:val="none"/>
          <w:vertAlign w:val="subscript"/>
        </w:rPr>
        <w:t>3</w:t>
      </w:r>
      <w:r>
        <w:rPr>
          <w:rFonts w:hint="default" w:ascii="Times New Roman" w:hAnsi="Times New Roman" w:cs="Times New Roman"/>
          <w:color w:val="auto"/>
          <w:highlight w:val="none"/>
        </w:rPr>
        <w:t>-Ca·</w:t>
      </w:r>
      <w:r>
        <w:rPr>
          <w:rFonts w:hint="default" w:ascii="Times New Roman" w:hAnsi="Times New Roman" w:cs="Times New Roman"/>
          <w:color w:val="auto"/>
          <w:highlight w:val="none"/>
          <w:lang w:val="en-US" w:eastAsia="zh-CN"/>
        </w:rPr>
        <w:t>Mg</w:t>
      </w:r>
      <w:r>
        <w:rPr>
          <w:rFonts w:hint="default" w:ascii="Times New Roman" w:hAnsi="Times New Roman" w:cs="Times New Roman"/>
          <w:color w:val="auto"/>
          <w:highlight w:val="none"/>
        </w:rPr>
        <w:t>型，矿化度一般小于</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g/L，为低矿化度淡水。</w:t>
      </w:r>
    </w:p>
    <w:p w14:paraId="03262D06">
      <w:pPr>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②台地</w:t>
      </w:r>
      <w:r>
        <w:rPr>
          <w:rFonts w:hint="default" w:ascii="Times New Roman" w:hAnsi="Times New Roman" w:cs="Times New Roman"/>
          <w:color w:val="auto"/>
          <w:highlight w:val="none"/>
        </w:rPr>
        <w:t>第四系</w:t>
      </w:r>
      <w:r>
        <w:rPr>
          <w:rFonts w:hint="default" w:ascii="Times New Roman" w:hAnsi="Times New Roman" w:cs="Times New Roman"/>
          <w:color w:val="auto"/>
          <w:highlight w:val="none"/>
          <w:lang w:eastAsia="zh-CN"/>
        </w:rPr>
        <w:t>亚粘土</w:t>
      </w:r>
      <w:r>
        <w:rPr>
          <w:rFonts w:hint="default" w:ascii="Times New Roman" w:hAnsi="Times New Roman" w:cs="Times New Roman"/>
          <w:color w:val="auto"/>
          <w:highlight w:val="none"/>
        </w:rPr>
        <w:t>微孔隙裂隙水</w:t>
      </w:r>
    </w:p>
    <w:p w14:paraId="28FB09D1">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eastAsia="zh-CN"/>
        </w:rPr>
        <w:t>分布于区内丘陵向平原过渡的</w:t>
      </w:r>
      <w:r>
        <w:rPr>
          <w:rFonts w:hint="default" w:ascii="Times New Roman" w:hAnsi="Times New Roman" w:cs="Times New Roman"/>
          <w:color w:val="auto"/>
          <w:highlight w:val="none"/>
        </w:rPr>
        <w:t>山前台地区，含水层岩性为</w:t>
      </w:r>
      <w:r>
        <w:rPr>
          <w:rFonts w:hint="default" w:ascii="Times New Roman" w:hAnsi="Times New Roman" w:cs="Times New Roman"/>
          <w:color w:val="auto"/>
          <w:highlight w:val="none"/>
          <w:lang w:eastAsia="zh-CN"/>
        </w:rPr>
        <w:t>亚粘土或含</w:t>
      </w:r>
      <w:r>
        <w:rPr>
          <w:rFonts w:hint="default" w:ascii="Times New Roman" w:hAnsi="Times New Roman" w:cs="Times New Roman"/>
          <w:color w:val="auto"/>
          <w:highlight w:val="none"/>
        </w:rPr>
        <w:t>粘</w:t>
      </w:r>
      <w:r>
        <w:rPr>
          <w:rFonts w:hint="default" w:ascii="Times New Roman" w:hAnsi="Times New Roman" w:cs="Times New Roman"/>
          <w:color w:val="auto"/>
          <w:highlight w:val="none"/>
          <w:lang w:eastAsia="zh-CN"/>
        </w:rPr>
        <w:t>土砂</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eastAsia="zh-CN"/>
        </w:rPr>
        <w:t>厚度</w:t>
      </w:r>
      <w:r>
        <w:rPr>
          <w:rFonts w:hint="default" w:ascii="Times New Roman" w:hAnsi="Times New Roman" w:cs="Times New Roman"/>
          <w:color w:val="auto"/>
          <w:highlight w:val="none"/>
        </w:rPr>
        <w:t>为10m-20m，</w:t>
      </w:r>
      <w:r>
        <w:rPr>
          <w:rFonts w:hint="default" w:ascii="Times New Roman" w:hAnsi="Times New Roman" w:cs="Times New Roman"/>
          <w:color w:val="auto"/>
          <w:highlight w:val="none"/>
          <w:lang w:eastAsia="zh-CN"/>
        </w:rPr>
        <w:t>根据经验值确定其渗透系数为</w:t>
      </w:r>
      <w:r>
        <w:rPr>
          <w:rFonts w:hint="default" w:ascii="Times New Roman" w:hAnsi="Times New Roman" w:cs="Times New Roman"/>
          <w:color w:val="auto"/>
          <w:highlight w:val="none"/>
          <w:lang w:val="en-US" w:eastAsia="zh-CN"/>
        </w:rPr>
        <w:t>0.1-0.25m/d，</w:t>
      </w:r>
      <w:r>
        <w:rPr>
          <w:rFonts w:hint="default" w:ascii="Times New Roman" w:hAnsi="Times New Roman" w:cs="Times New Roman"/>
          <w:color w:val="auto"/>
          <w:highlight w:val="none"/>
        </w:rPr>
        <w:t>地下水水位埋深</w:t>
      </w:r>
      <w:r>
        <w:rPr>
          <w:rFonts w:hint="default" w:ascii="Times New Roman" w:hAnsi="Times New Roman" w:cs="Times New Roman"/>
          <w:color w:val="auto"/>
          <w:highlight w:val="none"/>
          <w:lang w:val="en-US" w:eastAsia="zh-CN"/>
        </w:rPr>
        <w:t>0.2</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10</w:t>
      </w:r>
      <w:r>
        <w:rPr>
          <w:rFonts w:hint="default" w:ascii="Times New Roman" w:hAnsi="Times New Roman" w:cs="Times New Roman"/>
          <w:color w:val="auto"/>
          <w:highlight w:val="none"/>
        </w:rPr>
        <w:t>m。该弱含水层的空间主要是亚粘土的柱状微裂隙或微孔隙。含水层接受补给能力弱，径流条件不好，属潜水，水量贫乏，</w:t>
      </w:r>
      <w:r>
        <w:rPr>
          <w:rFonts w:hint="default" w:ascii="Times New Roman" w:hAnsi="Times New Roman" w:cs="Times New Roman"/>
          <w:color w:val="auto"/>
          <w:highlight w:val="none"/>
          <w:lang w:eastAsia="zh-CN"/>
        </w:rPr>
        <w:t>推算</w:t>
      </w:r>
      <w:r>
        <w:rPr>
          <w:rFonts w:hint="default" w:ascii="Times New Roman" w:hAnsi="Times New Roman" w:cs="Times New Roman"/>
          <w:color w:val="auto"/>
          <w:highlight w:val="none"/>
        </w:rPr>
        <w:t>单井涌水量小于100m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/d。地下水化学类型为HCO</w:t>
      </w:r>
      <w:r>
        <w:rPr>
          <w:rFonts w:hint="default" w:ascii="Times New Roman" w:hAnsi="Times New Roman" w:cs="Times New Roman"/>
          <w:color w:val="auto"/>
          <w:highlight w:val="none"/>
          <w:vertAlign w:val="subscript"/>
        </w:rPr>
        <w:t>3</w:t>
      </w:r>
      <w:r>
        <w:rPr>
          <w:rFonts w:hint="default" w:ascii="Times New Roman" w:hAnsi="Times New Roman" w:cs="Times New Roman"/>
          <w:color w:val="auto"/>
          <w:highlight w:val="none"/>
        </w:rPr>
        <w:t>-Ca·</w:t>
      </w:r>
      <w:r>
        <w:rPr>
          <w:rFonts w:hint="default" w:ascii="Times New Roman" w:hAnsi="Times New Roman" w:cs="Times New Roman"/>
          <w:color w:val="auto"/>
          <w:highlight w:val="none"/>
          <w:lang w:val="en-US" w:eastAsia="zh-CN"/>
        </w:rPr>
        <w:t>Mg</w:t>
      </w:r>
      <w:r>
        <w:rPr>
          <w:rFonts w:hint="default" w:ascii="Times New Roman" w:hAnsi="Times New Roman" w:cs="Times New Roman"/>
          <w:color w:val="auto"/>
          <w:highlight w:val="none"/>
        </w:rPr>
        <w:t>型，矿化度一般小于</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g/L，为低矿化度淡水。</w:t>
      </w:r>
    </w:p>
    <w:p w14:paraId="388ADF1B">
      <w:pPr>
        <w:bidi w:val="0"/>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lang w:eastAsia="zh-CN"/>
        </w:rPr>
        <w:t>）基岩裂隙水</w:t>
      </w:r>
    </w:p>
    <w:p w14:paraId="76101F1C">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①白垩系碎屑岩风化裂隙承压水</w:t>
      </w:r>
    </w:p>
    <w:p w14:paraId="20D7B991">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大范围分布于评价区北部，掩埋于第四系地层之下，含水岩组为一套陆相含煤地层，主要由砂岩、泥岩、煤层等组成，层状构造，随着埋藏深度的增加，地下水交替缓慢，水中矿物发生沉淀，岩石孔隙受到充填，透水性随深度增加不断变弱，该含水层厚度为70-80m，与上覆第四系松散岩类孔隙含水层中间有稳定厚度的粘土层相隔、水力联系微弱，具承压性，根据集贤煤矿资料，确定该含水层渗透系数为0.6-2.3m/d，水量贫乏-中等。</w:t>
      </w:r>
    </w:p>
    <w:p w14:paraId="75D68BD6">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②花岗岩风化网状裂隙水</w:t>
      </w:r>
    </w:p>
    <w:p w14:paraId="70A15875">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 分布于评价区南部山前台地和丘陵地区，其中山前台地区上覆厚约15-60m亚粘土层，具承压性；丘陵区亚粘土分布不连续，且厚度较小，约1m左右，局部基岩裸露，地下水类型为潜水。该岩层在风化剥蚀作用下，风化裂隙发育，为大气降水的渗入和汇集创造了必要条件，形成了本区的基岩风化裂隙水。该含水层厚度为30-50m，富水性弱，分布不均一，地下水水位埋深20m左右，并由地势高向地势低处逐步变浅。该含水层渗透系数为0.1-3.0m/d，推算单井涌水量小于100m</w:t>
      </w:r>
      <w:r>
        <w:rPr>
          <w:rFonts w:hint="default" w:ascii="Times New Roman" w:hAnsi="Times New Roman" w:cs="Times New Roman"/>
          <w:color w:val="auto"/>
          <w:highlight w:val="none"/>
          <w:vertAlign w:val="superscript"/>
          <w:lang w:val="en-US" w:eastAsia="zh-CN"/>
        </w:rPr>
        <w:t>3</w:t>
      </w:r>
      <w:r>
        <w:rPr>
          <w:rFonts w:hint="default" w:ascii="Times New Roman" w:hAnsi="Times New Roman" w:cs="Times New Roman"/>
          <w:color w:val="auto"/>
          <w:highlight w:val="none"/>
          <w:lang w:val="en-US" w:eastAsia="zh-CN"/>
        </w:rPr>
        <w:t>/d，富水性贫乏。地下水化学类型主要为HCO</w:t>
      </w:r>
      <w:r>
        <w:rPr>
          <w:rFonts w:hint="default" w:ascii="Times New Roman" w:hAnsi="Times New Roman" w:cs="Times New Roman"/>
          <w:color w:val="auto"/>
          <w:highlight w:val="none"/>
          <w:vertAlign w:val="subscript"/>
          <w:lang w:val="en-US" w:eastAsia="zh-CN"/>
        </w:rPr>
        <w:t>3</w:t>
      </w:r>
      <w:r>
        <w:rPr>
          <w:rFonts w:hint="default" w:ascii="Times New Roman" w:hAnsi="Times New Roman" w:cs="Times New Roman"/>
          <w:color w:val="auto"/>
          <w:highlight w:val="none"/>
          <w:lang w:val="en-US" w:eastAsia="zh-CN"/>
        </w:rPr>
        <w:t>-Ca·Mg型水，矿化度一般小于0.1g/L。</w:t>
      </w:r>
    </w:p>
    <w:p w14:paraId="66209B23">
      <w:pPr>
        <w:pStyle w:val="486"/>
        <w:bidi w:val="0"/>
        <w:rPr>
          <w:rFonts w:hint="default" w:ascii="Times New Roman" w:hAnsi="Times New Roman" w:cs="Times New Roman"/>
          <w:color w:val="auto"/>
          <w:highlight w:val="none"/>
        </w:rPr>
      </w:pPr>
    </w:p>
    <w:p w14:paraId="2361FF14">
      <w:pPr>
        <w:bidi w:val="0"/>
        <w:rPr>
          <w:rFonts w:hint="default" w:ascii="Times New Roman" w:hAnsi="Times New Roman" w:cs="Times New Roman"/>
          <w:b/>
          <w:bCs/>
          <w:color w:val="auto"/>
          <w:highlight w:val="none"/>
          <w:lang w:val="en-US" w:eastAsia="zh-CN"/>
        </w:rPr>
      </w:pPr>
      <w:r>
        <w:rPr>
          <w:rFonts w:hint="default" w:ascii="Times New Roman" w:hAnsi="Times New Roman" w:cs="Times New Roman"/>
          <w:b/>
          <w:bCs/>
          <w:color w:val="auto"/>
          <w:highlight w:val="none"/>
          <w:lang w:val="en-US" w:eastAsia="zh-CN"/>
        </w:rPr>
        <w:t>2、隔水层特征</w:t>
      </w:r>
    </w:p>
    <w:p w14:paraId="256DEAAA">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（1）第四系亚粘土、粘土隔水层</w:t>
      </w:r>
    </w:p>
    <w:p w14:paraId="4830D6B1">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第四系全新统亚粘土层及上更新统别拉洪河组地层亚粘土层分布于广大平原区的地表，厚度为1-3m。上更新统别拉洪河组地层中部穿插有数条带状及透镜体状的亚粘土及粘土层，厚度一般小于15m。中更新统浓江组粘土层分布于低平原区及台地区的底部，厚度为10-30m。根据经验值确定粘土层渗透系数为1</w:t>
      </w:r>
      <w:r>
        <w:rPr>
          <w:rFonts w:hint="default" w:ascii="Times New Roman" w:hAnsi="Times New Roman" w:cs="Times New Roman"/>
          <w:color w:val="auto"/>
          <w:highlight w:val="none"/>
        </w:rPr>
        <w:t>×10</w:t>
      </w:r>
      <w:r>
        <w:rPr>
          <w:rFonts w:hint="default" w:ascii="Times New Roman" w:hAnsi="Times New Roman" w:cs="Times New Roman"/>
          <w:color w:val="auto"/>
          <w:highlight w:val="none"/>
          <w:vertAlign w:val="superscript"/>
        </w:rPr>
        <w:t>-6</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×10</w:t>
      </w:r>
      <w:r>
        <w:rPr>
          <w:rFonts w:hint="default" w:ascii="Times New Roman" w:hAnsi="Times New Roman" w:cs="Times New Roman"/>
          <w:color w:val="auto"/>
          <w:highlight w:val="none"/>
          <w:vertAlign w:val="superscript"/>
        </w:rPr>
        <w:t>-</w:t>
      </w:r>
      <w:r>
        <w:rPr>
          <w:rFonts w:hint="default" w:ascii="Times New Roman" w:hAnsi="Times New Roman" w:cs="Times New Roman"/>
          <w:color w:val="auto"/>
          <w:highlight w:val="none"/>
          <w:vertAlign w:val="superscript"/>
          <w:lang w:val="en-US" w:eastAsia="zh-CN"/>
        </w:rPr>
        <w:t>8</w:t>
      </w:r>
      <w:r>
        <w:rPr>
          <w:rFonts w:hint="default" w:ascii="Times New Roman" w:hAnsi="Times New Roman" w:cs="Times New Roman"/>
          <w:color w:val="auto"/>
          <w:highlight w:val="none"/>
          <w:lang w:val="en-US" w:eastAsia="zh-CN"/>
        </w:rPr>
        <w:t>cm/s，亚粘土层渗透系数为1</w:t>
      </w:r>
      <w:r>
        <w:rPr>
          <w:rFonts w:hint="default" w:ascii="Times New Roman" w:hAnsi="Times New Roman" w:cs="Times New Roman"/>
          <w:color w:val="auto"/>
          <w:highlight w:val="none"/>
        </w:rPr>
        <w:t>×10</w:t>
      </w:r>
      <w:r>
        <w:rPr>
          <w:rFonts w:hint="default" w:ascii="Times New Roman" w:hAnsi="Times New Roman" w:cs="Times New Roman"/>
          <w:color w:val="auto"/>
          <w:highlight w:val="none"/>
          <w:vertAlign w:val="superscript"/>
        </w:rPr>
        <w:t>-</w:t>
      </w:r>
      <w:r>
        <w:rPr>
          <w:rFonts w:hint="default" w:ascii="Times New Roman" w:hAnsi="Times New Roman" w:cs="Times New Roman"/>
          <w:color w:val="auto"/>
          <w:highlight w:val="none"/>
          <w:vertAlign w:val="superscript"/>
          <w:lang w:val="en-US" w:eastAsia="zh-CN"/>
        </w:rPr>
        <w:t>5</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×10</w:t>
      </w:r>
      <w:r>
        <w:rPr>
          <w:rFonts w:hint="default" w:ascii="Times New Roman" w:hAnsi="Times New Roman" w:cs="Times New Roman"/>
          <w:color w:val="auto"/>
          <w:highlight w:val="none"/>
          <w:vertAlign w:val="superscript"/>
        </w:rPr>
        <w:t>-</w:t>
      </w:r>
      <w:r>
        <w:rPr>
          <w:rFonts w:hint="default" w:ascii="Times New Roman" w:hAnsi="Times New Roman" w:cs="Times New Roman"/>
          <w:color w:val="auto"/>
          <w:highlight w:val="none"/>
          <w:vertAlign w:val="superscript"/>
          <w:lang w:val="en-US" w:eastAsia="zh-CN"/>
        </w:rPr>
        <w:t>6</w:t>
      </w:r>
      <w:r>
        <w:rPr>
          <w:rFonts w:hint="default" w:ascii="Times New Roman" w:hAnsi="Times New Roman" w:cs="Times New Roman"/>
          <w:color w:val="auto"/>
          <w:highlight w:val="none"/>
          <w:lang w:val="en-US" w:eastAsia="zh-CN"/>
        </w:rPr>
        <w:t>cm/s，均为隔水层。</w:t>
      </w:r>
    </w:p>
    <w:p w14:paraId="2952414B">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（2）完整基岩隔水层</w:t>
      </w:r>
    </w:p>
    <w:p w14:paraId="254CB269">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完整基岩伏</w:t>
      </w:r>
      <w:r>
        <w:rPr>
          <w:rFonts w:hint="default" w:ascii="Times New Roman" w:hAnsi="Times New Roman" w:cs="Times New Roman"/>
          <w:color w:val="auto"/>
          <w:highlight w:val="none"/>
          <w:lang w:eastAsia="zh-CN"/>
        </w:rPr>
        <w:t>于风化带底部，构成了全区基岩风化裂隙含水层底板，岩性主要为花岗岩及白垩系猴石沟组砂岩，厚度可达数百米，根据经验值确定完整岩石的渗透系数一般为</w:t>
      </w:r>
      <w:r>
        <w:rPr>
          <w:rFonts w:hint="default" w:ascii="Times New Roman" w:hAnsi="Times New Roman" w:cs="Times New Roman"/>
          <w:color w:val="auto"/>
          <w:highlight w:val="none"/>
        </w:rPr>
        <w:t>2×10</w:t>
      </w:r>
      <w:r>
        <w:rPr>
          <w:rFonts w:hint="default" w:ascii="Times New Roman" w:hAnsi="Times New Roman" w:cs="Times New Roman"/>
          <w:color w:val="auto"/>
          <w:highlight w:val="none"/>
          <w:vertAlign w:val="superscript"/>
        </w:rPr>
        <w:t>-</w:t>
      </w:r>
      <w:r>
        <w:rPr>
          <w:rFonts w:hint="default" w:ascii="Times New Roman" w:hAnsi="Times New Roman" w:cs="Times New Roman"/>
          <w:color w:val="auto"/>
          <w:highlight w:val="none"/>
          <w:vertAlign w:val="superscript"/>
          <w:lang w:val="en-US" w:eastAsia="zh-CN"/>
        </w:rPr>
        <w:t>7</w:t>
      </w:r>
      <w:r>
        <w:rPr>
          <w:rFonts w:hint="default" w:ascii="Times New Roman" w:hAnsi="Times New Roman" w:cs="Times New Roman"/>
          <w:color w:val="auto"/>
          <w:highlight w:val="none"/>
          <w:lang w:val="en-US" w:eastAsia="zh-CN"/>
        </w:rPr>
        <w:t>cm/s，为隔水层。</w:t>
      </w:r>
    </w:p>
    <w:p w14:paraId="5D2B6B1B">
      <w:pPr>
        <w:bidi w:val="0"/>
        <w:rPr>
          <w:rFonts w:hint="default" w:ascii="Times New Roman" w:hAnsi="Times New Roman" w:cs="Times New Roman"/>
          <w:b/>
          <w:bCs/>
          <w:color w:val="auto"/>
          <w:highlight w:val="none"/>
          <w:lang w:val="en-US" w:eastAsia="zh-CN"/>
        </w:rPr>
      </w:pPr>
      <w:r>
        <w:rPr>
          <w:rFonts w:hint="default" w:ascii="Times New Roman" w:hAnsi="Times New Roman" w:cs="Times New Roman"/>
          <w:b/>
          <w:bCs/>
          <w:color w:val="auto"/>
          <w:highlight w:val="none"/>
          <w:lang w:val="en-US" w:eastAsia="zh-CN"/>
        </w:rPr>
        <w:t>3、地下水补给、径流及排泄条件</w:t>
      </w:r>
    </w:p>
    <w:p w14:paraId="4C588E82">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区内低平原地带第四纪以来沉积了一定厚度以砂和砂砾石为主的第四系松散物质，构成了平坦地表，储水条件较好，给雨水的就地渗入和地下水的集聚创造了有利条件，该区主要接受大气降水入渗和地下水侧向径流补给，同时洪水期安邦河河水位上涨，河水补给沿岸的潜水层，受地形地貌及人为的影响，地下水整体流向为由南至北，多以径流的形式排泄于区外，由于该区地下水埋深较浅，蒸发排泄也是其重要的形式之一，另外枯水期向河流的排泄、人为的开发利用及越流排泄于相邻的含水层亦为其排泄途径。</w:t>
      </w:r>
    </w:p>
    <w:p w14:paraId="59FF9B1A">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台地亚粘土发育微孔隙裂隙，大气降水为其唯一的补给来源，受地形地貌的影响，地下水由南向北运移，排泄于下游低平原松散岩类孔隙水，由于该区地下水水位埋深浅，且径流缓慢，该含水层潜水蒸发排泄作用剧烈。</w:t>
      </w:r>
    </w:p>
    <w:p w14:paraId="22BD8D83">
      <w:pPr>
        <w:bidi w:val="0"/>
        <w:rPr>
          <w:rFonts w:hint="default" w:ascii="Times New Roman" w:hAnsi="Times New Roman" w:cs="Times New Roman"/>
          <w:b/>
          <w:bCs/>
          <w:color w:val="auto"/>
          <w:highlight w:val="none"/>
          <w:lang w:val="en-US" w:eastAsia="zh-CN"/>
        </w:rPr>
      </w:pPr>
      <w:r>
        <w:rPr>
          <w:rFonts w:hint="default" w:ascii="Times New Roman" w:hAnsi="Times New Roman" w:cs="Times New Roman"/>
          <w:b/>
          <w:bCs/>
          <w:color w:val="auto"/>
          <w:highlight w:val="none"/>
          <w:lang w:val="en-US" w:eastAsia="zh-CN"/>
        </w:rPr>
        <w:t>4、地下水动态特征</w:t>
      </w:r>
    </w:p>
    <w:p w14:paraId="0272B80E">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本区气候冬季漫长严寒，夏季短热且多雨，季节变化明显，降水多集中于6、7、8月份，分布不平衡，所以在雨季时，地下水能得到充分的补给，地下水动态随季节变化而变化。气候的另一个特征是：季节性冻土分布广泛，冻土厚1-2m，冻结时间开始于11月，翌年4-5月份才全部溶化，但地表积雪溶化较早，因而冻土层起到隔水作用，所以溶化的雪水大部分蒸发到大气中或形成地表径流，对地下水的补给意义不大，季节性冻土的存在对地下水动态影响较大。</w:t>
      </w:r>
    </w:p>
    <w:p w14:paraId="2A2A6CDC">
      <w:pPr>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地下水动态受季节影响较大，地下水水位最低值出现在4-5月，8-9月水位达到最高值。地下水位动态呈现季节性变化规律，每年4-5月地表蒸发量开始增强而降水量依然较小，季节性冻土层开始融化，地下水尚未得到降水和溶化雪水的有效补给，水位较低；此后，随降雨量增加，渗入补给量随之加大，地下水水位开始普遍上升，并随着降水量增大，地下水水位上升速度加快，8-9月达到峰值；从9月底开始，降水量不断减少，地下水水位开始缓慢下降，11月地表开始冻结，到翌年4-5月份冻土完全融化前，地下水都处于下降状态。</w:t>
      </w:r>
    </w:p>
    <w:p w14:paraId="7A4CC893">
      <w:pPr>
        <w:spacing w:line="500" w:lineRule="exact"/>
        <w:rPr>
          <w:rFonts w:hint="default" w:ascii="Times New Roman" w:hAnsi="Times New Roman" w:eastAsia="宋体" w:cs="Times New Roman"/>
          <w:color w:val="auto"/>
          <w:sz w:val="24"/>
          <w:szCs w:val="24"/>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5DC3F943">
      <w:pPr>
        <w:pStyle w:val="8"/>
        <w:rPr>
          <w:rFonts w:hint="default"/>
          <w:color w:val="auto"/>
          <w:highlight w:val="none"/>
        </w:rPr>
      </w:pPr>
      <w:r>
        <w:rPr>
          <w:rFonts w:ascii="宋体" w:hAnsi="宋体" w:eastAsia="宋体" w:cs="宋体"/>
          <w:color w:val="auto"/>
          <w:sz w:val="24"/>
          <w:szCs w:val="24"/>
          <w:highlight w:val="none"/>
        </w:rPr>
        <w:drawing>
          <wp:anchor distT="0" distB="0" distL="114300" distR="114300" simplePos="0" relativeHeight="251763712" behindDoc="0" locked="0" layoutInCell="1" allowOverlap="1">
            <wp:simplePos x="0" y="0"/>
            <wp:positionH relativeFrom="column">
              <wp:posOffset>1191260</wp:posOffset>
            </wp:positionH>
            <wp:positionV relativeFrom="paragraph">
              <wp:posOffset>-130175</wp:posOffset>
            </wp:positionV>
            <wp:extent cx="6767195" cy="4938395"/>
            <wp:effectExtent l="0" t="0" r="14605" b="14605"/>
            <wp:wrapSquare wrapText="bothSides"/>
            <wp:docPr id="19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4" descr="IMG_256"/>
                    <pic:cNvPicPr>
                      <a:picLocks noChangeAspect="1"/>
                    </pic:cNvPicPr>
                  </pic:nvPicPr>
                  <pic:blipFill>
                    <a:blip r:embed="rId38"/>
                    <a:stretch>
                      <a:fillRect/>
                    </a:stretch>
                  </pic:blipFill>
                  <pic:spPr>
                    <a:xfrm>
                      <a:off x="0" y="0"/>
                      <a:ext cx="6767195" cy="4938395"/>
                    </a:xfrm>
                    <a:prstGeom prst="rect">
                      <a:avLst/>
                    </a:prstGeom>
                    <a:noFill/>
                    <a:ln>
                      <a:noFill/>
                    </a:ln>
                  </pic:spPr>
                </pic:pic>
              </a:graphicData>
            </a:graphic>
          </wp:anchor>
        </w:drawing>
      </w:r>
    </w:p>
    <w:p w14:paraId="4EAC6416">
      <w:pPr>
        <w:pStyle w:val="8"/>
        <w:rPr>
          <w:color w:val="auto"/>
          <w:highlight w:val="none"/>
          <w:lang w:val="zh-CN"/>
        </w:rPr>
      </w:pPr>
    </w:p>
    <w:p w14:paraId="4F5E8E87">
      <w:pPr>
        <w:pStyle w:val="9"/>
        <w:rPr>
          <w:color w:val="auto"/>
          <w:highlight w:val="none"/>
          <w:lang w:val="zh-CN"/>
        </w:rPr>
      </w:pPr>
    </w:p>
    <w:p w14:paraId="15BC9BD2">
      <w:pPr>
        <w:rPr>
          <w:color w:val="auto"/>
          <w:highlight w:val="none"/>
          <w:lang w:val="zh-CN"/>
        </w:rPr>
      </w:pPr>
    </w:p>
    <w:p w14:paraId="0EB31981">
      <w:pPr>
        <w:pStyle w:val="8"/>
        <w:rPr>
          <w:color w:val="auto"/>
          <w:highlight w:val="none"/>
          <w:lang w:val="zh-CN"/>
        </w:rPr>
      </w:pPr>
    </w:p>
    <w:p w14:paraId="1675E7BC">
      <w:pPr>
        <w:pStyle w:val="8"/>
        <w:rPr>
          <w:color w:val="auto"/>
          <w:highlight w:val="none"/>
          <w:lang w:val="zh-CN"/>
        </w:rPr>
      </w:pPr>
    </w:p>
    <w:p w14:paraId="174AFF79">
      <w:pPr>
        <w:pStyle w:val="8"/>
        <w:rPr>
          <w:color w:val="auto"/>
          <w:highlight w:val="none"/>
          <w:lang w:val="zh-CN"/>
        </w:rPr>
      </w:pPr>
      <w:r>
        <w:rPr>
          <w:color w:val="auto"/>
          <w:sz w:val="24"/>
          <w:highlight w:val="none"/>
        </w:rPr>
        <mc:AlternateContent>
          <mc:Choice Requires="wps">
            <w:drawing>
              <wp:anchor distT="0" distB="0" distL="114300" distR="114300" simplePos="0" relativeHeight="251769856" behindDoc="0" locked="0" layoutInCell="1" allowOverlap="1">
                <wp:simplePos x="0" y="0"/>
                <wp:positionH relativeFrom="column">
                  <wp:posOffset>5654040</wp:posOffset>
                </wp:positionH>
                <wp:positionV relativeFrom="paragraph">
                  <wp:posOffset>70485</wp:posOffset>
                </wp:positionV>
                <wp:extent cx="822325" cy="355600"/>
                <wp:effectExtent l="4445" t="5080" r="11430" b="344170"/>
                <wp:wrapNone/>
                <wp:docPr id="189" name="矩形标注 189"/>
                <wp:cNvGraphicFramePr/>
                <a:graphic xmlns:a="http://schemas.openxmlformats.org/drawingml/2006/main">
                  <a:graphicData uri="http://schemas.microsoft.com/office/word/2010/wordprocessingShape">
                    <wps:wsp>
                      <wps:cNvSpPr/>
                      <wps:spPr>
                        <a:xfrm>
                          <a:off x="6568440" y="3251200"/>
                          <a:ext cx="822325" cy="355600"/>
                        </a:xfrm>
                        <a:prstGeom prst="wedgeRectCallout">
                          <a:avLst>
                            <a:gd name="adj1" fmla="val 49613"/>
                            <a:gd name="adj2" fmla="val 140357"/>
                          </a:avLst>
                        </a:prstGeom>
                        <a:solidFill>
                          <a:schemeClr val="bg1">
                            <a:lumMod val="90000"/>
                            <a:alpha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4D1E74">
                            <w:pPr>
                              <w:spacing w:line="240" w:lineRule="auto"/>
                              <w:ind w:left="0" w:leftChars="0" w:firstLine="0" w:firstLineChars="0"/>
                              <w:jc w:val="center"/>
                              <w:rPr>
                                <w:rFonts w:hint="eastAsia" w:eastAsia="宋体"/>
                                <w:color w:val="FF0000"/>
                                <w:lang w:val="en-US" w:eastAsia="zh-CN"/>
                              </w:rPr>
                            </w:pPr>
                            <w:r>
                              <w:rPr>
                                <w:rFonts w:hint="eastAsia"/>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445.2pt;margin-top:5.55pt;height:28pt;width:64.75pt;z-index:251769856;v-text-anchor:middle;mso-width-relative:page;mso-height-relative:page;" fillcolor="#E6E6E6 [2892]" filled="t" stroked="t" coordsize="21600,21600" o:gfxdata="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CZwUD/VAAAACgEA&#10;AA8AAAAAAAAAAQAgAAAAIgAAAGRycy9kb3ducmV2LnhtbFBLAQIUABQAAAAIAIdO4kALiWwXyAIA&#10;AJIFAAAOAAAAAAAAAAEAIAAAACQBAABkcnMvZTJvRG9jLnhtbFBLBQYAAAAABgAGAFkBAABeBgAA&#10;AAA=&#10;" adj="21516,41117">
                <v:fill on="t" opacity="52428f" focussize="0,0"/>
                <v:stroke weight="0.25pt" color="#000000 [3213]" joinstyle="round"/>
                <v:imagedata o:title=""/>
                <o:lock v:ext="edit" aspectratio="f"/>
                <v:textbox>
                  <w:txbxContent>
                    <w:p w14:paraId="434D1E74">
                      <w:pPr>
                        <w:spacing w:line="240" w:lineRule="auto"/>
                        <w:ind w:left="0" w:leftChars="0" w:firstLine="0" w:firstLineChars="0"/>
                        <w:jc w:val="center"/>
                        <w:rPr>
                          <w:rFonts w:hint="eastAsia" w:eastAsia="宋体"/>
                          <w:color w:val="FF0000"/>
                          <w:lang w:val="en-US" w:eastAsia="zh-CN"/>
                        </w:rPr>
                      </w:pPr>
                      <w:r>
                        <w:rPr>
                          <w:rFonts w:hint="eastAsia"/>
                          <w:color w:val="FF0000"/>
                          <w:lang w:val="en-US" w:eastAsia="zh-CN"/>
                        </w:rPr>
                        <w:t>本项目</w:t>
                      </w:r>
                    </w:p>
                  </w:txbxContent>
                </v:textbox>
              </v:shape>
            </w:pict>
          </mc:Fallback>
        </mc:AlternateContent>
      </w:r>
    </w:p>
    <w:p w14:paraId="5D2B4016">
      <w:pPr>
        <w:pStyle w:val="8"/>
        <w:rPr>
          <w:color w:val="auto"/>
          <w:highlight w:val="none"/>
          <w:lang w:val="zh-CN"/>
        </w:rPr>
      </w:pPr>
      <w:r>
        <w:rPr>
          <w:color w:val="auto"/>
          <w:sz w:val="24"/>
          <w:highlight w:val="none"/>
        </w:rPr>
        <mc:AlternateContent>
          <mc:Choice Requires="wps">
            <w:drawing>
              <wp:anchor distT="0" distB="0" distL="114300" distR="114300" simplePos="0" relativeHeight="251768832" behindDoc="0" locked="0" layoutInCell="1" allowOverlap="1">
                <wp:simplePos x="0" y="0"/>
                <wp:positionH relativeFrom="column">
                  <wp:posOffset>6407150</wp:posOffset>
                </wp:positionH>
                <wp:positionV relativeFrom="paragraph">
                  <wp:posOffset>266065</wp:posOffset>
                </wp:positionV>
                <wp:extent cx="156210" cy="156210"/>
                <wp:effectExtent l="4445" t="4445" r="10795" b="10795"/>
                <wp:wrapNone/>
                <wp:docPr id="188" name="五角星 188"/>
                <wp:cNvGraphicFramePr/>
                <a:graphic xmlns:a="http://schemas.openxmlformats.org/drawingml/2006/main">
                  <a:graphicData uri="http://schemas.microsoft.com/office/word/2010/wordprocessingShape">
                    <wps:wsp>
                      <wps:cNvSpPr/>
                      <wps:spPr>
                        <a:xfrm>
                          <a:off x="7321550" y="3900170"/>
                          <a:ext cx="156210" cy="156210"/>
                        </a:xfrm>
                        <a:prstGeom prst="star5">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04.5pt;margin-top:20.95pt;height:12.3pt;width:12.3pt;z-index:251768832;v-text-anchor:middle;mso-width-relative:page;mso-height-relative:page;" fillcolor="#FF0000" filled="t" stroked="t" coordsize="156210,156210" o:gfxdata="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GJ9Ht2QAAAAsBAAAPAAAAAAAAAAEAIAAAACIAAABkcnMvZG93&#10;bnJldi54bWxQSwECFAAUAAAACACHTuJAZ3s2cnECAADvBAAADgAAAAAAAAABACAAAAAoAQAAZHJz&#10;L2Uyb0RvYy54bWxQSwUGAAAAAAYABgBZAQAACwYAAAAA&#10;" path="m0,59666l59667,59667,78105,0,96542,59667,156209,59666,107937,96542,126376,156209,78105,119332,29833,156209,48272,96542xe">
                <v:path o:connectlocs="78105,0;0,59666;29833,156209;126376,156209;156209,59666" o:connectangles="247,164,82,82,0"/>
                <v:fill on="t" focussize="0,0"/>
                <v:stroke weight="0.25pt" color="#FF0000 [3204]" joinstyle="round"/>
                <v:imagedata o:title=""/>
                <o:lock v:ext="edit" aspectratio="f"/>
              </v:shape>
            </w:pict>
          </mc:Fallback>
        </mc:AlternateContent>
      </w:r>
    </w:p>
    <w:p w14:paraId="1E75FCB7">
      <w:pPr>
        <w:pStyle w:val="8"/>
        <w:rPr>
          <w:color w:val="auto"/>
          <w:highlight w:val="none"/>
          <w:lang w:val="zh-CN"/>
        </w:rPr>
      </w:pPr>
    </w:p>
    <w:p w14:paraId="344E07A6">
      <w:pPr>
        <w:pStyle w:val="8"/>
        <w:rPr>
          <w:color w:val="auto"/>
          <w:highlight w:val="none"/>
          <w:lang w:val="zh-CN"/>
        </w:rPr>
      </w:pPr>
    </w:p>
    <w:p w14:paraId="182D5282">
      <w:pPr>
        <w:pStyle w:val="8"/>
        <w:rPr>
          <w:color w:val="auto"/>
          <w:highlight w:val="none"/>
          <w:lang w:val="zh-CN"/>
        </w:rPr>
      </w:pPr>
    </w:p>
    <w:p w14:paraId="33652556">
      <w:pPr>
        <w:pStyle w:val="8"/>
        <w:rPr>
          <w:color w:val="auto"/>
          <w:highlight w:val="none"/>
          <w:lang w:val="zh-CN"/>
        </w:rPr>
      </w:pPr>
    </w:p>
    <w:p w14:paraId="644BF647">
      <w:pPr>
        <w:pStyle w:val="8"/>
        <w:rPr>
          <w:color w:val="auto"/>
          <w:highlight w:val="none"/>
          <w:lang w:val="zh-CN"/>
        </w:rPr>
      </w:pPr>
    </w:p>
    <w:p w14:paraId="75098504">
      <w:pPr>
        <w:keepNext w:val="0"/>
        <w:keepLines w:val="0"/>
        <w:pageBreakBefore w:val="0"/>
        <w:widowControl w:val="0"/>
        <w:kinsoku/>
        <w:wordWrap/>
        <w:overflowPunct/>
        <w:topLinePunct w:val="0"/>
        <w:autoSpaceDE/>
        <w:autoSpaceDN/>
        <w:bidi w:val="0"/>
        <w:adjustRightInd/>
        <w:snapToGrid/>
        <w:spacing w:before="164" w:beforeLines="50" w:after="164" w:afterLines="50" w:line="240" w:lineRule="auto"/>
        <w:ind w:firstLine="0" w:firstLineChars="0"/>
        <w:jc w:val="center"/>
        <w:textAlignment w:val="auto"/>
        <w:rPr>
          <w:rFonts w:hint="default" w:cs="Times New Roman"/>
          <w:b/>
          <w:color w:val="auto"/>
          <w:szCs w:val="24"/>
          <w:highlight w:val="none"/>
          <w:lang w:val="zh-CN"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rFonts w:hint="default" w:cs="Times New Roman"/>
          <w:b/>
          <w:color w:val="auto"/>
          <w:szCs w:val="24"/>
          <w:highlight w:val="none"/>
          <w:lang w:val="zh-CN" w:eastAsia="zh-CN"/>
        </w:rPr>
        <w:t>图4</w:t>
      </w:r>
      <w:r>
        <w:rPr>
          <w:rFonts w:hint="eastAsia" w:cs="Times New Roman"/>
          <w:b/>
          <w:color w:val="auto"/>
          <w:szCs w:val="24"/>
          <w:highlight w:val="none"/>
          <w:lang w:val="en-US" w:eastAsia="zh-CN"/>
        </w:rPr>
        <w:t>.</w:t>
      </w:r>
      <w:r>
        <w:rPr>
          <w:rFonts w:hint="default" w:cs="Times New Roman"/>
          <w:b/>
          <w:color w:val="auto"/>
          <w:szCs w:val="24"/>
          <w:highlight w:val="none"/>
          <w:lang w:val="zh-CN" w:eastAsia="zh-CN"/>
        </w:rPr>
        <w:t>1</w:t>
      </w:r>
      <w:r>
        <w:rPr>
          <w:rFonts w:hint="default" w:cs="Times New Roman"/>
          <w:b/>
          <w:color w:val="auto"/>
          <w:szCs w:val="24"/>
          <w:highlight w:val="none"/>
          <w:lang w:val="en-US" w:eastAsia="zh-CN"/>
        </w:rPr>
        <w:t>-</w:t>
      </w:r>
      <w:r>
        <w:rPr>
          <w:rFonts w:hint="eastAsia" w:cs="Times New Roman"/>
          <w:b/>
          <w:color w:val="auto"/>
          <w:szCs w:val="24"/>
          <w:highlight w:val="none"/>
          <w:lang w:val="en-US" w:eastAsia="zh-CN"/>
        </w:rPr>
        <w:t>6</w:t>
      </w:r>
      <w:r>
        <w:rPr>
          <w:rFonts w:hint="default" w:cs="Times New Roman"/>
          <w:b/>
          <w:color w:val="auto"/>
          <w:szCs w:val="24"/>
          <w:highlight w:val="none"/>
          <w:lang w:val="en-US" w:eastAsia="zh-CN"/>
        </w:rPr>
        <w:t xml:space="preserve">  </w:t>
      </w:r>
      <w:r>
        <w:rPr>
          <w:rFonts w:hint="eastAsia" w:cs="Times New Roman"/>
          <w:b/>
          <w:color w:val="auto"/>
          <w:szCs w:val="24"/>
          <w:highlight w:val="none"/>
          <w:lang w:val="en-US" w:eastAsia="zh-CN"/>
        </w:rPr>
        <w:t>黑龙江省水文地质</w:t>
      </w:r>
      <w:r>
        <w:rPr>
          <w:rFonts w:hint="default" w:cs="Times New Roman"/>
          <w:b/>
          <w:color w:val="auto"/>
          <w:szCs w:val="24"/>
          <w:highlight w:val="none"/>
          <w:lang w:val="zh-CN" w:eastAsia="zh-CN"/>
        </w:rPr>
        <w:t>图</w:t>
      </w:r>
    </w:p>
    <w:p w14:paraId="34A0054F">
      <w:pPr>
        <w:pStyle w:val="4"/>
        <w:spacing w:after="163"/>
        <w:rPr>
          <w:rFonts w:cs="Times New Roman"/>
          <w:color w:val="auto"/>
          <w:highlight w:val="none"/>
        </w:rPr>
      </w:pPr>
      <w:bookmarkStart w:id="162" w:name="_Toc25278"/>
      <w:r>
        <w:rPr>
          <w:rFonts w:cs="Times New Roman"/>
          <w:color w:val="auto"/>
          <w:highlight w:val="none"/>
        </w:rPr>
        <w:t>4.1.6土壤</w:t>
      </w:r>
      <w:bookmarkEnd w:id="162"/>
    </w:p>
    <w:p w14:paraId="2CE21D84">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cs="Times New Roman"/>
          <w:color w:val="auto"/>
          <w:highlight w:val="none"/>
          <w:lang w:val="zh-CN"/>
        </w:rPr>
      </w:pPr>
      <w:r>
        <w:rPr>
          <w:rFonts w:cs="Times New Roman"/>
          <w:color w:val="auto"/>
          <w:highlight w:val="none"/>
          <w:lang w:val="zh-CN"/>
        </w:rPr>
        <w:t>评价区域内的土壤主要以暗棕壤为主，暗棕壤是在温带湿润季风气候和针阔混交林下发育形成的，剖面构型为O-AB-Bt-C，表层腐殖质积聚，全剖面呈中至微酸性反应，盐基饱和度60~80%，剖面中部粘粒和铁锰含量均高于其上下两层的淋溶土。草甸暗棕壤主要分布与平缓的地形上，多为坡脚或河谷阶地。植被多为次生阔叶林或疏林草甸植被。表层为富含腐殖质的暗灰色粘壤土，略有团粒结构。表层以下为AB层，呈灰棕或灰色，团块结构，在向下为棕黄色的B层，在此层中常出现有铁锈、铁锰结核或灰色条纹，具有草甸过程的特征。腐殖质层较厚，有机质含量较高，呈微酸性反应，盐基饱和度较高，铁的还原淋溶较强，但粘粒移动弱，粘粒在剖面中分化不明显。</w:t>
      </w:r>
    </w:p>
    <w:p w14:paraId="5B025A97">
      <w:pPr>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highlight w:val="none"/>
          <w:lang w:val="zh-CN"/>
        </w:rPr>
      </w:pPr>
      <w:r>
        <w:rPr>
          <w:rFonts w:cs="Times New Roman"/>
          <w:color w:val="auto"/>
          <w:highlight w:val="none"/>
          <w:lang w:val="zh-CN"/>
        </w:rPr>
        <w:t>温带湿润气候条件下树木郁闭，湿润，降水量大，集中于夏季，土壤中产生了强烈的淋溶过程，致使暗棕色森林土成弱酸性反应，并含有一定量的活性铝。季节性冻层的存在削弱了暗棕色森林土的淋溶过程，因被淋洗灰分元素受到冻层的阻留。由于冻结，土壤溶液中的硅酸脱水析出，淀附于全土层内，致使整个土壤剖面均有硅酸粉末附着于土壤结构表面，于后成为灰棕色。</w:t>
      </w:r>
    </w:p>
    <w:p w14:paraId="741F5F68">
      <w:pPr>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highlight w:val="none"/>
        </w:rPr>
      </w:pPr>
      <w:r>
        <w:rPr>
          <w:rFonts w:cs="Times New Roman"/>
          <w:color w:val="auto"/>
          <w:highlight w:val="none"/>
          <w:lang w:val="zh-CN"/>
        </w:rPr>
        <w:t>暗棕壤具有良好的土壤物理性状，为林木或作物的生长奠定了优越的土壤环境条件。暗棕壤的腐殖质层因土壤生物积累作用强，有机质含量高，具有良好的团粒结构，其容重值一般小于1g/cm</w:t>
      </w:r>
      <w:r>
        <w:rPr>
          <w:rFonts w:cs="Times New Roman"/>
          <w:color w:val="auto"/>
          <w:highlight w:val="none"/>
          <w:vertAlign w:val="superscript"/>
          <w:lang w:val="zh-CN"/>
        </w:rPr>
        <w:t>3</w:t>
      </w:r>
      <w:r>
        <w:rPr>
          <w:rFonts w:cs="Times New Roman"/>
          <w:color w:val="auto"/>
          <w:highlight w:val="none"/>
          <w:lang w:val="zh-CN"/>
        </w:rPr>
        <w:t>。暗棕壤形成特点主要表现为弱酸性腐殖质累积和轻度淋溶、粘化过程。评价区域内针阔混交林组成复杂，地被物生长茂盛，森林每年有大量的凋落物，其中所含各种养料元素经微生物分解后补充到土壤中，林下的草本植物有庞大的根系，有机质解过程较快，土壤积累了大量的腐殖质，因此暗棕壤具有较高的肥力。</w:t>
      </w:r>
    </w:p>
    <w:p w14:paraId="7E00715E">
      <w:pPr>
        <w:pStyle w:val="4"/>
        <w:pageBreakBefore w:val="0"/>
        <w:widowControl w:val="0"/>
        <w:kinsoku/>
        <w:wordWrap/>
        <w:overflowPunct/>
        <w:topLinePunct w:val="0"/>
        <w:autoSpaceDE/>
        <w:autoSpaceDN/>
        <w:bidi w:val="0"/>
        <w:adjustRightInd w:val="0"/>
        <w:snapToGrid w:val="0"/>
        <w:spacing w:after="163" w:line="520" w:lineRule="atLeast"/>
        <w:textAlignment w:val="auto"/>
        <w:rPr>
          <w:rFonts w:cs="Times New Roman"/>
          <w:color w:val="auto"/>
          <w:highlight w:val="none"/>
          <w:lang w:val="zh-CN"/>
        </w:rPr>
      </w:pPr>
      <w:bookmarkStart w:id="163" w:name="_Toc3227"/>
      <w:r>
        <w:rPr>
          <w:rFonts w:cs="Times New Roman"/>
          <w:color w:val="auto"/>
          <w:highlight w:val="none"/>
          <w:lang w:val="zh-CN"/>
        </w:rPr>
        <w:t>4.1.5自然资源</w:t>
      </w:r>
      <w:bookmarkEnd w:id="163"/>
    </w:p>
    <w:p w14:paraId="1F71A2DD">
      <w:pPr>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highlight w:val="none"/>
          <w:lang w:val="zh-CN"/>
        </w:rPr>
      </w:pPr>
      <w:r>
        <w:rPr>
          <w:rFonts w:cs="Times New Roman"/>
          <w:color w:val="auto"/>
          <w:highlight w:val="none"/>
          <w:lang w:val="zh-CN"/>
        </w:rPr>
        <w:t>双鸭山市先后发现各类矿产50余种，查明矿产资源的有12种，各类矿床69处，矿点、矿化点223处。查明矿产资源的12种矿产分为四大类，既能源矿产、金属矿产、非金属矿产、水汽矿产。双鸭山市哺乳动物主要有东北虎、蝙蝠、黑熊、马鹿、梅花鹿、狍子、狐狸、豹、猞猁、野猪、獾、水獭等。其中多数为国家和省列为禁猎的保护动物。双鸭山市森林覆盖率40%。地方林业系统共有23个国有林场，截至2015年年底，森林面积26.37万公顷，活立木总蓄积量1761.53万立方米。</w:t>
      </w:r>
    </w:p>
    <w:p w14:paraId="4E7C7824">
      <w:pPr>
        <w:pStyle w:val="3"/>
        <w:spacing w:before="163" w:after="163"/>
        <w:rPr>
          <w:rFonts w:cs="Times New Roman"/>
          <w:color w:val="auto"/>
          <w:highlight w:val="none"/>
          <w:lang w:val="zh-CN"/>
        </w:rPr>
      </w:pPr>
      <w:bookmarkStart w:id="164" w:name="_Toc57412931"/>
      <w:bookmarkStart w:id="165" w:name="_Toc28246"/>
      <w:bookmarkStart w:id="166" w:name="_Toc3121138"/>
      <w:r>
        <w:rPr>
          <w:rFonts w:cs="Times New Roman"/>
          <w:color w:val="auto"/>
          <w:highlight w:val="none"/>
          <w:lang w:val="zh-CN"/>
        </w:rPr>
        <w:t>4.2 环境质量现状调查与评价</w:t>
      </w:r>
      <w:bookmarkEnd w:id="164"/>
      <w:bookmarkEnd w:id="165"/>
      <w:bookmarkEnd w:id="166"/>
    </w:p>
    <w:p w14:paraId="09C99C33">
      <w:pPr>
        <w:pStyle w:val="4"/>
        <w:spacing w:after="163"/>
        <w:rPr>
          <w:rFonts w:cs="Times New Roman"/>
          <w:color w:val="auto"/>
          <w:highlight w:val="none"/>
          <w:lang w:val="zh-CN"/>
        </w:rPr>
      </w:pPr>
      <w:bookmarkStart w:id="167" w:name="_Toc18141"/>
      <w:r>
        <w:rPr>
          <w:rFonts w:cs="Times New Roman"/>
          <w:color w:val="auto"/>
          <w:highlight w:val="none"/>
          <w:lang w:val="zh-CN"/>
        </w:rPr>
        <w:t>4.2.1 环境空气质量现状评价</w:t>
      </w:r>
      <w:bookmarkEnd w:id="167"/>
    </w:p>
    <w:p w14:paraId="7C7D6E5F">
      <w:pPr>
        <w:pStyle w:val="5"/>
        <w:bidi w:val="0"/>
        <w:rPr>
          <w:color w:val="auto"/>
          <w:highlight w:val="none"/>
        </w:rPr>
      </w:pPr>
      <w:r>
        <w:rPr>
          <w:color w:val="auto"/>
          <w:highlight w:val="none"/>
        </w:rPr>
        <w:t>4.2.1.1 环境空气质量达标区判定</w:t>
      </w:r>
    </w:p>
    <w:p w14:paraId="53A32C9A">
      <w:pPr>
        <w:adjustRightInd/>
        <w:snapToGrid/>
        <w:rPr>
          <w:rFonts w:cs="Times New Roman"/>
          <w:color w:val="auto"/>
          <w:highlight w:val="none"/>
        </w:rPr>
      </w:pPr>
      <w:r>
        <w:rPr>
          <w:rFonts w:cs="Times New Roman"/>
          <w:color w:val="auto"/>
          <w:highlight w:val="none"/>
        </w:rPr>
        <w:t>根据《环境影响评价技术导则 大气环境》（HJ2.2-2018），项目所在区域达标判定，优先采用国家或地方生态环境主管部门公开发布的评价基准年环境质量公告或者环境质量报告中的数据或结论。本项目位于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highlight w:val="none"/>
        </w:rPr>
        <w:t>，</w:t>
      </w:r>
      <w:r>
        <w:rPr>
          <w:rFonts w:cs="Times New Roman"/>
          <w:color w:val="auto"/>
          <w:highlight w:val="none"/>
          <w:lang w:val="zh-TW" w:eastAsia="zh-TW"/>
        </w:rPr>
        <w:t>因此本次环境质量达标区域判定选择</w:t>
      </w:r>
      <w:r>
        <w:rPr>
          <w:rFonts w:hint="eastAsia" w:cs="Times New Roman"/>
          <w:color w:val="auto"/>
          <w:highlight w:val="none"/>
          <w:lang w:val="en-US" w:eastAsia="zh-CN"/>
        </w:rPr>
        <w:t>双鸭山市</w:t>
      </w:r>
      <w:r>
        <w:rPr>
          <w:rFonts w:cs="Times New Roman"/>
          <w:color w:val="auto"/>
          <w:highlight w:val="none"/>
          <w:lang w:val="zh-TW" w:eastAsia="zh-TW"/>
        </w:rPr>
        <w:t>的环境空气质量现状数据。</w:t>
      </w:r>
    </w:p>
    <w:p w14:paraId="61B73E28">
      <w:pPr>
        <w:keepNext w:val="0"/>
        <w:keepLines w:val="0"/>
        <w:widowControl/>
        <w:suppressLineNumbers w:val="0"/>
        <w:tabs>
          <w:tab w:val="left" w:pos="3120"/>
        </w:tabs>
        <w:jc w:val="left"/>
        <w:rPr>
          <w:rFonts w:hint="default" w:ascii="Times New Roman" w:hAnsi="Times New Roman" w:cs="Times New Roman"/>
          <w:snapToGrid w:val="0"/>
          <w:color w:val="auto"/>
          <w:kern w:val="0"/>
          <w:szCs w:val="24"/>
          <w:highlight w:val="none"/>
          <w:lang w:val="en-US" w:eastAsia="zh-CN"/>
        </w:rPr>
      </w:pPr>
      <w:r>
        <w:rPr>
          <w:rFonts w:hint="default" w:ascii="Times New Roman" w:hAnsi="Times New Roman" w:cs="Times New Roman"/>
          <w:color w:val="auto"/>
          <w:highlight w:val="none"/>
        </w:rPr>
        <w:t>根</w:t>
      </w:r>
      <w:r>
        <w:rPr>
          <w:rFonts w:hint="default" w:ascii="Times New Roman" w:hAnsi="Times New Roman" w:cs="Times New Roman"/>
          <w:snapToGrid w:val="0"/>
          <w:color w:val="auto"/>
          <w:kern w:val="0"/>
          <w:szCs w:val="24"/>
          <w:highlight w:val="none"/>
          <w:lang w:val="en-US" w:eastAsia="zh-CN"/>
        </w:rPr>
        <w:t>据《2024年双鸭山市环境空气质量状况》中双鸭山市区环境空气执行《环境空气质量标准》（GB3095-2012）中二级标准。2024年，双鸭山市区监测天数为366天，达标天数为352天。本年空气质量一级优236天，二级良116天，三级轻度污染10天，四至六级中度、重度、严重污染4天，优良率96.17%。</w:t>
      </w:r>
    </w:p>
    <w:p w14:paraId="5B34700E">
      <w:pPr>
        <w:keepNext w:val="0"/>
        <w:keepLines w:val="0"/>
        <w:pageBreakBefore w:val="0"/>
        <w:widowControl/>
        <w:suppressLineNumbers w:val="0"/>
        <w:tabs>
          <w:tab w:val="left" w:pos="3120"/>
        </w:tabs>
        <w:kinsoku/>
        <w:wordWrap/>
        <w:overflowPunct/>
        <w:topLinePunct w:val="0"/>
        <w:bidi w:val="0"/>
        <w:adjustRightInd w:val="0"/>
        <w:spacing w:line="520" w:lineRule="atLeast"/>
        <w:jc w:val="left"/>
        <w:textAlignment w:val="auto"/>
        <w:rPr>
          <w:rFonts w:hint="default" w:ascii="Times New Roman" w:hAnsi="Times New Roman" w:cs="Times New Roman"/>
          <w:snapToGrid w:val="0"/>
          <w:color w:val="auto"/>
          <w:kern w:val="0"/>
          <w:szCs w:val="24"/>
          <w:highlight w:val="none"/>
          <w:lang w:val="en-US" w:eastAsia="zh-CN"/>
        </w:rPr>
      </w:pPr>
      <w:r>
        <w:rPr>
          <w:rFonts w:hint="default" w:ascii="Times New Roman" w:hAnsi="Times New Roman" w:cs="Times New Roman"/>
          <w:snapToGrid w:val="0"/>
          <w:color w:val="auto"/>
          <w:kern w:val="0"/>
          <w:szCs w:val="24"/>
          <w:highlight w:val="none"/>
          <w:lang w:val="en-US" w:eastAsia="zh-CN"/>
        </w:rPr>
        <w:t>其中PM</w:t>
      </w:r>
      <w:r>
        <w:rPr>
          <w:rFonts w:hint="default" w:ascii="Times New Roman" w:hAnsi="Times New Roman" w:cs="Times New Roman"/>
          <w:snapToGrid w:val="0"/>
          <w:color w:val="auto"/>
          <w:kern w:val="0"/>
          <w:szCs w:val="24"/>
          <w:highlight w:val="none"/>
          <w:vertAlign w:val="subscript"/>
          <w:lang w:val="en-US" w:eastAsia="zh-CN"/>
        </w:rPr>
        <w:t>2.5</w:t>
      </w:r>
      <w:r>
        <w:rPr>
          <w:rFonts w:hint="default" w:ascii="Times New Roman" w:hAnsi="Times New Roman" w:cs="Times New Roman"/>
          <w:snapToGrid w:val="0"/>
          <w:color w:val="auto"/>
          <w:kern w:val="0"/>
          <w:szCs w:val="24"/>
          <w:highlight w:val="none"/>
          <w:lang w:val="en-US" w:eastAsia="zh-CN"/>
        </w:rPr>
        <w:t>年平均浓度值为27μg/m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、PM</w:t>
      </w:r>
      <w:r>
        <w:rPr>
          <w:rFonts w:hint="default" w:ascii="Times New Roman" w:hAnsi="Times New Roman" w:cs="Times New Roman"/>
          <w:snapToGrid w:val="0"/>
          <w:color w:val="auto"/>
          <w:kern w:val="0"/>
          <w:szCs w:val="24"/>
          <w:highlight w:val="none"/>
          <w:vertAlign w:val="subscript"/>
          <w:lang w:val="en-US" w:eastAsia="zh-CN"/>
        </w:rPr>
        <w:t>10</w:t>
      </w:r>
      <w:r>
        <w:rPr>
          <w:rFonts w:hint="default" w:ascii="Times New Roman" w:hAnsi="Times New Roman" w:cs="Times New Roman"/>
          <w:snapToGrid w:val="0"/>
          <w:color w:val="auto"/>
          <w:kern w:val="0"/>
          <w:szCs w:val="24"/>
          <w:highlight w:val="none"/>
          <w:lang w:val="en-US" w:eastAsia="zh-CN"/>
        </w:rPr>
        <w:t>年平均浓度值为43μg/m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、SO</w:t>
      </w:r>
      <w:r>
        <w:rPr>
          <w:rFonts w:hint="default" w:ascii="Times New Roman" w:hAnsi="Times New Roman" w:cs="Times New Roman"/>
          <w:snapToGrid w:val="0"/>
          <w:color w:val="auto"/>
          <w:kern w:val="0"/>
          <w:szCs w:val="24"/>
          <w:highlight w:val="none"/>
          <w:vertAlign w:val="subscript"/>
          <w:lang w:val="en-US" w:eastAsia="zh-CN"/>
        </w:rPr>
        <w:t>2</w:t>
      </w:r>
      <w:r>
        <w:rPr>
          <w:rFonts w:hint="default" w:ascii="Times New Roman" w:hAnsi="Times New Roman" w:cs="Times New Roman"/>
          <w:snapToGrid w:val="0"/>
          <w:color w:val="auto"/>
          <w:kern w:val="0"/>
          <w:szCs w:val="24"/>
          <w:highlight w:val="none"/>
          <w:lang w:val="en-US" w:eastAsia="zh-CN"/>
        </w:rPr>
        <w:t>年平均浓度值为11μg/m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、NO</w:t>
      </w:r>
      <w:r>
        <w:rPr>
          <w:rFonts w:hint="default" w:ascii="Times New Roman" w:hAnsi="Times New Roman" w:cs="Times New Roman"/>
          <w:snapToGrid w:val="0"/>
          <w:color w:val="auto"/>
          <w:kern w:val="0"/>
          <w:szCs w:val="24"/>
          <w:highlight w:val="none"/>
          <w:vertAlign w:val="subscript"/>
          <w:lang w:val="en-US" w:eastAsia="zh-CN"/>
        </w:rPr>
        <w:t>2</w:t>
      </w:r>
      <w:r>
        <w:rPr>
          <w:rFonts w:hint="default" w:ascii="Times New Roman" w:hAnsi="Times New Roman" w:cs="Times New Roman"/>
          <w:snapToGrid w:val="0"/>
          <w:color w:val="auto"/>
          <w:kern w:val="0"/>
          <w:szCs w:val="24"/>
          <w:highlight w:val="none"/>
          <w:lang w:val="en-US" w:eastAsia="zh-CN"/>
        </w:rPr>
        <w:t>年平均浓度值为15μg/m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、CO</w:t>
      </w:r>
      <w:r>
        <w:rPr>
          <w:rFonts w:hint="default" w:ascii="Times New Roman" w:hAnsi="Times New Roman" w:cs="Times New Roman"/>
          <w:snapToGrid w:val="0"/>
          <w:color w:val="auto"/>
          <w:kern w:val="0"/>
          <w:szCs w:val="24"/>
          <w:highlight w:val="none"/>
          <w:vertAlign w:val="subscript"/>
          <w:lang w:val="en-US" w:eastAsia="zh-CN"/>
        </w:rPr>
        <w:t>24</w:t>
      </w:r>
      <w:r>
        <w:rPr>
          <w:rFonts w:hint="default" w:ascii="Times New Roman" w:hAnsi="Times New Roman" w:cs="Times New Roman"/>
          <w:snapToGrid w:val="0"/>
          <w:color w:val="auto"/>
          <w:kern w:val="0"/>
          <w:szCs w:val="24"/>
          <w:highlight w:val="none"/>
          <w:lang w:val="en-US" w:eastAsia="zh-CN"/>
        </w:rPr>
        <w:t>小时月平均浓度值为0.48mg/m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，平均浓度第95百分位数为0.9mg/m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、O</w:t>
      </w:r>
      <w:r>
        <w:rPr>
          <w:rFonts w:hint="default" w:ascii="Times New Roman" w:hAnsi="Times New Roman" w:cs="Times New Roman"/>
          <w:snapToGrid w:val="0"/>
          <w:color w:val="auto"/>
          <w:kern w:val="0"/>
          <w:szCs w:val="24"/>
          <w:highlight w:val="none"/>
          <w:vertAlign w:val="subscript"/>
          <w:lang w:val="en-US" w:eastAsia="zh-CN"/>
        </w:rPr>
        <w:t>3</w:t>
      </w:r>
      <w:r>
        <w:rPr>
          <w:rFonts w:hint="default" w:ascii="Times New Roman" w:hAnsi="Times New Roman" w:cs="Times New Roman"/>
          <w:snapToGrid w:val="0"/>
          <w:color w:val="auto"/>
          <w:kern w:val="0"/>
          <w:szCs w:val="24"/>
          <w:highlight w:val="none"/>
          <w:vertAlign w:val="baseline"/>
          <w:lang w:val="en-US" w:eastAsia="zh-CN"/>
        </w:rPr>
        <w:t>－8h</w:t>
      </w:r>
      <w:r>
        <w:rPr>
          <w:rFonts w:hint="default" w:ascii="Times New Roman" w:hAnsi="Times New Roman" w:cs="Times New Roman"/>
          <w:snapToGrid w:val="0"/>
          <w:color w:val="auto"/>
          <w:kern w:val="0"/>
          <w:szCs w:val="24"/>
          <w:highlight w:val="none"/>
          <w:lang w:val="en-US" w:eastAsia="zh-CN"/>
        </w:rPr>
        <w:t>月平均浓度值为74.87μg/m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，平均浓度第90百分位数为105μg/m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w:t>
      </w:r>
    </w:p>
    <w:p w14:paraId="2EA72355">
      <w:pPr>
        <w:pStyle w:val="63"/>
        <w:keepNext w:val="0"/>
        <w:keepLines w:val="0"/>
        <w:pageBreakBefore w:val="0"/>
        <w:kinsoku/>
        <w:wordWrap/>
        <w:overflowPunct/>
        <w:topLinePunct w:val="0"/>
        <w:bidi w:val="0"/>
        <w:adjustRightInd w:val="0"/>
        <w:spacing w:line="520" w:lineRule="atLeast"/>
        <w:jc w:val="center"/>
        <w:textAlignment w:val="auto"/>
        <w:rPr>
          <w:rFonts w:ascii="Times New Roman" w:cs="Times New Roman" w:eastAsiaTheme="minorEastAsia"/>
          <w:b/>
          <w:bCs/>
          <w:color w:val="auto"/>
          <w:highlight w:val="none"/>
        </w:rPr>
      </w:pPr>
      <w:r>
        <w:rPr>
          <w:rFonts w:ascii="Times New Roman" w:cs="Times New Roman" w:eastAsiaTheme="minorEastAsia"/>
          <w:b/>
          <w:bCs/>
          <w:color w:val="auto"/>
          <w:kern w:val="2"/>
          <w:szCs w:val="22"/>
          <w:highlight w:val="none"/>
        </w:rPr>
        <w:t>表4</w:t>
      </w:r>
      <w:r>
        <w:rPr>
          <w:rFonts w:hint="eastAsia" w:ascii="Times New Roman" w:cs="Times New Roman" w:eastAsiaTheme="minorEastAsia"/>
          <w:b/>
          <w:bCs/>
          <w:color w:val="auto"/>
          <w:kern w:val="2"/>
          <w:szCs w:val="22"/>
          <w:highlight w:val="none"/>
          <w:lang w:val="en-US" w:eastAsia="zh-CN"/>
        </w:rPr>
        <w:t>.</w:t>
      </w:r>
      <w:r>
        <w:rPr>
          <w:rFonts w:ascii="Times New Roman" w:cs="Times New Roman" w:eastAsiaTheme="minorEastAsia"/>
          <w:b/>
          <w:bCs/>
          <w:color w:val="auto"/>
          <w:kern w:val="2"/>
          <w:szCs w:val="22"/>
          <w:highlight w:val="none"/>
        </w:rPr>
        <w:t>2-1 区域空气质量现状评价表</w:t>
      </w:r>
    </w:p>
    <w:tbl>
      <w:tblPr>
        <w:tblStyle w:val="47"/>
        <w:tblW w:w="8438"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912"/>
        <w:gridCol w:w="3083"/>
        <w:gridCol w:w="1235"/>
        <w:gridCol w:w="926"/>
        <w:gridCol w:w="1064"/>
        <w:gridCol w:w="1218"/>
      </w:tblGrid>
      <w:tr w14:paraId="3FA71AB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94" w:hRule="atLeast"/>
          <w:jc w:val="center"/>
        </w:trPr>
        <w:tc>
          <w:tcPr>
            <w:tcW w:w="912" w:type="dxa"/>
            <w:tcBorders>
              <w:tl2br w:val="nil"/>
              <w:tr2bl w:val="nil"/>
            </w:tcBorders>
            <w:vAlign w:val="center"/>
          </w:tcPr>
          <w:p w14:paraId="2FE96759">
            <w:pPr>
              <w:spacing w:line="360" w:lineRule="exact"/>
              <w:ind w:firstLine="0" w:firstLineChars="0"/>
              <w:jc w:val="center"/>
              <w:textAlignment w:val="baseline"/>
              <w:rPr>
                <w:rFonts w:cs="Times New Roman"/>
                <w:color w:val="auto"/>
                <w:kern w:val="0"/>
                <w:sz w:val="21"/>
                <w:szCs w:val="21"/>
                <w:highlight w:val="none"/>
              </w:rPr>
            </w:pPr>
            <w:bookmarkStart w:id="168" w:name="_Toc29740"/>
            <w:bookmarkStart w:id="169" w:name="_Toc20236"/>
            <w:bookmarkStart w:id="170" w:name="_Toc3127"/>
            <w:r>
              <w:rPr>
                <w:rFonts w:cs="Times New Roman"/>
                <w:color w:val="auto"/>
                <w:kern w:val="0"/>
                <w:sz w:val="21"/>
                <w:szCs w:val="21"/>
                <w:highlight w:val="none"/>
              </w:rPr>
              <w:t>污染物</w:t>
            </w:r>
            <w:bookmarkEnd w:id="168"/>
            <w:bookmarkEnd w:id="169"/>
            <w:bookmarkEnd w:id="170"/>
          </w:p>
        </w:tc>
        <w:tc>
          <w:tcPr>
            <w:tcW w:w="3083" w:type="dxa"/>
            <w:tcBorders>
              <w:tl2br w:val="nil"/>
              <w:tr2bl w:val="nil"/>
            </w:tcBorders>
            <w:vAlign w:val="center"/>
          </w:tcPr>
          <w:p w14:paraId="78E319BB">
            <w:pPr>
              <w:spacing w:line="360" w:lineRule="exact"/>
              <w:ind w:firstLine="0" w:firstLineChars="0"/>
              <w:jc w:val="center"/>
              <w:textAlignment w:val="baseline"/>
              <w:rPr>
                <w:rFonts w:cs="Times New Roman"/>
                <w:color w:val="auto"/>
                <w:kern w:val="0"/>
                <w:sz w:val="21"/>
                <w:szCs w:val="21"/>
                <w:highlight w:val="none"/>
              </w:rPr>
            </w:pPr>
            <w:bookmarkStart w:id="171" w:name="_Toc14870"/>
            <w:bookmarkStart w:id="172" w:name="_Toc23380"/>
            <w:bookmarkStart w:id="173" w:name="_Toc23565"/>
            <w:r>
              <w:rPr>
                <w:rFonts w:cs="Times New Roman"/>
                <w:color w:val="auto"/>
                <w:kern w:val="0"/>
                <w:sz w:val="21"/>
                <w:szCs w:val="21"/>
                <w:highlight w:val="none"/>
              </w:rPr>
              <w:t>年评价指标</w:t>
            </w:r>
            <w:bookmarkEnd w:id="171"/>
            <w:bookmarkEnd w:id="172"/>
            <w:bookmarkEnd w:id="173"/>
          </w:p>
        </w:tc>
        <w:tc>
          <w:tcPr>
            <w:tcW w:w="1235" w:type="dxa"/>
            <w:tcBorders>
              <w:tl2br w:val="nil"/>
              <w:tr2bl w:val="nil"/>
            </w:tcBorders>
            <w:vAlign w:val="center"/>
          </w:tcPr>
          <w:p w14:paraId="7319F833">
            <w:pPr>
              <w:spacing w:line="360" w:lineRule="exact"/>
              <w:ind w:firstLine="0" w:firstLineChars="0"/>
              <w:jc w:val="center"/>
              <w:textAlignment w:val="baseline"/>
              <w:rPr>
                <w:rFonts w:cs="Times New Roman"/>
                <w:color w:val="auto"/>
                <w:kern w:val="0"/>
                <w:sz w:val="21"/>
                <w:szCs w:val="21"/>
                <w:highlight w:val="none"/>
              </w:rPr>
            </w:pPr>
            <w:bookmarkStart w:id="174" w:name="_Toc26614"/>
            <w:bookmarkStart w:id="175" w:name="_Toc29060"/>
            <w:bookmarkStart w:id="176" w:name="_Toc4537"/>
            <w:r>
              <w:rPr>
                <w:rFonts w:cs="Times New Roman"/>
                <w:color w:val="auto"/>
                <w:kern w:val="0"/>
                <w:sz w:val="21"/>
                <w:szCs w:val="21"/>
                <w:highlight w:val="none"/>
              </w:rPr>
              <w:t>现状浓度</w:t>
            </w:r>
            <w:bookmarkEnd w:id="174"/>
            <w:bookmarkEnd w:id="175"/>
            <w:bookmarkEnd w:id="176"/>
          </w:p>
          <w:p w14:paraId="0013DB6B">
            <w:pPr>
              <w:spacing w:line="360" w:lineRule="exact"/>
              <w:ind w:firstLine="0" w:firstLineChars="0"/>
              <w:jc w:val="center"/>
              <w:textAlignment w:val="baseline"/>
              <w:rPr>
                <w:rFonts w:cs="Times New Roman"/>
                <w:color w:val="auto"/>
                <w:kern w:val="0"/>
                <w:sz w:val="21"/>
                <w:szCs w:val="21"/>
                <w:highlight w:val="none"/>
              </w:rPr>
            </w:pPr>
            <w:bookmarkStart w:id="177" w:name="_Toc1945"/>
            <w:bookmarkStart w:id="178" w:name="_Toc1578"/>
            <w:bookmarkStart w:id="179" w:name="_Toc18444"/>
            <w:r>
              <w:rPr>
                <w:rFonts w:cs="Times New Roman"/>
                <w:color w:val="auto"/>
                <w:kern w:val="0"/>
                <w:sz w:val="21"/>
                <w:szCs w:val="21"/>
                <w:highlight w:val="none"/>
              </w:rPr>
              <w:t>(μg/m</w:t>
            </w:r>
            <w:r>
              <w:rPr>
                <w:rFonts w:cs="Times New Roman"/>
                <w:color w:val="auto"/>
                <w:kern w:val="0"/>
                <w:sz w:val="21"/>
                <w:szCs w:val="21"/>
                <w:highlight w:val="none"/>
                <w:vertAlign w:val="superscript"/>
              </w:rPr>
              <w:t>3</w:t>
            </w:r>
            <w:r>
              <w:rPr>
                <w:rFonts w:cs="Times New Roman"/>
                <w:color w:val="auto"/>
                <w:kern w:val="0"/>
                <w:sz w:val="21"/>
                <w:szCs w:val="21"/>
                <w:highlight w:val="none"/>
              </w:rPr>
              <w:t>)</w:t>
            </w:r>
            <w:bookmarkEnd w:id="177"/>
            <w:bookmarkEnd w:id="178"/>
            <w:bookmarkEnd w:id="179"/>
          </w:p>
        </w:tc>
        <w:tc>
          <w:tcPr>
            <w:tcW w:w="926" w:type="dxa"/>
            <w:tcBorders>
              <w:tl2br w:val="nil"/>
              <w:tr2bl w:val="nil"/>
            </w:tcBorders>
            <w:vAlign w:val="center"/>
          </w:tcPr>
          <w:p w14:paraId="2E8C64B2">
            <w:pPr>
              <w:spacing w:line="360" w:lineRule="exact"/>
              <w:ind w:firstLine="0" w:firstLineChars="0"/>
              <w:jc w:val="center"/>
              <w:textAlignment w:val="baseline"/>
              <w:rPr>
                <w:rFonts w:cs="Times New Roman"/>
                <w:color w:val="auto"/>
                <w:kern w:val="0"/>
                <w:sz w:val="21"/>
                <w:szCs w:val="21"/>
                <w:highlight w:val="none"/>
              </w:rPr>
            </w:pPr>
            <w:bookmarkStart w:id="180" w:name="_Toc3582"/>
            <w:bookmarkStart w:id="181" w:name="_Toc21510"/>
            <w:bookmarkStart w:id="182" w:name="_Toc1688"/>
            <w:r>
              <w:rPr>
                <w:rFonts w:cs="Times New Roman"/>
                <w:color w:val="auto"/>
                <w:kern w:val="0"/>
                <w:sz w:val="21"/>
                <w:szCs w:val="21"/>
                <w:highlight w:val="none"/>
              </w:rPr>
              <w:t>标准值</w:t>
            </w:r>
            <w:bookmarkEnd w:id="180"/>
            <w:bookmarkEnd w:id="181"/>
            <w:bookmarkEnd w:id="182"/>
          </w:p>
          <w:p w14:paraId="5E19CD17">
            <w:pPr>
              <w:spacing w:line="360" w:lineRule="exact"/>
              <w:ind w:firstLine="0" w:firstLineChars="0"/>
              <w:jc w:val="center"/>
              <w:textAlignment w:val="baseline"/>
              <w:rPr>
                <w:rFonts w:cs="Times New Roman"/>
                <w:color w:val="auto"/>
                <w:kern w:val="0"/>
                <w:sz w:val="21"/>
                <w:szCs w:val="21"/>
                <w:highlight w:val="none"/>
              </w:rPr>
            </w:pPr>
            <w:bookmarkStart w:id="183" w:name="_Toc21173"/>
            <w:bookmarkStart w:id="184" w:name="_Toc31919"/>
            <w:bookmarkStart w:id="185" w:name="_Toc6845"/>
            <w:r>
              <w:rPr>
                <w:rFonts w:cs="Times New Roman"/>
                <w:color w:val="auto"/>
                <w:kern w:val="0"/>
                <w:sz w:val="21"/>
                <w:szCs w:val="21"/>
                <w:highlight w:val="none"/>
              </w:rPr>
              <w:t>(μg/m</w:t>
            </w:r>
            <w:r>
              <w:rPr>
                <w:rFonts w:cs="Times New Roman"/>
                <w:color w:val="auto"/>
                <w:kern w:val="0"/>
                <w:sz w:val="21"/>
                <w:szCs w:val="21"/>
                <w:highlight w:val="none"/>
                <w:vertAlign w:val="superscript"/>
              </w:rPr>
              <w:t>3</w:t>
            </w:r>
            <w:r>
              <w:rPr>
                <w:rFonts w:cs="Times New Roman"/>
                <w:color w:val="auto"/>
                <w:kern w:val="0"/>
                <w:sz w:val="21"/>
                <w:szCs w:val="21"/>
                <w:highlight w:val="none"/>
              </w:rPr>
              <w:t>)</w:t>
            </w:r>
            <w:bookmarkEnd w:id="183"/>
            <w:bookmarkEnd w:id="184"/>
            <w:bookmarkEnd w:id="185"/>
          </w:p>
        </w:tc>
        <w:tc>
          <w:tcPr>
            <w:tcW w:w="1064" w:type="dxa"/>
            <w:tcBorders>
              <w:tl2br w:val="nil"/>
              <w:tr2bl w:val="nil"/>
            </w:tcBorders>
            <w:vAlign w:val="center"/>
          </w:tcPr>
          <w:p w14:paraId="6FF6A057">
            <w:pPr>
              <w:spacing w:line="360" w:lineRule="exact"/>
              <w:ind w:firstLine="0" w:firstLineChars="0"/>
              <w:jc w:val="center"/>
              <w:textAlignment w:val="baseline"/>
              <w:rPr>
                <w:rFonts w:cs="Times New Roman"/>
                <w:color w:val="auto"/>
                <w:kern w:val="0"/>
                <w:sz w:val="21"/>
                <w:szCs w:val="21"/>
                <w:highlight w:val="none"/>
              </w:rPr>
            </w:pPr>
            <w:bookmarkStart w:id="186" w:name="_Toc15057"/>
            <w:bookmarkStart w:id="187" w:name="_Toc27238"/>
            <w:bookmarkStart w:id="188" w:name="_Toc15663"/>
            <w:r>
              <w:rPr>
                <w:rFonts w:cs="Times New Roman"/>
                <w:color w:val="auto"/>
                <w:kern w:val="0"/>
                <w:sz w:val="21"/>
                <w:szCs w:val="21"/>
                <w:highlight w:val="none"/>
              </w:rPr>
              <w:t>占标率</w:t>
            </w:r>
            <w:bookmarkEnd w:id="186"/>
            <w:bookmarkEnd w:id="187"/>
            <w:bookmarkEnd w:id="188"/>
          </w:p>
          <w:p w14:paraId="731B5CF1">
            <w:pPr>
              <w:spacing w:line="360" w:lineRule="exact"/>
              <w:ind w:firstLine="0" w:firstLineChars="0"/>
              <w:jc w:val="center"/>
              <w:textAlignment w:val="baseline"/>
              <w:rPr>
                <w:rFonts w:cs="Times New Roman"/>
                <w:color w:val="auto"/>
                <w:kern w:val="0"/>
                <w:sz w:val="21"/>
                <w:szCs w:val="21"/>
                <w:highlight w:val="none"/>
              </w:rPr>
            </w:pPr>
            <w:bookmarkStart w:id="189" w:name="_Toc24422"/>
            <w:bookmarkStart w:id="190" w:name="_Toc9428"/>
            <w:bookmarkStart w:id="191" w:name="_Toc16180"/>
            <w:r>
              <w:rPr>
                <w:rFonts w:cs="Times New Roman"/>
                <w:color w:val="auto"/>
                <w:kern w:val="0"/>
                <w:sz w:val="21"/>
                <w:szCs w:val="21"/>
                <w:highlight w:val="none"/>
              </w:rPr>
              <w:t>（%）</w:t>
            </w:r>
            <w:bookmarkEnd w:id="189"/>
            <w:bookmarkEnd w:id="190"/>
            <w:bookmarkEnd w:id="191"/>
          </w:p>
        </w:tc>
        <w:tc>
          <w:tcPr>
            <w:tcW w:w="1218" w:type="dxa"/>
            <w:tcBorders>
              <w:tl2br w:val="nil"/>
              <w:tr2bl w:val="nil"/>
            </w:tcBorders>
            <w:vAlign w:val="center"/>
          </w:tcPr>
          <w:p w14:paraId="46582DAB">
            <w:pPr>
              <w:spacing w:line="360" w:lineRule="exact"/>
              <w:ind w:firstLine="0" w:firstLineChars="0"/>
              <w:jc w:val="center"/>
              <w:textAlignment w:val="baseline"/>
              <w:rPr>
                <w:rFonts w:cs="Times New Roman"/>
                <w:color w:val="auto"/>
                <w:kern w:val="0"/>
                <w:sz w:val="21"/>
                <w:szCs w:val="21"/>
                <w:highlight w:val="none"/>
              </w:rPr>
            </w:pPr>
            <w:bookmarkStart w:id="192" w:name="_Toc29008"/>
            <w:bookmarkStart w:id="193" w:name="_Toc20542"/>
            <w:bookmarkStart w:id="194" w:name="_Toc87"/>
            <w:r>
              <w:rPr>
                <w:rFonts w:cs="Times New Roman"/>
                <w:color w:val="auto"/>
                <w:kern w:val="0"/>
                <w:sz w:val="21"/>
                <w:szCs w:val="21"/>
                <w:highlight w:val="none"/>
              </w:rPr>
              <w:t>达标情况</w:t>
            </w:r>
            <w:bookmarkEnd w:id="192"/>
            <w:bookmarkEnd w:id="193"/>
            <w:bookmarkEnd w:id="194"/>
          </w:p>
        </w:tc>
      </w:tr>
      <w:tr w14:paraId="7610ECA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912" w:type="dxa"/>
            <w:tcBorders>
              <w:tl2br w:val="nil"/>
              <w:tr2bl w:val="nil"/>
            </w:tcBorders>
            <w:vAlign w:val="center"/>
          </w:tcPr>
          <w:p w14:paraId="4E6E5E5F">
            <w:pPr>
              <w:spacing w:line="360" w:lineRule="exact"/>
              <w:ind w:firstLine="0" w:firstLineChars="0"/>
              <w:jc w:val="center"/>
              <w:textAlignment w:val="baseline"/>
              <w:rPr>
                <w:rFonts w:cs="Times New Roman"/>
                <w:color w:val="auto"/>
                <w:kern w:val="0"/>
                <w:sz w:val="21"/>
                <w:szCs w:val="21"/>
                <w:highlight w:val="none"/>
              </w:rPr>
            </w:pPr>
            <w:bookmarkStart w:id="195" w:name="_Toc1208"/>
            <w:bookmarkStart w:id="196" w:name="_Toc30992"/>
            <w:bookmarkStart w:id="197" w:name="_Toc9937"/>
            <w:r>
              <w:rPr>
                <w:rFonts w:cs="Times New Roman"/>
                <w:color w:val="auto"/>
                <w:kern w:val="0"/>
                <w:sz w:val="21"/>
                <w:szCs w:val="21"/>
                <w:highlight w:val="none"/>
              </w:rPr>
              <w:t>SO</w:t>
            </w:r>
            <w:r>
              <w:rPr>
                <w:rFonts w:cs="Times New Roman"/>
                <w:color w:val="auto"/>
                <w:kern w:val="0"/>
                <w:sz w:val="21"/>
                <w:szCs w:val="21"/>
                <w:highlight w:val="none"/>
                <w:vertAlign w:val="subscript"/>
              </w:rPr>
              <w:t>2</w:t>
            </w:r>
            <w:bookmarkEnd w:id="195"/>
            <w:bookmarkEnd w:id="196"/>
            <w:bookmarkEnd w:id="197"/>
          </w:p>
        </w:tc>
        <w:tc>
          <w:tcPr>
            <w:tcW w:w="3083" w:type="dxa"/>
            <w:tcBorders>
              <w:tl2br w:val="nil"/>
              <w:tr2bl w:val="nil"/>
            </w:tcBorders>
            <w:vAlign w:val="center"/>
          </w:tcPr>
          <w:p w14:paraId="6AC164C2">
            <w:pPr>
              <w:spacing w:line="360" w:lineRule="exact"/>
              <w:ind w:firstLine="0" w:firstLineChars="0"/>
              <w:jc w:val="center"/>
              <w:textAlignment w:val="baseline"/>
              <w:rPr>
                <w:rFonts w:cs="Times New Roman"/>
                <w:color w:val="auto"/>
                <w:kern w:val="0"/>
                <w:sz w:val="21"/>
                <w:szCs w:val="21"/>
                <w:highlight w:val="none"/>
              </w:rPr>
            </w:pPr>
            <w:bookmarkStart w:id="198" w:name="_Toc18472"/>
            <w:bookmarkStart w:id="199" w:name="_Toc3033"/>
            <w:bookmarkStart w:id="200" w:name="_Toc1474"/>
            <w:r>
              <w:rPr>
                <w:rFonts w:cs="Times New Roman"/>
                <w:color w:val="auto"/>
                <w:kern w:val="0"/>
                <w:sz w:val="21"/>
                <w:szCs w:val="21"/>
                <w:highlight w:val="none"/>
              </w:rPr>
              <w:t>年平均质量浓度</w:t>
            </w:r>
            <w:bookmarkEnd w:id="198"/>
            <w:bookmarkEnd w:id="199"/>
            <w:bookmarkEnd w:id="200"/>
          </w:p>
        </w:tc>
        <w:tc>
          <w:tcPr>
            <w:tcW w:w="1235" w:type="dxa"/>
            <w:tcBorders>
              <w:tl2br w:val="nil"/>
              <w:tr2bl w:val="nil"/>
            </w:tcBorders>
            <w:vAlign w:val="center"/>
          </w:tcPr>
          <w:p w14:paraId="79D3B804">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11</w:t>
            </w:r>
          </w:p>
        </w:tc>
        <w:tc>
          <w:tcPr>
            <w:tcW w:w="926" w:type="dxa"/>
            <w:tcBorders>
              <w:tl2br w:val="nil"/>
              <w:tr2bl w:val="nil"/>
            </w:tcBorders>
            <w:vAlign w:val="center"/>
          </w:tcPr>
          <w:p w14:paraId="4AB9474D">
            <w:pPr>
              <w:spacing w:line="360" w:lineRule="exact"/>
              <w:ind w:firstLine="0" w:firstLineChars="0"/>
              <w:jc w:val="center"/>
              <w:textAlignment w:val="baseline"/>
              <w:rPr>
                <w:rFonts w:cs="Times New Roman"/>
                <w:color w:val="auto"/>
                <w:kern w:val="0"/>
                <w:sz w:val="21"/>
                <w:szCs w:val="21"/>
                <w:highlight w:val="none"/>
              </w:rPr>
            </w:pPr>
            <w:bookmarkStart w:id="201" w:name="_Toc5047"/>
            <w:bookmarkStart w:id="202" w:name="_Toc5109"/>
            <w:bookmarkStart w:id="203" w:name="_Toc23976"/>
            <w:r>
              <w:rPr>
                <w:rFonts w:cs="Times New Roman"/>
                <w:color w:val="auto"/>
                <w:kern w:val="0"/>
                <w:sz w:val="21"/>
                <w:szCs w:val="21"/>
                <w:highlight w:val="none"/>
              </w:rPr>
              <w:t>60</w:t>
            </w:r>
            <w:bookmarkEnd w:id="201"/>
            <w:bookmarkEnd w:id="202"/>
            <w:bookmarkEnd w:id="203"/>
          </w:p>
        </w:tc>
        <w:tc>
          <w:tcPr>
            <w:tcW w:w="1064" w:type="dxa"/>
            <w:tcBorders>
              <w:tl2br w:val="nil"/>
              <w:tr2bl w:val="nil"/>
            </w:tcBorders>
            <w:vAlign w:val="center"/>
          </w:tcPr>
          <w:p w14:paraId="5DD7EF0E">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18.3</w:t>
            </w:r>
            <w:r>
              <w:rPr>
                <w:rFonts w:cs="Times New Roman"/>
                <w:color w:val="auto"/>
                <w:kern w:val="0"/>
                <w:sz w:val="21"/>
                <w:szCs w:val="21"/>
                <w:highlight w:val="none"/>
              </w:rPr>
              <w:t>%</w:t>
            </w:r>
          </w:p>
        </w:tc>
        <w:tc>
          <w:tcPr>
            <w:tcW w:w="1218" w:type="dxa"/>
            <w:tcBorders>
              <w:tl2br w:val="nil"/>
              <w:tr2bl w:val="nil"/>
            </w:tcBorders>
            <w:vAlign w:val="center"/>
          </w:tcPr>
          <w:p w14:paraId="424A748B">
            <w:pPr>
              <w:spacing w:line="360" w:lineRule="exact"/>
              <w:ind w:firstLine="0" w:firstLineChars="0"/>
              <w:jc w:val="center"/>
              <w:textAlignment w:val="baseline"/>
              <w:rPr>
                <w:rFonts w:cs="Times New Roman"/>
                <w:color w:val="auto"/>
                <w:kern w:val="0"/>
                <w:sz w:val="21"/>
                <w:szCs w:val="21"/>
                <w:highlight w:val="none"/>
              </w:rPr>
            </w:pPr>
            <w:bookmarkStart w:id="204" w:name="_Toc28892"/>
            <w:bookmarkStart w:id="205" w:name="_Toc6000"/>
            <w:bookmarkStart w:id="206" w:name="_Toc25017"/>
            <w:r>
              <w:rPr>
                <w:rFonts w:cs="Times New Roman"/>
                <w:color w:val="auto"/>
                <w:kern w:val="0"/>
                <w:sz w:val="21"/>
                <w:szCs w:val="21"/>
                <w:highlight w:val="none"/>
              </w:rPr>
              <w:t>达标</w:t>
            </w:r>
            <w:bookmarkEnd w:id="204"/>
            <w:bookmarkEnd w:id="205"/>
            <w:bookmarkEnd w:id="206"/>
          </w:p>
        </w:tc>
      </w:tr>
      <w:tr w14:paraId="3936123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912" w:type="dxa"/>
            <w:tcBorders>
              <w:tl2br w:val="nil"/>
              <w:tr2bl w:val="nil"/>
            </w:tcBorders>
            <w:vAlign w:val="center"/>
          </w:tcPr>
          <w:p w14:paraId="4DFFABC3">
            <w:pPr>
              <w:spacing w:line="360" w:lineRule="exact"/>
              <w:ind w:firstLine="0" w:firstLineChars="0"/>
              <w:jc w:val="center"/>
              <w:textAlignment w:val="baseline"/>
              <w:rPr>
                <w:rFonts w:cs="Times New Roman"/>
                <w:color w:val="auto"/>
                <w:kern w:val="0"/>
                <w:sz w:val="21"/>
                <w:szCs w:val="21"/>
                <w:highlight w:val="none"/>
              </w:rPr>
            </w:pPr>
            <w:bookmarkStart w:id="207" w:name="_Toc10056"/>
            <w:bookmarkStart w:id="208" w:name="_Toc2803"/>
            <w:bookmarkStart w:id="209" w:name="_Toc29915"/>
            <w:r>
              <w:rPr>
                <w:rFonts w:cs="Times New Roman"/>
                <w:color w:val="auto"/>
                <w:kern w:val="0"/>
                <w:sz w:val="21"/>
                <w:szCs w:val="21"/>
                <w:highlight w:val="none"/>
              </w:rPr>
              <w:t>NO</w:t>
            </w:r>
            <w:r>
              <w:rPr>
                <w:rFonts w:cs="Times New Roman"/>
                <w:color w:val="auto"/>
                <w:kern w:val="0"/>
                <w:sz w:val="21"/>
                <w:szCs w:val="21"/>
                <w:highlight w:val="none"/>
                <w:vertAlign w:val="subscript"/>
              </w:rPr>
              <w:t>2</w:t>
            </w:r>
            <w:bookmarkEnd w:id="207"/>
            <w:bookmarkEnd w:id="208"/>
            <w:bookmarkEnd w:id="209"/>
          </w:p>
        </w:tc>
        <w:tc>
          <w:tcPr>
            <w:tcW w:w="3083" w:type="dxa"/>
            <w:tcBorders>
              <w:tl2br w:val="nil"/>
              <w:tr2bl w:val="nil"/>
            </w:tcBorders>
            <w:vAlign w:val="center"/>
          </w:tcPr>
          <w:p w14:paraId="182F47CE">
            <w:pPr>
              <w:spacing w:line="360" w:lineRule="exact"/>
              <w:ind w:firstLine="0" w:firstLineChars="0"/>
              <w:jc w:val="center"/>
              <w:textAlignment w:val="baseline"/>
              <w:rPr>
                <w:rFonts w:cs="Times New Roman"/>
                <w:color w:val="auto"/>
                <w:kern w:val="0"/>
                <w:sz w:val="21"/>
                <w:szCs w:val="21"/>
                <w:highlight w:val="none"/>
              </w:rPr>
            </w:pPr>
            <w:bookmarkStart w:id="210" w:name="_Toc29753"/>
            <w:bookmarkStart w:id="211" w:name="_Toc9267"/>
            <w:bookmarkStart w:id="212" w:name="_Toc2663"/>
            <w:r>
              <w:rPr>
                <w:rFonts w:cs="Times New Roman"/>
                <w:color w:val="auto"/>
                <w:kern w:val="0"/>
                <w:sz w:val="21"/>
                <w:szCs w:val="21"/>
                <w:highlight w:val="none"/>
              </w:rPr>
              <w:t>年平均质量浓度</w:t>
            </w:r>
            <w:bookmarkEnd w:id="210"/>
            <w:bookmarkEnd w:id="211"/>
            <w:bookmarkEnd w:id="212"/>
          </w:p>
        </w:tc>
        <w:tc>
          <w:tcPr>
            <w:tcW w:w="1235" w:type="dxa"/>
            <w:tcBorders>
              <w:tl2br w:val="nil"/>
              <w:tr2bl w:val="nil"/>
            </w:tcBorders>
            <w:vAlign w:val="center"/>
          </w:tcPr>
          <w:p w14:paraId="5A4F451A">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15</w:t>
            </w:r>
          </w:p>
        </w:tc>
        <w:tc>
          <w:tcPr>
            <w:tcW w:w="926" w:type="dxa"/>
            <w:tcBorders>
              <w:tl2br w:val="nil"/>
              <w:tr2bl w:val="nil"/>
            </w:tcBorders>
            <w:vAlign w:val="center"/>
          </w:tcPr>
          <w:p w14:paraId="49812719">
            <w:pPr>
              <w:spacing w:line="360" w:lineRule="exact"/>
              <w:ind w:firstLine="0" w:firstLineChars="0"/>
              <w:jc w:val="center"/>
              <w:textAlignment w:val="baseline"/>
              <w:rPr>
                <w:rFonts w:cs="Times New Roman"/>
                <w:color w:val="auto"/>
                <w:kern w:val="0"/>
                <w:sz w:val="21"/>
                <w:szCs w:val="21"/>
                <w:highlight w:val="none"/>
              </w:rPr>
            </w:pPr>
            <w:bookmarkStart w:id="213" w:name="_Toc31024"/>
            <w:bookmarkStart w:id="214" w:name="_Toc30081"/>
            <w:bookmarkStart w:id="215" w:name="_Toc12299"/>
            <w:r>
              <w:rPr>
                <w:rFonts w:cs="Times New Roman"/>
                <w:color w:val="auto"/>
                <w:kern w:val="0"/>
                <w:sz w:val="21"/>
                <w:szCs w:val="21"/>
                <w:highlight w:val="none"/>
              </w:rPr>
              <w:t>40</w:t>
            </w:r>
            <w:bookmarkEnd w:id="213"/>
            <w:bookmarkEnd w:id="214"/>
            <w:bookmarkEnd w:id="215"/>
          </w:p>
        </w:tc>
        <w:tc>
          <w:tcPr>
            <w:tcW w:w="1064" w:type="dxa"/>
            <w:tcBorders>
              <w:tl2br w:val="nil"/>
              <w:tr2bl w:val="nil"/>
            </w:tcBorders>
            <w:vAlign w:val="center"/>
          </w:tcPr>
          <w:p w14:paraId="560635A7">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37.5</w:t>
            </w:r>
            <w:r>
              <w:rPr>
                <w:rFonts w:cs="Times New Roman"/>
                <w:color w:val="auto"/>
                <w:kern w:val="0"/>
                <w:sz w:val="21"/>
                <w:szCs w:val="21"/>
                <w:highlight w:val="none"/>
              </w:rPr>
              <w:t>%</w:t>
            </w:r>
          </w:p>
        </w:tc>
        <w:tc>
          <w:tcPr>
            <w:tcW w:w="1218" w:type="dxa"/>
            <w:tcBorders>
              <w:tl2br w:val="nil"/>
              <w:tr2bl w:val="nil"/>
            </w:tcBorders>
            <w:vAlign w:val="center"/>
          </w:tcPr>
          <w:p w14:paraId="23704510">
            <w:pPr>
              <w:spacing w:line="360" w:lineRule="exact"/>
              <w:ind w:firstLine="0" w:firstLineChars="0"/>
              <w:jc w:val="center"/>
              <w:textAlignment w:val="baseline"/>
              <w:rPr>
                <w:rFonts w:cs="Times New Roman"/>
                <w:color w:val="auto"/>
                <w:kern w:val="0"/>
                <w:sz w:val="21"/>
                <w:szCs w:val="21"/>
                <w:highlight w:val="none"/>
              </w:rPr>
            </w:pPr>
            <w:bookmarkStart w:id="216" w:name="_Toc6362"/>
            <w:bookmarkStart w:id="217" w:name="_Toc7559"/>
            <w:bookmarkStart w:id="218" w:name="_Toc19298"/>
            <w:r>
              <w:rPr>
                <w:rFonts w:cs="Times New Roman"/>
                <w:color w:val="auto"/>
                <w:kern w:val="0"/>
                <w:sz w:val="21"/>
                <w:szCs w:val="21"/>
                <w:highlight w:val="none"/>
              </w:rPr>
              <w:t>达标</w:t>
            </w:r>
            <w:bookmarkEnd w:id="216"/>
            <w:bookmarkEnd w:id="217"/>
            <w:bookmarkEnd w:id="218"/>
          </w:p>
        </w:tc>
      </w:tr>
      <w:tr w14:paraId="0D8C8B7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912" w:type="dxa"/>
            <w:tcBorders>
              <w:tl2br w:val="nil"/>
              <w:tr2bl w:val="nil"/>
            </w:tcBorders>
            <w:vAlign w:val="center"/>
          </w:tcPr>
          <w:p w14:paraId="35543B65">
            <w:pPr>
              <w:spacing w:line="360" w:lineRule="exact"/>
              <w:ind w:firstLine="0" w:firstLineChars="0"/>
              <w:jc w:val="center"/>
              <w:textAlignment w:val="baseline"/>
              <w:rPr>
                <w:rFonts w:cs="Times New Roman"/>
                <w:color w:val="auto"/>
                <w:kern w:val="0"/>
                <w:sz w:val="21"/>
                <w:szCs w:val="21"/>
                <w:highlight w:val="none"/>
              </w:rPr>
            </w:pPr>
            <w:bookmarkStart w:id="219" w:name="_Toc26457"/>
            <w:bookmarkStart w:id="220" w:name="_Toc14493"/>
            <w:bookmarkStart w:id="221" w:name="_Toc14645"/>
            <w:r>
              <w:rPr>
                <w:rFonts w:cs="Times New Roman"/>
                <w:color w:val="auto"/>
                <w:kern w:val="0"/>
                <w:sz w:val="21"/>
                <w:szCs w:val="21"/>
                <w:highlight w:val="none"/>
              </w:rPr>
              <w:t>PM</w:t>
            </w:r>
            <w:r>
              <w:rPr>
                <w:rFonts w:cs="Times New Roman"/>
                <w:color w:val="auto"/>
                <w:kern w:val="0"/>
                <w:sz w:val="21"/>
                <w:szCs w:val="21"/>
                <w:highlight w:val="none"/>
                <w:vertAlign w:val="subscript"/>
              </w:rPr>
              <w:t>10</w:t>
            </w:r>
            <w:bookmarkEnd w:id="219"/>
            <w:bookmarkEnd w:id="220"/>
            <w:bookmarkEnd w:id="221"/>
          </w:p>
        </w:tc>
        <w:tc>
          <w:tcPr>
            <w:tcW w:w="3083" w:type="dxa"/>
            <w:tcBorders>
              <w:tl2br w:val="nil"/>
              <w:tr2bl w:val="nil"/>
            </w:tcBorders>
            <w:vAlign w:val="center"/>
          </w:tcPr>
          <w:p w14:paraId="29CD8392">
            <w:pPr>
              <w:spacing w:line="360" w:lineRule="exact"/>
              <w:ind w:firstLine="0" w:firstLineChars="0"/>
              <w:jc w:val="center"/>
              <w:textAlignment w:val="baseline"/>
              <w:rPr>
                <w:rFonts w:cs="Times New Roman"/>
                <w:color w:val="auto"/>
                <w:kern w:val="0"/>
                <w:sz w:val="21"/>
                <w:szCs w:val="21"/>
                <w:highlight w:val="none"/>
              </w:rPr>
            </w:pPr>
            <w:bookmarkStart w:id="222" w:name="_Toc15003"/>
            <w:bookmarkStart w:id="223" w:name="_Toc22113"/>
            <w:bookmarkStart w:id="224" w:name="_Toc971"/>
            <w:r>
              <w:rPr>
                <w:rFonts w:cs="Times New Roman"/>
                <w:color w:val="auto"/>
                <w:kern w:val="0"/>
                <w:sz w:val="21"/>
                <w:szCs w:val="21"/>
                <w:highlight w:val="none"/>
              </w:rPr>
              <w:t>年平均质量浓度</w:t>
            </w:r>
            <w:bookmarkEnd w:id="222"/>
            <w:bookmarkEnd w:id="223"/>
            <w:bookmarkEnd w:id="224"/>
          </w:p>
        </w:tc>
        <w:tc>
          <w:tcPr>
            <w:tcW w:w="1235" w:type="dxa"/>
            <w:tcBorders>
              <w:tl2br w:val="nil"/>
              <w:tr2bl w:val="nil"/>
            </w:tcBorders>
            <w:vAlign w:val="center"/>
          </w:tcPr>
          <w:p w14:paraId="64E0E897">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43</w:t>
            </w:r>
          </w:p>
        </w:tc>
        <w:tc>
          <w:tcPr>
            <w:tcW w:w="926" w:type="dxa"/>
            <w:tcBorders>
              <w:tl2br w:val="nil"/>
              <w:tr2bl w:val="nil"/>
            </w:tcBorders>
            <w:vAlign w:val="center"/>
          </w:tcPr>
          <w:p w14:paraId="2F12FC10">
            <w:pPr>
              <w:spacing w:line="360" w:lineRule="exact"/>
              <w:ind w:firstLine="0" w:firstLineChars="0"/>
              <w:jc w:val="center"/>
              <w:textAlignment w:val="baseline"/>
              <w:rPr>
                <w:rFonts w:cs="Times New Roman"/>
                <w:color w:val="auto"/>
                <w:kern w:val="0"/>
                <w:sz w:val="21"/>
                <w:szCs w:val="21"/>
                <w:highlight w:val="none"/>
              </w:rPr>
            </w:pPr>
            <w:bookmarkStart w:id="225" w:name="_Toc13906"/>
            <w:bookmarkStart w:id="226" w:name="_Toc15511"/>
            <w:bookmarkStart w:id="227" w:name="_Toc119"/>
            <w:r>
              <w:rPr>
                <w:rFonts w:cs="Times New Roman"/>
                <w:color w:val="auto"/>
                <w:kern w:val="0"/>
                <w:sz w:val="21"/>
                <w:szCs w:val="21"/>
                <w:highlight w:val="none"/>
              </w:rPr>
              <w:t>70</w:t>
            </w:r>
            <w:bookmarkEnd w:id="225"/>
            <w:bookmarkEnd w:id="226"/>
            <w:bookmarkEnd w:id="227"/>
          </w:p>
        </w:tc>
        <w:tc>
          <w:tcPr>
            <w:tcW w:w="1064" w:type="dxa"/>
            <w:tcBorders>
              <w:tl2br w:val="nil"/>
              <w:tr2bl w:val="nil"/>
            </w:tcBorders>
            <w:vAlign w:val="center"/>
          </w:tcPr>
          <w:p w14:paraId="58B6B7DF">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61.4</w:t>
            </w:r>
            <w:r>
              <w:rPr>
                <w:rFonts w:cs="Times New Roman"/>
                <w:color w:val="auto"/>
                <w:kern w:val="0"/>
                <w:sz w:val="21"/>
                <w:szCs w:val="21"/>
                <w:highlight w:val="none"/>
              </w:rPr>
              <w:t>%</w:t>
            </w:r>
          </w:p>
        </w:tc>
        <w:tc>
          <w:tcPr>
            <w:tcW w:w="1218" w:type="dxa"/>
            <w:tcBorders>
              <w:tl2br w:val="nil"/>
              <w:tr2bl w:val="nil"/>
            </w:tcBorders>
            <w:vAlign w:val="center"/>
          </w:tcPr>
          <w:p w14:paraId="6E49C1A0">
            <w:pPr>
              <w:spacing w:line="360" w:lineRule="exact"/>
              <w:ind w:firstLine="0" w:firstLineChars="0"/>
              <w:jc w:val="center"/>
              <w:textAlignment w:val="baseline"/>
              <w:rPr>
                <w:rFonts w:cs="Times New Roman"/>
                <w:color w:val="auto"/>
                <w:kern w:val="0"/>
                <w:sz w:val="21"/>
                <w:szCs w:val="21"/>
                <w:highlight w:val="none"/>
              </w:rPr>
            </w:pPr>
            <w:bookmarkStart w:id="228" w:name="_Toc13344"/>
            <w:bookmarkStart w:id="229" w:name="_Toc14790"/>
            <w:bookmarkStart w:id="230" w:name="_Toc29099"/>
            <w:r>
              <w:rPr>
                <w:rFonts w:cs="Times New Roman"/>
                <w:color w:val="auto"/>
                <w:kern w:val="0"/>
                <w:sz w:val="21"/>
                <w:szCs w:val="21"/>
                <w:highlight w:val="none"/>
              </w:rPr>
              <w:t>达标</w:t>
            </w:r>
            <w:bookmarkEnd w:id="228"/>
            <w:bookmarkEnd w:id="229"/>
            <w:bookmarkEnd w:id="230"/>
          </w:p>
        </w:tc>
      </w:tr>
      <w:tr w14:paraId="18645EA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912" w:type="dxa"/>
            <w:tcBorders>
              <w:tl2br w:val="nil"/>
              <w:tr2bl w:val="nil"/>
            </w:tcBorders>
            <w:vAlign w:val="center"/>
          </w:tcPr>
          <w:p w14:paraId="00C79D90">
            <w:pPr>
              <w:spacing w:line="360" w:lineRule="exact"/>
              <w:ind w:firstLine="0" w:firstLineChars="0"/>
              <w:jc w:val="center"/>
              <w:textAlignment w:val="baseline"/>
              <w:rPr>
                <w:rFonts w:cs="Times New Roman"/>
                <w:color w:val="auto"/>
                <w:kern w:val="0"/>
                <w:sz w:val="21"/>
                <w:szCs w:val="21"/>
                <w:highlight w:val="none"/>
              </w:rPr>
            </w:pPr>
            <w:bookmarkStart w:id="231" w:name="_Toc24443"/>
            <w:bookmarkStart w:id="232" w:name="_Toc10732"/>
            <w:bookmarkStart w:id="233" w:name="_Toc18622"/>
            <w:r>
              <w:rPr>
                <w:rFonts w:cs="Times New Roman"/>
                <w:color w:val="auto"/>
                <w:kern w:val="0"/>
                <w:sz w:val="21"/>
                <w:szCs w:val="21"/>
                <w:highlight w:val="none"/>
              </w:rPr>
              <w:t>PM</w:t>
            </w:r>
            <w:r>
              <w:rPr>
                <w:rFonts w:cs="Times New Roman"/>
                <w:color w:val="auto"/>
                <w:kern w:val="0"/>
                <w:sz w:val="21"/>
                <w:szCs w:val="21"/>
                <w:highlight w:val="none"/>
                <w:vertAlign w:val="subscript"/>
              </w:rPr>
              <w:t>2.5</w:t>
            </w:r>
            <w:bookmarkEnd w:id="231"/>
            <w:bookmarkEnd w:id="232"/>
            <w:bookmarkEnd w:id="233"/>
          </w:p>
        </w:tc>
        <w:tc>
          <w:tcPr>
            <w:tcW w:w="3083" w:type="dxa"/>
            <w:tcBorders>
              <w:tl2br w:val="nil"/>
              <w:tr2bl w:val="nil"/>
            </w:tcBorders>
            <w:vAlign w:val="center"/>
          </w:tcPr>
          <w:p w14:paraId="73E236FF">
            <w:pPr>
              <w:spacing w:line="360" w:lineRule="exact"/>
              <w:ind w:firstLine="0" w:firstLineChars="0"/>
              <w:jc w:val="center"/>
              <w:textAlignment w:val="baseline"/>
              <w:rPr>
                <w:rFonts w:cs="Times New Roman"/>
                <w:color w:val="auto"/>
                <w:kern w:val="0"/>
                <w:sz w:val="21"/>
                <w:szCs w:val="21"/>
                <w:highlight w:val="none"/>
              </w:rPr>
            </w:pPr>
            <w:bookmarkStart w:id="234" w:name="_Toc2675"/>
            <w:bookmarkStart w:id="235" w:name="_Toc21172"/>
            <w:bookmarkStart w:id="236" w:name="_Toc17583"/>
            <w:r>
              <w:rPr>
                <w:rFonts w:cs="Times New Roman"/>
                <w:color w:val="auto"/>
                <w:kern w:val="0"/>
                <w:sz w:val="21"/>
                <w:szCs w:val="21"/>
                <w:highlight w:val="none"/>
              </w:rPr>
              <w:t>年平均质量浓度</w:t>
            </w:r>
            <w:bookmarkEnd w:id="234"/>
            <w:bookmarkEnd w:id="235"/>
            <w:bookmarkEnd w:id="236"/>
          </w:p>
        </w:tc>
        <w:tc>
          <w:tcPr>
            <w:tcW w:w="1235" w:type="dxa"/>
            <w:tcBorders>
              <w:tl2br w:val="nil"/>
              <w:tr2bl w:val="nil"/>
            </w:tcBorders>
            <w:vAlign w:val="center"/>
          </w:tcPr>
          <w:p w14:paraId="12DDCA97">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27</w:t>
            </w:r>
          </w:p>
        </w:tc>
        <w:tc>
          <w:tcPr>
            <w:tcW w:w="926" w:type="dxa"/>
            <w:tcBorders>
              <w:tl2br w:val="nil"/>
              <w:tr2bl w:val="nil"/>
            </w:tcBorders>
            <w:vAlign w:val="center"/>
          </w:tcPr>
          <w:p w14:paraId="0D3BF1FC">
            <w:pPr>
              <w:spacing w:line="360" w:lineRule="exact"/>
              <w:ind w:firstLine="0" w:firstLineChars="0"/>
              <w:jc w:val="center"/>
              <w:textAlignment w:val="baseline"/>
              <w:rPr>
                <w:rFonts w:cs="Times New Roman"/>
                <w:color w:val="auto"/>
                <w:kern w:val="0"/>
                <w:sz w:val="21"/>
                <w:szCs w:val="21"/>
                <w:highlight w:val="none"/>
              </w:rPr>
            </w:pPr>
            <w:bookmarkStart w:id="237" w:name="_Toc29830"/>
            <w:bookmarkStart w:id="238" w:name="_Toc7328"/>
            <w:bookmarkStart w:id="239" w:name="_Toc16360"/>
            <w:r>
              <w:rPr>
                <w:rFonts w:cs="Times New Roman"/>
                <w:color w:val="auto"/>
                <w:kern w:val="0"/>
                <w:sz w:val="21"/>
                <w:szCs w:val="21"/>
                <w:highlight w:val="none"/>
              </w:rPr>
              <w:t>35</w:t>
            </w:r>
            <w:bookmarkEnd w:id="237"/>
            <w:bookmarkEnd w:id="238"/>
            <w:bookmarkEnd w:id="239"/>
          </w:p>
        </w:tc>
        <w:tc>
          <w:tcPr>
            <w:tcW w:w="1064" w:type="dxa"/>
            <w:tcBorders>
              <w:tl2br w:val="nil"/>
              <w:tr2bl w:val="nil"/>
            </w:tcBorders>
            <w:vAlign w:val="center"/>
          </w:tcPr>
          <w:p w14:paraId="561A5EC4">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77.1</w:t>
            </w:r>
            <w:r>
              <w:rPr>
                <w:rFonts w:cs="Times New Roman"/>
                <w:color w:val="auto"/>
                <w:kern w:val="0"/>
                <w:sz w:val="21"/>
                <w:szCs w:val="21"/>
                <w:highlight w:val="none"/>
              </w:rPr>
              <w:t>%</w:t>
            </w:r>
          </w:p>
        </w:tc>
        <w:tc>
          <w:tcPr>
            <w:tcW w:w="1218" w:type="dxa"/>
            <w:tcBorders>
              <w:tl2br w:val="nil"/>
              <w:tr2bl w:val="nil"/>
            </w:tcBorders>
            <w:vAlign w:val="center"/>
          </w:tcPr>
          <w:p w14:paraId="04F84D6F">
            <w:pPr>
              <w:spacing w:line="360" w:lineRule="exact"/>
              <w:ind w:firstLine="0" w:firstLineChars="0"/>
              <w:jc w:val="center"/>
              <w:textAlignment w:val="baseline"/>
              <w:rPr>
                <w:rFonts w:cs="Times New Roman"/>
                <w:color w:val="auto"/>
                <w:kern w:val="0"/>
                <w:sz w:val="21"/>
                <w:szCs w:val="21"/>
                <w:highlight w:val="none"/>
              </w:rPr>
            </w:pPr>
            <w:bookmarkStart w:id="240" w:name="_Toc21982"/>
            <w:bookmarkStart w:id="241" w:name="_Toc23697"/>
            <w:bookmarkStart w:id="242" w:name="_Toc17844"/>
            <w:r>
              <w:rPr>
                <w:rFonts w:cs="Times New Roman"/>
                <w:color w:val="auto"/>
                <w:kern w:val="0"/>
                <w:sz w:val="21"/>
                <w:szCs w:val="21"/>
                <w:highlight w:val="none"/>
              </w:rPr>
              <w:t>达标</w:t>
            </w:r>
            <w:bookmarkEnd w:id="240"/>
            <w:bookmarkEnd w:id="241"/>
            <w:bookmarkEnd w:id="242"/>
          </w:p>
        </w:tc>
      </w:tr>
      <w:tr w14:paraId="146FCF7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912" w:type="dxa"/>
            <w:tcBorders>
              <w:tl2br w:val="nil"/>
              <w:tr2bl w:val="nil"/>
            </w:tcBorders>
            <w:vAlign w:val="center"/>
          </w:tcPr>
          <w:p w14:paraId="083969E9">
            <w:pPr>
              <w:spacing w:line="360" w:lineRule="exact"/>
              <w:ind w:firstLine="0" w:firstLineChars="0"/>
              <w:jc w:val="center"/>
              <w:textAlignment w:val="baseline"/>
              <w:rPr>
                <w:rFonts w:cs="Times New Roman"/>
                <w:color w:val="auto"/>
                <w:kern w:val="0"/>
                <w:sz w:val="21"/>
                <w:szCs w:val="21"/>
                <w:highlight w:val="none"/>
              </w:rPr>
            </w:pPr>
            <w:bookmarkStart w:id="243" w:name="_Toc24498"/>
            <w:bookmarkStart w:id="244" w:name="_Toc22810"/>
            <w:bookmarkStart w:id="245" w:name="_Toc16999"/>
            <w:r>
              <w:rPr>
                <w:rFonts w:cs="Times New Roman"/>
                <w:color w:val="auto"/>
                <w:kern w:val="0"/>
                <w:sz w:val="21"/>
                <w:szCs w:val="21"/>
                <w:highlight w:val="none"/>
              </w:rPr>
              <w:t>CO</w:t>
            </w:r>
            <w:bookmarkEnd w:id="243"/>
            <w:bookmarkEnd w:id="244"/>
            <w:bookmarkEnd w:id="245"/>
          </w:p>
        </w:tc>
        <w:tc>
          <w:tcPr>
            <w:tcW w:w="3083" w:type="dxa"/>
            <w:tcBorders>
              <w:tl2br w:val="nil"/>
              <w:tr2bl w:val="nil"/>
            </w:tcBorders>
            <w:vAlign w:val="center"/>
          </w:tcPr>
          <w:p w14:paraId="0B694F1E">
            <w:pPr>
              <w:spacing w:line="360" w:lineRule="exact"/>
              <w:ind w:firstLine="0" w:firstLineChars="0"/>
              <w:jc w:val="center"/>
              <w:textAlignment w:val="baseline"/>
              <w:rPr>
                <w:rFonts w:cs="Times New Roman"/>
                <w:color w:val="auto"/>
                <w:kern w:val="0"/>
                <w:sz w:val="21"/>
                <w:szCs w:val="21"/>
                <w:highlight w:val="none"/>
              </w:rPr>
            </w:pPr>
            <w:bookmarkStart w:id="246" w:name="_Toc29313"/>
            <w:bookmarkStart w:id="247" w:name="_Toc32198"/>
            <w:bookmarkStart w:id="248" w:name="_Toc4148"/>
            <w:r>
              <w:rPr>
                <w:rFonts w:cs="Times New Roman"/>
                <w:color w:val="auto"/>
                <w:kern w:val="0"/>
                <w:sz w:val="21"/>
                <w:szCs w:val="21"/>
                <w:highlight w:val="none"/>
              </w:rPr>
              <w:t>第95百分位数日平均质量浓度</w:t>
            </w:r>
            <w:bookmarkEnd w:id="246"/>
            <w:bookmarkEnd w:id="247"/>
            <w:bookmarkEnd w:id="248"/>
          </w:p>
        </w:tc>
        <w:tc>
          <w:tcPr>
            <w:tcW w:w="1235" w:type="dxa"/>
            <w:tcBorders>
              <w:tl2br w:val="nil"/>
              <w:tr2bl w:val="nil"/>
            </w:tcBorders>
            <w:vAlign w:val="center"/>
          </w:tcPr>
          <w:p w14:paraId="151A3BCC">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480</w:t>
            </w:r>
          </w:p>
        </w:tc>
        <w:tc>
          <w:tcPr>
            <w:tcW w:w="926" w:type="dxa"/>
            <w:tcBorders>
              <w:tl2br w:val="nil"/>
              <w:tr2bl w:val="nil"/>
            </w:tcBorders>
            <w:vAlign w:val="center"/>
          </w:tcPr>
          <w:p w14:paraId="59A02C4C">
            <w:pPr>
              <w:spacing w:line="360" w:lineRule="exact"/>
              <w:ind w:firstLine="0" w:firstLineChars="0"/>
              <w:jc w:val="center"/>
              <w:textAlignment w:val="baseline"/>
              <w:rPr>
                <w:rFonts w:cs="Times New Roman"/>
                <w:color w:val="auto"/>
                <w:kern w:val="0"/>
                <w:sz w:val="21"/>
                <w:szCs w:val="21"/>
                <w:highlight w:val="none"/>
              </w:rPr>
            </w:pPr>
            <w:bookmarkStart w:id="249" w:name="_Toc10731"/>
            <w:bookmarkStart w:id="250" w:name="_Toc25613"/>
            <w:bookmarkStart w:id="251" w:name="_Toc12467"/>
            <w:r>
              <w:rPr>
                <w:rFonts w:cs="Times New Roman"/>
                <w:color w:val="auto"/>
                <w:kern w:val="0"/>
                <w:sz w:val="21"/>
                <w:szCs w:val="21"/>
                <w:highlight w:val="none"/>
              </w:rPr>
              <w:t>4000</w:t>
            </w:r>
            <w:bookmarkEnd w:id="249"/>
            <w:bookmarkEnd w:id="250"/>
            <w:bookmarkEnd w:id="251"/>
          </w:p>
        </w:tc>
        <w:tc>
          <w:tcPr>
            <w:tcW w:w="1064" w:type="dxa"/>
            <w:tcBorders>
              <w:tl2br w:val="nil"/>
              <w:tr2bl w:val="nil"/>
            </w:tcBorders>
            <w:vAlign w:val="center"/>
          </w:tcPr>
          <w:p w14:paraId="077D4884">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12.0</w:t>
            </w:r>
            <w:r>
              <w:rPr>
                <w:rFonts w:cs="Times New Roman"/>
                <w:color w:val="auto"/>
                <w:kern w:val="0"/>
                <w:sz w:val="21"/>
                <w:szCs w:val="21"/>
                <w:highlight w:val="none"/>
              </w:rPr>
              <w:t>%</w:t>
            </w:r>
          </w:p>
        </w:tc>
        <w:tc>
          <w:tcPr>
            <w:tcW w:w="1218" w:type="dxa"/>
            <w:tcBorders>
              <w:tl2br w:val="nil"/>
              <w:tr2bl w:val="nil"/>
            </w:tcBorders>
            <w:vAlign w:val="center"/>
          </w:tcPr>
          <w:p w14:paraId="680F0493">
            <w:pPr>
              <w:spacing w:line="360" w:lineRule="exact"/>
              <w:ind w:firstLine="0" w:firstLineChars="0"/>
              <w:jc w:val="center"/>
              <w:textAlignment w:val="baseline"/>
              <w:rPr>
                <w:rFonts w:cs="Times New Roman"/>
                <w:color w:val="auto"/>
                <w:kern w:val="0"/>
                <w:sz w:val="21"/>
                <w:szCs w:val="21"/>
                <w:highlight w:val="none"/>
              </w:rPr>
            </w:pPr>
            <w:bookmarkStart w:id="252" w:name="_Toc22248"/>
            <w:bookmarkStart w:id="253" w:name="_Toc9769"/>
            <w:bookmarkStart w:id="254" w:name="_Toc11966"/>
            <w:r>
              <w:rPr>
                <w:rFonts w:cs="Times New Roman"/>
                <w:color w:val="auto"/>
                <w:kern w:val="0"/>
                <w:sz w:val="21"/>
                <w:szCs w:val="21"/>
                <w:highlight w:val="none"/>
              </w:rPr>
              <w:t>达标</w:t>
            </w:r>
            <w:bookmarkEnd w:id="252"/>
            <w:bookmarkEnd w:id="253"/>
            <w:bookmarkEnd w:id="254"/>
          </w:p>
        </w:tc>
      </w:tr>
      <w:tr w14:paraId="71624D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21" w:hRule="atLeast"/>
          <w:jc w:val="center"/>
        </w:trPr>
        <w:tc>
          <w:tcPr>
            <w:tcW w:w="912" w:type="dxa"/>
            <w:tcBorders>
              <w:tl2br w:val="nil"/>
              <w:tr2bl w:val="nil"/>
            </w:tcBorders>
            <w:vAlign w:val="center"/>
          </w:tcPr>
          <w:p w14:paraId="0C062AD4">
            <w:pPr>
              <w:spacing w:line="360" w:lineRule="exact"/>
              <w:ind w:firstLine="0" w:firstLineChars="0"/>
              <w:jc w:val="center"/>
              <w:textAlignment w:val="baseline"/>
              <w:rPr>
                <w:rFonts w:cs="Times New Roman"/>
                <w:color w:val="auto"/>
                <w:kern w:val="0"/>
                <w:sz w:val="21"/>
                <w:szCs w:val="21"/>
                <w:highlight w:val="none"/>
              </w:rPr>
            </w:pPr>
            <w:bookmarkStart w:id="255" w:name="_Toc15939"/>
            <w:bookmarkStart w:id="256" w:name="_Toc30632"/>
            <w:bookmarkStart w:id="257" w:name="_Toc1520"/>
            <w:r>
              <w:rPr>
                <w:rFonts w:cs="Times New Roman"/>
                <w:color w:val="auto"/>
                <w:kern w:val="0"/>
                <w:sz w:val="21"/>
                <w:szCs w:val="21"/>
                <w:highlight w:val="none"/>
              </w:rPr>
              <w:t>O</w:t>
            </w:r>
            <w:r>
              <w:rPr>
                <w:rFonts w:cs="Times New Roman"/>
                <w:color w:val="auto"/>
                <w:kern w:val="0"/>
                <w:sz w:val="21"/>
                <w:szCs w:val="21"/>
                <w:highlight w:val="none"/>
                <w:vertAlign w:val="subscript"/>
              </w:rPr>
              <w:t>3</w:t>
            </w:r>
            <w:bookmarkEnd w:id="255"/>
            <w:bookmarkEnd w:id="256"/>
            <w:bookmarkEnd w:id="257"/>
          </w:p>
        </w:tc>
        <w:tc>
          <w:tcPr>
            <w:tcW w:w="3083" w:type="dxa"/>
            <w:tcBorders>
              <w:tl2br w:val="nil"/>
              <w:tr2bl w:val="nil"/>
            </w:tcBorders>
            <w:vAlign w:val="center"/>
          </w:tcPr>
          <w:p w14:paraId="07200949">
            <w:pPr>
              <w:spacing w:line="360" w:lineRule="exact"/>
              <w:ind w:firstLine="0" w:firstLineChars="0"/>
              <w:jc w:val="center"/>
              <w:textAlignment w:val="baseline"/>
              <w:rPr>
                <w:rFonts w:cs="Times New Roman"/>
                <w:color w:val="auto"/>
                <w:kern w:val="0"/>
                <w:sz w:val="21"/>
                <w:szCs w:val="21"/>
                <w:highlight w:val="none"/>
              </w:rPr>
            </w:pPr>
            <w:bookmarkStart w:id="258" w:name="_Toc21055"/>
            <w:bookmarkStart w:id="259" w:name="_Toc16864"/>
            <w:bookmarkStart w:id="260" w:name="_Toc21629"/>
            <w:r>
              <w:rPr>
                <w:rFonts w:cs="Times New Roman"/>
                <w:color w:val="auto"/>
                <w:kern w:val="0"/>
                <w:sz w:val="21"/>
                <w:szCs w:val="21"/>
                <w:highlight w:val="none"/>
              </w:rPr>
              <w:t>第90百分位数8h平均质量浓度</w:t>
            </w:r>
            <w:bookmarkEnd w:id="258"/>
            <w:bookmarkEnd w:id="259"/>
            <w:bookmarkEnd w:id="260"/>
          </w:p>
        </w:tc>
        <w:tc>
          <w:tcPr>
            <w:tcW w:w="1235" w:type="dxa"/>
            <w:tcBorders>
              <w:tl2br w:val="nil"/>
              <w:tr2bl w:val="nil"/>
            </w:tcBorders>
            <w:vAlign w:val="center"/>
          </w:tcPr>
          <w:p w14:paraId="265A0BD1">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105</w:t>
            </w:r>
          </w:p>
        </w:tc>
        <w:tc>
          <w:tcPr>
            <w:tcW w:w="926" w:type="dxa"/>
            <w:tcBorders>
              <w:tl2br w:val="nil"/>
              <w:tr2bl w:val="nil"/>
            </w:tcBorders>
            <w:vAlign w:val="center"/>
          </w:tcPr>
          <w:p w14:paraId="4775909C">
            <w:pPr>
              <w:spacing w:line="360" w:lineRule="exact"/>
              <w:ind w:firstLine="0" w:firstLineChars="0"/>
              <w:jc w:val="center"/>
              <w:textAlignment w:val="baseline"/>
              <w:rPr>
                <w:rFonts w:cs="Times New Roman"/>
                <w:color w:val="auto"/>
                <w:kern w:val="0"/>
                <w:sz w:val="21"/>
                <w:szCs w:val="21"/>
                <w:highlight w:val="none"/>
              </w:rPr>
            </w:pPr>
            <w:bookmarkStart w:id="261" w:name="_Toc23256"/>
            <w:bookmarkStart w:id="262" w:name="_Toc13516"/>
            <w:bookmarkStart w:id="263" w:name="_Toc16479"/>
            <w:r>
              <w:rPr>
                <w:rFonts w:cs="Times New Roman"/>
                <w:color w:val="auto"/>
                <w:kern w:val="0"/>
                <w:sz w:val="21"/>
                <w:szCs w:val="21"/>
                <w:highlight w:val="none"/>
              </w:rPr>
              <w:t>160</w:t>
            </w:r>
            <w:bookmarkEnd w:id="261"/>
            <w:bookmarkEnd w:id="262"/>
            <w:bookmarkEnd w:id="263"/>
          </w:p>
        </w:tc>
        <w:tc>
          <w:tcPr>
            <w:tcW w:w="1064" w:type="dxa"/>
            <w:tcBorders>
              <w:tl2br w:val="nil"/>
              <w:tr2bl w:val="nil"/>
            </w:tcBorders>
            <w:vAlign w:val="center"/>
          </w:tcPr>
          <w:p w14:paraId="32AE637F">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65.6</w:t>
            </w:r>
            <w:r>
              <w:rPr>
                <w:rFonts w:cs="Times New Roman"/>
                <w:color w:val="auto"/>
                <w:kern w:val="0"/>
                <w:sz w:val="21"/>
                <w:szCs w:val="21"/>
                <w:highlight w:val="none"/>
              </w:rPr>
              <w:t>%</w:t>
            </w:r>
          </w:p>
        </w:tc>
        <w:tc>
          <w:tcPr>
            <w:tcW w:w="1218" w:type="dxa"/>
            <w:tcBorders>
              <w:tl2br w:val="nil"/>
              <w:tr2bl w:val="nil"/>
            </w:tcBorders>
            <w:vAlign w:val="center"/>
          </w:tcPr>
          <w:p w14:paraId="29B18831">
            <w:pPr>
              <w:spacing w:line="360" w:lineRule="exact"/>
              <w:ind w:firstLine="0" w:firstLineChars="0"/>
              <w:jc w:val="center"/>
              <w:textAlignment w:val="baseline"/>
              <w:rPr>
                <w:rFonts w:cs="Times New Roman"/>
                <w:color w:val="auto"/>
                <w:kern w:val="0"/>
                <w:sz w:val="21"/>
                <w:szCs w:val="21"/>
                <w:highlight w:val="none"/>
              </w:rPr>
            </w:pPr>
            <w:bookmarkStart w:id="264" w:name="_Toc32531"/>
            <w:bookmarkStart w:id="265" w:name="_Toc19387"/>
            <w:bookmarkStart w:id="266" w:name="_Toc824"/>
            <w:r>
              <w:rPr>
                <w:rFonts w:cs="Times New Roman"/>
                <w:color w:val="auto"/>
                <w:kern w:val="0"/>
                <w:sz w:val="21"/>
                <w:szCs w:val="21"/>
                <w:highlight w:val="none"/>
              </w:rPr>
              <w:t>达标</w:t>
            </w:r>
            <w:bookmarkEnd w:id="264"/>
            <w:bookmarkEnd w:id="265"/>
            <w:bookmarkEnd w:id="266"/>
          </w:p>
        </w:tc>
      </w:tr>
    </w:tbl>
    <w:p w14:paraId="0C406C56">
      <w:pPr>
        <w:pStyle w:val="31"/>
        <w:tabs>
          <w:tab w:val="left" w:pos="1513"/>
          <w:tab w:val="center" w:pos="4212"/>
        </w:tabs>
        <w:spacing w:before="0" w:after="0"/>
        <w:jc w:val="center"/>
        <w:rPr>
          <w:rFonts w:eastAsia="黑体"/>
          <w:b w:val="0"/>
          <w:caps w:val="0"/>
          <w:color w:val="auto"/>
          <w:kern w:val="2"/>
          <w:sz w:val="24"/>
          <w:szCs w:val="22"/>
          <w:highlight w:val="none"/>
        </w:rPr>
      </w:pPr>
    </w:p>
    <w:p w14:paraId="4733E869">
      <w:pPr>
        <w:pStyle w:val="117"/>
        <w:spacing w:line="360" w:lineRule="auto"/>
        <w:rPr>
          <w:rFonts w:cs="Times New Roman"/>
          <w:color w:val="auto"/>
          <w:highlight w:val="none"/>
        </w:rPr>
      </w:pPr>
      <w:r>
        <w:rPr>
          <w:rFonts w:cs="Times New Roman"/>
          <w:color w:val="auto"/>
          <w:highlight w:val="none"/>
        </w:rPr>
        <w:t>根据</w:t>
      </w:r>
      <w:r>
        <w:rPr>
          <w:rFonts w:hint="default" w:ascii="Times New Roman" w:hAnsi="Times New Roman" w:cs="Times New Roman"/>
          <w:snapToGrid w:val="0"/>
          <w:color w:val="auto"/>
          <w:kern w:val="0"/>
          <w:szCs w:val="24"/>
          <w:highlight w:val="none"/>
          <w:lang w:val="en-US" w:eastAsia="zh-CN"/>
        </w:rPr>
        <w:t>《环境空气质量标准》（GB3095-2012）</w:t>
      </w:r>
      <w:r>
        <w:rPr>
          <w:rFonts w:cs="Times New Roman"/>
          <w:color w:val="auto"/>
          <w:highlight w:val="none"/>
        </w:rPr>
        <w:t>判定，202</w:t>
      </w:r>
      <w:r>
        <w:rPr>
          <w:rFonts w:hint="eastAsia" w:cs="Times New Roman"/>
          <w:color w:val="auto"/>
          <w:highlight w:val="none"/>
          <w:lang w:val="en-US" w:eastAsia="zh-CN"/>
        </w:rPr>
        <w:t>4</w:t>
      </w:r>
      <w:r>
        <w:rPr>
          <w:rFonts w:cs="Times New Roman"/>
          <w:color w:val="auto"/>
          <w:highlight w:val="none"/>
        </w:rPr>
        <w:t>年</w:t>
      </w:r>
      <w:r>
        <w:rPr>
          <w:rFonts w:hint="eastAsia" w:cs="Times New Roman"/>
          <w:color w:val="auto"/>
          <w:highlight w:val="none"/>
          <w:lang w:val="en-US" w:eastAsia="zh-CN"/>
        </w:rPr>
        <w:t>双鸭山市</w:t>
      </w:r>
      <w:r>
        <w:rPr>
          <w:rFonts w:cs="Times New Roman"/>
          <w:color w:val="auto"/>
          <w:highlight w:val="none"/>
        </w:rPr>
        <w:t>为环境空气质量达标区，因此本项目所在区域环境空气质量达标。</w:t>
      </w:r>
    </w:p>
    <w:p w14:paraId="647D0D8D">
      <w:pPr>
        <w:pStyle w:val="5"/>
        <w:bidi w:val="0"/>
        <w:rPr>
          <w:color w:val="auto"/>
          <w:highlight w:val="none"/>
        </w:rPr>
      </w:pPr>
      <w:r>
        <w:rPr>
          <w:color w:val="auto"/>
          <w:highlight w:val="none"/>
        </w:rPr>
        <w:t>4.2.1.2 补充监测</w:t>
      </w:r>
    </w:p>
    <w:p w14:paraId="404D1375">
      <w:pPr>
        <w:ind w:firstLine="600" w:firstLineChars="250"/>
        <w:rPr>
          <w:rFonts w:cs="Times New Roman"/>
          <w:color w:val="auto"/>
          <w:highlight w:val="none"/>
        </w:rPr>
      </w:pPr>
      <w:r>
        <w:rPr>
          <w:rFonts w:cs="Times New Roman"/>
          <w:color w:val="auto"/>
          <w:highlight w:val="none"/>
        </w:rPr>
        <w:t>本项目</w:t>
      </w:r>
      <w:r>
        <w:rPr>
          <w:rFonts w:ascii="Times New Roman" w:hAnsi="Times New Roman" w:eastAsia="宋体" w:cs="Times New Roman"/>
          <w:color w:val="auto"/>
          <w:highlight w:val="none"/>
        </w:rPr>
        <w:t>委托</w:t>
      </w:r>
      <w:r>
        <w:rPr>
          <w:rFonts w:hint="eastAsia" w:ascii="Times New Roman" w:hAnsi="Times New Roman" w:eastAsia="宋体" w:cs="Times New Roman"/>
          <w:color w:val="auto"/>
          <w:highlight w:val="none"/>
          <w:lang w:eastAsia="zh-CN"/>
        </w:rPr>
        <w:t>黑龙江汉风环境检测技术有限公司</w:t>
      </w:r>
      <w:r>
        <w:rPr>
          <w:rFonts w:ascii="Times New Roman" w:hAnsi="Times New Roman" w:eastAsia="宋体" w:cs="Times New Roman"/>
          <w:color w:val="auto"/>
          <w:highlight w:val="none"/>
        </w:rPr>
        <w:t>对项目特</w:t>
      </w:r>
      <w:r>
        <w:rPr>
          <w:rFonts w:cs="Times New Roman"/>
          <w:color w:val="auto"/>
          <w:highlight w:val="none"/>
        </w:rPr>
        <w:t>征污染物</w:t>
      </w:r>
      <w:r>
        <w:rPr>
          <w:rFonts w:hint="eastAsia" w:cs="Times New Roman"/>
          <w:color w:val="auto"/>
          <w:highlight w:val="none"/>
          <w:lang w:val="en-US" w:eastAsia="zh-CN"/>
        </w:rPr>
        <w:t>TSP、</w:t>
      </w:r>
      <w:r>
        <w:rPr>
          <w:rFonts w:cs="Times New Roman"/>
          <w:color w:val="auto"/>
          <w:highlight w:val="none"/>
        </w:rPr>
        <w:t>NH</w:t>
      </w:r>
      <w:r>
        <w:rPr>
          <w:rFonts w:cs="Times New Roman"/>
          <w:color w:val="auto"/>
          <w:highlight w:val="none"/>
          <w:vertAlign w:val="subscript"/>
        </w:rPr>
        <w:t>3</w:t>
      </w:r>
      <w:r>
        <w:rPr>
          <w:rFonts w:cs="Times New Roman"/>
          <w:color w:val="auto"/>
          <w:highlight w:val="none"/>
        </w:rPr>
        <w:t>、H</w:t>
      </w:r>
      <w:r>
        <w:rPr>
          <w:rFonts w:cs="Times New Roman"/>
          <w:color w:val="auto"/>
          <w:highlight w:val="none"/>
          <w:vertAlign w:val="subscript"/>
        </w:rPr>
        <w:t>2</w:t>
      </w:r>
      <w:r>
        <w:rPr>
          <w:rFonts w:cs="Times New Roman"/>
          <w:color w:val="auto"/>
          <w:highlight w:val="none"/>
        </w:rPr>
        <w:t>S</w:t>
      </w:r>
      <w:r>
        <w:rPr>
          <w:rFonts w:hint="eastAsia" w:cs="Times New Roman"/>
          <w:color w:val="auto"/>
          <w:highlight w:val="none"/>
          <w:lang w:eastAsia="zh-CN"/>
        </w:rPr>
        <w:t>、</w:t>
      </w:r>
      <w:r>
        <w:rPr>
          <w:rFonts w:hint="eastAsia" w:cs="Times New Roman"/>
          <w:color w:val="auto"/>
          <w:highlight w:val="none"/>
          <w:lang w:val="en-US" w:eastAsia="zh-CN"/>
        </w:rPr>
        <w:t>臭气浓度</w:t>
      </w:r>
      <w:r>
        <w:rPr>
          <w:rFonts w:cs="Times New Roman"/>
          <w:color w:val="auto"/>
          <w:highlight w:val="none"/>
        </w:rPr>
        <w:t>进行了补充现状监测。具体情况如下：</w:t>
      </w:r>
    </w:p>
    <w:p w14:paraId="65A334E2">
      <w:pPr>
        <w:ind w:firstLine="482"/>
        <w:rPr>
          <w:rFonts w:cs="Times New Roman"/>
          <w:b/>
          <w:bCs/>
          <w:color w:val="auto"/>
          <w:szCs w:val="24"/>
          <w:highlight w:val="none"/>
        </w:rPr>
      </w:pPr>
      <w:r>
        <w:rPr>
          <w:rFonts w:cs="Times New Roman"/>
          <w:b/>
          <w:bCs/>
          <w:color w:val="auto"/>
          <w:szCs w:val="24"/>
          <w:highlight w:val="none"/>
        </w:rPr>
        <w:t>1、监测布点及内容</w:t>
      </w:r>
    </w:p>
    <w:p w14:paraId="3CA34B02">
      <w:pPr>
        <w:rPr>
          <w:rFonts w:cs="Times New Roman"/>
          <w:color w:val="auto"/>
          <w:szCs w:val="24"/>
          <w:highlight w:val="none"/>
        </w:rPr>
      </w:pPr>
      <w:r>
        <w:rPr>
          <w:rFonts w:cs="Times New Roman"/>
          <w:color w:val="auto"/>
          <w:szCs w:val="24"/>
          <w:highlight w:val="none"/>
        </w:rPr>
        <w:t>环境空气现状监测设置2个监测点位，监测点位布设情况见表4</w:t>
      </w:r>
      <w:r>
        <w:rPr>
          <w:rFonts w:hint="eastAsia" w:cs="Times New Roman"/>
          <w:color w:val="auto"/>
          <w:szCs w:val="24"/>
          <w:highlight w:val="none"/>
          <w:lang w:val="en-US" w:eastAsia="zh-CN"/>
        </w:rPr>
        <w:t>.</w:t>
      </w:r>
      <w:r>
        <w:rPr>
          <w:rFonts w:cs="Times New Roman"/>
          <w:color w:val="auto"/>
          <w:szCs w:val="24"/>
          <w:highlight w:val="none"/>
        </w:rPr>
        <w:t>2-2及图4</w:t>
      </w:r>
      <w:r>
        <w:rPr>
          <w:rFonts w:hint="eastAsia" w:cs="Times New Roman"/>
          <w:color w:val="auto"/>
          <w:szCs w:val="24"/>
          <w:highlight w:val="none"/>
          <w:lang w:val="en-US" w:eastAsia="zh-CN"/>
        </w:rPr>
        <w:t>.</w:t>
      </w:r>
      <w:r>
        <w:rPr>
          <w:rFonts w:cs="Times New Roman"/>
          <w:color w:val="auto"/>
          <w:szCs w:val="24"/>
          <w:highlight w:val="none"/>
        </w:rPr>
        <w:t>2-1。</w:t>
      </w:r>
    </w:p>
    <w:p w14:paraId="61991DE6">
      <w:pPr>
        <w:pStyle w:val="63"/>
        <w:jc w:val="center"/>
        <w:rPr>
          <w:rFonts w:ascii="Times New Roman" w:cs="Times New Roman" w:eastAsiaTheme="minorEastAsia"/>
          <w:b/>
          <w:bCs/>
          <w:color w:val="auto"/>
          <w:kern w:val="2"/>
          <w:szCs w:val="22"/>
          <w:highlight w:val="none"/>
        </w:rPr>
      </w:pPr>
      <w:r>
        <w:rPr>
          <w:rFonts w:ascii="Times New Roman" w:cs="Times New Roman" w:eastAsiaTheme="minorEastAsia"/>
          <w:b/>
          <w:bCs/>
          <w:color w:val="auto"/>
          <w:kern w:val="2"/>
          <w:szCs w:val="22"/>
          <w:highlight w:val="none"/>
        </w:rPr>
        <w:t>表4</w:t>
      </w:r>
      <w:r>
        <w:rPr>
          <w:rFonts w:hint="eastAsia" w:ascii="Times New Roman" w:cs="Times New Roman" w:eastAsiaTheme="minorEastAsia"/>
          <w:b/>
          <w:bCs/>
          <w:color w:val="auto"/>
          <w:kern w:val="2"/>
          <w:szCs w:val="22"/>
          <w:highlight w:val="none"/>
          <w:lang w:val="en-US" w:eastAsia="zh-CN"/>
        </w:rPr>
        <w:t>.</w:t>
      </w:r>
      <w:r>
        <w:rPr>
          <w:rFonts w:ascii="Times New Roman" w:cs="Times New Roman" w:eastAsiaTheme="minorEastAsia"/>
          <w:b/>
          <w:bCs/>
          <w:color w:val="auto"/>
          <w:kern w:val="2"/>
          <w:szCs w:val="22"/>
          <w:highlight w:val="none"/>
        </w:rPr>
        <w:t>2-2  环境空气补充监测点位基本信息表</w:t>
      </w:r>
    </w:p>
    <w:tbl>
      <w:tblPr>
        <w:tblStyle w:val="47"/>
        <w:tblW w:w="875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09"/>
        <w:gridCol w:w="1250"/>
        <w:gridCol w:w="1125"/>
        <w:gridCol w:w="1181"/>
        <w:gridCol w:w="1710"/>
        <w:gridCol w:w="1071"/>
        <w:gridCol w:w="1111"/>
      </w:tblGrid>
      <w:tr w14:paraId="25AAF2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309" w:type="dxa"/>
            <w:vMerge w:val="restart"/>
            <w:vAlign w:val="center"/>
          </w:tcPr>
          <w:p w14:paraId="60EE399A">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监测点名称</w:t>
            </w:r>
          </w:p>
        </w:tc>
        <w:tc>
          <w:tcPr>
            <w:tcW w:w="2375" w:type="dxa"/>
            <w:gridSpan w:val="2"/>
            <w:vAlign w:val="center"/>
          </w:tcPr>
          <w:p w14:paraId="762DCBFD">
            <w:pPr>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监测点坐标/°</w:t>
            </w:r>
          </w:p>
        </w:tc>
        <w:tc>
          <w:tcPr>
            <w:tcW w:w="1181" w:type="dxa"/>
            <w:vMerge w:val="restart"/>
            <w:vAlign w:val="center"/>
          </w:tcPr>
          <w:p w14:paraId="5AF47640">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监测因子</w:t>
            </w:r>
          </w:p>
        </w:tc>
        <w:tc>
          <w:tcPr>
            <w:tcW w:w="1710" w:type="dxa"/>
            <w:vMerge w:val="restart"/>
            <w:vAlign w:val="center"/>
          </w:tcPr>
          <w:p w14:paraId="07F63F4A">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监测时段</w:t>
            </w:r>
          </w:p>
        </w:tc>
        <w:tc>
          <w:tcPr>
            <w:tcW w:w="1071" w:type="dxa"/>
            <w:vMerge w:val="restart"/>
            <w:vAlign w:val="center"/>
          </w:tcPr>
          <w:p w14:paraId="7B6A1397">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相对厂址方位</w:t>
            </w:r>
          </w:p>
        </w:tc>
        <w:tc>
          <w:tcPr>
            <w:tcW w:w="1111" w:type="dxa"/>
            <w:vMerge w:val="restart"/>
            <w:vAlign w:val="center"/>
          </w:tcPr>
          <w:p w14:paraId="42866E5E">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相对厂界距离/m</w:t>
            </w:r>
          </w:p>
        </w:tc>
      </w:tr>
      <w:tr w14:paraId="363EFA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309" w:type="dxa"/>
            <w:vMerge w:val="continue"/>
            <w:vAlign w:val="center"/>
          </w:tcPr>
          <w:p w14:paraId="64854516">
            <w:pPr>
              <w:widowControl/>
              <w:spacing w:line="360" w:lineRule="exact"/>
              <w:ind w:firstLine="0" w:firstLineChars="0"/>
              <w:jc w:val="center"/>
              <w:textAlignment w:val="baseline"/>
              <w:rPr>
                <w:rFonts w:cs="Times New Roman"/>
                <w:color w:val="auto"/>
                <w:kern w:val="0"/>
                <w:sz w:val="21"/>
                <w:szCs w:val="21"/>
                <w:highlight w:val="none"/>
              </w:rPr>
            </w:pPr>
          </w:p>
        </w:tc>
        <w:tc>
          <w:tcPr>
            <w:tcW w:w="1250" w:type="dxa"/>
            <w:vAlign w:val="center"/>
          </w:tcPr>
          <w:p w14:paraId="4758BB22">
            <w:pPr>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经度</w:t>
            </w:r>
          </w:p>
        </w:tc>
        <w:tc>
          <w:tcPr>
            <w:tcW w:w="1125" w:type="dxa"/>
            <w:vAlign w:val="center"/>
          </w:tcPr>
          <w:p w14:paraId="0F377AC7">
            <w:pPr>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纬度</w:t>
            </w:r>
          </w:p>
        </w:tc>
        <w:tc>
          <w:tcPr>
            <w:tcW w:w="1181" w:type="dxa"/>
            <w:vMerge w:val="continue"/>
            <w:vAlign w:val="center"/>
          </w:tcPr>
          <w:p w14:paraId="6039BEF7">
            <w:pPr>
              <w:spacing w:line="360" w:lineRule="exact"/>
              <w:ind w:firstLine="0" w:firstLineChars="0"/>
              <w:jc w:val="center"/>
              <w:textAlignment w:val="baseline"/>
              <w:rPr>
                <w:rFonts w:cs="Times New Roman"/>
                <w:color w:val="auto"/>
                <w:kern w:val="0"/>
                <w:sz w:val="21"/>
                <w:szCs w:val="21"/>
                <w:highlight w:val="none"/>
              </w:rPr>
            </w:pPr>
          </w:p>
        </w:tc>
        <w:tc>
          <w:tcPr>
            <w:tcW w:w="1710" w:type="dxa"/>
            <w:vMerge w:val="continue"/>
            <w:vAlign w:val="center"/>
          </w:tcPr>
          <w:p w14:paraId="75837B5B">
            <w:pPr>
              <w:widowControl/>
              <w:spacing w:line="360" w:lineRule="exact"/>
              <w:ind w:firstLine="0" w:firstLineChars="0"/>
              <w:jc w:val="center"/>
              <w:textAlignment w:val="baseline"/>
              <w:rPr>
                <w:rFonts w:cs="Times New Roman"/>
                <w:color w:val="auto"/>
                <w:kern w:val="0"/>
                <w:sz w:val="21"/>
                <w:szCs w:val="21"/>
                <w:highlight w:val="none"/>
              </w:rPr>
            </w:pPr>
          </w:p>
        </w:tc>
        <w:tc>
          <w:tcPr>
            <w:tcW w:w="1071" w:type="dxa"/>
            <w:vMerge w:val="continue"/>
            <w:vAlign w:val="center"/>
          </w:tcPr>
          <w:p w14:paraId="6760C484">
            <w:pPr>
              <w:widowControl/>
              <w:spacing w:line="360" w:lineRule="exact"/>
              <w:ind w:firstLine="0" w:firstLineChars="0"/>
              <w:jc w:val="center"/>
              <w:textAlignment w:val="baseline"/>
              <w:rPr>
                <w:rFonts w:cs="Times New Roman"/>
                <w:color w:val="auto"/>
                <w:kern w:val="0"/>
                <w:sz w:val="21"/>
                <w:szCs w:val="21"/>
                <w:highlight w:val="none"/>
              </w:rPr>
            </w:pPr>
          </w:p>
        </w:tc>
        <w:tc>
          <w:tcPr>
            <w:tcW w:w="1111" w:type="dxa"/>
            <w:vMerge w:val="continue"/>
            <w:vAlign w:val="center"/>
          </w:tcPr>
          <w:p w14:paraId="662ED8D9">
            <w:pPr>
              <w:widowControl/>
              <w:spacing w:line="360" w:lineRule="exact"/>
              <w:ind w:firstLine="0" w:firstLineChars="0"/>
              <w:jc w:val="center"/>
              <w:textAlignment w:val="baseline"/>
              <w:rPr>
                <w:rFonts w:cs="Times New Roman"/>
                <w:color w:val="auto"/>
                <w:kern w:val="0"/>
                <w:sz w:val="21"/>
                <w:szCs w:val="21"/>
                <w:highlight w:val="none"/>
              </w:rPr>
            </w:pPr>
          </w:p>
        </w:tc>
      </w:tr>
      <w:tr w14:paraId="4BD4A1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1309" w:type="dxa"/>
            <w:vMerge w:val="restart"/>
            <w:vAlign w:val="center"/>
          </w:tcPr>
          <w:p w14:paraId="1A123B81">
            <w:pPr>
              <w:spacing w:line="360" w:lineRule="exact"/>
              <w:ind w:firstLine="0" w:firstLineChars="0"/>
              <w:jc w:val="center"/>
              <w:textAlignment w:val="baseline"/>
              <w:rPr>
                <w:rFonts w:hint="eastAsia" w:eastAsia="宋体" w:cs="Times New Roman"/>
                <w:color w:val="auto"/>
                <w:kern w:val="0"/>
                <w:sz w:val="21"/>
                <w:szCs w:val="21"/>
                <w:highlight w:val="none"/>
                <w:lang w:val="en-US" w:eastAsia="zh-CN"/>
              </w:rPr>
            </w:pPr>
            <w:r>
              <w:rPr>
                <w:rFonts w:cs="Times New Roman"/>
                <w:color w:val="auto"/>
                <w:kern w:val="0"/>
                <w:sz w:val="21"/>
                <w:szCs w:val="21"/>
                <w:highlight w:val="none"/>
              </w:rPr>
              <w:t>1#厂址</w:t>
            </w:r>
          </w:p>
        </w:tc>
        <w:tc>
          <w:tcPr>
            <w:tcW w:w="1250" w:type="dxa"/>
            <w:vMerge w:val="restart"/>
            <w:vAlign w:val="center"/>
          </w:tcPr>
          <w:p w14:paraId="75FF1607">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rPr>
              <w:t>131.149018</w:t>
            </w:r>
          </w:p>
        </w:tc>
        <w:tc>
          <w:tcPr>
            <w:tcW w:w="1125" w:type="dxa"/>
            <w:vMerge w:val="restart"/>
            <w:vAlign w:val="center"/>
          </w:tcPr>
          <w:p w14:paraId="2F00E202">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rPr>
              <w:t>46.557431</w:t>
            </w:r>
          </w:p>
        </w:tc>
        <w:tc>
          <w:tcPr>
            <w:tcW w:w="1181" w:type="dxa"/>
            <w:vAlign w:val="center"/>
          </w:tcPr>
          <w:p w14:paraId="0084D019">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sz w:val="21"/>
                <w:szCs w:val="21"/>
                <w:highlight w:val="none"/>
              </w:rPr>
              <w:t>氨</w:t>
            </w:r>
          </w:p>
        </w:tc>
        <w:tc>
          <w:tcPr>
            <w:tcW w:w="1710" w:type="dxa"/>
            <w:vMerge w:val="restart"/>
            <w:vAlign w:val="center"/>
          </w:tcPr>
          <w:p w14:paraId="71552FB7">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2025.08.16-2025.08.22</w:t>
            </w:r>
          </w:p>
        </w:tc>
        <w:tc>
          <w:tcPr>
            <w:tcW w:w="1071" w:type="dxa"/>
            <w:vMerge w:val="restart"/>
            <w:vAlign w:val="center"/>
          </w:tcPr>
          <w:p w14:paraId="6E4CC8AC">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w:t>
            </w:r>
          </w:p>
        </w:tc>
        <w:tc>
          <w:tcPr>
            <w:tcW w:w="1111" w:type="dxa"/>
            <w:vMerge w:val="restart"/>
            <w:vAlign w:val="center"/>
          </w:tcPr>
          <w:p w14:paraId="292C85B2">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w:t>
            </w:r>
          </w:p>
        </w:tc>
      </w:tr>
      <w:tr w14:paraId="0FF4DA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1309" w:type="dxa"/>
            <w:vMerge w:val="continue"/>
            <w:vAlign w:val="center"/>
          </w:tcPr>
          <w:p w14:paraId="15D78582">
            <w:pPr>
              <w:spacing w:line="360" w:lineRule="exact"/>
              <w:ind w:firstLine="0" w:firstLineChars="0"/>
              <w:jc w:val="center"/>
              <w:textAlignment w:val="baseline"/>
              <w:rPr>
                <w:rFonts w:cs="Times New Roman"/>
                <w:color w:val="auto"/>
                <w:kern w:val="0"/>
                <w:sz w:val="21"/>
                <w:szCs w:val="21"/>
                <w:highlight w:val="none"/>
              </w:rPr>
            </w:pPr>
          </w:p>
        </w:tc>
        <w:tc>
          <w:tcPr>
            <w:tcW w:w="1250" w:type="dxa"/>
            <w:vMerge w:val="continue"/>
            <w:vAlign w:val="center"/>
          </w:tcPr>
          <w:p w14:paraId="164531BA">
            <w:pPr>
              <w:spacing w:line="360" w:lineRule="exact"/>
              <w:ind w:firstLine="0" w:firstLineChars="0"/>
              <w:jc w:val="center"/>
              <w:textAlignment w:val="baseline"/>
              <w:rPr>
                <w:rFonts w:cs="Times New Roman"/>
                <w:color w:val="auto"/>
                <w:kern w:val="0"/>
                <w:sz w:val="21"/>
                <w:szCs w:val="21"/>
                <w:highlight w:val="none"/>
              </w:rPr>
            </w:pPr>
          </w:p>
        </w:tc>
        <w:tc>
          <w:tcPr>
            <w:tcW w:w="1125" w:type="dxa"/>
            <w:vMerge w:val="continue"/>
            <w:vAlign w:val="center"/>
          </w:tcPr>
          <w:p w14:paraId="159B6091">
            <w:pPr>
              <w:spacing w:line="360" w:lineRule="exact"/>
              <w:ind w:firstLine="0" w:firstLineChars="0"/>
              <w:jc w:val="center"/>
              <w:textAlignment w:val="baseline"/>
              <w:rPr>
                <w:rFonts w:cs="Times New Roman"/>
                <w:color w:val="auto"/>
                <w:kern w:val="0"/>
                <w:sz w:val="21"/>
                <w:szCs w:val="21"/>
                <w:highlight w:val="none"/>
              </w:rPr>
            </w:pPr>
          </w:p>
        </w:tc>
        <w:tc>
          <w:tcPr>
            <w:tcW w:w="1181" w:type="dxa"/>
            <w:vAlign w:val="center"/>
          </w:tcPr>
          <w:p w14:paraId="657C97C8">
            <w:pPr>
              <w:widowControl/>
              <w:spacing w:line="360" w:lineRule="exact"/>
              <w:ind w:firstLine="0" w:firstLineChars="0"/>
              <w:jc w:val="center"/>
              <w:textAlignment w:val="baseline"/>
              <w:rPr>
                <w:rFonts w:cs="Times New Roman"/>
                <w:color w:val="auto"/>
                <w:sz w:val="21"/>
                <w:szCs w:val="21"/>
                <w:highlight w:val="none"/>
              </w:rPr>
            </w:pPr>
            <w:r>
              <w:rPr>
                <w:rFonts w:cs="Times New Roman"/>
                <w:color w:val="auto"/>
                <w:sz w:val="21"/>
                <w:szCs w:val="21"/>
                <w:highlight w:val="none"/>
              </w:rPr>
              <w:t>硫化氢</w:t>
            </w:r>
          </w:p>
        </w:tc>
        <w:tc>
          <w:tcPr>
            <w:tcW w:w="1710" w:type="dxa"/>
            <w:vMerge w:val="continue"/>
            <w:vAlign w:val="center"/>
          </w:tcPr>
          <w:p w14:paraId="78E69F61">
            <w:pPr>
              <w:spacing w:line="360" w:lineRule="exact"/>
              <w:ind w:firstLine="0" w:firstLineChars="0"/>
              <w:jc w:val="center"/>
              <w:textAlignment w:val="baseline"/>
              <w:rPr>
                <w:rFonts w:cs="Times New Roman"/>
                <w:color w:val="auto"/>
                <w:kern w:val="0"/>
                <w:sz w:val="21"/>
                <w:szCs w:val="21"/>
                <w:highlight w:val="none"/>
              </w:rPr>
            </w:pPr>
          </w:p>
        </w:tc>
        <w:tc>
          <w:tcPr>
            <w:tcW w:w="1071" w:type="dxa"/>
            <w:vMerge w:val="continue"/>
            <w:vAlign w:val="center"/>
          </w:tcPr>
          <w:p w14:paraId="5FC4F5B3">
            <w:pPr>
              <w:widowControl/>
              <w:spacing w:line="360" w:lineRule="exact"/>
              <w:ind w:firstLine="0" w:firstLineChars="0"/>
              <w:jc w:val="center"/>
              <w:textAlignment w:val="baseline"/>
              <w:rPr>
                <w:rFonts w:cs="Times New Roman"/>
                <w:color w:val="auto"/>
                <w:kern w:val="0"/>
                <w:sz w:val="21"/>
                <w:szCs w:val="21"/>
                <w:highlight w:val="none"/>
              </w:rPr>
            </w:pPr>
          </w:p>
        </w:tc>
        <w:tc>
          <w:tcPr>
            <w:tcW w:w="1111" w:type="dxa"/>
            <w:vMerge w:val="continue"/>
            <w:vAlign w:val="center"/>
          </w:tcPr>
          <w:p w14:paraId="1F1D93E6">
            <w:pPr>
              <w:widowControl/>
              <w:spacing w:line="360" w:lineRule="exact"/>
              <w:ind w:firstLine="0" w:firstLineChars="0"/>
              <w:jc w:val="center"/>
              <w:textAlignment w:val="baseline"/>
              <w:rPr>
                <w:rFonts w:cs="Times New Roman"/>
                <w:color w:val="auto"/>
                <w:kern w:val="0"/>
                <w:sz w:val="21"/>
                <w:szCs w:val="21"/>
                <w:highlight w:val="none"/>
              </w:rPr>
            </w:pPr>
          </w:p>
        </w:tc>
      </w:tr>
      <w:tr w14:paraId="18F59B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1309" w:type="dxa"/>
            <w:vMerge w:val="continue"/>
            <w:vAlign w:val="center"/>
          </w:tcPr>
          <w:p w14:paraId="6BDE6609">
            <w:pPr>
              <w:spacing w:line="360" w:lineRule="exact"/>
              <w:ind w:firstLine="0" w:firstLineChars="0"/>
              <w:jc w:val="center"/>
              <w:textAlignment w:val="baseline"/>
              <w:rPr>
                <w:rFonts w:cs="Times New Roman"/>
                <w:color w:val="auto"/>
                <w:kern w:val="0"/>
                <w:sz w:val="21"/>
                <w:szCs w:val="21"/>
                <w:highlight w:val="none"/>
              </w:rPr>
            </w:pPr>
          </w:p>
        </w:tc>
        <w:tc>
          <w:tcPr>
            <w:tcW w:w="1250" w:type="dxa"/>
            <w:vMerge w:val="continue"/>
            <w:vAlign w:val="center"/>
          </w:tcPr>
          <w:p w14:paraId="21E8B419">
            <w:pPr>
              <w:spacing w:line="360" w:lineRule="exact"/>
              <w:ind w:firstLine="0" w:firstLineChars="0"/>
              <w:jc w:val="center"/>
              <w:textAlignment w:val="baseline"/>
              <w:rPr>
                <w:rFonts w:cs="Times New Roman"/>
                <w:color w:val="auto"/>
                <w:kern w:val="0"/>
                <w:sz w:val="21"/>
                <w:szCs w:val="21"/>
                <w:highlight w:val="none"/>
              </w:rPr>
            </w:pPr>
          </w:p>
        </w:tc>
        <w:tc>
          <w:tcPr>
            <w:tcW w:w="1125" w:type="dxa"/>
            <w:vMerge w:val="continue"/>
            <w:vAlign w:val="center"/>
          </w:tcPr>
          <w:p w14:paraId="3AD41A80">
            <w:pPr>
              <w:spacing w:line="360" w:lineRule="exact"/>
              <w:ind w:firstLine="0" w:firstLineChars="0"/>
              <w:jc w:val="center"/>
              <w:textAlignment w:val="baseline"/>
              <w:rPr>
                <w:rFonts w:cs="Times New Roman"/>
                <w:color w:val="auto"/>
                <w:kern w:val="0"/>
                <w:sz w:val="21"/>
                <w:szCs w:val="21"/>
                <w:highlight w:val="none"/>
              </w:rPr>
            </w:pPr>
          </w:p>
        </w:tc>
        <w:tc>
          <w:tcPr>
            <w:tcW w:w="1181" w:type="dxa"/>
            <w:vAlign w:val="center"/>
          </w:tcPr>
          <w:p w14:paraId="216F855F">
            <w:pPr>
              <w:widowControl/>
              <w:spacing w:line="360" w:lineRule="exact"/>
              <w:ind w:firstLine="0" w:firstLineChars="0"/>
              <w:jc w:val="center"/>
              <w:textAlignment w:val="baseline"/>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TSP</w:t>
            </w:r>
          </w:p>
        </w:tc>
        <w:tc>
          <w:tcPr>
            <w:tcW w:w="1710" w:type="dxa"/>
            <w:vMerge w:val="continue"/>
            <w:vAlign w:val="center"/>
          </w:tcPr>
          <w:p w14:paraId="6A8E206B">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p>
        </w:tc>
        <w:tc>
          <w:tcPr>
            <w:tcW w:w="1071" w:type="dxa"/>
            <w:vMerge w:val="continue"/>
            <w:vAlign w:val="center"/>
          </w:tcPr>
          <w:p w14:paraId="53D9DBF3">
            <w:pPr>
              <w:widowControl/>
              <w:spacing w:line="360" w:lineRule="exact"/>
              <w:ind w:firstLine="0" w:firstLineChars="0"/>
              <w:jc w:val="center"/>
              <w:textAlignment w:val="baseline"/>
              <w:rPr>
                <w:rFonts w:cs="Times New Roman"/>
                <w:color w:val="auto"/>
                <w:kern w:val="0"/>
                <w:sz w:val="21"/>
                <w:szCs w:val="21"/>
                <w:highlight w:val="none"/>
              </w:rPr>
            </w:pPr>
          </w:p>
        </w:tc>
        <w:tc>
          <w:tcPr>
            <w:tcW w:w="1111" w:type="dxa"/>
            <w:vMerge w:val="continue"/>
            <w:vAlign w:val="center"/>
          </w:tcPr>
          <w:p w14:paraId="297C7E20">
            <w:pPr>
              <w:widowControl/>
              <w:spacing w:line="360" w:lineRule="exact"/>
              <w:ind w:firstLine="0" w:firstLineChars="0"/>
              <w:jc w:val="center"/>
              <w:textAlignment w:val="baseline"/>
              <w:rPr>
                <w:rFonts w:cs="Times New Roman"/>
                <w:color w:val="auto"/>
                <w:kern w:val="0"/>
                <w:sz w:val="21"/>
                <w:szCs w:val="21"/>
                <w:highlight w:val="none"/>
              </w:rPr>
            </w:pPr>
          </w:p>
        </w:tc>
      </w:tr>
      <w:tr w14:paraId="661EA3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309" w:type="dxa"/>
            <w:vMerge w:val="continue"/>
            <w:vAlign w:val="center"/>
          </w:tcPr>
          <w:p w14:paraId="11B631A6">
            <w:pPr>
              <w:spacing w:line="360" w:lineRule="exact"/>
              <w:ind w:firstLine="0" w:firstLineChars="0"/>
              <w:jc w:val="center"/>
              <w:textAlignment w:val="baseline"/>
              <w:rPr>
                <w:rFonts w:cs="Times New Roman"/>
                <w:color w:val="auto"/>
                <w:kern w:val="0"/>
                <w:sz w:val="21"/>
                <w:szCs w:val="21"/>
                <w:highlight w:val="none"/>
              </w:rPr>
            </w:pPr>
          </w:p>
        </w:tc>
        <w:tc>
          <w:tcPr>
            <w:tcW w:w="1250" w:type="dxa"/>
            <w:vMerge w:val="continue"/>
            <w:vAlign w:val="center"/>
          </w:tcPr>
          <w:p w14:paraId="4B935197">
            <w:pPr>
              <w:spacing w:line="360" w:lineRule="exact"/>
              <w:ind w:firstLine="0" w:firstLineChars="0"/>
              <w:jc w:val="center"/>
              <w:textAlignment w:val="baseline"/>
              <w:rPr>
                <w:rFonts w:cs="Times New Roman"/>
                <w:color w:val="auto"/>
                <w:kern w:val="0"/>
                <w:sz w:val="21"/>
                <w:szCs w:val="21"/>
                <w:highlight w:val="none"/>
              </w:rPr>
            </w:pPr>
          </w:p>
        </w:tc>
        <w:tc>
          <w:tcPr>
            <w:tcW w:w="1125" w:type="dxa"/>
            <w:vMerge w:val="continue"/>
            <w:vAlign w:val="center"/>
          </w:tcPr>
          <w:p w14:paraId="7EF1BE99">
            <w:pPr>
              <w:spacing w:line="360" w:lineRule="exact"/>
              <w:ind w:firstLine="0" w:firstLineChars="0"/>
              <w:jc w:val="center"/>
              <w:textAlignment w:val="baseline"/>
              <w:rPr>
                <w:rFonts w:cs="Times New Roman"/>
                <w:color w:val="auto"/>
                <w:kern w:val="0"/>
                <w:sz w:val="21"/>
                <w:szCs w:val="21"/>
                <w:highlight w:val="none"/>
              </w:rPr>
            </w:pPr>
          </w:p>
        </w:tc>
        <w:tc>
          <w:tcPr>
            <w:tcW w:w="1181" w:type="dxa"/>
            <w:vAlign w:val="center"/>
          </w:tcPr>
          <w:p w14:paraId="43D64397">
            <w:pPr>
              <w:widowControl/>
              <w:spacing w:line="360" w:lineRule="exact"/>
              <w:ind w:firstLine="0" w:firstLineChars="0"/>
              <w:jc w:val="center"/>
              <w:textAlignment w:val="baseline"/>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臭气浓度</w:t>
            </w:r>
          </w:p>
        </w:tc>
        <w:tc>
          <w:tcPr>
            <w:tcW w:w="1710" w:type="dxa"/>
            <w:vMerge w:val="continue"/>
            <w:vAlign w:val="center"/>
          </w:tcPr>
          <w:p w14:paraId="6653F6C0">
            <w:pPr>
              <w:widowControl/>
              <w:spacing w:line="360" w:lineRule="exact"/>
              <w:ind w:firstLine="0" w:firstLineChars="0"/>
              <w:jc w:val="center"/>
              <w:textAlignment w:val="baseline"/>
              <w:rPr>
                <w:rFonts w:cs="Times New Roman"/>
                <w:color w:val="auto"/>
                <w:kern w:val="0"/>
                <w:sz w:val="21"/>
                <w:szCs w:val="21"/>
                <w:highlight w:val="none"/>
              </w:rPr>
            </w:pPr>
          </w:p>
        </w:tc>
        <w:tc>
          <w:tcPr>
            <w:tcW w:w="1071" w:type="dxa"/>
            <w:vMerge w:val="continue"/>
            <w:vAlign w:val="center"/>
          </w:tcPr>
          <w:p w14:paraId="3F2AC505">
            <w:pPr>
              <w:widowControl/>
              <w:spacing w:line="360" w:lineRule="exact"/>
              <w:ind w:firstLine="0" w:firstLineChars="0"/>
              <w:jc w:val="center"/>
              <w:textAlignment w:val="baseline"/>
              <w:rPr>
                <w:rFonts w:cs="Times New Roman"/>
                <w:color w:val="auto"/>
                <w:kern w:val="0"/>
                <w:sz w:val="21"/>
                <w:szCs w:val="21"/>
                <w:highlight w:val="none"/>
              </w:rPr>
            </w:pPr>
          </w:p>
        </w:tc>
        <w:tc>
          <w:tcPr>
            <w:tcW w:w="1111" w:type="dxa"/>
            <w:vMerge w:val="continue"/>
            <w:vAlign w:val="center"/>
          </w:tcPr>
          <w:p w14:paraId="0BC786C4">
            <w:pPr>
              <w:widowControl/>
              <w:spacing w:line="360" w:lineRule="exact"/>
              <w:ind w:firstLine="0" w:firstLineChars="0"/>
              <w:jc w:val="center"/>
              <w:textAlignment w:val="baseline"/>
              <w:rPr>
                <w:rFonts w:cs="Times New Roman"/>
                <w:color w:val="auto"/>
                <w:kern w:val="0"/>
                <w:sz w:val="21"/>
                <w:szCs w:val="21"/>
                <w:highlight w:val="none"/>
              </w:rPr>
            </w:pPr>
          </w:p>
        </w:tc>
      </w:tr>
      <w:tr w14:paraId="20BEF5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309" w:type="dxa"/>
            <w:vMerge w:val="restart"/>
            <w:vAlign w:val="center"/>
          </w:tcPr>
          <w:p w14:paraId="41BB11FB">
            <w:pPr>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2#下风向</w:t>
            </w:r>
          </w:p>
        </w:tc>
        <w:tc>
          <w:tcPr>
            <w:tcW w:w="1250" w:type="dxa"/>
            <w:vMerge w:val="restart"/>
            <w:vAlign w:val="center"/>
          </w:tcPr>
          <w:p w14:paraId="62933A0E">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rPr>
              <w:t>131.153302</w:t>
            </w:r>
          </w:p>
        </w:tc>
        <w:tc>
          <w:tcPr>
            <w:tcW w:w="1125" w:type="dxa"/>
            <w:vMerge w:val="restart"/>
            <w:vAlign w:val="center"/>
          </w:tcPr>
          <w:p w14:paraId="3EECF371">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rPr>
              <w:t>46.560667</w:t>
            </w:r>
          </w:p>
        </w:tc>
        <w:tc>
          <w:tcPr>
            <w:tcW w:w="1181" w:type="dxa"/>
            <w:vAlign w:val="center"/>
          </w:tcPr>
          <w:p w14:paraId="58FE6CAC">
            <w:pPr>
              <w:widowControl/>
              <w:spacing w:line="360" w:lineRule="exact"/>
              <w:ind w:firstLine="0" w:firstLineChars="0"/>
              <w:jc w:val="center"/>
              <w:textAlignment w:val="baseline"/>
              <w:rPr>
                <w:rFonts w:cs="Times New Roman"/>
                <w:color w:val="auto"/>
                <w:kern w:val="0"/>
                <w:sz w:val="21"/>
                <w:szCs w:val="21"/>
                <w:highlight w:val="none"/>
              </w:rPr>
            </w:pPr>
            <w:r>
              <w:rPr>
                <w:rFonts w:cs="Times New Roman"/>
                <w:color w:val="auto"/>
                <w:sz w:val="21"/>
                <w:szCs w:val="21"/>
                <w:highlight w:val="none"/>
              </w:rPr>
              <w:t>氨</w:t>
            </w:r>
          </w:p>
        </w:tc>
        <w:tc>
          <w:tcPr>
            <w:tcW w:w="1710" w:type="dxa"/>
            <w:vMerge w:val="restart"/>
            <w:vAlign w:val="center"/>
          </w:tcPr>
          <w:p w14:paraId="4FA1A8CB">
            <w:pPr>
              <w:spacing w:line="360" w:lineRule="exact"/>
              <w:ind w:firstLine="0" w:firstLineChars="0"/>
              <w:jc w:val="center"/>
              <w:textAlignment w:val="baseline"/>
              <w:rPr>
                <w:rFonts w:cs="Times New Roman"/>
                <w:color w:val="auto"/>
                <w:kern w:val="0"/>
                <w:sz w:val="21"/>
                <w:szCs w:val="21"/>
                <w:highlight w:val="none"/>
              </w:rPr>
            </w:pPr>
            <w:r>
              <w:rPr>
                <w:rFonts w:hint="eastAsia" w:cs="Times New Roman"/>
                <w:color w:val="auto"/>
                <w:kern w:val="0"/>
                <w:sz w:val="21"/>
                <w:szCs w:val="21"/>
                <w:highlight w:val="none"/>
                <w:lang w:val="en-US" w:eastAsia="zh-CN"/>
              </w:rPr>
              <w:t>2025.08.16-2025.08.22</w:t>
            </w:r>
          </w:p>
        </w:tc>
        <w:tc>
          <w:tcPr>
            <w:tcW w:w="1071" w:type="dxa"/>
            <w:vMerge w:val="restart"/>
            <w:vAlign w:val="center"/>
          </w:tcPr>
          <w:p w14:paraId="4CA3A8CC">
            <w:pPr>
              <w:spacing w:line="360" w:lineRule="exact"/>
              <w:ind w:firstLine="0" w:firstLineChars="0"/>
              <w:jc w:val="center"/>
              <w:textAlignment w:val="baseline"/>
              <w:rPr>
                <w:rFonts w:cs="Times New Roman"/>
                <w:color w:val="auto"/>
                <w:kern w:val="0"/>
                <w:sz w:val="21"/>
                <w:szCs w:val="21"/>
                <w:highlight w:val="none"/>
              </w:rPr>
            </w:pPr>
            <w:r>
              <w:rPr>
                <w:rFonts w:cs="Times New Roman"/>
                <w:color w:val="auto"/>
                <w:kern w:val="0"/>
                <w:sz w:val="21"/>
                <w:szCs w:val="21"/>
                <w:highlight w:val="none"/>
              </w:rPr>
              <w:t>NE</w:t>
            </w:r>
          </w:p>
        </w:tc>
        <w:tc>
          <w:tcPr>
            <w:tcW w:w="1111" w:type="dxa"/>
            <w:vMerge w:val="restart"/>
            <w:vAlign w:val="center"/>
          </w:tcPr>
          <w:p w14:paraId="0F9BA564">
            <w:pPr>
              <w:spacing w:line="360" w:lineRule="exact"/>
              <w:ind w:firstLine="0" w:firstLineChars="0"/>
              <w:jc w:val="center"/>
              <w:textAlignment w:val="baseline"/>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350</w:t>
            </w:r>
          </w:p>
        </w:tc>
      </w:tr>
      <w:tr w14:paraId="646E6B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309" w:type="dxa"/>
            <w:vMerge w:val="continue"/>
            <w:vAlign w:val="center"/>
          </w:tcPr>
          <w:p w14:paraId="19848CBC">
            <w:pPr>
              <w:spacing w:line="360" w:lineRule="exact"/>
              <w:ind w:firstLine="0" w:firstLineChars="0"/>
              <w:jc w:val="center"/>
              <w:textAlignment w:val="baseline"/>
              <w:rPr>
                <w:rFonts w:cs="Times New Roman"/>
                <w:color w:val="auto"/>
                <w:kern w:val="0"/>
                <w:sz w:val="21"/>
                <w:szCs w:val="21"/>
                <w:highlight w:val="none"/>
              </w:rPr>
            </w:pPr>
          </w:p>
        </w:tc>
        <w:tc>
          <w:tcPr>
            <w:tcW w:w="1250" w:type="dxa"/>
            <w:vMerge w:val="continue"/>
            <w:vAlign w:val="center"/>
          </w:tcPr>
          <w:p w14:paraId="6F373F78">
            <w:pPr>
              <w:spacing w:line="360" w:lineRule="exact"/>
              <w:ind w:firstLine="0" w:firstLineChars="0"/>
              <w:jc w:val="center"/>
              <w:textAlignment w:val="baseline"/>
              <w:rPr>
                <w:rFonts w:cs="Times New Roman"/>
                <w:color w:val="auto"/>
                <w:kern w:val="0"/>
                <w:sz w:val="21"/>
                <w:szCs w:val="21"/>
                <w:highlight w:val="none"/>
              </w:rPr>
            </w:pPr>
          </w:p>
        </w:tc>
        <w:tc>
          <w:tcPr>
            <w:tcW w:w="1125" w:type="dxa"/>
            <w:vMerge w:val="continue"/>
            <w:vAlign w:val="center"/>
          </w:tcPr>
          <w:p w14:paraId="132CFF85">
            <w:pPr>
              <w:spacing w:line="360" w:lineRule="exact"/>
              <w:ind w:firstLine="0" w:firstLineChars="0"/>
              <w:jc w:val="center"/>
              <w:textAlignment w:val="baseline"/>
              <w:rPr>
                <w:rFonts w:cs="Times New Roman"/>
                <w:color w:val="auto"/>
                <w:kern w:val="0"/>
                <w:sz w:val="21"/>
                <w:szCs w:val="21"/>
                <w:highlight w:val="none"/>
              </w:rPr>
            </w:pPr>
          </w:p>
        </w:tc>
        <w:tc>
          <w:tcPr>
            <w:tcW w:w="1181" w:type="dxa"/>
            <w:vAlign w:val="center"/>
          </w:tcPr>
          <w:p w14:paraId="5A8D5132">
            <w:pPr>
              <w:widowControl/>
              <w:spacing w:line="360" w:lineRule="exact"/>
              <w:ind w:firstLine="0" w:firstLineChars="0"/>
              <w:jc w:val="center"/>
              <w:textAlignment w:val="baseline"/>
              <w:rPr>
                <w:rFonts w:cs="Times New Roman"/>
                <w:color w:val="auto"/>
                <w:sz w:val="21"/>
                <w:szCs w:val="21"/>
                <w:highlight w:val="none"/>
              </w:rPr>
            </w:pPr>
            <w:r>
              <w:rPr>
                <w:rFonts w:cs="Times New Roman"/>
                <w:color w:val="auto"/>
                <w:sz w:val="21"/>
                <w:szCs w:val="21"/>
                <w:highlight w:val="none"/>
              </w:rPr>
              <w:t>硫化氢</w:t>
            </w:r>
          </w:p>
        </w:tc>
        <w:tc>
          <w:tcPr>
            <w:tcW w:w="1710" w:type="dxa"/>
            <w:vMerge w:val="continue"/>
            <w:vAlign w:val="center"/>
          </w:tcPr>
          <w:p w14:paraId="671F608F">
            <w:pPr>
              <w:spacing w:line="360" w:lineRule="exact"/>
              <w:ind w:firstLine="0" w:firstLineChars="0"/>
              <w:jc w:val="center"/>
              <w:textAlignment w:val="baseline"/>
              <w:rPr>
                <w:rFonts w:cs="Times New Roman"/>
                <w:color w:val="auto"/>
                <w:kern w:val="0"/>
                <w:sz w:val="21"/>
                <w:szCs w:val="21"/>
                <w:highlight w:val="none"/>
              </w:rPr>
            </w:pPr>
          </w:p>
        </w:tc>
        <w:tc>
          <w:tcPr>
            <w:tcW w:w="1071" w:type="dxa"/>
            <w:vMerge w:val="continue"/>
            <w:vAlign w:val="center"/>
          </w:tcPr>
          <w:p w14:paraId="72E447B1">
            <w:pPr>
              <w:spacing w:line="360" w:lineRule="exact"/>
              <w:ind w:firstLine="0" w:firstLineChars="0"/>
              <w:jc w:val="center"/>
              <w:textAlignment w:val="baseline"/>
              <w:rPr>
                <w:rFonts w:cs="Times New Roman"/>
                <w:color w:val="auto"/>
                <w:kern w:val="0"/>
                <w:sz w:val="21"/>
                <w:szCs w:val="21"/>
                <w:highlight w:val="none"/>
              </w:rPr>
            </w:pPr>
          </w:p>
        </w:tc>
        <w:tc>
          <w:tcPr>
            <w:tcW w:w="1111" w:type="dxa"/>
            <w:vMerge w:val="continue"/>
            <w:vAlign w:val="center"/>
          </w:tcPr>
          <w:p w14:paraId="1300930F">
            <w:pPr>
              <w:spacing w:line="360" w:lineRule="exact"/>
              <w:ind w:firstLine="0" w:firstLineChars="0"/>
              <w:jc w:val="center"/>
              <w:textAlignment w:val="baseline"/>
              <w:rPr>
                <w:rFonts w:cs="Times New Roman"/>
                <w:color w:val="auto"/>
                <w:kern w:val="0"/>
                <w:sz w:val="21"/>
                <w:szCs w:val="21"/>
                <w:highlight w:val="none"/>
              </w:rPr>
            </w:pPr>
          </w:p>
        </w:tc>
      </w:tr>
      <w:tr w14:paraId="363D4C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309" w:type="dxa"/>
            <w:vMerge w:val="continue"/>
            <w:vAlign w:val="center"/>
          </w:tcPr>
          <w:p w14:paraId="4B4D8713">
            <w:pPr>
              <w:spacing w:line="360" w:lineRule="exact"/>
              <w:ind w:firstLine="0" w:firstLineChars="0"/>
              <w:jc w:val="center"/>
              <w:textAlignment w:val="baseline"/>
              <w:rPr>
                <w:rFonts w:cs="Times New Roman"/>
                <w:color w:val="auto"/>
                <w:kern w:val="0"/>
                <w:sz w:val="21"/>
                <w:szCs w:val="21"/>
                <w:highlight w:val="none"/>
              </w:rPr>
            </w:pPr>
          </w:p>
        </w:tc>
        <w:tc>
          <w:tcPr>
            <w:tcW w:w="1250" w:type="dxa"/>
            <w:vMerge w:val="continue"/>
            <w:vAlign w:val="center"/>
          </w:tcPr>
          <w:p w14:paraId="5BD0D5A1">
            <w:pPr>
              <w:spacing w:line="360" w:lineRule="exact"/>
              <w:ind w:firstLine="0" w:firstLineChars="0"/>
              <w:jc w:val="center"/>
              <w:textAlignment w:val="baseline"/>
              <w:rPr>
                <w:rFonts w:cs="Times New Roman"/>
                <w:color w:val="auto"/>
                <w:kern w:val="0"/>
                <w:sz w:val="21"/>
                <w:szCs w:val="21"/>
                <w:highlight w:val="none"/>
              </w:rPr>
            </w:pPr>
          </w:p>
        </w:tc>
        <w:tc>
          <w:tcPr>
            <w:tcW w:w="1125" w:type="dxa"/>
            <w:vMerge w:val="continue"/>
            <w:vAlign w:val="center"/>
          </w:tcPr>
          <w:p w14:paraId="034194BE">
            <w:pPr>
              <w:spacing w:line="360" w:lineRule="exact"/>
              <w:ind w:firstLine="0" w:firstLineChars="0"/>
              <w:jc w:val="center"/>
              <w:textAlignment w:val="baseline"/>
              <w:rPr>
                <w:rFonts w:cs="Times New Roman"/>
                <w:color w:val="auto"/>
                <w:kern w:val="0"/>
                <w:sz w:val="21"/>
                <w:szCs w:val="21"/>
                <w:highlight w:val="none"/>
              </w:rPr>
            </w:pPr>
          </w:p>
        </w:tc>
        <w:tc>
          <w:tcPr>
            <w:tcW w:w="1181" w:type="dxa"/>
            <w:vAlign w:val="center"/>
          </w:tcPr>
          <w:p w14:paraId="4E76AB66">
            <w:pPr>
              <w:widowControl/>
              <w:spacing w:line="360" w:lineRule="exact"/>
              <w:ind w:firstLine="0" w:firstLineChars="0"/>
              <w:jc w:val="center"/>
              <w:textAlignment w:val="baseline"/>
              <w:rPr>
                <w:rFonts w:cs="Times New Roman"/>
                <w:color w:val="auto"/>
                <w:sz w:val="21"/>
                <w:szCs w:val="21"/>
                <w:highlight w:val="none"/>
              </w:rPr>
            </w:pPr>
            <w:r>
              <w:rPr>
                <w:rFonts w:hint="eastAsia" w:cs="Times New Roman"/>
                <w:color w:val="auto"/>
                <w:sz w:val="21"/>
                <w:szCs w:val="21"/>
                <w:highlight w:val="none"/>
                <w:lang w:val="en-US" w:eastAsia="zh-CN"/>
              </w:rPr>
              <w:t>TSP</w:t>
            </w:r>
          </w:p>
        </w:tc>
        <w:tc>
          <w:tcPr>
            <w:tcW w:w="1710" w:type="dxa"/>
            <w:vMerge w:val="continue"/>
            <w:vAlign w:val="center"/>
          </w:tcPr>
          <w:p w14:paraId="14B8E802">
            <w:pPr>
              <w:spacing w:line="360" w:lineRule="exact"/>
              <w:ind w:firstLine="0" w:firstLineChars="0"/>
              <w:jc w:val="center"/>
              <w:textAlignment w:val="baseline"/>
              <w:rPr>
                <w:rFonts w:cs="Times New Roman"/>
                <w:color w:val="auto"/>
                <w:kern w:val="0"/>
                <w:sz w:val="21"/>
                <w:szCs w:val="21"/>
                <w:highlight w:val="none"/>
              </w:rPr>
            </w:pPr>
          </w:p>
        </w:tc>
        <w:tc>
          <w:tcPr>
            <w:tcW w:w="1071" w:type="dxa"/>
            <w:vMerge w:val="continue"/>
            <w:vAlign w:val="center"/>
          </w:tcPr>
          <w:p w14:paraId="7065C278">
            <w:pPr>
              <w:spacing w:line="360" w:lineRule="exact"/>
              <w:ind w:firstLine="0" w:firstLineChars="0"/>
              <w:jc w:val="center"/>
              <w:textAlignment w:val="baseline"/>
              <w:rPr>
                <w:rFonts w:cs="Times New Roman"/>
                <w:color w:val="auto"/>
                <w:kern w:val="0"/>
                <w:sz w:val="21"/>
                <w:szCs w:val="21"/>
                <w:highlight w:val="none"/>
              </w:rPr>
            </w:pPr>
          </w:p>
        </w:tc>
        <w:tc>
          <w:tcPr>
            <w:tcW w:w="1111" w:type="dxa"/>
            <w:vMerge w:val="continue"/>
            <w:vAlign w:val="center"/>
          </w:tcPr>
          <w:p w14:paraId="121A2534">
            <w:pPr>
              <w:spacing w:line="360" w:lineRule="exact"/>
              <w:ind w:firstLine="0" w:firstLineChars="0"/>
              <w:jc w:val="center"/>
              <w:textAlignment w:val="baseline"/>
              <w:rPr>
                <w:rFonts w:cs="Times New Roman"/>
                <w:color w:val="auto"/>
                <w:kern w:val="0"/>
                <w:sz w:val="21"/>
                <w:szCs w:val="21"/>
                <w:highlight w:val="none"/>
              </w:rPr>
            </w:pPr>
          </w:p>
        </w:tc>
      </w:tr>
      <w:tr w14:paraId="177AC6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88" w:hRule="atLeast"/>
          <w:jc w:val="center"/>
        </w:trPr>
        <w:tc>
          <w:tcPr>
            <w:tcW w:w="1309" w:type="dxa"/>
            <w:vMerge w:val="continue"/>
            <w:vAlign w:val="center"/>
          </w:tcPr>
          <w:p w14:paraId="5AE3A99D">
            <w:pPr>
              <w:spacing w:line="360" w:lineRule="exact"/>
              <w:ind w:firstLine="0" w:firstLineChars="0"/>
              <w:jc w:val="center"/>
              <w:textAlignment w:val="baseline"/>
              <w:rPr>
                <w:rFonts w:cs="Times New Roman"/>
                <w:color w:val="auto"/>
                <w:sz w:val="21"/>
                <w:szCs w:val="21"/>
                <w:highlight w:val="none"/>
              </w:rPr>
            </w:pPr>
          </w:p>
        </w:tc>
        <w:tc>
          <w:tcPr>
            <w:tcW w:w="1250" w:type="dxa"/>
            <w:vMerge w:val="continue"/>
            <w:vAlign w:val="center"/>
          </w:tcPr>
          <w:p w14:paraId="17A45020">
            <w:pPr>
              <w:spacing w:line="360" w:lineRule="exact"/>
              <w:ind w:firstLine="0" w:firstLineChars="0"/>
              <w:jc w:val="center"/>
              <w:textAlignment w:val="baseline"/>
              <w:rPr>
                <w:rFonts w:cs="Times New Roman"/>
                <w:color w:val="auto"/>
                <w:sz w:val="21"/>
                <w:szCs w:val="21"/>
                <w:highlight w:val="none"/>
              </w:rPr>
            </w:pPr>
          </w:p>
        </w:tc>
        <w:tc>
          <w:tcPr>
            <w:tcW w:w="1125" w:type="dxa"/>
            <w:vMerge w:val="continue"/>
            <w:vAlign w:val="center"/>
          </w:tcPr>
          <w:p w14:paraId="04B6AB4C">
            <w:pPr>
              <w:spacing w:line="360" w:lineRule="exact"/>
              <w:ind w:firstLine="0" w:firstLineChars="0"/>
              <w:jc w:val="center"/>
              <w:textAlignment w:val="baseline"/>
              <w:rPr>
                <w:rFonts w:cs="Times New Roman"/>
                <w:color w:val="auto"/>
                <w:sz w:val="21"/>
                <w:szCs w:val="21"/>
                <w:highlight w:val="none"/>
              </w:rPr>
            </w:pPr>
          </w:p>
        </w:tc>
        <w:tc>
          <w:tcPr>
            <w:tcW w:w="1181" w:type="dxa"/>
            <w:vAlign w:val="center"/>
          </w:tcPr>
          <w:p w14:paraId="4BE4519A">
            <w:pPr>
              <w:widowControl/>
              <w:spacing w:line="360" w:lineRule="exact"/>
              <w:ind w:firstLine="0" w:firstLineChars="0"/>
              <w:jc w:val="center"/>
              <w:textAlignment w:val="baseline"/>
              <w:rPr>
                <w:rFonts w:cs="Times New Roman"/>
                <w:color w:val="auto"/>
                <w:sz w:val="21"/>
                <w:szCs w:val="21"/>
                <w:highlight w:val="none"/>
              </w:rPr>
            </w:pPr>
            <w:r>
              <w:rPr>
                <w:rFonts w:hint="eastAsia" w:cs="Times New Roman"/>
                <w:color w:val="auto"/>
                <w:sz w:val="21"/>
                <w:szCs w:val="21"/>
                <w:highlight w:val="none"/>
                <w:lang w:val="en-US" w:eastAsia="zh-CN"/>
              </w:rPr>
              <w:t>臭气浓度</w:t>
            </w:r>
          </w:p>
        </w:tc>
        <w:tc>
          <w:tcPr>
            <w:tcW w:w="1710" w:type="dxa"/>
            <w:vMerge w:val="continue"/>
            <w:vAlign w:val="center"/>
          </w:tcPr>
          <w:p w14:paraId="7FDA1712">
            <w:pPr>
              <w:widowControl/>
              <w:spacing w:line="360" w:lineRule="exact"/>
              <w:ind w:firstLine="0" w:firstLineChars="0"/>
              <w:jc w:val="center"/>
              <w:textAlignment w:val="baseline"/>
              <w:rPr>
                <w:rFonts w:cs="Times New Roman"/>
                <w:color w:val="auto"/>
                <w:kern w:val="0"/>
                <w:sz w:val="21"/>
                <w:szCs w:val="21"/>
                <w:highlight w:val="none"/>
              </w:rPr>
            </w:pPr>
          </w:p>
        </w:tc>
        <w:tc>
          <w:tcPr>
            <w:tcW w:w="1071" w:type="dxa"/>
            <w:vMerge w:val="continue"/>
            <w:vAlign w:val="center"/>
          </w:tcPr>
          <w:p w14:paraId="302F7DBC">
            <w:pPr>
              <w:spacing w:line="360" w:lineRule="exact"/>
              <w:ind w:firstLine="0" w:firstLineChars="0"/>
              <w:jc w:val="center"/>
              <w:textAlignment w:val="baseline"/>
              <w:rPr>
                <w:rFonts w:cs="Times New Roman"/>
                <w:color w:val="auto"/>
                <w:sz w:val="21"/>
                <w:szCs w:val="21"/>
                <w:highlight w:val="none"/>
              </w:rPr>
            </w:pPr>
          </w:p>
        </w:tc>
        <w:tc>
          <w:tcPr>
            <w:tcW w:w="1111" w:type="dxa"/>
            <w:vMerge w:val="continue"/>
            <w:vAlign w:val="center"/>
          </w:tcPr>
          <w:p w14:paraId="36F1933A">
            <w:pPr>
              <w:spacing w:line="360" w:lineRule="exact"/>
              <w:ind w:firstLine="0" w:firstLineChars="0"/>
              <w:jc w:val="center"/>
              <w:textAlignment w:val="baseline"/>
              <w:rPr>
                <w:rFonts w:cs="Times New Roman"/>
                <w:color w:val="auto"/>
                <w:sz w:val="21"/>
                <w:szCs w:val="21"/>
                <w:highlight w:val="none"/>
              </w:rPr>
            </w:pPr>
          </w:p>
        </w:tc>
      </w:tr>
    </w:tbl>
    <w:p w14:paraId="3E511A0C">
      <w:pPr>
        <w:keepNext w:val="0"/>
        <w:keepLines w:val="0"/>
        <w:pageBreakBefore w:val="0"/>
        <w:widowControl w:val="0"/>
        <w:kinsoku/>
        <w:wordWrap/>
        <w:overflowPunct/>
        <w:topLinePunct w:val="0"/>
        <w:autoSpaceDE/>
        <w:autoSpaceDN/>
        <w:bidi w:val="0"/>
        <w:adjustRightInd/>
        <w:snapToGrid/>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 xml:space="preserve">2-3  </w:t>
      </w:r>
      <w:r>
        <w:rPr>
          <w:rFonts w:hint="eastAsia" w:cs="Times New Roman"/>
          <w:b/>
          <w:color w:val="auto"/>
          <w:szCs w:val="24"/>
          <w:highlight w:val="none"/>
          <w:lang w:val="en-US" w:eastAsia="zh-CN"/>
        </w:rPr>
        <w:t>气象数据</w:t>
      </w:r>
      <w:r>
        <w:rPr>
          <w:rFonts w:cs="Times New Roman"/>
          <w:b/>
          <w:color w:val="auto"/>
          <w:szCs w:val="24"/>
          <w:highlight w:val="none"/>
        </w:rPr>
        <w:t>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251"/>
        <w:gridCol w:w="1303"/>
        <w:gridCol w:w="1303"/>
        <w:gridCol w:w="1303"/>
        <w:gridCol w:w="1303"/>
        <w:gridCol w:w="1303"/>
        <w:gridCol w:w="1305"/>
      </w:tblGrid>
      <w:tr w14:paraId="608F53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tblHeader/>
          <w:jc w:val="center"/>
        </w:trPr>
        <w:tc>
          <w:tcPr>
            <w:tcW w:w="1251" w:type="dxa"/>
            <w:vMerge w:val="restart"/>
            <w:tcBorders>
              <w:tl2br w:val="nil"/>
              <w:tr2bl w:val="nil"/>
            </w:tcBorders>
            <w:noWrap w:val="0"/>
            <w:vAlign w:val="center"/>
          </w:tcPr>
          <w:p w14:paraId="2232CDE1">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采样日期</w:t>
            </w:r>
          </w:p>
        </w:tc>
        <w:tc>
          <w:tcPr>
            <w:tcW w:w="7820" w:type="dxa"/>
            <w:gridSpan w:val="6"/>
            <w:tcBorders>
              <w:tl2br w:val="nil"/>
              <w:tr2bl w:val="nil"/>
            </w:tcBorders>
            <w:noWrap w:val="0"/>
            <w:vAlign w:val="center"/>
          </w:tcPr>
          <w:p w14:paraId="1DEF216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统计结果</w:t>
            </w:r>
          </w:p>
        </w:tc>
      </w:tr>
      <w:tr w14:paraId="26083B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tblHeader/>
          <w:jc w:val="center"/>
        </w:trPr>
        <w:tc>
          <w:tcPr>
            <w:tcW w:w="1251" w:type="dxa"/>
            <w:vMerge w:val="continue"/>
            <w:tcBorders>
              <w:tl2br w:val="nil"/>
              <w:tr2bl w:val="nil"/>
            </w:tcBorders>
            <w:noWrap w:val="0"/>
            <w:vAlign w:val="center"/>
          </w:tcPr>
          <w:p w14:paraId="5EA6351A">
            <w:pPr>
              <w:spacing w:line="240" w:lineRule="auto"/>
              <w:ind w:firstLine="0" w:firstLineChars="0"/>
              <w:jc w:val="center"/>
              <w:rPr>
                <w:rFonts w:hint="default" w:cs="Times New Roman"/>
                <w:color w:val="auto"/>
                <w:sz w:val="21"/>
                <w:szCs w:val="21"/>
                <w:highlight w:val="none"/>
                <w:lang w:val="en-US" w:eastAsia="zh-CN"/>
              </w:rPr>
            </w:pPr>
          </w:p>
        </w:tc>
        <w:tc>
          <w:tcPr>
            <w:tcW w:w="1303" w:type="dxa"/>
            <w:tcBorders>
              <w:tl2br w:val="nil"/>
              <w:tr2bl w:val="nil"/>
            </w:tcBorders>
            <w:noWrap w:val="0"/>
            <w:vAlign w:val="center"/>
          </w:tcPr>
          <w:p w14:paraId="67FDEB0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天气</w:t>
            </w:r>
          </w:p>
        </w:tc>
        <w:tc>
          <w:tcPr>
            <w:tcW w:w="1303" w:type="dxa"/>
            <w:tcBorders>
              <w:tl2br w:val="nil"/>
              <w:tr2bl w:val="nil"/>
            </w:tcBorders>
            <w:noWrap w:val="0"/>
            <w:vAlign w:val="center"/>
          </w:tcPr>
          <w:p w14:paraId="4E588C0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风向</w:t>
            </w:r>
          </w:p>
        </w:tc>
        <w:tc>
          <w:tcPr>
            <w:tcW w:w="1303" w:type="dxa"/>
            <w:tcBorders>
              <w:tl2br w:val="nil"/>
              <w:tr2bl w:val="nil"/>
            </w:tcBorders>
            <w:noWrap w:val="0"/>
            <w:vAlign w:val="center"/>
          </w:tcPr>
          <w:p w14:paraId="42768CA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风速（m/s）</w:t>
            </w:r>
          </w:p>
        </w:tc>
        <w:tc>
          <w:tcPr>
            <w:tcW w:w="1303" w:type="dxa"/>
            <w:tcBorders>
              <w:tl2br w:val="nil"/>
              <w:tr2bl w:val="nil"/>
            </w:tcBorders>
            <w:noWrap w:val="0"/>
            <w:vAlign w:val="center"/>
          </w:tcPr>
          <w:p w14:paraId="53358F6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最高气温(℃)</w:t>
            </w:r>
          </w:p>
        </w:tc>
        <w:tc>
          <w:tcPr>
            <w:tcW w:w="1303" w:type="dxa"/>
            <w:tcBorders>
              <w:tl2br w:val="nil"/>
              <w:tr2bl w:val="nil"/>
            </w:tcBorders>
            <w:noWrap w:val="0"/>
            <w:vAlign w:val="center"/>
          </w:tcPr>
          <w:p w14:paraId="3676989E">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最低气温(℃)</w:t>
            </w:r>
          </w:p>
        </w:tc>
        <w:tc>
          <w:tcPr>
            <w:tcW w:w="1305" w:type="dxa"/>
            <w:tcBorders>
              <w:tl2br w:val="nil"/>
              <w:tr2bl w:val="nil"/>
            </w:tcBorders>
            <w:noWrap w:val="0"/>
            <w:vAlign w:val="center"/>
          </w:tcPr>
          <w:p w14:paraId="096CC02E">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气压(hPa)</w:t>
            </w:r>
          </w:p>
        </w:tc>
      </w:tr>
      <w:tr w14:paraId="2340E5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04" w:hRule="atLeast"/>
          <w:jc w:val="center"/>
        </w:trPr>
        <w:tc>
          <w:tcPr>
            <w:tcW w:w="1251" w:type="dxa"/>
            <w:tcBorders>
              <w:tl2br w:val="nil"/>
              <w:tr2bl w:val="nil"/>
            </w:tcBorders>
            <w:noWrap w:val="0"/>
            <w:vAlign w:val="center"/>
          </w:tcPr>
          <w:p w14:paraId="154C2528">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2025.08.16</w:t>
            </w:r>
          </w:p>
        </w:tc>
        <w:tc>
          <w:tcPr>
            <w:tcW w:w="1303" w:type="dxa"/>
            <w:tcBorders>
              <w:tl2br w:val="nil"/>
              <w:tr2bl w:val="nil"/>
            </w:tcBorders>
            <w:noWrap w:val="0"/>
            <w:vAlign w:val="center"/>
          </w:tcPr>
          <w:p w14:paraId="7B11CCA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多云</w:t>
            </w:r>
          </w:p>
        </w:tc>
        <w:tc>
          <w:tcPr>
            <w:tcW w:w="1303" w:type="dxa"/>
            <w:tcBorders>
              <w:tl2br w:val="nil"/>
              <w:tr2bl w:val="nil"/>
            </w:tcBorders>
            <w:noWrap w:val="0"/>
            <w:vAlign w:val="center"/>
          </w:tcPr>
          <w:p w14:paraId="74C14D0C">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西北风</w:t>
            </w:r>
          </w:p>
        </w:tc>
        <w:tc>
          <w:tcPr>
            <w:tcW w:w="1303" w:type="dxa"/>
            <w:tcBorders>
              <w:tl2br w:val="nil"/>
              <w:tr2bl w:val="nil"/>
            </w:tcBorders>
            <w:noWrap w:val="0"/>
            <w:vAlign w:val="center"/>
          </w:tcPr>
          <w:p w14:paraId="441D2648">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3.0</w:t>
            </w:r>
          </w:p>
        </w:tc>
        <w:tc>
          <w:tcPr>
            <w:tcW w:w="1303" w:type="dxa"/>
            <w:tcBorders>
              <w:tl2br w:val="nil"/>
              <w:tr2bl w:val="nil"/>
            </w:tcBorders>
            <w:noWrap w:val="0"/>
            <w:vAlign w:val="center"/>
          </w:tcPr>
          <w:p w14:paraId="68AA4A00">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27</w:t>
            </w:r>
          </w:p>
        </w:tc>
        <w:tc>
          <w:tcPr>
            <w:tcW w:w="1303" w:type="dxa"/>
            <w:tcBorders>
              <w:tl2br w:val="nil"/>
              <w:tr2bl w:val="nil"/>
            </w:tcBorders>
            <w:noWrap w:val="0"/>
            <w:vAlign w:val="center"/>
          </w:tcPr>
          <w:p w14:paraId="5D7663EA">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15</w:t>
            </w:r>
          </w:p>
        </w:tc>
        <w:tc>
          <w:tcPr>
            <w:tcW w:w="1305" w:type="dxa"/>
            <w:tcBorders>
              <w:tl2br w:val="nil"/>
              <w:tr2bl w:val="nil"/>
            </w:tcBorders>
            <w:noWrap w:val="0"/>
            <w:vAlign w:val="center"/>
          </w:tcPr>
          <w:p w14:paraId="76462556">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993.5 </w:t>
            </w:r>
          </w:p>
        </w:tc>
      </w:tr>
      <w:tr w14:paraId="26EB94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251" w:type="dxa"/>
            <w:tcBorders>
              <w:tl2br w:val="nil"/>
              <w:tr2bl w:val="nil"/>
            </w:tcBorders>
            <w:noWrap w:val="0"/>
            <w:vAlign w:val="center"/>
          </w:tcPr>
          <w:p w14:paraId="4DF97EE1">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2025.08.17</w:t>
            </w:r>
          </w:p>
        </w:tc>
        <w:tc>
          <w:tcPr>
            <w:tcW w:w="1303" w:type="dxa"/>
            <w:tcBorders>
              <w:tl2br w:val="nil"/>
              <w:tr2bl w:val="nil"/>
            </w:tcBorders>
            <w:noWrap w:val="0"/>
            <w:vAlign w:val="center"/>
          </w:tcPr>
          <w:p w14:paraId="0A9A1914">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晴</w:t>
            </w:r>
          </w:p>
        </w:tc>
        <w:tc>
          <w:tcPr>
            <w:tcW w:w="1303" w:type="dxa"/>
            <w:tcBorders>
              <w:tl2br w:val="nil"/>
              <w:tr2bl w:val="nil"/>
            </w:tcBorders>
            <w:noWrap w:val="0"/>
            <w:vAlign w:val="center"/>
          </w:tcPr>
          <w:p w14:paraId="11012CE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西北风</w:t>
            </w:r>
          </w:p>
        </w:tc>
        <w:tc>
          <w:tcPr>
            <w:tcW w:w="1303" w:type="dxa"/>
            <w:tcBorders>
              <w:tl2br w:val="nil"/>
              <w:tr2bl w:val="nil"/>
            </w:tcBorders>
            <w:noWrap w:val="0"/>
            <w:vAlign w:val="center"/>
          </w:tcPr>
          <w:p w14:paraId="74A345BF">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2.8</w:t>
            </w:r>
          </w:p>
        </w:tc>
        <w:tc>
          <w:tcPr>
            <w:tcW w:w="1303" w:type="dxa"/>
            <w:tcBorders>
              <w:tl2br w:val="nil"/>
              <w:tr2bl w:val="nil"/>
            </w:tcBorders>
            <w:noWrap w:val="0"/>
            <w:vAlign w:val="center"/>
          </w:tcPr>
          <w:p w14:paraId="630747F4">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24</w:t>
            </w:r>
          </w:p>
        </w:tc>
        <w:tc>
          <w:tcPr>
            <w:tcW w:w="1303" w:type="dxa"/>
            <w:tcBorders>
              <w:tl2br w:val="nil"/>
              <w:tr2bl w:val="nil"/>
            </w:tcBorders>
            <w:noWrap w:val="0"/>
            <w:vAlign w:val="center"/>
          </w:tcPr>
          <w:p w14:paraId="606F030A">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15</w:t>
            </w:r>
          </w:p>
        </w:tc>
        <w:tc>
          <w:tcPr>
            <w:tcW w:w="1305" w:type="dxa"/>
            <w:tcBorders>
              <w:tl2br w:val="nil"/>
              <w:tr2bl w:val="nil"/>
            </w:tcBorders>
            <w:noWrap w:val="0"/>
            <w:vAlign w:val="center"/>
          </w:tcPr>
          <w:p w14:paraId="5A534A5A">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993.4 </w:t>
            </w:r>
          </w:p>
        </w:tc>
      </w:tr>
      <w:tr w14:paraId="0B0E9D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251" w:type="dxa"/>
            <w:tcBorders>
              <w:tl2br w:val="nil"/>
              <w:tr2bl w:val="nil"/>
            </w:tcBorders>
            <w:noWrap w:val="0"/>
            <w:vAlign w:val="center"/>
          </w:tcPr>
          <w:p w14:paraId="36D85F6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2025.08.18</w:t>
            </w:r>
          </w:p>
        </w:tc>
        <w:tc>
          <w:tcPr>
            <w:tcW w:w="1303" w:type="dxa"/>
            <w:tcBorders>
              <w:tl2br w:val="nil"/>
              <w:tr2bl w:val="nil"/>
            </w:tcBorders>
            <w:noWrap w:val="0"/>
            <w:vAlign w:val="center"/>
          </w:tcPr>
          <w:p w14:paraId="56EA8078">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多云</w:t>
            </w:r>
          </w:p>
        </w:tc>
        <w:tc>
          <w:tcPr>
            <w:tcW w:w="1303" w:type="dxa"/>
            <w:tcBorders>
              <w:tl2br w:val="nil"/>
              <w:tr2bl w:val="nil"/>
            </w:tcBorders>
            <w:noWrap w:val="0"/>
            <w:vAlign w:val="center"/>
          </w:tcPr>
          <w:p w14:paraId="3A0E147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西南风</w:t>
            </w:r>
          </w:p>
        </w:tc>
        <w:tc>
          <w:tcPr>
            <w:tcW w:w="1303" w:type="dxa"/>
            <w:tcBorders>
              <w:tl2br w:val="nil"/>
              <w:tr2bl w:val="nil"/>
            </w:tcBorders>
            <w:noWrap w:val="0"/>
            <w:vAlign w:val="center"/>
          </w:tcPr>
          <w:p w14:paraId="4B0776F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1.6</w:t>
            </w:r>
          </w:p>
        </w:tc>
        <w:tc>
          <w:tcPr>
            <w:tcW w:w="1303" w:type="dxa"/>
            <w:tcBorders>
              <w:tl2br w:val="nil"/>
              <w:tr2bl w:val="nil"/>
            </w:tcBorders>
            <w:noWrap w:val="0"/>
            <w:vAlign w:val="center"/>
          </w:tcPr>
          <w:p w14:paraId="5DB7CA40">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26</w:t>
            </w:r>
          </w:p>
        </w:tc>
        <w:tc>
          <w:tcPr>
            <w:tcW w:w="1303" w:type="dxa"/>
            <w:tcBorders>
              <w:tl2br w:val="nil"/>
              <w:tr2bl w:val="nil"/>
            </w:tcBorders>
            <w:noWrap w:val="0"/>
            <w:vAlign w:val="center"/>
          </w:tcPr>
          <w:p w14:paraId="24B6445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15</w:t>
            </w:r>
          </w:p>
        </w:tc>
        <w:tc>
          <w:tcPr>
            <w:tcW w:w="1305" w:type="dxa"/>
            <w:tcBorders>
              <w:tl2br w:val="nil"/>
              <w:tr2bl w:val="nil"/>
            </w:tcBorders>
            <w:noWrap w:val="0"/>
            <w:vAlign w:val="center"/>
          </w:tcPr>
          <w:p w14:paraId="71C79329">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993.3 </w:t>
            </w:r>
          </w:p>
        </w:tc>
      </w:tr>
      <w:tr w14:paraId="392839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251" w:type="dxa"/>
            <w:tcBorders>
              <w:tl2br w:val="nil"/>
              <w:tr2bl w:val="nil"/>
            </w:tcBorders>
            <w:noWrap w:val="0"/>
            <w:vAlign w:val="center"/>
          </w:tcPr>
          <w:p w14:paraId="226B719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2025.08.19</w:t>
            </w:r>
          </w:p>
        </w:tc>
        <w:tc>
          <w:tcPr>
            <w:tcW w:w="1303" w:type="dxa"/>
            <w:tcBorders>
              <w:tl2br w:val="nil"/>
              <w:tr2bl w:val="nil"/>
            </w:tcBorders>
            <w:noWrap w:val="0"/>
            <w:vAlign w:val="center"/>
          </w:tcPr>
          <w:p w14:paraId="65C5F713">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多云</w:t>
            </w:r>
          </w:p>
        </w:tc>
        <w:tc>
          <w:tcPr>
            <w:tcW w:w="1303" w:type="dxa"/>
            <w:tcBorders>
              <w:tl2br w:val="nil"/>
              <w:tr2bl w:val="nil"/>
            </w:tcBorders>
            <w:noWrap w:val="0"/>
            <w:vAlign w:val="center"/>
          </w:tcPr>
          <w:p w14:paraId="667DA498">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西南风</w:t>
            </w:r>
          </w:p>
        </w:tc>
        <w:tc>
          <w:tcPr>
            <w:tcW w:w="1303" w:type="dxa"/>
            <w:tcBorders>
              <w:tl2br w:val="nil"/>
              <w:tr2bl w:val="nil"/>
            </w:tcBorders>
            <w:noWrap w:val="0"/>
            <w:vAlign w:val="center"/>
          </w:tcPr>
          <w:p w14:paraId="5B6566B0">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w:t>
            </w:r>
          </w:p>
        </w:tc>
        <w:tc>
          <w:tcPr>
            <w:tcW w:w="1303" w:type="dxa"/>
            <w:tcBorders>
              <w:tl2br w:val="nil"/>
              <w:tr2bl w:val="nil"/>
            </w:tcBorders>
            <w:noWrap w:val="0"/>
            <w:vAlign w:val="center"/>
          </w:tcPr>
          <w:p w14:paraId="190257C3">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26</w:t>
            </w:r>
          </w:p>
        </w:tc>
        <w:tc>
          <w:tcPr>
            <w:tcW w:w="1303" w:type="dxa"/>
            <w:tcBorders>
              <w:tl2br w:val="nil"/>
              <w:tr2bl w:val="nil"/>
            </w:tcBorders>
            <w:noWrap w:val="0"/>
            <w:vAlign w:val="center"/>
          </w:tcPr>
          <w:p w14:paraId="7E56C8A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17</w:t>
            </w:r>
          </w:p>
        </w:tc>
        <w:tc>
          <w:tcPr>
            <w:tcW w:w="1305" w:type="dxa"/>
            <w:tcBorders>
              <w:tl2br w:val="nil"/>
              <w:tr2bl w:val="nil"/>
            </w:tcBorders>
            <w:noWrap w:val="0"/>
            <w:vAlign w:val="center"/>
          </w:tcPr>
          <w:p w14:paraId="2032E834">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993.4 </w:t>
            </w:r>
          </w:p>
        </w:tc>
      </w:tr>
      <w:tr w14:paraId="583DA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251" w:type="dxa"/>
            <w:tcBorders>
              <w:tl2br w:val="nil"/>
              <w:tr2bl w:val="nil"/>
            </w:tcBorders>
            <w:noWrap w:val="0"/>
            <w:vAlign w:val="center"/>
          </w:tcPr>
          <w:p w14:paraId="08513B58">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2025.08.20</w:t>
            </w:r>
          </w:p>
        </w:tc>
        <w:tc>
          <w:tcPr>
            <w:tcW w:w="1303" w:type="dxa"/>
            <w:tcBorders>
              <w:tl2br w:val="nil"/>
              <w:tr2bl w:val="nil"/>
            </w:tcBorders>
            <w:noWrap w:val="0"/>
            <w:vAlign w:val="center"/>
          </w:tcPr>
          <w:p w14:paraId="49AA9269">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晴</w:t>
            </w:r>
          </w:p>
        </w:tc>
        <w:tc>
          <w:tcPr>
            <w:tcW w:w="1303" w:type="dxa"/>
            <w:tcBorders>
              <w:tl2br w:val="nil"/>
              <w:tr2bl w:val="nil"/>
            </w:tcBorders>
            <w:noWrap w:val="0"/>
            <w:vAlign w:val="center"/>
          </w:tcPr>
          <w:p w14:paraId="209F310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西北风</w:t>
            </w:r>
          </w:p>
        </w:tc>
        <w:tc>
          <w:tcPr>
            <w:tcW w:w="1303" w:type="dxa"/>
            <w:tcBorders>
              <w:tl2br w:val="nil"/>
              <w:tr2bl w:val="nil"/>
            </w:tcBorders>
            <w:noWrap w:val="0"/>
            <w:vAlign w:val="center"/>
          </w:tcPr>
          <w:p w14:paraId="6F8BB8EE">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2.3</w:t>
            </w:r>
          </w:p>
        </w:tc>
        <w:tc>
          <w:tcPr>
            <w:tcW w:w="1303" w:type="dxa"/>
            <w:tcBorders>
              <w:tl2br w:val="nil"/>
              <w:tr2bl w:val="nil"/>
            </w:tcBorders>
            <w:noWrap w:val="0"/>
            <w:vAlign w:val="center"/>
          </w:tcPr>
          <w:p w14:paraId="30E10C1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25</w:t>
            </w:r>
          </w:p>
        </w:tc>
        <w:tc>
          <w:tcPr>
            <w:tcW w:w="1303" w:type="dxa"/>
            <w:tcBorders>
              <w:tl2br w:val="nil"/>
              <w:tr2bl w:val="nil"/>
            </w:tcBorders>
            <w:noWrap w:val="0"/>
            <w:vAlign w:val="center"/>
          </w:tcPr>
          <w:p w14:paraId="42AFD1E5">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15</w:t>
            </w:r>
          </w:p>
        </w:tc>
        <w:tc>
          <w:tcPr>
            <w:tcW w:w="1305" w:type="dxa"/>
            <w:tcBorders>
              <w:tl2br w:val="nil"/>
              <w:tr2bl w:val="nil"/>
            </w:tcBorders>
            <w:noWrap w:val="0"/>
            <w:vAlign w:val="center"/>
          </w:tcPr>
          <w:p w14:paraId="42050F1C">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993.4 </w:t>
            </w:r>
          </w:p>
        </w:tc>
      </w:tr>
      <w:tr w14:paraId="01D4D2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251" w:type="dxa"/>
            <w:tcBorders>
              <w:tl2br w:val="nil"/>
              <w:tr2bl w:val="nil"/>
            </w:tcBorders>
            <w:noWrap w:val="0"/>
            <w:vAlign w:val="center"/>
          </w:tcPr>
          <w:p w14:paraId="51B737BB">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2025.08.21</w:t>
            </w:r>
          </w:p>
        </w:tc>
        <w:tc>
          <w:tcPr>
            <w:tcW w:w="1303" w:type="dxa"/>
            <w:tcBorders>
              <w:tl2br w:val="nil"/>
              <w:tr2bl w:val="nil"/>
            </w:tcBorders>
            <w:noWrap w:val="0"/>
            <w:vAlign w:val="center"/>
          </w:tcPr>
          <w:p w14:paraId="7721AEC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多云</w:t>
            </w:r>
          </w:p>
        </w:tc>
        <w:tc>
          <w:tcPr>
            <w:tcW w:w="1303" w:type="dxa"/>
            <w:tcBorders>
              <w:tl2br w:val="nil"/>
              <w:tr2bl w:val="nil"/>
            </w:tcBorders>
            <w:noWrap w:val="0"/>
            <w:vAlign w:val="center"/>
          </w:tcPr>
          <w:p w14:paraId="1984BB23">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西北风</w:t>
            </w:r>
          </w:p>
        </w:tc>
        <w:tc>
          <w:tcPr>
            <w:tcW w:w="1303" w:type="dxa"/>
            <w:tcBorders>
              <w:tl2br w:val="nil"/>
              <w:tr2bl w:val="nil"/>
            </w:tcBorders>
            <w:noWrap w:val="0"/>
            <w:vAlign w:val="center"/>
          </w:tcPr>
          <w:p w14:paraId="06261B31">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2.6</w:t>
            </w:r>
          </w:p>
        </w:tc>
        <w:tc>
          <w:tcPr>
            <w:tcW w:w="1303" w:type="dxa"/>
            <w:tcBorders>
              <w:tl2br w:val="nil"/>
              <w:tr2bl w:val="nil"/>
            </w:tcBorders>
            <w:noWrap w:val="0"/>
            <w:vAlign w:val="center"/>
          </w:tcPr>
          <w:p w14:paraId="2EDA1A9C">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25</w:t>
            </w:r>
          </w:p>
        </w:tc>
        <w:tc>
          <w:tcPr>
            <w:tcW w:w="1303" w:type="dxa"/>
            <w:tcBorders>
              <w:tl2br w:val="nil"/>
              <w:tr2bl w:val="nil"/>
            </w:tcBorders>
            <w:noWrap w:val="0"/>
            <w:vAlign w:val="center"/>
          </w:tcPr>
          <w:p w14:paraId="275550E7">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16</w:t>
            </w:r>
          </w:p>
        </w:tc>
        <w:tc>
          <w:tcPr>
            <w:tcW w:w="1305" w:type="dxa"/>
            <w:tcBorders>
              <w:tl2br w:val="nil"/>
              <w:tr2bl w:val="nil"/>
            </w:tcBorders>
            <w:noWrap w:val="0"/>
            <w:vAlign w:val="center"/>
          </w:tcPr>
          <w:p w14:paraId="1D2DE366">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993.4 </w:t>
            </w:r>
          </w:p>
        </w:tc>
      </w:tr>
      <w:tr w14:paraId="6AEAFF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1251" w:type="dxa"/>
            <w:tcBorders>
              <w:tl2br w:val="nil"/>
              <w:tr2bl w:val="nil"/>
            </w:tcBorders>
            <w:noWrap w:val="0"/>
            <w:vAlign w:val="center"/>
          </w:tcPr>
          <w:p w14:paraId="520389BA">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2025.08.22</w:t>
            </w:r>
          </w:p>
        </w:tc>
        <w:tc>
          <w:tcPr>
            <w:tcW w:w="1303" w:type="dxa"/>
            <w:tcBorders>
              <w:tl2br w:val="nil"/>
              <w:tr2bl w:val="nil"/>
            </w:tcBorders>
            <w:noWrap w:val="0"/>
            <w:vAlign w:val="center"/>
          </w:tcPr>
          <w:p w14:paraId="6F0A104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多云</w:t>
            </w:r>
          </w:p>
        </w:tc>
        <w:tc>
          <w:tcPr>
            <w:tcW w:w="1303" w:type="dxa"/>
            <w:tcBorders>
              <w:tl2br w:val="nil"/>
              <w:tr2bl w:val="nil"/>
            </w:tcBorders>
            <w:noWrap w:val="0"/>
            <w:vAlign w:val="center"/>
          </w:tcPr>
          <w:p w14:paraId="3FDC3CA2">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东风</w:t>
            </w:r>
          </w:p>
        </w:tc>
        <w:tc>
          <w:tcPr>
            <w:tcW w:w="1303" w:type="dxa"/>
            <w:tcBorders>
              <w:tl2br w:val="nil"/>
              <w:tr2bl w:val="nil"/>
            </w:tcBorders>
            <w:noWrap w:val="0"/>
            <w:vAlign w:val="center"/>
          </w:tcPr>
          <w:p w14:paraId="65C91B4E">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2.1</w:t>
            </w:r>
          </w:p>
        </w:tc>
        <w:tc>
          <w:tcPr>
            <w:tcW w:w="1303" w:type="dxa"/>
            <w:tcBorders>
              <w:tl2br w:val="nil"/>
              <w:tr2bl w:val="nil"/>
            </w:tcBorders>
            <w:noWrap w:val="0"/>
            <w:vAlign w:val="center"/>
          </w:tcPr>
          <w:p w14:paraId="1B0B662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19</w:t>
            </w:r>
          </w:p>
        </w:tc>
        <w:tc>
          <w:tcPr>
            <w:tcW w:w="1303" w:type="dxa"/>
            <w:tcBorders>
              <w:tl2br w:val="nil"/>
              <w:tr2bl w:val="nil"/>
            </w:tcBorders>
            <w:noWrap w:val="0"/>
            <w:vAlign w:val="center"/>
          </w:tcPr>
          <w:p w14:paraId="6025538A">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16</w:t>
            </w:r>
          </w:p>
        </w:tc>
        <w:tc>
          <w:tcPr>
            <w:tcW w:w="1305" w:type="dxa"/>
            <w:tcBorders>
              <w:tl2br w:val="nil"/>
              <w:tr2bl w:val="nil"/>
            </w:tcBorders>
            <w:noWrap w:val="0"/>
            <w:vAlign w:val="center"/>
          </w:tcPr>
          <w:p w14:paraId="13A0F47D">
            <w:pPr>
              <w:spacing w:line="240" w:lineRule="auto"/>
              <w:ind w:firstLine="0" w:firstLineChars="0"/>
              <w:jc w:val="center"/>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 xml:space="preserve">993.6 </w:t>
            </w:r>
          </w:p>
        </w:tc>
      </w:tr>
    </w:tbl>
    <w:p w14:paraId="27823BBF">
      <w:pPr>
        <w:ind w:firstLine="0" w:firstLineChars="0"/>
        <w:jc w:val="center"/>
        <w:rPr>
          <w:rFonts w:cs="Times New Roman"/>
          <w:color w:val="auto"/>
          <w:highlight w:val="none"/>
        </w:rPr>
      </w:pPr>
      <w:r>
        <w:rPr>
          <w:rFonts w:hint="eastAsia" w:eastAsia="宋体"/>
          <w:color w:val="auto"/>
          <w:highlight w:val="none"/>
          <w:lang w:eastAsia="zh-CN"/>
        </w:rPr>
        <w:drawing>
          <wp:anchor distT="0" distB="0" distL="114300" distR="114300" simplePos="0" relativeHeight="251719680" behindDoc="0" locked="0" layoutInCell="1" allowOverlap="1">
            <wp:simplePos x="0" y="0"/>
            <wp:positionH relativeFrom="column">
              <wp:posOffset>0</wp:posOffset>
            </wp:positionH>
            <wp:positionV relativeFrom="paragraph">
              <wp:posOffset>97155</wp:posOffset>
            </wp:positionV>
            <wp:extent cx="5252085" cy="2884805"/>
            <wp:effectExtent l="0" t="0" r="5715" b="10795"/>
            <wp:wrapNone/>
            <wp:docPr id="111" name="图片 2" descr="175634833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 descr="1756348338435"/>
                    <pic:cNvPicPr>
                      <a:picLocks noChangeAspect="1"/>
                    </pic:cNvPicPr>
                  </pic:nvPicPr>
                  <pic:blipFill>
                    <a:blip r:embed="rId39"/>
                    <a:stretch>
                      <a:fillRect/>
                    </a:stretch>
                  </pic:blipFill>
                  <pic:spPr>
                    <a:xfrm>
                      <a:off x="0" y="0"/>
                      <a:ext cx="5252085" cy="2884805"/>
                    </a:xfrm>
                    <a:prstGeom prst="rect">
                      <a:avLst/>
                    </a:prstGeom>
                    <a:noFill/>
                    <a:ln>
                      <a:noFill/>
                    </a:ln>
                  </pic:spPr>
                </pic:pic>
              </a:graphicData>
            </a:graphic>
          </wp:anchor>
        </w:drawing>
      </w:r>
    </w:p>
    <w:p w14:paraId="5750BB2B">
      <w:pPr>
        <w:ind w:firstLine="0" w:firstLineChars="0"/>
        <w:jc w:val="center"/>
        <w:rPr>
          <w:rFonts w:cs="Times New Roman"/>
          <w:color w:val="auto"/>
          <w:highlight w:val="none"/>
        </w:rPr>
      </w:pPr>
    </w:p>
    <w:p w14:paraId="14D8372E">
      <w:pPr>
        <w:ind w:firstLine="0" w:firstLineChars="0"/>
        <w:jc w:val="center"/>
        <w:rPr>
          <w:rFonts w:cs="Times New Roman"/>
          <w:color w:val="auto"/>
          <w:highlight w:val="none"/>
        </w:rPr>
      </w:pPr>
    </w:p>
    <w:p w14:paraId="768E3A6E">
      <w:pPr>
        <w:ind w:firstLine="0" w:firstLineChars="0"/>
        <w:jc w:val="center"/>
        <w:rPr>
          <w:rFonts w:cs="Times New Roman"/>
          <w:color w:val="auto"/>
          <w:highlight w:val="none"/>
        </w:rPr>
      </w:pPr>
    </w:p>
    <w:p w14:paraId="52F60083">
      <w:pPr>
        <w:ind w:firstLine="0" w:firstLineChars="0"/>
        <w:jc w:val="center"/>
        <w:rPr>
          <w:rFonts w:cs="Times New Roman"/>
          <w:color w:val="auto"/>
          <w:highlight w:val="none"/>
        </w:rPr>
      </w:pPr>
    </w:p>
    <w:p w14:paraId="40B70908">
      <w:pPr>
        <w:ind w:firstLine="0" w:firstLineChars="0"/>
        <w:jc w:val="center"/>
        <w:rPr>
          <w:rFonts w:cs="Times New Roman"/>
          <w:color w:val="auto"/>
          <w:highlight w:val="none"/>
        </w:rPr>
      </w:pPr>
    </w:p>
    <w:p w14:paraId="216AE1C1">
      <w:pPr>
        <w:ind w:firstLine="0" w:firstLineChars="0"/>
        <w:jc w:val="center"/>
        <w:rPr>
          <w:rFonts w:cs="Times New Roman"/>
          <w:color w:val="auto"/>
          <w:highlight w:val="none"/>
        </w:rPr>
      </w:pPr>
    </w:p>
    <w:p w14:paraId="677736BE">
      <w:pPr>
        <w:ind w:firstLine="0" w:firstLineChars="0"/>
        <w:jc w:val="center"/>
        <w:rPr>
          <w:rFonts w:cs="Times New Roman"/>
          <w:color w:val="auto"/>
          <w:highlight w:val="none"/>
        </w:rPr>
      </w:pPr>
    </w:p>
    <w:p w14:paraId="0C6C0F82">
      <w:pPr>
        <w:ind w:firstLine="0" w:firstLineChars="0"/>
        <w:jc w:val="center"/>
        <w:rPr>
          <w:rFonts w:cs="Times New Roman"/>
          <w:color w:val="auto"/>
          <w:highlight w:val="none"/>
        </w:rPr>
      </w:pPr>
    </w:p>
    <w:p w14:paraId="26AF03A3">
      <w:pPr>
        <w:spacing w:line="240" w:lineRule="auto"/>
        <w:ind w:firstLine="482"/>
        <w:jc w:val="center"/>
        <w:rPr>
          <w:rFonts w:cs="Times New Roman"/>
          <w:b/>
          <w:color w:val="auto"/>
          <w:szCs w:val="24"/>
          <w:highlight w:val="none"/>
        </w:rPr>
      </w:pPr>
    </w:p>
    <w:p w14:paraId="4D36E26A">
      <w:pPr>
        <w:spacing w:line="240" w:lineRule="auto"/>
        <w:ind w:firstLine="482"/>
        <w:jc w:val="center"/>
        <w:rPr>
          <w:rFonts w:cs="Times New Roman"/>
          <w:color w:val="auto"/>
          <w:szCs w:val="24"/>
          <w:highlight w:val="none"/>
        </w:rPr>
      </w:pPr>
      <w:r>
        <w:rPr>
          <w:rFonts w:cs="Times New Roman"/>
          <w:b/>
          <w:color w:val="auto"/>
          <w:szCs w:val="24"/>
          <w:highlight w:val="none"/>
        </w:rPr>
        <w:t>图4</w:t>
      </w:r>
      <w:r>
        <w:rPr>
          <w:rFonts w:hint="eastAsia" w:cs="Times New Roman"/>
          <w:b/>
          <w:color w:val="auto"/>
          <w:szCs w:val="24"/>
          <w:highlight w:val="none"/>
          <w:lang w:val="en-US" w:eastAsia="zh-CN"/>
        </w:rPr>
        <w:t>.</w:t>
      </w:r>
      <w:r>
        <w:rPr>
          <w:rFonts w:cs="Times New Roman"/>
          <w:b/>
          <w:color w:val="auto"/>
          <w:szCs w:val="24"/>
          <w:highlight w:val="none"/>
        </w:rPr>
        <w:t>2-1  环境空气和声环境监测布点图</w:t>
      </w:r>
    </w:p>
    <w:p w14:paraId="3CA5C483">
      <w:pPr>
        <w:keepNext w:val="0"/>
        <w:keepLines w:val="0"/>
        <w:pageBreakBefore w:val="0"/>
        <w:widowControl w:val="0"/>
        <w:kinsoku/>
        <w:wordWrap/>
        <w:overflowPunct/>
        <w:topLinePunct w:val="0"/>
        <w:autoSpaceDE/>
        <w:autoSpaceDN/>
        <w:bidi w:val="0"/>
        <w:spacing w:line="520" w:lineRule="atLeast"/>
        <w:ind w:firstLine="482"/>
        <w:textAlignment w:val="auto"/>
        <w:rPr>
          <w:rFonts w:cs="Times New Roman"/>
          <w:b/>
          <w:bCs/>
          <w:color w:val="auto"/>
          <w:szCs w:val="24"/>
          <w:highlight w:val="none"/>
        </w:rPr>
      </w:pPr>
      <w:r>
        <w:rPr>
          <w:rFonts w:cs="Times New Roman"/>
          <w:b/>
          <w:bCs/>
          <w:color w:val="auto"/>
          <w:szCs w:val="24"/>
          <w:highlight w:val="none"/>
        </w:rPr>
        <w:t>2、监测频次</w:t>
      </w:r>
    </w:p>
    <w:p w14:paraId="276A2FBD">
      <w:pPr>
        <w:keepNext w:val="0"/>
        <w:keepLines w:val="0"/>
        <w:pageBreakBefore w:val="0"/>
        <w:widowControl w:val="0"/>
        <w:kinsoku/>
        <w:wordWrap/>
        <w:overflowPunct/>
        <w:topLinePunct w:val="0"/>
        <w:autoSpaceDE/>
        <w:autoSpaceDN/>
        <w:bidi w:val="0"/>
        <w:spacing w:line="520" w:lineRule="atLeast"/>
        <w:textAlignment w:val="auto"/>
        <w:rPr>
          <w:rFonts w:cs="Times New Roman"/>
          <w:color w:val="auto"/>
          <w:highlight w:val="none"/>
        </w:rPr>
      </w:pPr>
      <w:r>
        <w:rPr>
          <w:rFonts w:cs="Times New Roman"/>
          <w:color w:val="auto"/>
          <w:highlight w:val="none"/>
        </w:rPr>
        <w:t>监测时间为202</w:t>
      </w:r>
      <w:r>
        <w:rPr>
          <w:rFonts w:hint="eastAsia" w:cs="Times New Roman"/>
          <w:color w:val="auto"/>
          <w:highlight w:val="none"/>
          <w:lang w:val="en-US" w:eastAsia="zh-CN"/>
        </w:rPr>
        <w:t>5</w:t>
      </w:r>
      <w:r>
        <w:rPr>
          <w:rFonts w:cs="Times New Roman"/>
          <w:color w:val="auto"/>
          <w:highlight w:val="none"/>
        </w:rPr>
        <w:t>年</w:t>
      </w:r>
      <w:r>
        <w:rPr>
          <w:rFonts w:hint="eastAsia" w:cs="Times New Roman"/>
          <w:color w:val="auto"/>
          <w:highlight w:val="none"/>
          <w:lang w:val="en-US" w:eastAsia="zh-CN"/>
        </w:rPr>
        <w:t>8</w:t>
      </w:r>
      <w:r>
        <w:rPr>
          <w:rFonts w:cs="Times New Roman"/>
          <w:color w:val="auto"/>
          <w:highlight w:val="none"/>
        </w:rPr>
        <w:t>月</w:t>
      </w:r>
      <w:r>
        <w:rPr>
          <w:rFonts w:hint="eastAsia" w:cs="Times New Roman"/>
          <w:color w:val="auto"/>
          <w:highlight w:val="none"/>
          <w:lang w:val="en-US" w:eastAsia="zh-CN"/>
        </w:rPr>
        <w:t>16</w:t>
      </w:r>
      <w:r>
        <w:rPr>
          <w:rFonts w:cs="Times New Roman"/>
          <w:color w:val="auto"/>
          <w:highlight w:val="none"/>
        </w:rPr>
        <w:t>日</w:t>
      </w:r>
      <w:r>
        <w:rPr>
          <w:rFonts w:hint="eastAsia" w:cs="Times New Roman"/>
          <w:color w:val="auto"/>
          <w:highlight w:val="none"/>
          <w:lang w:val="en-US" w:eastAsia="zh-CN"/>
        </w:rPr>
        <w:t>-8</w:t>
      </w:r>
      <w:r>
        <w:rPr>
          <w:rFonts w:cs="Times New Roman"/>
          <w:color w:val="auto"/>
          <w:highlight w:val="none"/>
        </w:rPr>
        <w:t>月</w:t>
      </w:r>
      <w:r>
        <w:rPr>
          <w:rFonts w:hint="eastAsia" w:cs="Times New Roman"/>
          <w:color w:val="auto"/>
          <w:highlight w:val="none"/>
          <w:lang w:val="en-US" w:eastAsia="zh-CN"/>
        </w:rPr>
        <w:t>22</w:t>
      </w:r>
      <w:r>
        <w:rPr>
          <w:rFonts w:cs="Times New Roman"/>
          <w:color w:val="auto"/>
          <w:highlight w:val="none"/>
        </w:rPr>
        <w:t>日，监测频次见表4</w:t>
      </w:r>
      <w:r>
        <w:rPr>
          <w:rFonts w:hint="eastAsia" w:cs="Times New Roman"/>
          <w:color w:val="auto"/>
          <w:highlight w:val="none"/>
          <w:lang w:val="en-US" w:eastAsia="zh-CN"/>
        </w:rPr>
        <w:t>.</w:t>
      </w:r>
      <w:r>
        <w:rPr>
          <w:rFonts w:cs="Times New Roman"/>
          <w:color w:val="auto"/>
          <w:highlight w:val="none"/>
        </w:rPr>
        <w:t>2-</w:t>
      </w:r>
      <w:r>
        <w:rPr>
          <w:rFonts w:hint="eastAsia" w:cs="Times New Roman"/>
          <w:color w:val="auto"/>
          <w:highlight w:val="none"/>
          <w:lang w:val="en-US" w:eastAsia="zh-CN"/>
        </w:rPr>
        <w:t>4</w:t>
      </w:r>
      <w:r>
        <w:rPr>
          <w:rFonts w:cs="Times New Roman"/>
          <w:color w:val="auto"/>
          <w:highlight w:val="none"/>
        </w:rPr>
        <w:t>。</w:t>
      </w:r>
    </w:p>
    <w:p w14:paraId="5891453E">
      <w:pPr>
        <w:keepNext w:val="0"/>
        <w:keepLines w:val="0"/>
        <w:pageBreakBefore w:val="0"/>
        <w:widowControl w:val="0"/>
        <w:kinsoku/>
        <w:wordWrap/>
        <w:overflowPunct/>
        <w:topLinePunct w:val="0"/>
        <w:autoSpaceDE/>
        <w:autoSpaceDN/>
        <w:bidi w:val="0"/>
        <w:adjustRightInd/>
        <w:snapToGrid/>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4</w:t>
      </w:r>
      <w:r>
        <w:rPr>
          <w:rFonts w:cs="Times New Roman"/>
          <w:b/>
          <w:color w:val="auto"/>
          <w:szCs w:val="24"/>
          <w:highlight w:val="none"/>
        </w:rPr>
        <w:t xml:space="preserve">  监测频次一览表</w:t>
      </w:r>
    </w:p>
    <w:tbl>
      <w:tblPr>
        <w:tblStyle w:val="47"/>
        <w:tblW w:w="839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2740"/>
        <w:gridCol w:w="4488"/>
      </w:tblGrid>
      <w:tr w14:paraId="4C2E62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3911" w:type="dxa"/>
            <w:gridSpan w:val="2"/>
            <w:shd w:val="clear" w:color="auto" w:fill="auto"/>
            <w:vAlign w:val="center"/>
          </w:tcPr>
          <w:p w14:paraId="266A826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监测项目</w:t>
            </w:r>
          </w:p>
        </w:tc>
        <w:tc>
          <w:tcPr>
            <w:tcW w:w="4488" w:type="dxa"/>
            <w:shd w:val="clear" w:color="auto" w:fill="auto"/>
            <w:vAlign w:val="center"/>
          </w:tcPr>
          <w:p w14:paraId="315305C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监测频次</w:t>
            </w:r>
          </w:p>
        </w:tc>
      </w:tr>
      <w:tr w14:paraId="7E990C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1171" w:type="dxa"/>
            <w:shd w:val="clear" w:color="auto" w:fill="auto"/>
            <w:vAlign w:val="center"/>
          </w:tcPr>
          <w:p w14:paraId="2999AC6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2740" w:type="dxa"/>
            <w:vMerge w:val="restart"/>
            <w:shd w:val="clear" w:color="auto" w:fill="auto"/>
            <w:vAlign w:val="center"/>
          </w:tcPr>
          <w:p w14:paraId="09A5C370">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1小时平均</w:t>
            </w:r>
          </w:p>
        </w:tc>
        <w:tc>
          <w:tcPr>
            <w:tcW w:w="4488" w:type="dxa"/>
            <w:vMerge w:val="restart"/>
            <w:shd w:val="clear" w:color="auto" w:fill="auto"/>
            <w:vAlign w:val="center"/>
          </w:tcPr>
          <w:p w14:paraId="1DE3C67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连续监测7天，每小时连续采样45min</w:t>
            </w:r>
          </w:p>
        </w:tc>
      </w:tr>
      <w:tr w14:paraId="0D1AE3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171" w:type="dxa"/>
            <w:shd w:val="clear" w:color="auto" w:fill="auto"/>
            <w:vAlign w:val="center"/>
          </w:tcPr>
          <w:p w14:paraId="752D442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2740" w:type="dxa"/>
            <w:vMerge w:val="continue"/>
            <w:shd w:val="clear" w:color="auto" w:fill="auto"/>
            <w:vAlign w:val="center"/>
          </w:tcPr>
          <w:p w14:paraId="3B49C383">
            <w:pPr>
              <w:spacing w:line="240" w:lineRule="auto"/>
              <w:ind w:firstLine="0" w:firstLineChars="0"/>
              <w:jc w:val="center"/>
              <w:rPr>
                <w:rFonts w:cs="Times New Roman"/>
                <w:color w:val="auto"/>
                <w:sz w:val="21"/>
                <w:szCs w:val="21"/>
                <w:highlight w:val="none"/>
              </w:rPr>
            </w:pPr>
          </w:p>
        </w:tc>
        <w:tc>
          <w:tcPr>
            <w:tcW w:w="4488" w:type="dxa"/>
            <w:vMerge w:val="continue"/>
            <w:shd w:val="clear" w:color="auto" w:fill="auto"/>
            <w:vAlign w:val="center"/>
          </w:tcPr>
          <w:p w14:paraId="4F954472">
            <w:pPr>
              <w:spacing w:line="240" w:lineRule="auto"/>
              <w:ind w:firstLine="0" w:firstLineChars="0"/>
              <w:jc w:val="center"/>
              <w:rPr>
                <w:rFonts w:cs="Times New Roman"/>
                <w:color w:val="auto"/>
                <w:sz w:val="21"/>
                <w:szCs w:val="21"/>
                <w:highlight w:val="none"/>
              </w:rPr>
            </w:pPr>
          </w:p>
        </w:tc>
      </w:tr>
      <w:tr w14:paraId="708267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171" w:type="dxa"/>
            <w:shd w:val="clear" w:color="auto" w:fill="auto"/>
            <w:vAlign w:val="center"/>
          </w:tcPr>
          <w:p w14:paraId="50C81499">
            <w:pPr>
              <w:spacing w:line="240" w:lineRule="auto"/>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臭气浓度</w:t>
            </w:r>
          </w:p>
        </w:tc>
        <w:tc>
          <w:tcPr>
            <w:tcW w:w="2740" w:type="dxa"/>
            <w:vMerge w:val="continue"/>
            <w:shd w:val="clear" w:color="auto" w:fill="auto"/>
            <w:vAlign w:val="center"/>
          </w:tcPr>
          <w:p w14:paraId="61D954C0">
            <w:pPr>
              <w:spacing w:line="240" w:lineRule="auto"/>
              <w:ind w:firstLine="0" w:firstLineChars="0"/>
              <w:jc w:val="center"/>
              <w:rPr>
                <w:rFonts w:cs="Times New Roman"/>
                <w:color w:val="auto"/>
                <w:sz w:val="21"/>
                <w:szCs w:val="21"/>
                <w:highlight w:val="none"/>
              </w:rPr>
            </w:pPr>
          </w:p>
        </w:tc>
        <w:tc>
          <w:tcPr>
            <w:tcW w:w="4488" w:type="dxa"/>
            <w:vMerge w:val="continue"/>
            <w:shd w:val="clear" w:color="auto" w:fill="auto"/>
            <w:vAlign w:val="center"/>
          </w:tcPr>
          <w:p w14:paraId="411D3D1D">
            <w:pPr>
              <w:spacing w:line="240" w:lineRule="auto"/>
              <w:ind w:firstLine="0" w:firstLineChars="0"/>
              <w:jc w:val="center"/>
              <w:rPr>
                <w:rFonts w:cs="Times New Roman"/>
                <w:color w:val="auto"/>
                <w:sz w:val="21"/>
                <w:szCs w:val="21"/>
                <w:highlight w:val="none"/>
              </w:rPr>
            </w:pPr>
          </w:p>
        </w:tc>
      </w:tr>
      <w:tr w14:paraId="2265E4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171" w:type="dxa"/>
            <w:shd w:val="clear" w:color="auto" w:fill="auto"/>
            <w:vAlign w:val="center"/>
          </w:tcPr>
          <w:p w14:paraId="4793E4FE">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TSP</w:t>
            </w:r>
          </w:p>
        </w:tc>
        <w:tc>
          <w:tcPr>
            <w:tcW w:w="2740" w:type="dxa"/>
            <w:shd w:val="clear" w:color="auto" w:fill="auto"/>
            <w:vAlign w:val="center"/>
          </w:tcPr>
          <w:p w14:paraId="2FBBC9B1">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24小时平均</w:t>
            </w:r>
          </w:p>
        </w:tc>
        <w:tc>
          <w:tcPr>
            <w:tcW w:w="4488" w:type="dxa"/>
            <w:shd w:val="clear" w:color="auto" w:fill="auto"/>
            <w:vAlign w:val="center"/>
          </w:tcPr>
          <w:p w14:paraId="2E6995E3">
            <w:pPr>
              <w:spacing w:line="240" w:lineRule="auto"/>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连续监测7天，</w:t>
            </w:r>
            <w:r>
              <w:rPr>
                <w:rFonts w:hint="eastAsia" w:cs="Times New Roman"/>
                <w:color w:val="auto"/>
                <w:sz w:val="21"/>
                <w:szCs w:val="21"/>
                <w:highlight w:val="none"/>
                <w:lang w:val="en-US" w:eastAsia="zh-CN"/>
              </w:rPr>
              <w:t>每日连续采样至少24h</w:t>
            </w:r>
          </w:p>
        </w:tc>
      </w:tr>
    </w:tbl>
    <w:p w14:paraId="7392A8C8">
      <w:pPr>
        <w:spacing w:before="163" w:beforeLines="50"/>
        <w:ind w:firstLine="482"/>
        <w:rPr>
          <w:rFonts w:cs="Times New Roman"/>
          <w:b/>
          <w:bCs/>
          <w:color w:val="auto"/>
          <w:szCs w:val="24"/>
          <w:highlight w:val="none"/>
        </w:rPr>
      </w:pPr>
      <w:r>
        <w:rPr>
          <w:rFonts w:cs="Times New Roman"/>
          <w:b/>
          <w:bCs/>
          <w:color w:val="auto"/>
          <w:szCs w:val="24"/>
          <w:highlight w:val="none"/>
        </w:rPr>
        <w:t>3、监测技术方法</w:t>
      </w:r>
    </w:p>
    <w:p w14:paraId="378C4428">
      <w:pPr>
        <w:rPr>
          <w:rFonts w:cs="Times New Roman"/>
          <w:color w:val="auto"/>
          <w:szCs w:val="24"/>
          <w:highlight w:val="none"/>
        </w:rPr>
      </w:pPr>
      <w:r>
        <w:rPr>
          <w:rFonts w:cs="Times New Roman"/>
          <w:color w:val="auto"/>
          <w:highlight w:val="none"/>
        </w:rPr>
        <w:t>按照《大气环境监测方法标准》、《环境空气质量标准》（GB3095-2012）及修改单等国家相关技术方法要求。</w:t>
      </w:r>
    </w:p>
    <w:p w14:paraId="0930E9DE">
      <w:pPr>
        <w:ind w:firstLine="482"/>
        <w:rPr>
          <w:rFonts w:cs="Times New Roman"/>
          <w:b/>
          <w:bCs/>
          <w:color w:val="auto"/>
          <w:highlight w:val="none"/>
        </w:rPr>
      </w:pPr>
      <w:r>
        <w:rPr>
          <w:rFonts w:cs="Times New Roman"/>
          <w:b/>
          <w:bCs/>
          <w:color w:val="auto"/>
          <w:highlight w:val="none"/>
        </w:rPr>
        <w:t>4、评价方法</w:t>
      </w:r>
    </w:p>
    <w:p w14:paraId="16E7E8E3">
      <w:pPr>
        <w:rPr>
          <w:color w:val="auto"/>
          <w:highlight w:val="none"/>
        </w:rPr>
      </w:pPr>
      <w:r>
        <w:rPr>
          <w:rFonts w:cs="Times New Roman"/>
          <w:color w:val="auto"/>
          <w:highlight w:val="none"/>
        </w:rPr>
        <w:t>根据《环境影响评价技术导则 大气环境》（HJ2.2-2018），监测结果统计分析要求以列表的方式给出各监测点大气污染物的不同取值时间的变化范围，计算并列表给出各取值时间最大浓度值占相应浓度标准浓度限值的百分比和超标率，并评价达标情况。</w:t>
      </w:r>
    </w:p>
    <w:p w14:paraId="498C3EDF">
      <w:pPr>
        <w:spacing w:line="240" w:lineRule="auto"/>
        <w:ind w:firstLine="0" w:firstLineChars="0"/>
        <w:jc w:val="center"/>
        <w:rPr>
          <w:rFonts w:cs="Times New Roman"/>
          <w:b/>
          <w:color w:val="auto"/>
          <w:szCs w:val="24"/>
          <w:highlight w:val="none"/>
        </w:rPr>
      </w:pPr>
      <w:r>
        <w:rPr>
          <w:rFonts w:cs="Times New Roman"/>
          <w:b/>
          <w:color w:val="auto"/>
          <w:szCs w:val="24"/>
          <w:highlight w:val="none"/>
        </w:rPr>
        <w:t>4</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5</w:t>
      </w:r>
      <w:r>
        <w:rPr>
          <w:rFonts w:cs="Times New Roman"/>
          <w:b/>
          <w:color w:val="auto"/>
          <w:szCs w:val="24"/>
          <w:highlight w:val="none"/>
        </w:rPr>
        <w:t xml:space="preserve">  监测数据统计结果  单位：mg/m</w:t>
      </w:r>
      <w:r>
        <w:rPr>
          <w:rFonts w:cs="Times New Roman"/>
          <w:b/>
          <w:color w:val="auto"/>
          <w:szCs w:val="24"/>
          <w:highlight w:val="none"/>
          <w:vertAlign w:val="superscript"/>
        </w:rPr>
        <w:t>3</w:t>
      </w:r>
    </w:p>
    <w:tbl>
      <w:tblPr>
        <w:tblStyle w:val="47"/>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5"/>
        <w:gridCol w:w="889"/>
        <w:gridCol w:w="818"/>
        <w:gridCol w:w="791"/>
        <w:gridCol w:w="845"/>
        <w:gridCol w:w="764"/>
        <w:gridCol w:w="1173"/>
        <w:gridCol w:w="723"/>
        <w:gridCol w:w="763"/>
        <w:gridCol w:w="668"/>
        <w:gridCol w:w="664"/>
      </w:tblGrid>
      <w:tr w14:paraId="12E1BD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249" w:type="pct"/>
            <w:vMerge w:val="restart"/>
            <w:shd w:val="clear" w:color="auto" w:fill="auto"/>
            <w:vAlign w:val="center"/>
          </w:tcPr>
          <w:p w14:paraId="080CCE6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监测点位</w:t>
            </w:r>
          </w:p>
        </w:tc>
        <w:tc>
          <w:tcPr>
            <w:tcW w:w="1001" w:type="pct"/>
            <w:gridSpan w:val="2"/>
            <w:shd w:val="clear" w:color="auto" w:fill="auto"/>
            <w:vAlign w:val="center"/>
          </w:tcPr>
          <w:p w14:paraId="23CF0A9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监测点坐标/°</w:t>
            </w:r>
          </w:p>
        </w:tc>
        <w:tc>
          <w:tcPr>
            <w:tcW w:w="464" w:type="pct"/>
            <w:vMerge w:val="restart"/>
            <w:shd w:val="clear" w:color="auto" w:fill="auto"/>
            <w:vAlign w:val="center"/>
          </w:tcPr>
          <w:p w14:paraId="4972BE1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495" w:type="pct"/>
            <w:vMerge w:val="restart"/>
            <w:shd w:val="clear" w:color="auto" w:fill="auto"/>
            <w:vAlign w:val="center"/>
          </w:tcPr>
          <w:p w14:paraId="328E445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评价指标</w:t>
            </w:r>
          </w:p>
        </w:tc>
        <w:tc>
          <w:tcPr>
            <w:tcW w:w="448" w:type="pct"/>
            <w:vMerge w:val="restart"/>
            <w:shd w:val="clear" w:color="auto" w:fill="auto"/>
            <w:vAlign w:val="center"/>
          </w:tcPr>
          <w:p w14:paraId="0043933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w:t>
            </w:r>
          </w:p>
          <w:p w14:paraId="443A620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标准</w:t>
            </w:r>
          </w:p>
        </w:tc>
        <w:tc>
          <w:tcPr>
            <w:tcW w:w="688" w:type="pct"/>
            <w:vMerge w:val="restart"/>
            <w:shd w:val="clear" w:color="auto" w:fill="auto"/>
            <w:vAlign w:val="center"/>
          </w:tcPr>
          <w:p w14:paraId="67C9BBB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现状浓度</w:t>
            </w:r>
          </w:p>
        </w:tc>
        <w:tc>
          <w:tcPr>
            <w:tcW w:w="424" w:type="pct"/>
            <w:vMerge w:val="restart"/>
            <w:shd w:val="clear" w:color="auto" w:fill="auto"/>
            <w:vAlign w:val="center"/>
          </w:tcPr>
          <w:p w14:paraId="0D08BE80">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平均值中的最大值</w:t>
            </w:r>
          </w:p>
        </w:tc>
        <w:tc>
          <w:tcPr>
            <w:tcW w:w="447" w:type="pct"/>
            <w:vMerge w:val="restart"/>
            <w:shd w:val="clear" w:color="auto" w:fill="auto"/>
            <w:vAlign w:val="center"/>
          </w:tcPr>
          <w:p w14:paraId="559D420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最大占标率%</w:t>
            </w:r>
          </w:p>
        </w:tc>
        <w:tc>
          <w:tcPr>
            <w:tcW w:w="391" w:type="pct"/>
            <w:vMerge w:val="restart"/>
            <w:shd w:val="clear" w:color="auto" w:fill="auto"/>
            <w:vAlign w:val="center"/>
          </w:tcPr>
          <w:p w14:paraId="5833ECC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超标频率%</w:t>
            </w:r>
          </w:p>
        </w:tc>
        <w:tc>
          <w:tcPr>
            <w:tcW w:w="389" w:type="pct"/>
            <w:vMerge w:val="restart"/>
            <w:shd w:val="clear" w:color="auto" w:fill="auto"/>
            <w:vAlign w:val="center"/>
          </w:tcPr>
          <w:p w14:paraId="5CCD17E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达标情况</w:t>
            </w:r>
          </w:p>
        </w:tc>
      </w:tr>
      <w:tr w14:paraId="119488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6" w:hRule="atLeast"/>
        </w:trPr>
        <w:tc>
          <w:tcPr>
            <w:tcW w:w="249" w:type="pct"/>
            <w:vMerge w:val="continue"/>
            <w:shd w:val="clear" w:color="auto" w:fill="auto"/>
            <w:vAlign w:val="center"/>
          </w:tcPr>
          <w:p w14:paraId="159C9644">
            <w:pPr>
              <w:spacing w:line="360" w:lineRule="exact"/>
              <w:ind w:firstLine="0" w:firstLineChars="0"/>
              <w:jc w:val="center"/>
              <w:rPr>
                <w:rFonts w:cs="Times New Roman"/>
                <w:color w:val="auto"/>
                <w:sz w:val="21"/>
                <w:szCs w:val="21"/>
                <w:highlight w:val="none"/>
              </w:rPr>
            </w:pPr>
          </w:p>
        </w:tc>
        <w:tc>
          <w:tcPr>
            <w:tcW w:w="521" w:type="pct"/>
            <w:shd w:val="clear" w:color="auto" w:fill="auto"/>
            <w:vAlign w:val="center"/>
          </w:tcPr>
          <w:p w14:paraId="43175F3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经度</w:t>
            </w:r>
          </w:p>
        </w:tc>
        <w:tc>
          <w:tcPr>
            <w:tcW w:w="479" w:type="pct"/>
            <w:shd w:val="clear" w:color="auto" w:fill="auto"/>
            <w:vAlign w:val="center"/>
          </w:tcPr>
          <w:p w14:paraId="21DF3EE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纬度</w:t>
            </w:r>
          </w:p>
        </w:tc>
        <w:tc>
          <w:tcPr>
            <w:tcW w:w="464" w:type="pct"/>
            <w:vMerge w:val="continue"/>
            <w:shd w:val="clear" w:color="auto" w:fill="auto"/>
            <w:vAlign w:val="center"/>
          </w:tcPr>
          <w:p w14:paraId="2A7D4512">
            <w:pPr>
              <w:spacing w:line="360" w:lineRule="exact"/>
              <w:ind w:firstLine="0" w:firstLineChars="0"/>
              <w:jc w:val="center"/>
              <w:rPr>
                <w:rFonts w:cs="Times New Roman"/>
                <w:color w:val="auto"/>
                <w:sz w:val="21"/>
                <w:szCs w:val="21"/>
                <w:highlight w:val="none"/>
              </w:rPr>
            </w:pPr>
          </w:p>
        </w:tc>
        <w:tc>
          <w:tcPr>
            <w:tcW w:w="495" w:type="pct"/>
            <w:vMerge w:val="continue"/>
            <w:shd w:val="clear" w:color="auto" w:fill="auto"/>
            <w:vAlign w:val="center"/>
          </w:tcPr>
          <w:p w14:paraId="7C07662E">
            <w:pPr>
              <w:spacing w:line="360" w:lineRule="exact"/>
              <w:ind w:firstLine="0" w:firstLineChars="0"/>
              <w:jc w:val="center"/>
              <w:rPr>
                <w:rFonts w:cs="Times New Roman"/>
                <w:color w:val="auto"/>
                <w:sz w:val="21"/>
                <w:szCs w:val="21"/>
                <w:highlight w:val="none"/>
              </w:rPr>
            </w:pPr>
          </w:p>
        </w:tc>
        <w:tc>
          <w:tcPr>
            <w:tcW w:w="448" w:type="pct"/>
            <w:vMerge w:val="continue"/>
            <w:shd w:val="clear" w:color="auto" w:fill="auto"/>
            <w:vAlign w:val="center"/>
          </w:tcPr>
          <w:p w14:paraId="1390008E">
            <w:pPr>
              <w:spacing w:line="360" w:lineRule="exact"/>
              <w:ind w:firstLine="0" w:firstLineChars="0"/>
              <w:jc w:val="center"/>
              <w:rPr>
                <w:rFonts w:cs="Times New Roman"/>
                <w:color w:val="auto"/>
                <w:sz w:val="21"/>
                <w:szCs w:val="21"/>
                <w:highlight w:val="none"/>
              </w:rPr>
            </w:pPr>
          </w:p>
        </w:tc>
        <w:tc>
          <w:tcPr>
            <w:tcW w:w="688" w:type="pct"/>
            <w:vMerge w:val="continue"/>
            <w:shd w:val="clear" w:color="auto" w:fill="auto"/>
            <w:vAlign w:val="center"/>
          </w:tcPr>
          <w:p w14:paraId="383318EA">
            <w:pPr>
              <w:spacing w:line="360" w:lineRule="exact"/>
              <w:ind w:firstLine="0" w:firstLineChars="0"/>
              <w:jc w:val="center"/>
              <w:rPr>
                <w:rFonts w:cs="Times New Roman"/>
                <w:color w:val="auto"/>
                <w:sz w:val="21"/>
                <w:szCs w:val="21"/>
                <w:highlight w:val="none"/>
              </w:rPr>
            </w:pPr>
          </w:p>
        </w:tc>
        <w:tc>
          <w:tcPr>
            <w:tcW w:w="424" w:type="pct"/>
            <w:vMerge w:val="continue"/>
            <w:shd w:val="clear" w:color="auto" w:fill="auto"/>
            <w:vAlign w:val="center"/>
          </w:tcPr>
          <w:p w14:paraId="37C97DBC">
            <w:pPr>
              <w:spacing w:line="360" w:lineRule="exact"/>
              <w:ind w:firstLine="0" w:firstLineChars="0"/>
              <w:jc w:val="center"/>
              <w:rPr>
                <w:rFonts w:cs="Times New Roman"/>
                <w:color w:val="auto"/>
                <w:sz w:val="21"/>
                <w:szCs w:val="21"/>
                <w:highlight w:val="none"/>
              </w:rPr>
            </w:pPr>
          </w:p>
        </w:tc>
        <w:tc>
          <w:tcPr>
            <w:tcW w:w="447" w:type="pct"/>
            <w:vMerge w:val="continue"/>
            <w:shd w:val="clear" w:color="auto" w:fill="auto"/>
            <w:vAlign w:val="center"/>
          </w:tcPr>
          <w:p w14:paraId="5BF38071">
            <w:pPr>
              <w:spacing w:line="360" w:lineRule="exact"/>
              <w:ind w:firstLine="0" w:firstLineChars="0"/>
              <w:jc w:val="center"/>
              <w:rPr>
                <w:rFonts w:cs="Times New Roman"/>
                <w:color w:val="auto"/>
                <w:sz w:val="21"/>
                <w:szCs w:val="21"/>
                <w:highlight w:val="none"/>
              </w:rPr>
            </w:pPr>
          </w:p>
        </w:tc>
        <w:tc>
          <w:tcPr>
            <w:tcW w:w="391" w:type="pct"/>
            <w:vMerge w:val="continue"/>
            <w:shd w:val="clear" w:color="auto" w:fill="auto"/>
            <w:vAlign w:val="center"/>
          </w:tcPr>
          <w:p w14:paraId="2A319E11">
            <w:pPr>
              <w:spacing w:line="360" w:lineRule="exact"/>
              <w:ind w:firstLine="0" w:firstLineChars="0"/>
              <w:jc w:val="center"/>
              <w:rPr>
                <w:rFonts w:cs="Times New Roman"/>
                <w:color w:val="auto"/>
                <w:sz w:val="21"/>
                <w:szCs w:val="21"/>
                <w:highlight w:val="none"/>
              </w:rPr>
            </w:pPr>
          </w:p>
        </w:tc>
        <w:tc>
          <w:tcPr>
            <w:tcW w:w="389" w:type="pct"/>
            <w:vMerge w:val="continue"/>
            <w:shd w:val="clear" w:color="auto" w:fill="auto"/>
            <w:vAlign w:val="center"/>
          </w:tcPr>
          <w:p w14:paraId="7DA41B18">
            <w:pPr>
              <w:spacing w:line="360" w:lineRule="exact"/>
              <w:ind w:firstLine="0" w:firstLineChars="0"/>
              <w:jc w:val="center"/>
              <w:rPr>
                <w:rFonts w:cs="Times New Roman"/>
                <w:color w:val="auto"/>
                <w:sz w:val="21"/>
                <w:szCs w:val="21"/>
                <w:highlight w:val="none"/>
              </w:rPr>
            </w:pPr>
          </w:p>
        </w:tc>
      </w:tr>
      <w:tr w14:paraId="7B032F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249" w:type="pct"/>
            <w:vMerge w:val="restart"/>
            <w:shd w:val="clear" w:color="auto" w:fill="auto"/>
            <w:vAlign w:val="center"/>
          </w:tcPr>
          <w:p w14:paraId="67E4A70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521" w:type="pct"/>
            <w:vMerge w:val="restart"/>
            <w:shd w:val="clear" w:color="auto" w:fill="auto"/>
            <w:vAlign w:val="center"/>
          </w:tcPr>
          <w:p w14:paraId="1DDE5C00">
            <w:pPr>
              <w:spacing w:line="360" w:lineRule="exact"/>
              <w:ind w:firstLine="0" w:firstLineChars="0"/>
              <w:jc w:val="center"/>
              <w:textAlignment w:val="baseline"/>
              <w:rPr>
                <w:rFonts w:cs="Times New Roman"/>
                <w:color w:val="auto"/>
                <w:sz w:val="21"/>
                <w:szCs w:val="21"/>
                <w:highlight w:val="none"/>
              </w:rPr>
            </w:pPr>
            <w:r>
              <w:rPr>
                <w:rFonts w:hint="eastAsia" w:cs="Times New Roman"/>
                <w:color w:val="auto"/>
                <w:kern w:val="0"/>
                <w:sz w:val="21"/>
                <w:szCs w:val="21"/>
                <w:highlight w:val="none"/>
              </w:rPr>
              <w:t>131.149018</w:t>
            </w:r>
          </w:p>
        </w:tc>
        <w:tc>
          <w:tcPr>
            <w:tcW w:w="479" w:type="pct"/>
            <w:vMerge w:val="restart"/>
            <w:shd w:val="clear" w:color="auto" w:fill="auto"/>
            <w:vAlign w:val="center"/>
          </w:tcPr>
          <w:p w14:paraId="0E716355">
            <w:pPr>
              <w:spacing w:line="360" w:lineRule="exact"/>
              <w:ind w:firstLine="0" w:firstLineChars="0"/>
              <w:jc w:val="center"/>
              <w:textAlignment w:val="baseline"/>
              <w:rPr>
                <w:rFonts w:cs="Times New Roman"/>
                <w:color w:val="auto"/>
                <w:sz w:val="21"/>
                <w:szCs w:val="21"/>
                <w:highlight w:val="none"/>
              </w:rPr>
            </w:pPr>
            <w:r>
              <w:rPr>
                <w:rFonts w:hint="eastAsia" w:cs="Times New Roman"/>
                <w:color w:val="auto"/>
                <w:kern w:val="0"/>
                <w:sz w:val="21"/>
                <w:szCs w:val="21"/>
                <w:highlight w:val="none"/>
              </w:rPr>
              <w:t>46.557431</w:t>
            </w:r>
          </w:p>
        </w:tc>
        <w:tc>
          <w:tcPr>
            <w:tcW w:w="464" w:type="pct"/>
            <w:shd w:val="clear" w:color="auto" w:fill="auto"/>
            <w:vAlign w:val="center"/>
          </w:tcPr>
          <w:p w14:paraId="244DC2A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495" w:type="pct"/>
            <w:vMerge w:val="restart"/>
            <w:shd w:val="clear" w:color="auto" w:fill="auto"/>
            <w:vAlign w:val="center"/>
          </w:tcPr>
          <w:p w14:paraId="7CF6FC1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r>
              <w:rPr>
                <w:rFonts w:hint="eastAsia" w:cs="Times New Roman"/>
                <w:color w:val="auto"/>
                <w:sz w:val="21"/>
                <w:szCs w:val="21"/>
                <w:highlight w:val="none"/>
                <w:lang w:val="en-US" w:eastAsia="zh-CN"/>
              </w:rPr>
              <w:t>h</w:t>
            </w:r>
            <w:r>
              <w:rPr>
                <w:rFonts w:cs="Times New Roman"/>
                <w:color w:val="auto"/>
                <w:sz w:val="21"/>
                <w:szCs w:val="21"/>
                <w:highlight w:val="none"/>
              </w:rPr>
              <w:t>平均</w:t>
            </w:r>
          </w:p>
        </w:tc>
        <w:tc>
          <w:tcPr>
            <w:tcW w:w="448" w:type="pct"/>
            <w:shd w:val="clear" w:color="auto" w:fill="auto"/>
            <w:vAlign w:val="center"/>
          </w:tcPr>
          <w:p w14:paraId="153953A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0.2</w:t>
            </w:r>
          </w:p>
        </w:tc>
        <w:tc>
          <w:tcPr>
            <w:tcW w:w="688" w:type="pct"/>
            <w:shd w:val="clear" w:color="auto" w:fill="auto"/>
            <w:vAlign w:val="center"/>
          </w:tcPr>
          <w:p w14:paraId="00BEA70F">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0.</w:t>
            </w:r>
            <w:r>
              <w:rPr>
                <w:rFonts w:hint="eastAsia" w:cs="Times New Roman"/>
                <w:color w:val="auto"/>
                <w:sz w:val="21"/>
                <w:szCs w:val="21"/>
                <w:highlight w:val="none"/>
                <w:lang w:val="en-US" w:eastAsia="zh-CN"/>
              </w:rPr>
              <w:t>02</w:t>
            </w:r>
            <w:r>
              <w:rPr>
                <w:rFonts w:cs="Times New Roman"/>
                <w:color w:val="auto"/>
                <w:sz w:val="21"/>
                <w:szCs w:val="21"/>
                <w:highlight w:val="none"/>
              </w:rPr>
              <w:t>-0.0</w:t>
            </w:r>
            <w:r>
              <w:rPr>
                <w:rFonts w:hint="eastAsia" w:cs="Times New Roman"/>
                <w:color w:val="auto"/>
                <w:sz w:val="21"/>
                <w:szCs w:val="21"/>
                <w:highlight w:val="none"/>
                <w:lang w:val="en-US" w:eastAsia="zh-CN"/>
              </w:rPr>
              <w:t>6</w:t>
            </w:r>
          </w:p>
        </w:tc>
        <w:tc>
          <w:tcPr>
            <w:tcW w:w="424" w:type="pct"/>
            <w:shd w:val="clear" w:color="auto" w:fill="auto"/>
            <w:vAlign w:val="center"/>
          </w:tcPr>
          <w:p w14:paraId="39A957CA">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447" w:type="pct"/>
            <w:shd w:val="clear" w:color="auto" w:fill="auto"/>
            <w:vAlign w:val="center"/>
          </w:tcPr>
          <w:p w14:paraId="13505040">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91" w:type="pct"/>
            <w:shd w:val="clear" w:color="auto" w:fill="auto"/>
            <w:vAlign w:val="center"/>
          </w:tcPr>
          <w:p w14:paraId="1B2A17F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389" w:type="pct"/>
            <w:shd w:val="clear" w:color="auto" w:fill="auto"/>
            <w:vAlign w:val="center"/>
          </w:tcPr>
          <w:p w14:paraId="2DCC4A1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p>
        </w:tc>
      </w:tr>
      <w:tr w14:paraId="357033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249" w:type="pct"/>
            <w:vMerge w:val="continue"/>
            <w:shd w:val="clear" w:color="auto" w:fill="auto"/>
            <w:vAlign w:val="center"/>
          </w:tcPr>
          <w:p w14:paraId="17256723">
            <w:pPr>
              <w:spacing w:line="360" w:lineRule="exact"/>
              <w:ind w:firstLine="0" w:firstLineChars="0"/>
              <w:jc w:val="center"/>
              <w:rPr>
                <w:rFonts w:cs="Times New Roman"/>
                <w:color w:val="auto"/>
                <w:sz w:val="21"/>
                <w:szCs w:val="21"/>
                <w:highlight w:val="none"/>
              </w:rPr>
            </w:pPr>
          </w:p>
        </w:tc>
        <w:tc>
          <w:tcPr>
            <w:tcW w:w="521" w:type="pct"/>
            <w:vMerge w:val="continue"/>
            <w:shd w:val="clear" w:color="auto" w:fill="auto"/>
            <w:vAlign w:val="center"/>
          </w:tcPr>
          <w:p w14:paraId="2BAFB8A9">
            <w:pPr>
              <w:spacing w:line="360" w:lineRule="exact"/>
              <w:ind w:firstLine="0" w:firstLineChars="0"/>
              <w:jc w:val="center"/>
              <w:textAlignment w:val="baseline"/>
              <w:rPr>
                <w:rFonts w:cs="Times New Roman"/>
                <w:color w:val="auto"/>
                <w:kern w:val="0"/>
                <w:sz w:val="21"/>
                <w:szCs w:val="21"/>
                <w:highlight w:val="none"/>
              </w:rPr>
            </w:pPr>
          </w:p>
        </w:tc>
        <w:tc>
          <w:tcPr>
            <w:tcW w:w="479" w:type="pct"/>
            <w:vMerge w:val="continue"/>
            <w:shd w:val="clear" w:color="auto" w:fill="auto"/>
            <w:vAlign w:val="center"/>
          </w:tcPr>
          <w:p w14:paraId="5EB40783">
            <w:pPr>
              <w:spacing w:line="360" w:lineRule="exact"/>
              <w:ind w:firstLine="0" w:firstLineChars="0"/>
              <w:jc w:val="center"/>
              <w:textAlignment w:val="baseline"/>
              <w:rPr>
                <w:rFonts w:cs="Times New Roman"/>
                <w:color w:val="auto"/>
                <w:kern w:val="0"/>
                <w:sz w:val="21"/>
                <w:szCs w:val="21"/>
                <w:highlight w:val="none"/>
              </w:rPr>
            </w:pPr>
          </w:p>
        </w:tc>
        <w:tc>
          <w:tcPr>
            <w:tcW w:w="464" w:type="pct"/>
            <w:shd w:val="clear" w:color="auto" w:fill="auto"/>
            <w:vAlign w:val="center"/>
          </w:tcPr>
          <w:p w14:paraId="3727005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495" w:type="pct"/>
            <w:vMerge w:val="continue"/>
            <w:shd w:val="clear" w:color="auto" w:fill="auto"/>
            <w:vAlign w:val="center"/>
          </w:tcPr>
          <w:p w14:paraId="1D4BC1E5">
            <w:pPr>
              <w:spacing w:line="360" w:lineRule="exact"/>
              <w:ind w:firstLine="0" w:firstLineChars="0"/>
              <w:jc w:val="center"/>
              <w:rPr>
                <w:rFonts w:cs="Times New Roman"/>
                <w:color w:val="auto"/>
                <w:sz w:val="21"/>
                <w:szCs w:val="21"/>
                <w:highlight w:val="none"/>
              </w:rPr>
            </w:pPr>
          </w:p>
        </w:tc>
        <w:tc>
          <w:tcPr>
            <w:tcW w:w="448" w:type="pct"/>
            <w:shd w:val="clear" w:color="auto" w:fill="auto"/>
            <w:vAlign w:val="center"/>
          </w:tcPr>
          <w:p w14:paraId="7F40ED0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0.01</w:t>
            </w:r>
          </w:p>
        </w:tc>
        <w:tc>
          <w:tcPr>
            <w:tcW w:w="688" w:type="pct"/>
            <w:shd w:val="clear" w:color="auto" w:fill="auto"/>
            <w:vAlign w:val="center"/>
          </w:tcPr>
          <w:p w14:paraId="43DAF977">
            <w:pPr>
              <w:spacing w:line="360" w:lineRule="exact"/>
              <w:ind w:firstLine="0" w:firstLineChars="0"/>
              <w:jc w:val="center"/>
              <w:rPr>
                <w:rFonts w:cs="Times New Roman"/>
                <w:color w:val="auto"/>
                <w:sz w:val="21"/>
                <w:szCs w:val="21"/>
                <w:highlight w:val="none"/>
              </w:rPr>
            </w:pPr>
            <w:r>
              <w:rPr>
                <w:rFonts w:cs="Times New Roman"/>
                <w:color w:val="auto"/>
                <w:spacing w:val="-11"/>
                <w:sz w:val="21"/>
                <w:szCs w:val="21"/>
                <w:highlight w:val="none"/>
              </w:rPr>
              <w:t>ND</w:t>
            </w:r>
          </w:p>
        </w:tc>
        <w:tc>
          <w:tcPr>
            <w:tcW w:w="424" w:type="pct"/>
            <w:shd w:val="clear" w:color="auto" w:fill="auto"/>
            <w:vAlign w:val="center"/>
          </w:tcPr>
          <w:p w14:paraId="79FE04BC">
            <w:pPr>
              <w:spacing w:line="360" w:lineRule="exact"/>
              <w:ind w:firstLine="0" w:firstLineChars="0"/>
              <w:jc w:val="center"/>
              <w:rPr>
                <w:rFonts w:hint="default" w:eastAsia="宋体"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114BA94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391" w:type="pct"/>
            <w:shd w:val="clear" w:color="auto" w:fill="auto"/>
            <w:vAlign w:val="center"/>
          </w:tcPr>
          <w:p w14:paraId="33FFF6F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389" w:type="pct"/>
            <w:shd w:val="clear" w:color="auto" w:fill="auto"/>
            <w:vAlign w:val="center"/>
          </w:tcPr>
          <w:p w14:paraId="482F1FA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p>
        </w:tc>
      </w:tr>
      <w:tr w14:paraId="2683F0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2" w:hRule="atLeast"/>
        </w:trPr>
        <w:tc>
          <w:tcPr>
            <w:tcW w:w="249" w:type="pct"/>
            <w:vMerge w:val="continue"/>
            <w:shd w:val="clear" w:color="auto" w:fill="auto"/>
            <w:vAlign w:val="center"/>
          </w:tcPr>
          <w:p w14:paraId="0D957F17">
            <w:pPr>
              <w:spacing w:line="360" w:lineRule="exact"/>
              <w:ind w:firstLine="0" w:firstLineChars="0"/>
              <w:jc w:val="center"/>
              <w:rPr>
                <w:rFonts w:cs="Times New Roman"/>
                <w:color w:val="auto"/>
                <w:sz w:val="21"/>
                <w:szCs w:val="21"/>
                <w:highlight w:val="none"/>
              </w:rPr>
            </w:pPr>
          </w:p>
        </w:tc>
        <w:tc>
          <w:tcPr>
            <w:tcW w:w="521" w:type="pct"/>
            <w:vMerge w:val="continue"/>
            <w:shd w:val="clear" w:color="auto" w:fill="auto"/>
            <w:vAlign w:val="center"/>
          </w:tcPr>
          <w:p w14:paraId="0FC02242">
            <w:pPr>
              <w:spacing w:line="360" w:lineRule="exact"/>
              <w:ind w:firstLine="0" w:firstLineChars="0"/>
              <w:jc w:val="center"/>
              <w:rPr>
                <w:rFonts w:cs="Times New Roman"/>
                <w:color w:val="auto"/>
                <w:sz w:val="21"/>
                <w:szCs w:val="21"/>
                <w:highlight w:val="none"/>
              </w:rPr>
            </w:pPr>
          </w:p>
        </w:tc>
        <w:tc>
          <w:tcPr>
            <w:tcW w:w="479" w:type="pct"/>
            <w:vMerge w:val="continue"/>
            <w:shd w:val="clear" w:color="auto" w:fill="auto"/>
            <w:vAlign w:val="center"/>
          </w:tcPr>
          <w:p w14:paraId="74634BCA">
            <w:pPr>
              <w:spacing w:line="360" w:lineRule="exact"/>
              <w:ind w:firstLine="0" w:firstLineChars="0"/>
              <w:jc w:val="center"/>
              <w:rPr>
                <w:rFonts w:cs="Times New Roman"/>
                <w:color w:val="auto"/>
                <w:sz w:val="21"/>
                <w:szCs w:val="21"/>
                <w:highlight w:val="none"/>
              </w:rPr>
            </w:pPr>
          </w:p>
        </w:tc>
        <w:tc>
          <w:tcPr>
            <w:tcW w:w="464" w:type="pct"/>
            <w:shd w:val="clear" w:color="auto" w:fill="auto"/>
            <w:vAlign w:val="center"/>
          </w:tcPr>
          <w:p w14:paraId="222F82DD">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臭气浓度</w:t>
            </w:r>
          </w:p>
        </w:tc>
        <w:tc>
          <w:tcPr>
            <w:tcW w:w="495" w:type="pct"/>
            <w:vMerge w:val="continue"/>
            <w:shd w:val="clear" w:color="auto" w:fill="auto"/>
            <w:vAlign w:val="center"/>
          </w:tcPr>
          <w:p w14:paraId="47EE93B0">
            <w:pPr>
              <w:spacing w:line="240" w:lineRule="auto"/>
              <w:ind w:firstLine="0" w:firstLineChars="0"/>
              <w:jc w:val="center"/>
              <w:rPr>
                <w:rFonts w:cs="Times New Roman"/>
                <w:color w:val="auto"/>
                <w:sz w:val="21"/>
                <w:szCs w:val="21"/>
                <w:highlight w:val="none"/>
              </w:rPr>
            </w:pPr>
          </w:p>
        </w:tc>
        <w:tc>
          <w:tcPr>
            <w:tcW w:w="448" w:type="pct"/>
            <w:shd w:val="clear" w:color="auto" w:fill="auto"/>
            <w:vAlign w:val="center"/>
          </w:tcPr>
          <w:p w14:paraId="36C7D8F7">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688" w:type="pct"/>
            <w:shd w:val="clear" w:color="auto" w:fill="auto"/>
            <w:vAlign w:val="center"/>
          </w:tcPr>
          <w:p w14:paraId="6DDB0D6A">
            <w:pPr>
              <w:spacing w:line="360" w:lineRule="exact"/>
              <w:ind w:firstLine="0" w:firstLineChars="0"/>
              <w:jc w:val="center"/>
              <w:rPr>
                <w:rFonts w:hint="default" w:eastAsia="宋体" w:cs="Times New Roman"/>
                <w:color w:val="auto"/>
                <w:sz w:val="21"/>
                <w:szCs w:val="21"/>
                <w:highlight w:val="none"/>
                <w:lang w:val="en-US" w:eastAsia="zh-CN"/>
              </w:rPr>
            </w:pPr>
            <w:r>
              <w:rPr>
                <w:rFonts w:hint="eastAsia" w:ascii="宋体" w:hAnsi="宋体" w:eastAsia="宋体" w:cs="宋体"/>
                <w:color w:val="auto"/>
                <w:spacing w:val="-11"/>
                <w:sz w:val="21"/>
                <w:szCs w:val="21"/>
                <w:highlight w:val="none"/>
                <w:lang w:val="en-US" w:eastAsia="zh-CN"/>
              </w:rPr>
              <w:t>＜</w:t>
            </w:r>
            <w:r>
              <w:rPr>
                <w:rFonts w:hint="default" w:ascii="Times New Roman" w:hAnsi="Times New Roman" w:cs="Times New Roman"/>
                <w:color w:val="auto"/>
                <w:spacing w:val="-11"/>
                <w:sz w:val="21"/>
                <w:szCs w:val="21"/>
                <w:highlight w:val="none"/>
                <w:lang w:val="en-US" w:eastAsia="zh-CN"/>
              </w:rPr>
              <w:t>10</w:t>
            </w:r>
          </w:p>
        </w:tc>
        <w:tc>
          <w:tcPr>
            <w:tcW w:w="424" w:type="pct"/>
            <w:shd w:val="clear" w:color="auto" w:fill="auto"/>
            <w:vAlign w:val="center"/>
          </w:tcPr>
          <w:p w14:paraId="4FA79EAC">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74C547A2">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91" w:type="pct"/>
            <w:shd w:val="clear" w:color="auto" w:fill="auto"/>
            <w:vAlign w:val="center"/>
          </w:tcPr>
          <w:p w14:paraId="0173F1D6">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w:t>
            </w:r>
          </w:p>
        </w:tc>
        <w:tc>
          <w:tcPr>
            <w:tcW w:w="389" w:type="pct"/>
            <w:shd w:val="clear" w:color="auto" w:fill="auto"/>
            <w:vAlign w:val="center"/>
          </w:tcPr>
          <w:p w14:paraId="17C08B99">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w:t>
            </w:r>
          </w:p>
        </w:tc>
      </w:tr>
      <w:tr w14:paraId="512444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2" w:hRule="atLeast"/>
        </w:trPr>
        <w:tc>
          <w:tcPr>
            <w:tcW w:w="249" w:type="pct"/>
            <w:vMerge w:val="continue"/>
            <w:shd w:val="clear" w:color="auto" w:fill="auto"/>
            <w:vAlign w:val="center"/>
          </w:tcPr>
          <w:p w14:paraId="32CD84AE">
            <w:pPr>
              <w:spacing w:line="360" w:lineRule="exact"/>
              <w:ind w:firstLine="0" w:firstLineChars="0"/>
              <w:jc w:val="center"/>
              <w:rPr>
                <w:rFonts w:cs="Times New Roman"/>
                <w:color w:val="auto"/>
                <w:sz w:val="21"/>
                <w:szCs w:val="21"/>
                <w:highlight w:val="none"/>
              </w:rPr>
            </w:pPr>
          </w:p>
        </w:tc>
        <w:tc>
          <w:tcPr>
            <w:tcW w:w="521" w:type="pct"/>
            <w:vMerge w:val="continue"/>
            <w:shd w:val="clear" w:color="auto" w:fill="auto"/>
            <w:vAlign w:val="center"/>
          </w:tcPr>
          <w:p w14:paraId="49055552">
            <w:pPr>
              <w:spacing w:line="360" w:lineRule="exact"/>
              <w:ind w:firstLine="0" w:firstLineChars="0"/>
              <w:jc w:val="center"/>
              <w:rPr>
                <w:rFonts w:cs="Times New Roman"/>
                <w:color w:val="auto"/>
                <w:sz w:val="21"/>
                <w:szCs w:val="21"/>
                <w:highlight w:val="none"/>
              </w:rPr>
            </w:pPr>
          </w:p>
        </w:tc>
        <w:tc>
          <w:tcPr>
            <w:tcW w:w="479" w:type="pct"/>
            <w:vMerge w:val="continue"/>
            <w:shd w:val="clear" w:color="auto" w:fill="auto"/>
            <w:vAlign w:val="center"/>
          </w:tcPr>
          <w:p w14:paraId="30FF1FE6">
            <w:pPr>
              <w:spacing w:line="360" w:lineRule="exact"/>
              <w:ind w:firstLine="0" w:firstLineChars="0"/>
              <w:jc w:val="center"/>
              <w:rPr>
                <w:rFonts w:cs="Times New Roman"/>
                <w:color w:val="auto"/>
                <w:sz w:val="21"/>
                <w:szCs w:val="21"/>
                <w:highlight w:val="none"/>
              </w:rPr>
            </w:pPr>
          </w:p>
        </w:tc>
        <w:tc>
          <w:tcPr>
            <w:tcW w:w="464" w:type="pct"/>
            <w:shd w:val="clear" w:color="auto" w:fill="auto"/>
            <w:vAlign w:val="center"/>
          </w:tcPr>
          <w:p w14:paraId="0AAE0B6D">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TSP</w:t>
            </w:r>
          </w:p>
        </w:tc>
        <w:tc>
          <w:tcPr>
            <w:tcW w:w="495" w:type="pct"/>
            <w:shd w:val="clear" w:color="auto" w:fill="auto"/>
            <w:vAlign w:val="center"/>
          </w:tcPr>
          <w:p w14:paraId="6ABCA0F9">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24h</w:t>
            </w:r>
            <w:r>
              <w:rPr>
                <w:rFonts w:cs="Times New Roman"/>
                <w:color w:val="auto"/>
                <w:sz w:val="21"/>
                <w:szCs w:val="21"/>
                <w:highlight w:val="none"/>
              </w:rPr>
              <w:t>平均</w:t>
            </w:r>
          </w:p>
        </w:tc>
        <w:tc>
          <w:tcPr>
            <w:tcW w:w="448" w:type="pct"/>
            <w:shd w:val="clear" w:color="auto" w:fill="auto"/>
            <w:vAlign w:val="center"/>
          </w:tcPr>
          <w:p w14:paraId="52500E5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w:t>
            </w:r>
          </w:p>
        </w:tc>
        <w:tc>
          <w:tcPr>
            <w:tcW w:w="688" w:type="pct"/>
            <w:shd w:val="clear" w:color="auto" w:fill="auto"/>
            <w:vAlign w:val="center"/>
          </w:tcPr>
          <w:p w14:paraId="31B3FBD2">
            <w:pPr>
              <w:spacing w:line="360" w:lineRule="exact"/>
              <w:ind w:firstLine="0" w:firstLineChars="0"/>
              <w:jc w:val="center"/>
              <w:rPr>
                <w:rFonts w:hint="default" w:eastAsia="宋体"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0.082-0.089</w:t>
            </w:r>
          </w:p>
        </w:tc>
        <w:tc>
          <w:tcPr>
            <w:tcW w:w="424" w:type="pct"/>
            <w:shd w:val="clear" w:color="auto" w:fill="auto"/>
            <w:vAlign w:val="center"/>
          </w:tcPr>
          <w:p w14:paraId="4EEED0BA">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2E9DE766">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91" w:type="pct"/>
            <w:shd w:val="clear" w:color="auto" w:fill="auto"/>
            <w:vAlign w:val="center"/>
          </w:tcPr>
          <w:p w14:paraId="4C492B9A">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w:t>
            </w:r>
          </w:p>
        </w:tc>
        <w:tc>
          <w:tcPr>
            <w:tcW w:w="389" w:type="pct"/>
            <w:shd w:val="clear" w:color="auto" w:fill="auto"/>
            <w:vAlign w:val="center"/>
          </w:tcPr>
          <w:p w14:paraId="47EC5F8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p>
        </w:tc>
      </w:tr>
      <w:tr w14:paraId="26A731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49" w:type="pct"/>
            <w:vMerge w:val="restart"/>
            <w:shd w:val="clear" w:color="auto" w:fill="auto"/>
            <w:vAlign w:val="center"/>
          </w:tcPr>
          <w:p w14:paraId="1771D92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521" w:type="pct"/>
            <w:vMerge w:val="restart"/>
            <w:shd w:val="clear" w:color="auto" w:fill="auto"/>
            <w:vAlign w:val="center"/>
          </w:tcPr>
          <w:p w14:paraId="48047BF5">
            <w:pPr>
              <w:spacing w:line="360" w:lineRule="exact"/>
              <w:ind w:firstLine="0" w:firstLineChars="0"/>
              <w:jc w:val="center"/>
              <w:textAlignment w:val="baseline"/>
              <w:rPr>
                <w:rFonts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rPr>
              <w:t>131.153302</w:t>
            </w:r>
          </w:p>
        </w:tc>
        <w:tc>
          <w:tcPr>
            <w:tcW w:w="479" w:type="pct"/>
            <w:vMerge w:val="restart"/>
            <w:shd w:val="clear" w:color="auto" w:fill="auto"/>
            <w:vAlign w:val="center"/>
          </w:tcPr>
          <w:p w14:paraId="4C9AB019">
            <w:pPr>
              <w:spacing w:line="360" w:lineRule="exact"/>
              <w:ind w:firstLine="0" w:firstLineChars="0"/>
              <w:jc w:val="center"/>
              <w:textAlignment w:val="baseline"/>
              <w:rPr>
                <w:rFonts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rPr>
              <w:t>46.560667</w:t>
            </w:r>
          </w:p>
        </w:tc>
        <w:tc>
          <w:tcPr>
            <w:tcW w:w="464" w:type="pct"/>
            <w:shd w:val="clear" w:color="auto" w:fill="auto"/>
            <w:vAlign w:val="center"/>
          </w:tcPr>
          <w:p w14:paraId="144A333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495" w:type="pct"/>
            <w:vMerge w:val="restart"/>
            <w:shd w:val="clear" w:color="auto" w:fill="auto"/>
            <w:vAlign w:val="center"/>
          </w:tcPr>
          <w:p w14:paraId="45D9919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r>
              <w:rPr>
                <w:rFonts w:hint="eastAsia" w:cs="Times New Roman"/>
                <w:color w:val="auto"/>
                <w:sz w:val="21"/>
                <w:szCs w:val="21"/>
                <w:highlight w:val="none"/>
                <w:lang w:val="en-US" w:eastAsia="zh-CN"/>
              </w:rPr>
              <w:t>h</w:t>
            </w:r>
            <w:r>
              <w:rPr>
                <w:rFonts w:cs="Times New Roman"/>
                <w:color w:val="auto"/>
                <w:sz w:val="21"/>
                <w:szCs w:val="21"/>
                <w:highlight w:val="none"/>
              </w:rPr>
              <w:t>平均</w:t>
            </w:r>
          </w:p>
        </w:tc>
        <w:tc>
          <w:tcPr>
            <w:tcW w:w="448" w:type="pct"/>
            <w:shd w:val="clear" w:color="auto" w:fill="auto"/>
            <w:vAlign w:val="center"/>
          </w:tcPr>
          <w:p w14:paraId="0D64DD9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0.2</w:t>
            </w:r>
          </w:p>
        </w:tc>
        <w:tc>
          <w:tcPr>
            <w:tcW w:w="688" w:type="pct"/>
            <w:shd w:val="clear" w:color="auto" w:fill="auto"/>
            <w:vAlign w:val="center"/>
          </w:tcPr>
          <w:p w14:paraId="0877F3E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0.05-0.09</w:t>
            </w:r>
          </w:p>
        </w:tc>
        <w:tc>
          <w:tcPr>
            <w:tcW w:w="424" w:type="pct"/>
            <w:shd w:val="clear" w:color="auto" w:fill="auto"/>
            <w:vAlign w:val="center"/>
          </w:tcPr>
          <w:p w14:paraId="5480CE87">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447" w:type="pct"/>
            <w:shd w:val="clear" w:color="auto" w:fill="auto"/>
            <w:vAlign w:val="center"/>
          </w:tcPr>
          <w:p w14:paraId="22EBEA15">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w:t>
            </w:r>
          </w:p>
        </w:tc>
        <w:tc>
          <w:tcPr>
            <w:tcW w:w="391" w:type="pct"/>
            <w:shd w:val="clear" w:color="auto" w:fill="auto"/>
            <w:vAlign w:val="center"/>
          </w:tcPr>
          <w:p w14:paraId="0001916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389" w:type="pct"/>
            <w:shd w:val="clear" w:color="auto" w:fill="auto"/>
            <w:vAlign w:val="center"/>
          </w:tcPr>
          <w:p w14:paraId="18B84D6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p>
        </w:tc>
      </w:tr>
      <w:tr w14:paraId="448E51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249" w:type="pct"/>
            <w:vMerge w:val="continue"/>
            <w:shd w:val="clear" w:color="auto" w:fill="auto"/>
            <w:vAlign w:val="center"/>
          </w:tcPr>
          <w:p w14:paraId="1BD31C6A">
            <w:pPr>
              <w:spacing w:line="360" w:lineRule="exact"/>
              <w:ind w:firstLine="0" w:firstLineChars="0"/>
              <w:jc w:val="center"/>
              <w:rPr>
                <w:rFonts w:cs="Times New Roman"/>
                <w:color w:val="auto"/>
                <w:sz w:val="21"/>
                <w:szCs w:val="21"/>
                <w:highlight w:val="none"/>
              </w:rPr>
            </w:pPr>
          </w:p>
        </w:tc>
        <w:tc>
          <w:tcPr>
            <w:tcW w:w="521" w:type="pct"/>
            <w:vMerge w:val="continue"/>
            <w:shd w:val="clear" w:color="auto" w:fill="auto"/>
            <w:vAlign w:val="center"/>
          </w:tcPr>
          <w:p w14:paraId="6D1F51F4">
            <w:pPr>
              <w:spacing w:line="360" w:lineRule="exact"/>
              <w:ind w:firstLine="0" w:firstLineChars="0"/>
              <w:jc w:val="center"/>
              <w:rPr>
                <w:rFonts w:cs="Times New Roman"/>
                <w:color w:val="auto"/>
                <w:sz w:val="21"/>
                <w:szCs w:val="21"/>
                <w:highlight w:val="none"/>
              </w:rPr>
            </w:pPr>
          </w:p>
        </w:tc>
        <w:tc>
          <w:tcPr>
            <w:tcW w:w="479" w:type="pct"/>
            <w:vMerge w:val="continue"/>
            <w:shd w:val="clear" w:color="auto" w:fill="auto"/>
            <w:vAlign w:val="center"/>
          </w:tcPr>
          <w:p w14:paraId="2FCF5A79">
            <w:pPr>
              <w:spacing w:line="360" w:lineRule="exact"/>
              <w:ind w:firstLine="0" w:firstLineChars="0"/>
              <w:jc w:val="center"/>
              <w:rPr>
                <w:rFonts w:cs="Times New Roman"/>
                <w:color w:val="auto"/>
                <w:sz w:val="21"/>
                <w:szCs w:val="21"/>
                <w:highlight w:val="none"/>
              </w:rPr>
            </w:pPr>
          </w:p>
        </w:tc>
        <w:tc>
          <w:tcPr>
            <w:tcW w:w="464" w:type="pct"/>
            <w:shd w:val="clear" w:color="auto" w:fill="auto"/>
            <w:vAlign w:val="center"/>
          </w:tcPr>
          <w:p w14:paraId="4AA5C89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495" w:type="pct"/>
            <w:vMerge w:val="continue"/>
            <w:shd w:val="clear" w:color="auto" w:fill="auto"/>
            <w:vAlign w:val="center"/>
          </w:tcPr>
          <w:p w14:paraId="7F1E409F">
            <w:pPr>
              <w:spacing w:line="360" w:lineRule="exact"/>
              <w:ind w:firstLine="0" w:firstLineChars="0"/>
              <w:jc w:val="center"/>
              <w:rPr>
                <w:rFonts w:cs="Times New Roman"/>
                <w:color w:val="auto"/>
                <w:sz w:val="21"/>
                <w:szCs w:val="21"/>
                <w:highlight w:val="none"/>
              </w:rPr>
            </w:pPr>
          </w:p>
        </w:tc>
        <w:tc>
          <w:tcPr>
            <w:tcW w:w="448" w:type="pct"/>
            <w:shd w:val="clear" w:color="auto" w:fill="auto"/>
            <w:vAlign w:val="center"/>
          </w:tcPr>
          <w:p w14:paraId="37A501B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0.01</w:t>
            </w:r>
          </w:p>
        </w:tc>
        <w:tc>
          <w:tcPr>
            <w:tcW w:w="688" w:type="pct"/>
            <w:shd w:val="clear" w:color="auto" w:fill="auto"/>
            <w:vAlign w:val="center"/>
          </w:tcPr>
          <w:p w14:paraId="65870B49">
            <w:pPr>
              <w:spacing w:line="360" w:lineRule="exact"/>
              <w:ind w:firstLine="0" w:firstLineChars="0"/>
              <w:jc w:val="center"/>
              <w:rPr>
                <w:rFonts w:cs="Times New Roman"/>
                <w:color w:val="auto"/>
                <w:sz w:val="21"/>
                <w:szCs w:val="21"/>
                <w:highlight w:val="none"/>
              </w:rPr>
            </w:pPr>
            <w:r>
              <w:rPr>
                <w:rFonts w:cs="Times New Roman"/>
                <w:color w:val="auto"/>
                <w:spacing w:val="-11"/>
                <w:sz w:val="21"/>
                <w:szCs w:val="21"/>
                <w:highlight w:val="none"/>
              </w:rPr>
              <w:t>ND</w:t>
            </w:r>
          </w:p>
        </w:tc>
        <w:tc>
          <w:tcPr>
            <w:tcW w:w="424" w:type="pct"/>
            <w:shd w:val="clear" w:color="auto" w:fill="auto"/>
            <w:vAlign w:val="center"/>
          </w:tcPr>
          <w:p w14:paraId="01548F2B">
            <w:pPr>
              <w:spacing w:line="360" w:lineRule="exact"/>
              <w:ind w:firstLine="0" w:firstLineChars="0"/>
              <w:jc w:val="center"/>
              <w:rPr>
                <w:rFonts w:hint="default" w:ascii="Times New Roman" w:hAnsi="Times New Roman" w:eastAsia="宋体" w:cs="Times New Roman"/>
                <w:color w:val="auto"/>
                <w:spacing w:val="-11"/>
                <w:kern w:val="2"/>
                <w:sz w:val="21"/>
                <w:szCs w:val="21"/>
                <w:highlight w:val="none"/>
                <w:lang w:val="en-US" w:eastAsia="zh-CN" w:bidi="ar-SA"/>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29104704">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w:t>
            </w:r>
          </w:p>
        </w:tc>
        <w:tc>
          <w:tcPr>
            <w:tcW w:w="391" w:type="pct"/>
            <w:shd w:val="clear" w:color="auto" w:fill="auto"/>
            <w:vAlign w:val="center"/>
          </w:tcPr>
          <w:p w14:paraId="52A2378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w:t>
            </w:r>
          </w:p>
        </w:tc>
        <w:tc>
          <w:tcPr>
            <w:tcW w:w="389" w:type="pct"/>
            <w:shd w:val="clear" w:color="auto" w:fill="auto"/>
            <w:vAlign w:val="center"/>
          </w:tcPr>
          <w:p w14:paraId="32DB7E6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p>
        </w:tc>
      </w:tr>
      <w:tr w14:paraId="3100F0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249" w:type="pct"/>
            <w:vMerge w:val="continue"/>
            <w:shd w:val="clear" w:color="auto" w:fill="auto"/>
            <w:vAlign w:val="center"/>
          </w:tcPr>
          <w:p w14:paraId="7BA9C018">
            <w:pPr>
              <w:spacing w:line="360" w:lineRule="exact"/>
              <w:ind w:firstLine="0" w:firstLineChars="0"/>
              <w:jc w:val="center"/>
              <w:rPr>
                <w:rFonts w:cs="Times New Roman"/>
                <w:color w:val="auto"/>
                <w:sz w:val="21"/>
                <w:szCs w:val="21"/>
                <w:highlight w:val="none"/>
              </w:rPr>
            </w:pPr>
          </w:p>
        </w:tc>
        <w:tc>
          <w:tcPr>
            <w:tcW w:w="521" w:type="pct"/>
            <w:vMerge w:val="continue"/>
            <w:shd w:val="clear" w:color="auto" w:fill="auto"/>
            <w:vAlign w:val="center"/>
          </w:tcPr>
          <w:p w14:paraId="6913387A">
            <w:pPr>
              <w:spacing w:line="360" w:lineRule="exact"/>
              <w:ind w:firstLine="0" w:firstLineChars="0"/>
              <w:jc w:val="center"/>
              <w:rPr>
                <w:rFonts w:cs="Times New Roman"/>
                <w:color w:val="auto"/>
                <w:sz w:val="21"/>
                <w:szCs w:val="21"/>
                <w:highlight w:val="none"/>
              </w:rPr>
            </w:pPr>
          </w:p>
        </w:tc>
        <w:tc>
          <w:tcPr>
            <w:tcW w:w="479" w:type="pct"/>
            <w:vMerge w:val="continue"/>
            <w:shd w:val="clear" w:color="auto" w:fill="auto"/>
            <w:vAlign w:val="center"/>
          </w:tcPr>
          <w:p w14:paraId="18CCA673">
            <w:pPr>
              <w:spacing w:line="360" w:lineRule="exact"/>
              <w:ind w:firstLine="0" w:firstLineChars="0"/>
              <w:jc w:val="center"/>
              <w:rPr>
                <w:rFonts w:cs="Times New Roman"/>
                <w:color w:val="auto"/>
                <w:sz w:val="21"/>
                <w:szCs w:val="21"/>
                <w:highlight w:val="none"/>
              </w:rPr>
            </w:pPr>
          </w:p>
        </w:tc>
        <w:tc>
          <w:tcPr>
            <w:tcW w:w="464" w:type="pct"/>
            <w:shd w:val="clear" w:color="auto" w:fill="auto"/>
            <w:vAlign w:val="center"/>
          </w:tcPr>
          <w:p w14:paraId="6D537EE2">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臭气浓度</w:t>
            </w:r>
          </w:p>
        </w:tc>
        <w:tc>
          <w:tcPr>
            <w:tcW w:w="495" w:type="pct"/>
            <w:vMerge w:val="continue"/>
            <w:shd w:val="clear" w:color="auto" w:fill="auto"/>
            <w:vAlign w:val="center"/>
          </w:tcPr>
          <w:p w14:paraId="75944516">
            <w:pPr>
              <w:spacing w:line="240" w:lineRule="auto"/>
              <w:ind w:firstLine="0" w:firstLineChars="0"/>
              <w:jc w:val="center"/>
              <w:rPr>
                <w:rFonts w:cs="Times New Roman"/>
                <w:color w:val="auto"/>
                <w:sz w:val="21"/>
                <w:szCs w:val="21"/>
                <w:highlight w:val="none"/>
              </w:rPr>
            </w:pPr>
          </w:p>
        </w:tc>
        <w:tc>
          <w:tcPr>
            <w:tcW w:w="448" w:type="pct"/>
            <w:shd w:val="clear" w:color="auto" w:fill="auto"/>
            <w:vAlign w:val="center"/>
          </w:tcPr>
          <w:p w14:paraId="05CF6417">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688" w:type="pct"/>
            <w:shd w:val="clear" w:color="auto" w:fill="auto"/>
            <w:vAlign w:val="center"/>
          </w:tcPr>
          <w:p w14:paraId="2CE65A7C">
            <w:pPr>
              <w:spacing w:line="360" w:lineRule="exact"/>
              <w:ind w:firstLine="0" w:firstLineChars="0"/>
              <w:jc w:val="center"/>
              <w:rPr>
                <w:rFonts w:cs="Times New Roman"/>
                <w:color w:val="auto"/>
                <w:spacing w:val="-11"/>
                <w:sz w:val="21"/>
                <w:szCs w:val="21"/>
                <w:highlight w:val="none"/>
              </w:rPr>
            </w:pPr>
            <w:r>
              <w:rPr>
                <w:rFonts w:hint="eastAsia" w:ascii="宋体" w:hAnsi="宋体" w:eastAsia="宋体" w:cs="宋体"/>
                <w:color w:val="auto"/>
                <w:spacing w:val="-11"/>
                <w:sz w:val="21"/>
                <w:szCs w:val="21"/>
                <w:highlight w:val="none"/>
                <w:lang w:val="en-US" w:eastAsia="zh-CN"/>
              </w:rPr>
              <w:t>＜</w:t>
            </w:r>
            <w:r>
              <w:rPr>
                <w:rFonts w:hint="default" w:ascii="Times New Roman" w:hAnsi="Times New Roman" w:cs="Times New Roman"/>
                <w:color w:val="auto"/>
                <w:spacing w:val="-11"/>
                <w:sz w:val="21"/>
                <w:szCs w:val="21"/>
                <w:highlight w:val="none"/>
                <w:lang w:val="en-US" w:eastAsia="zh-CN"/>
              </w:rPr>
              <w:t>10</w:t>
            </w:r>
          </w:p>
        </w:tc>
        <w:tc>
          <w:tcPr>
            <w:tcW w:w="424" w:type="pct"/>
            <w:shd w:val="clear" w:color="auto" w:fill="auto"/>
            <w:vAlign w:val="center"/>
          </w:tcPr>
          <w:p w14:paraId="46638EC0">
            <w:pPr>
              <w:spacing w:line="360" w:lineRule="exact"/>
              <w:ind w:firstLine="0" w:firstLineChars="0"/>
              <w:jc w:val="center"/>
              <w:rPr>
                <w:rFonts w:hint="eastAsia" w:ascii="Times New Roman" w:hAnsi="Times New Roman" w:eastAsia="宋体" w:cs="Times New Roman"/>
                <w:color w:val="auto"/>
                <w:spacing w:val="-11"/>
                <w:kern w:val="2"/>
                <w:sz w:val="21"/>
                <w:szCs w:val="21"/>
                <w:highlight w:val="none"/>
                <w:lang w:val="en-US" w:eastAsia="zh-CN" w:bidi="ar-SA"/>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20FF5C2E">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w:t>
            </w:r>
          </w:p>
        </w:tc>
        <w:tc>
          <w:tcPr>
            <w:tcW w:w="391" w:type="pct"/>
            <w:shd w:val="clear" w:color="auto" w:fill="auto"/>
            <w:vAlign w:val="center"/>
          </w:tcPr>
          <w:p w14:paraId="6FA24AC1">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0</w:t>
            </w:r>
          </w:p>
        </w:tc>
        <w:tc>
          <w:tcPr>
            <w:tcW w:w="389" w:type="pct"/>
            <w:shd w:val="clear" w:color="auto" w:fill="auto"/>
            <w:vAlign w:val="center"/>
          </w:tcPr>
          <w:p w14:paraId="17E63E21">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w:t>
            </w:r>
          </w:p>
        </w:tc>
      </w:tr>
      <w:tr w14:paraId="21F748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249" w:type="pct"/>
            <w:vMerge w:val="continue"/>
            <w:shd w:val="clear" w:color="auto" w:fill="auto"/>
            <w:vAlign w:val="center"/>
          </w:tcPr>
          <w:p w14:paraId="6C59C550">
            <w:pPr>
              <w:spacing w:line="360" w:lineRule="exact"/>
              <w:ind w:firstLine="0" w:firstLineChars="0"/>
              <w:jc w:val="center"/>
              <w:rPr>
                <w:rFonts w:cs="Times New Roman"/>
                <w:color w:val="auto"/>
                <w:sz w:val="21"/>
                <w:szCs w:val="21"/>
                <w:highlight w:val="none"/>
              </w:rPr>
            </w:pPr>
          </w:p>
        </w:tc>
        <w:tc>
          <w:tcPr>
            <w:tcW w:w="521" w:type="pct"/>
            <w:vMerge w:val="continue"/>
            <w:shd w:val="clear" w:color="auto" w:fill="auto"/>
            <w:vAlign w:val="center"/>
          </w:tcPr>
          <w:p w14:paraId="46277E30">
            <w:pPr>
              <w:spacing w:line="360" w:lineRule="exact"/>
              <w:ind w:firstLine="0" w:firstLineChars="0"/>
              <w:jc w:val="center"/>
              <w:rPr>
                <w:rFonts w:cs="Times New Roman"/>
                <w:color w:val="auto"/>
                <w:sz w:val="21"/>
                <w:szCs w:val="21"/>
                <w:highlight w:val="none"/>
              </w:rPr>
            </w:pPr>
          </w:p>
        </w:tc>
        <w:tc>
          <w:tcPr>
            <w:tcW w:w="479" w:type="pct"/>
            <w:vMerge w:val="continue"/>
            <w:shd w:val="clear" w:color="auto" w:fill="auto"/>
            <w:vAlign w:val="center"/>
          </w:tcPr>
          <w:p w14:paraId="5E034B6A">
            <w:pPr>
              <w:spacing w:line="360" w:lineRule="exact"/>
              <w:ind w:firstLine="0" w:firstLineChars="0"/>
              <w:jc w:val="center"/>
              <w:rPr>
                <w:rFonts w:cs="Times New Roman"/>
                <w:color w:val="auto"/>
                <w:sz w:val="21"/>
                <w:szCs w:val="21"/>
                <w:highlight w:val="none"/>
              </w:rPr>
            </w:pPr>
          </w:p>
        </w:tc>
        <w:tc>
          <w:tcPr>
            <w:tcW w:w="464" w:type="pct"/>
            <w:shd w:val="clear" w:color="auto" w:fill="auto"/>
            <w:vAlign w:val="center"/>
          </w:tcPr>
          <w:p w14:paraId="2681D7E5">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TSP</w:t>
            </w:r>
          </w:p>
        </w:tc>
        <w:tc>
          <w:tcPr>
            <w:tcW w:w="495" w:type="pct"/>
            <w:shd w:val="clear" w:color="auto" w:fill="auto"/>
            <w:vAlign w:val="center"/>
          </w:tcPr>
          <w:p w14:paraId="25733FBA">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24h</w:t>
            </w:r>
            <w:r>
              <w:rPr>
                <w:rFonts w:cs="Times New Roman"/>
                <w:color w:val="auto"/>
                <w:sz w:val="21"/>
                <w:szCs w:val="21"/>
                <w:highlight w:val="none"/>
              </w:rPr>
              <w:t>平均</w:t>
            </w:r>
          </w:p>
        </w:tc>
        <w:tc>
          <w:tcPr>
            <w:tcW w:w="448" w:type="pct"/>
            <w:shd w:val="clear" w:color="auto" w:fill="auto"/>
            <w:vAlign w:val="center"/>
          </w:tcPr>
          <w:p w14:paraId="7AF3BFB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w:t>
            </w:r>
          </w:p>
        </w:tc>
        <w:tc>
          <w:tcPr>
            <w:tcW w:w="688" w:type="pct"/>
            <w:shd w:val="clear" w:color="auto" w:fill="auto"/>
            <w:vAlign w:val="center"/>
          </w:tcPr>
          <w:p w14:paraId="1E8CDF95">
            <w:pPr>
              <w:spacing w:line="360" w:lineRule="exact"/>
              <w:ind w:firstLine="0" w:firstLineChars="0"/>
              <w:jc w:val="center"/>
              <w:rPr>
                <w:rFonts w:hint="default" w:eastAsia="宋体"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0.088-0.093</w:t>
            </w:r>
          </w:p>
        </w:tc>
        <w:tc>
          <w:tcPr>
            <w:tcW w:w="424" w:type="pct"/>
            <w:shd w:val="clear" w:color="auto" w:fill="auto"/>
            <w:vAlign w:val="center"/>
          </w:tcPr>
          <w:p w14:paraId="739FDC1C">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67937E64">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91" w:type="pct"/>
            <w:shd w:val="clear" w:color="auto" w:fill="auto"/>
            <w:vAlign w:val="center"/>
          </w:tcPr>
          <w:p w14:paraId="117C9F3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w:t>
            </w:r>
          </w:p>
        </w:tc>
        <w:tc>
          <w:tcPr>
            <w:tcW w:w="389" w:type="pct"/>
            <w:shd w:val="clear" w:color="auto" w:fill="auto"/>
            <w:vAlign w:val="center"/>
          </w:tcPr>
          <w:p w14:paraId="152D185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p>
        </w:tc>
      </w:tr>
      <w:tr w14:paraId="25D50C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250" w:type="pct"/>
            <w:gridSpan w:val="3"/>
            <w:vMerge w:val="restart"/>
            <w:shd w:val="clear" w:color="auto" w:fill="auto"/>
            <w:vAlign w:val="center"/>
          </w:tcPr>
          <w:p w14:paraId="00288053">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区域平均值</w:t>
            </w:r>
          </w:p>
        </w:tc>
        <w:tc>
          <w:tcPr>
            <w:tcW w:w="464" w:type="pct"/>
            <w:shd w:val="clear" w:color="auto" w:fill="auto"/>
            <w:vAlign w:val="center"/>
          </w:tcPr>
          <w:p w14:paraId="0A958B8A">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氨</w:t>
            </w:r>
          </w:p>
        </w:tc>
        <w:tc>
          <w:tcPr>
            <w:tcW w:w="495" w:type="pct"/>
            <w:vMerge w:val="restart"/>
            <w:shd w:val="clear" w:color="auto" w:fill="auto"/>
            <w:vAlign w:val="center"/>
          </w:tcPr>
          <w:p w14:paraId="0347DAE2">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1</w:t>
            </w:r>
            <w:r>
              <w:rPr>
                <w:rFonts w:hint="eastAsia" w:cs="Times New Roman"/>
                <w:color w:val="auto"/>
                <w:sz w:val="21"/>
                <w:szCs w:val="21"/>
                <w:highlight w:val="none"/>
                <w:lang w:val="en-US" w:eastAsia="zh-CN"/>
              </w:rPr>
              <w:t>h</w:t>
            </w:r>
            <w:r>
              <w:rPr>
                <w:rFonts w:cs="Times New Roman"/>
                <w:color w:val="auto"/>
                <w:sz w:val="21"/>
                <w:szCs w:val="21"/>
                <w:highlight w:val="none"/>
              </w:rPr>
              <w:t>平均</w:t>
            </w:r>
          </w:p>
          <w:p w14:paraId="322DF918">
            <w:pPr>
              <w:spacing w:line="240" w:lineRule="auto"/>
              <w:ind w:firstLine="0" w:firstLineChars="0"/>
              <w:jc w:val="center"/>
              <w:rPr>
                <w:rFonts w:hint="eastAsia" w:cs="Times New Roman"/>
                <w:color w:val="auto"/>
                <w:sz w:val="21"/>
                <w:szCs w:val="21"/>
                <w:highlight w:val="none"/>
                <w:lang w:val="en-US" w:eastAsia="zh-CN"/>
              </w:rPr>
            </w:pPr>
          </w:p>
        </w:tc>
        <w:tc>
          <w:tcPr>
            <w:tcW w:w="448" w:type="pct"/>
            <w:shd w:val="clear" w:color="auto" w:fill="auto"/>
            <w:vAlign w:val="center"/>
          </w:tcPr>
          <w:p w14:paraId="7DA555D1">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0.2</w:t>
            </w:r>
          </w:p>
        </w:tc>
        <w:tc>
          <w:tcPr>
            <w:tcW w:w="688" w:type="pct"/>
            <w:shd w:val="clear" w:color="auto" w:fill="auto"/>
            <w:vAlign w:val="center"/>
          </w:tcPr>
          <w:p w14:paraId="3CFBCC85">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0.02-0.09</w:t>
            </w:r>
          </w:p>
        </w:tc>
        <w:tc>
          <w:tcPr>
            <w:tcW w:w="424" w:type="pct"/>
            <w:shd w:val="clear" w:color="auto" w:fill="auto"/>
            <w:vAlign w:val="center"/>
          </w:tcPr>
          <w:p w14:paraId="41884860">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0.07</w:t>
            </w:r>
          </w:p>
        </w:tc>
        <w:tc>
          <w:tcPr>
            <w:tcW w:w="447" w:type="pct"/>
            <w:shd w:val="clear" w:color="auto" w:fill="auto"/>
            <w:vAlign w:val="center"/>
          </w:tcPr>
          <w:p w14:paraId="6F374B1F">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35</w:t>
            </w:r>
          </w:p>
        </w:tc>
        <w:tc>
          <w:tcPr>
            <w:tcW w:w="391" w:type="pct"/>
            <w:shd w:val="clear" w:color="auto" w:fill="auto"/>
            <w:vAlign w:val="center"/>
          </w:tcPr>
          <w:p w14:paraId="330F3ACA">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0</w:t>
            </w:r>
          </w:p>
        </w:tc>
        <w:tc>
          <w:tcPr>
            <w:tcW w:w="389" w:type="pct"/>
            <w:shd w:val="clear" w:color="auto" w:fill="auto"/>
            <w:vAlign w:val="center"/>
          </w:tcPr>
          <w:p w14:paraId="4435AEFC">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达标</w:t>
            </w:r>
          </w:p>
        </w:tc>
      </w:tr>
      <w:tr w14:paraId="480695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250" w:type="pct"/>
            <w:gridSpan w:val="3"/>
            <w:vMerge w:val="continue"/>
            <w:shd w:val="clear" w:color="auto" w:fill="auto"/>
            <w:vAlign w:val="center"/>
          </w:tcPr>
          <w:p w14:paraId="00EDDA61">
            <w:pPr>
              <w:spacing w:line="360" w:lineRule="exact"/>
              <w:ind w:firstLine="0" w:firstLineChars="0"/>
              <w:jc w:val="center"/>
              <w:rPr>
                <w:rFonts w:hint="eastAsia" w:cs="Times New Roman"/>
                <w:color w:val="auto"/>
                <w:sz w:val="21"/>
                <w:szCs w:val="21"/>
                <w:highlight w:val="none"/>
                <w:lang w:val="en-US" w:eastAsia="zh-CN"/>
              </w:rPr>
            </w:pPr>
          </w:p>
        </w:tc>
        <w:tc>
          <w:tcPr>
            <w:tcW w:w="464" w:type="pct"/>
            <w:shd w:val="clear" w:color="auto" w:fill="auto"/>
            <w:vAlign w:val="center"/>
          </w:tcPr>
          <w:p w14:paraId="1B3C1A8B">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硫化氢</w:t>
            </w:r>
          </w:p>
        </w:tc>
        <w:tc>
          <w:tcPr>
            <w:tcW w:w="495" w:type="pct"/>
            <w:vMerge w:val="continue"/>
            <w:shd w:val="clear" w:color="auto" w:fill="auto"/>
            <w:vAlign w:val="center"/>
          </w:tcPr>
          <w:p w14:paraId="1F058406">
            <w:pPr>
              <w:spacing w:line="240" w:lineRule="auto"/>
              <w:ind w:firstLine="0" w:firstLineChars="0"/>
              <w:jc w:val="center"/>
              <w:rPr>
                <w:rFonts w:hint="eastAsia" w:cs="Times New Roman"/>
                <w:color w:val="auto"/>
                <w:sz w:val="21"/>
                <w:szCs w:val="21"/>
                <w:highlight w:val="none"/>
                <w:lang w:val="en-US" w:eastAsia="zh-CN"/>
              </w:rPr>
            </w:pPr>
          </w:p>
        </w:tc>
        <w:tc>
          <w:tcPr>
            <w:tcW w:w="448" w:type="pct"/>
            <w:shd w:val="clear" w:color="auto" w:fill="auto"/>
            <w:vAlign w:val="center"/>
          </w:tcPr>
          <w:p w14:paraId="699629C5">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0.01</w:t>
            </w:r>
          </w:p>
        </w:tc>
        <w:tc>
          <w:tcPr>
            <w:tcW w:w="688" w:type="pct"/>
            <w:shd w:val="clear" w:color="auto" w:fill="auto"/>
            <w:vAlign w:val="center"/>
          </w:tcPr>
          <w:p w14:paraId="0CCCD8C8">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pacing w:val="-11"/>
                <w:sz w:val="21"/>
                <w:szCs w:val="21"/>
                <w:highlight w:val="none"/>
              </w:rPr>
              <w:t>ND</w:t>
            </w:r>
          </w:p>
        </w:tc>
        <w:tc>
          <w:tcPr>
            <w:tcW w:w="424" w:type="pct"/>
            <w:shd w:val="clear" w:color="auto" w:fill="auto"/>
            <w:vAlign w:val="center"/>
          </w:tcPr>
          <w:p w14:paraId="15CEAC2B">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509C35BD">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91" w:type="pct"/>
            <w:shd w:val="clear" w:color="auto" w:fill="auto"/>
            <w:vAlign w:val="center"/>
          </w:tcPr>
          <w:p w14:paraId="5428AE7E">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0</w:t>
            </w:r>
          </w:p>
        </w:tc>
        <w:tc>
          <w:tcPr>
            <w:tcW w:w="389" w:type="pct"/>
            <w:shd w:val="clear" w:color="auto" w:fill="auto"/>
            <w:vAlign w:val="center"/>
          </w:tcPr>
          <w:p w14:paraId="4D9A05CA">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达标</w:t>
            </w:r>
          </w:p>
        </w:tc>
      </w:tr>
      <w:tr w14:paraId="2A6188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250" w:type="pct"/>
            <w:gridSpan w:val="3"/>
            <w:vMerge w:val="continue"/>
            <w:shd w:val="clear" w:color="auto" w:fill="auto"/>
            <w:vAlign w:val="center"/>
          </w:tcPr>
          <w:p w14:paraId="0078F79F">
            <w:pPr>
              <w:spacing w:line="360" w:lineRule="exact"/>
              <w:ind w:firstLine="0" w:firstLineChars="0"/>
              <w:jc w:val="center"/>
              <w:rPr>
                <w:rFonts w:hint="eastAsia" w:cs="Times New Roman"/>
                <w:color w:val="auto"/>
                <w:sz w:val="21"/>
                <w:szCs w:val="21"/>
                <w:highlight w:val="none"/>
                <w:lang w:val="en-US" w:eastAsia="zh-CN"/>
              </w:rPr>
            </w:pPr>
          </w:p>
        </w:tc>
        <w:tc>
          <w:tcPr>
            <w:tcW w:w="464" w:type="pct"/>
            <w:shd w:val="clear" w:color="auto" w:fill="auto"/>
            <w:vAlign w:val="center"/>
          </w:tcPr>
          <w:p w14:paraId="33434156">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臭气浓度</w:t>
            </w:r>
          </w:p>
        </w:tc>
        <w:tc>
          <w:tcPr>
            <w:tcW w:w="495" w:type="pct"/>
            <w:vMerge w:val="continue"/>
            <w:shd w:val="clear" w:color="auto" w:fill="auto"/>
            <w:vAlign w:val="center"/>
          </w:tcPr>
          <w:p w14:paraId="00AEE3CB">
            <w:pPr>
              <w:spacing w:line="240" w:lineRule="auto"/>
              <w:ind w:firstLine="0" w:firstLineChars="0"/>
              <w:jc w:val="center"/>
              <w:rPr>
                <w:rFonts w:hint="eastAsia" w:cs="Times New Roman"/>
                <w:color w:val="auto"/>
                <w:sz w:val="21"/>
                <w:szCs w:val="21"/>
                <w:highlight w:val="none"/>
                <w:lang w:val="en-US" w:eastAsia="zh-CN"/>
              </w:rPr>
            </w:pPr>
          </w:p>
        </w:tc>
        <w:tc>
          <w:tcPr>
            <w:tcW w:w="448" w:type="pct"/>
            <w:shd w:val="clear" w:color="auto" w:fill="auto"/>
            <w:vAlign w:val="center"/>
          </w:tcPr>
          <w:p w14:paraId="67135C82">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688" w:type="pct"/>
            <w:shd w:val="clear" w:color="auto" w:fill="auto"/>
            <w:vAlign w:val="center"/>
          </w:tcPr>
          <w:p w14:paraId="14273F5F">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pacing w:val="-11"/>
                <w:sz w:val="21"/>
                <w:szCs w:val="21"/>
                <w:highlight w:val="none"/>
                <w:lang w:val="en-US" w:eastAsia="zh-CN"/>
              </w:rPr>
              <w:t>＜</w:t>
            </w:r>
            <w:r>
              <w:rPr>
                <w:rFonts w:hint="default" w:ascii="Times New Roman" w:hAnsi="Times New Roman" w:cs="Times New Roman"/>
                <w:color w:val="auto"/>
                <w:spacing w:val="-11"/>
                <w:sz w:val="21"/>
                <w:szCs w:val="21"/>
                <w:highlight w:val="none"/>
                <w:lang w:val="en-US" w:eastAsia="zh-CN"/>
              </w:rPr>
              <w:t>10</w:t>
            </w:r>
          </w:p>
        </w:tc>
        <w:tc>
          <w:tcPr>
            <w:tcW w:w="424" w:type="pct"/>
            <w:shd w:val="clear" w:color="auto" w:fill="auto"/>
            <w:vAlign w:val="center"/>
          </w:tcPr>
          <w:p w14:paraId="7F082FE9">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w:t>
            </w:r>
          </w:p>
        </w:tc>
        <w:tc>
          <w:tcPr>
            <w:tcW w:w="447" w:type="pct"/>
            <w:shd w:val="clear" w:color="auto" w:fill="auto"/>
            <w:vAlign w:val="center"/>
          </w:tcPr>
          <w:p w14:paraId="254A56E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91" w:type="pct"/>
            <w:shd w:val="clear" w:color="auto" w:fill="auto"/>
            <w:vAlign w:val="center"/>
          </w:tcPr>
          <w:p w14:paraId="2B93D748">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w:t>
            </w:r>
          </w:p>
        </w:tc>
        <w:tc>
          <w:tcPr>
            <w:tcW w:w="389" w:type="pct"/>
            <w:shd w:val="clear" w:color="auto" w:fill="auto"/>
            <w:vAlign w:val="center"/>
          </w:tcPr>
          <w:p w14:paraId="1887B07D">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t>
            </w:r>
          </w:p>
        </w:tc>
      </w:tr>
      <w:tr w14:paraId="5527B3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250" w:type="pct"/>
            <w:gridSpan w:val="3"/>
            <w:vMerge w:val="continue"/>
            <w:shd w:val="clear" w:color="auto" w:fill="auto"/>
            <w:vAlign w:val="center"/>
          </w:tcPr>
          <w:p w14:paraId="5145B3BC">
            <w:pPr>
              <w:spacing w:line="360" w:lineRule="exact"/>
              <w:ind w:firstLine="0" w:firstLineChars="0"/>
              <w:jc w:val="center"/>
              <w:rPr>
                <w:rFonts w:hint="eastAsia" w:cs="Times New Roman"/>
                <w:color w:val="auto"/>
                <w:sz w:val="21"/>
                <w:szCs w:val="21"/>
                <w:highlight w:val="none"/>
                <w:lang w:val="en-US" w:eastAsia="zh-CN"/>
              </w:rPr>
            </w:pPr>
          </w:p>
        </w:tc>
        <w:tc>
          <w:tcPr>
            <w:tcW w:w="464" w:type="pct"/>
            <w:shd w:val="clear" w:color="auto" w:fill="auto"/>
            <w:vAlign w:val="center"/>
          </w:tcPr>
          <w:p w14:paraId="3C8B6C6C">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TSP</w:t>
            </w:r>
          </w:p>
        </w:tc>
        <w:tc>
          <w:tcPr>
            <w:tcW w:w="495" w:type="pct"/>
            <w:shd w:val="clear" w:color="auto" w:fill="auto"/>
            <w:vAlign w:val="center"/>
          </w:tcPr>
          <w:p w14:paraId="59B557ED">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24h</w:t>
            </w:r>
            <w:r>
              <w:rPr>
                <w:rFonts w:cs="Times New Roman"/>
                <w:color w:val="auto"/>
                <w:sz w:val="21"/>
                <w:szCs w:val="21"/>
                <w:highlight w:val="none"/>
              </w:rPr>
              <w:t>平均</w:t>
            </w:r>
          </w:p>
        </w:tc>
        <w:tc>
          <w:tcPr>
            <w:tcW w:w="448" w:type="pct"/>
            <w:shd w:val="clear" w:color="auto" w:fill="auto"/>
            <w:vAlign w:val="center"/>
          </w:tcPr>
          <w:p w14:paraId="2B80730D">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0.3</w:t>
            </w:r>
          </w:p>
        </w:tc>
        <w:tc>
          <w:tcPr>
            <w:tcW w:w="688" w:type="pct"/>
            <w:shd w:val="clear" w:color="auto" w:fill="auto"/>
            <w:vAlign w:val="center"/>
          </w:tcPr>
          <w:p w14:paraId="1AC99A3E">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0.082-0.093</w:t>
            </w:r>
          </w:p>
        </w:tc>
        <w:tc>
          <w:tcPr>
            <w:tcW w:w="424" w:type="pct"/>
            <w:shd w:val="clear" w:color="auto" w:fill="auto"/>
            <w:vAlign w:val="center"/>
          </w:tcPr>
          <w:p w14:paraId="7B378543">
            <w:pPr>
              <w:spacing w:line="360" w:lineRule="exact"/>
              <w:ind w:firstLine="0" w:firstLineChars="0"/>
              <w:jc w:val="center"/>
              <w:rPr>
                <w:rFonts w:hint="default" w:cs="Times New Roman"/>
                <w:color w:val="auto"/>
                <w:spacing w:val="-11"/>
                <w:sz w:val="21"/>
                <w:szCs w:val="21"/>
                <w:highlight w:val="none"/>
                <w:lang w:val="en-US" w:eastAsia="zh-CN"/>
              </w:rPr>
            </w:pPr>
            <w:r>
              <w:rPr>
                <w:rFonts w:hint="eastAsia" w:cs="Times New Roman"/>
                <w:color w:val="auto"/>
                <w:spacing w:val="-11"/>
                <w:sz w:val="21"/>
                <w:szCs w:val="21"/>
                <w:highlight w:val="none"/>
                <w:lang w:val="en-US" w:eastAsia="zh-CN"/>
              </w:rPr>
              <w:t>0.091</w:t>
            </w:r>
          </w:p>
        </w:tc>
        <w:tc>
          <w:tcPr>
            <w:tcW w:w="447" w:type="pct"/>
            <w:shd w:val="clear" w:color="auto" w:fill="auto"/>
            <w:vAlign w:val="center"/>
          </w:tcPr>
          <w:p w14:paraId="51EED1BB">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30</w:t>
            </w:r>
          </w:p>
        </w:tc>
        <w:tc>
          <w:tcPr>
            <w:tcW w:w="391" w:type="pct"/>
            <w:shd w:val="clear" w:color="auto" w:fill="auto"/>
            <w:vAlign w:val="center"/>
          </w:tcPr>
          <w:p w14:paraId="5DC0BB49">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w:t>
            </w:r>
          </w:p>
        </w:tc>
        <w:tc>
          <w:tcPr>
            <w:tcW w:w="389" w:type="pct"/>
            <w:shd w:val="clear" w:color="auto" w:fill="auto"/>
            <w:vAlign w:val="center"/>
          </w:tcPr>
          <w:p w14:paraId="544D4515">
            <w:pPr>
              <w:spacing w:line="360" w:lineRule="exac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达标</w:t>
            </w:r>
          </w:p>
        </w:tc>
      </w:tr>
    </w:tbl>
    <w:p w14:paraId="051A313C">
      <w:pPr>
        <w:pStyle w:val="45"/>
        <w:spacing w:before="81" w:after="81"/>
        <w:ind w:firstLine="0" w:firstLineChars="0"/>
        <w:rPr>
          <w:rFonts w:hint="default" w:eastAsia="宋体" w:cs="Times New Roman"/>
          <w:color w:val="auto"/>
          <w:highlight w:val="none"/>
          <w:lang w:val="en-US" w:eastAsia="zh-CN"/>
        </w:rPr>
      </w:pPr>
      <w:r>
        <w:rPr>
          <w:rFonts w:cs="Times New Roman"/>
          <w:b/>
          <w:color w:val="auto"/>
          <w:szCs w:val="21"/>
          <w:highlight w:val="none"/>
        </w:rPr>
        <w:t>*注：ND表示未检出，硫化氢的检出限为0.001</w:t>
      </w:r>
      <w:r>
        <w:rPr>
          <w:rFonts w:cs="Times New Roman"/>
          <w:b/>
          <w:color w:val="auto"/>
          <w:spacing w:val="-11"/>
          <w:szCs w:val="21"/>
          <w:highlight w:val="none"/>
        </w:rPr>
        <w:t>mg/m</w:t>
      </w:r>
      <w:r>
        <w:rPr>
          <w:rFonts w:cs="Times New Roman"/>
          <w:b/>
          <w:color w:val="auto"/>
          <w:spacing w:val="-11"/>
          <w:szCs w:val="21"/>
          <w:highlight w:val="none"/>
          <w:vertAlign w:val="superscript"/>
        </w:rPr>
        <w:t>3</w:t>
      </w:r>
      <w:r>
        <w:rPr>
          <w:rFonts w:hint="eastAsia" w:eastAsia="宋体" w:cs="Times New Roman"/>
          <w:b/>
          <w:color w:val="auto"/>
          <w:spacing w:val="-17"/>
          <w:szCs w:val="21"/>
          <w:highlight w:val="none"/>
          <w:lang w:eastAsia="zh-CN"/>
        </w:rPr>
        <w:t>，</w:t>
      </w:r>
      <w:r>
        <w:rPr>
          <w:rFonts w:hint="eastAsia" w:cs="Times New Roman"/>
          <w:b/>
          <w:color w:val="auto"/>
          <w:szCs w:val="21"/>
          <w:highlight w:val="none"/>
          <w:lang w:val="en-US" w:eastAsia="zh-CN"/>
        </w:rPr>
        <w:t>臭气浓度检出限为10（无量纲）。</w:t>
      </w:r>
    </w:p>
    <w:p w14:paraId="10F6CF94">
      <w:pPr>
        <w:pageBreakBefore w:val="0"/>
        <w:widowControl w:val="0"/>
        <w:kinsoku/>
        <w:wordWrap/>
        <w:overflowPunct/>
        <w:topLinePunct w:val="0"/>
        <w:autoSpaceDE/>
        <w:autoSpaceDN/>
        <w:bidi w:val="0"/>
        <w:spacing w:line="520" w:lineRule="atLeast"/>
        <w:textAlignment w:val="auto"/>
        <w:rPr>
          <w:rFonts w:cs="Times New Roman"/>
          <w:color w:val="auto"/>
          <w:szCs w:val="24"/>
          <w:highlight w:val="none"/>
        </w:rPr>
      </w:pPr>
      <w:r>
        <w:rPr>
          <w:rFonts w:cs="Times New Roman"/>
          <w:color w:val="auto"/>
          <w:highlight w:val="none"/>
        </w:rPr>
        <w:t>由上表分析可知，所在区域的氨、硫化氢满足《环境影响评价技术导则 大气环境》（HJ2.2-2018）附录D中标准限值要求</w:t>
      </w:r>
      <w:r>
        <w:rPr>
          <w:rFonts w:hint="eastAsia" w:cs="Times New Roman"/>
          <w:color w:val="auto"/>
          <w:highlight w:val="none"/>
          <w:lang w:eastAsia="zh-CN"/>
        </w:rPr>
        <w:t>，</w:t>
      </w:r>
      <w:r>
        <w:rPr>
          <w:rFonts w:hint="eastAsia" w:cs="Times New Roman"/>
          <w:color w:val="auto"/>
          <w:highlight w:val="none"/>
          <w:lang w:val="en-US" w:eastAsia="zh-CN"/>
        </w:rPr>
        <w:t>TSP24h均值满足</w:t>
      </w:r>
      <w:r>
        <w:rPr>
          <w:rFonts w:cs="Times New Roman"/>
          <w:color w:val="auto"/>
          <w:highlight w:val="none"/>
        </w:rPr>
        <w:t>《环境空气质量标准》（GB3095-2012）</w:t>
      </w:r>
      <w:r>
        <w:rPr>
          <w:rFonts w:hint="eastAsia" w:cs="Times New Roman"/>
          <w:color w:val="auto"/>
          <w:highlight w:val="none"/>
          <w:lang w:val="en-US" w:eastAsia="zh-CN"/>
        </w:rPr>
        <w:t>表2中二级标准浓度限值要求，臭气浓度未检出</w:t>
      </w:r>
      <w:r>
        <w:rPr>
          <w:rFonts w:cs="Times New Roman"/>
          <w:color w:val="auto"/>
          <w:highlight w:val="none"/>
        </w:rPr>
        <w:t>。</w:t>
      </w:r>
    </w:p>
    <w:p w14:paraId="19EAC8D4">
      <w:pPr>
        <w:pStyle w:val="4"/>
        <w:pageBreakBefore w:val="0"/>
        <w:widowControl w:val="0"/>
        <w:kinsoku/>
        <w:wordWrap/>
        <w:overflowPunct/>
        <w:topLinePunct w:val="0"/>
        <w:autoSpaceDE/>
        <w:autoSpaceDN/>
        <w:bidi w:val="0"/>
        <w:spacing w:after="0" w:afterLines="0" w:line="520" w:lineRule="atLeast"/>
        <w:textAlignment w:val="auto"/>
        <w:rPr>
          <w:rFonts w:cs="Times New Roman"/>
          <w:color w:val="auto"/>
          <w:highlight w:val="none"/>
          <w:lang w:val="zh-CN"/>
        </w:rPr>
      </w:pPr>
      <w:bookmarkStart w:id="267" w:name="_Toc12565"/>
      <w:r>
        <w:rPr>
          <w:rFonts w:cs="Times New Roman"/>
          <w:color w:val="auto"/>
          <w:highlight w:val="none"/>
          <w:lang w:val="zh-CN"/>
        </w:rPr>
        <w:t>4.2.</w:t>
      </w:r>
      <w:r>
        <w:rPr>
          <w:rFonts w:cs="Times New Roman"/>
          <w:color w:val="auto"/>
          <w:highlight w:val="none"/>
        </w:rPr>
        <w:t>2</w:t>
      </w:r>
      <w:r>
        <w:rPr>
          <w:rFonts w:cs="Times New Roman"/>
          <w:color w:val="auto"/>
          <w:highlight w:val="none"/>
          <w:lang w:val="zh-CN"/>
        </w:rPr>
        <w:t xml:space="preserve"> 地表水环境质量现状评价</w:t>
      </w:r>
      <w:bookmarkEnd w:id="267"/>
    </w:p>
    <w:p w14:paraId="0BF014D7">
      <w:pPr>
        <w:pStyle w:val="117"/>
        <w:pageBreakBefore w:val="0"/>
        <w:widowControl w:val="0"/>
        <w:kinsoku/>
        <w:wordWrap/>
        <w:overflowPunct/>
        <w:topLinePunct w:val="0"/>
        <w:autoSpaceDE/>
        <w:autoSpaceDN/>
        <w:bidi w:val="0"/>
        <w:spacing w:line="520" w:lineRule="atLeast"/>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根据《202</w:t>
      </w:r>
      <w:r>
        <w:rPr>
          <w:rFonts w:hint="eastAsia" w:cs="Times New Roman"/>
          <w:color w:val="auto"/>
          <w:highlight w:val="none"/>
          <w:lang w:val="en-US" w:eastAsia="zh-CN"/>
        </w:rPr>
        <w:t>4</w:t>
      </w:r>
      <w:r>
        <w:rPr>
          <w:rFonts w:hint="eastAsia" w:ascii="Times New Roman" w:hAnsi="Times New Roman" w:eastAsia="宋体" w:cs="Times New Roman"/>
          <w:color w:val="auto"/>
          <w:highlight w:val="none"/>
        </w:rPr>
        <w:t>年黑龙江省生态环境质量状况》中的数据，双鸭山市参与国家考核计算的断面共6个，</w:t>
      </w:r>
      <w:r>
        <w:rPr>
          <w:rFonts w:hint="eastAsia" w:ascii="Times New Roman" w:hAnsi="Times New Roman" w:eastAsia="宋体" w:cs="Times New Roman"/>
          <w:color w:val="auto"/>
          <w:highlight w:val="none"/>
        </w:rPr>
        <w:fldChar w:fldCharType="begin"/>
      </w:r>
      <w:r>
        <w:rPr>
          <w:rFonts w:hint="eastAsia" w:ascii="Times New Roman" w:hAnsi="Times New Roman" w:eastAsia="宋体" w:cs="Times New Roman"/>
          <w:color w:val="auto"/>
          <w:highlight w:val="none"/>
        </w:rPr>
        <w:instrText xml:space="preserve"> = 2 \* ROMAN \* MERGEFORMAT </w:instrText>
      </w:r>
      <w:r>
        <w:rPr>
          <w:rFonts w:hint="eastAsia" w:ascii="Times New Roman" w:hAnsi="Times New Roman" w:eastAsia="宋体" w:cs="Times New Roman"/>
          <w:color w:val="auto"/>
          <w:highlight w:val="none"/>
        </w:rPr>
        <w:fldChar w:fldCharType="separate"/>
      </w:r>
      <w:r>
        <w:rPr>
          <w:color w:val="auto"/>
          <w:highlight w:val="none"/>
        </w:rPr>
        <w:t>II</w:t>
      </w:r>
      <w:r>
        <w:rPr>
          <w:rFonts w:hint="eastAsia" w:ascii="Times New Roman" w:hAnsi="Times New Roman" w:eastAsia="宋体" w:cs="Times New Roman"/>
          <w:color w:val="auto"/>
          <w:highlight w:val="none"/>
        </w:rPr>
        <w:fldChar w:fldCharType="end"/>
      </w:r>
      <w:r>
        <w:rPr>
          <w:rFonts w:hint="eastAsia" w:ascii="Times New Roman" w:hAnsi="Times New Roman" w:eastAsia="宋体" w:cs="Times New Roman"/>
          <w:color w:val="auto"/>
          <w:highlight w:val="none"/>
        </w:rPr>
        <w:t>~Ⅲ类水质比例为66.7%，无劣V类水质断面。与上年同期相比，</w:t>
      </w:r>
      <w:r>
        <w:rPr>
          <w:rFonts w:hint="eastAsia" w:ascii="Times New Roman" w:hAnsi="Times New Roman" w:eastAsia="宋体" w:cs="Times New Roman"/>
          <w:color w:val="auto"/>
          <w:highlight w:val="none"/>
        </w:rPr>
        <w:fldChar w:fldCharType="begin"/>
      </w:r>
      <w:r>
        <w:rPr>
          <w:rFonts w:hint="eastAsia" w:ascii="Times New Roman" w:hAnsi="Times New Roman" w:eastAsia="宋体" w:cs="Times New Roman"/>
          <w:color w:val="auto"/>
          <w:highlight w:val="none"/>
        </w:rPr>
        <w:instrText xml:space="preserve"> = 2 \* ROMAN \* MERGEFORMAT </w:instrText>
      </w:r>
      <w:r>
        <w:rPr>
          <w:rFonts w:hint="eastAsia" w:ascii="Times New Roman" w:hAnsi="Times New Roman" w:eastAsia="宋体" w:cs="Times New Roman"/>
          <w:color w:val="auto"/>
          <w:highlight w:val="none"/>
        </w:rPr>
        <w:fldChar w:fldCharType="separate"/>
      </w:r>
      <w:r>
        <w:rPr>
          <w:color w:val="auto"/>
          <w:highlight w:val="none"/>
        </w:rPr>
        <w:t>II</w:t>
      </w:r>
      <w:r>
        <w:rPr>
          <w:rFonts w:hint="eastAsia" w:ascii="Times New Roman" w:hAnsi="Times New Roman" w:eastAsia="宋体" w:cs="Times New Roman"/>
          <w:color w:val="auto"/>
          <w:highlight w:val="none"/>
        </w:rPr>
        <w:fldChar w:fldCharType="end"/>
      </w:r>
      <w:r>
        <w:rPr>
          <w:rFonts w:hint="eastAsia" w:ascii="Times New Roman" w:hAnsi="Times New Roman" w:eastAsia="宋体" w:cs="Times New Roman"/>
          <w:color w:val="auto"/>
          <w:highlight w:val="none"/>
        </w:rPr>
        <w:t>~Ⅲ类水质比例保持不变，均无劣V类水质断面。</w:t>
      </w:r>
      <w:r>
        <w:rPr>
          <w:rFonts w:hint="eastAsia" w:cs="Times New Roman"/>
          <w:color w:val="auto"/>
          <w:highlight w:val="none"/>
          <w:lang w:val="en-US" w:eastAsia="zh-CN"/>
        </w:rPr>
        <w:t>安邦河段本项目位置</w:t>
      </w:r>
      <w:r>
        <w:rPr>
          <w:rFonts w:hint="eastAsia" w:ascii="Times New Roman" w:hAnsi="Times New Roman" w:eastAsia="宋体" w:cs="Times New Roman"/>
          <w:color w:val="auto"/>
          <w:highlight w:val="none"/>
        </w:rPr>
        <w:t>水质满足《地表水环境质量标准》（GB3838-2002）中Ⅲ类标准，可达到水体功能区规划目标。</w:t>
      </w:r>
    </w:p>
    <w:p w14:paraId="4C6B880A">
      <w:pPr>
        <w:adjustRightInd w:val="0"/>
        <w:snapToGrid w:val="0"/>
        <w:spacing w:line="360" w:lineRule="auto"/>
        <w:ind w:left="0" w:leftChars="0" w:firstLine="0" w:firstLineChars="0"/>
        <w:rPr>
          <w:color w:val="auto"/>
          <w:highlight w:val="none"/>
        </w:rPr>
      </w:pPr>
      <w:r>
        <w:rPr>
          <w:color w:val="auto"/>
          <w:sz w:val="21"/>
          <w:highlight w:val="none"/>
        </w:rPr>
        <mc:AlternateContent>
          <mc:Choice Requires="wpg">
            <w:drawing>
              <wp:anchor distT="0" distB="0" distL="114300" distR="114300" simplePos="0" relativeHeight="251689984" behindDoc="0" locked="0" layoutInCell="1" allowOverlap="1">
                <wp:simplePos x="0" y="0"/>
                <wp:positionH relativeFrom="column">
                  <wp:posOffset>3303270</wp:posOffset>
                </wp:positionH>
                <wp:positionV relativeFrom="paragraph">
                  <wp:posOffset>2713990</wp:posOffset>
                </wp:positionV>
                <wp:extent cx="1899920" cy="541655"/>
                <wp:effectExtent l="4445" t="0" r="0" b="8890"/>
                <wp:wrapNone/>
                <wp:docPr id="185" name="组合 185"/>
                <wp:cNvGraphicFramePr/>
                <a:graphic xmlns:a="http://schemas.openxmlformats.org/drawingml/2006/main">
                  <a:graphicData uri="http://schemas.microsoft.com/office/word/2010/wordprocessingGroup">
                    <wpg:wgp>
                      <wpg:cNvGrpSpPr/>
                      <wpg:grpSpPr>
                        <a:xfrm>
                          <a:off x="0" y="0"/>
                          <a:ext cx="1899920" cy="541631"/>
                          <a:chOff x="5413" y="1647579"/>
                          <a:chExt cx="2942" cy="931"/>
                        </a:xfrm>
                      </wpg:grpSpPr>
                      <wps:wsp>
                        <wps:cNvPr id="183" name="矩形 183"/>
                        <wps:cNvSpPr/>
                        <wps:spPr>
                          <a:xfrm>
                            <a:off x="6256" y="1647579"/>
                            <a:ext cx="2099" cy="614"/>
                          </a:xfrm>
                          <a:prstGeom prst="rect">
                            <a:avLst/>
                          </a:prstGeom>
                          <a:noFill/>
                          <a:ln>
                            <a:noFill/>
                          </a:ln>
                        </wps:spPr>
                        <wps:txbx>
                          <w:txbxContent>
                            <w:p w14:paraId="15824900">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default" w:eastAsia="宋体"/>
                                  <w:b/>
                                  <w:bCs/>
                                  <w:color w:val="FF0000"/>
                                  <w:lang w:val="en-US" w:eastAsia="zh-CN"/>
                                </w:rPr>
                              </w:pPr>
                              <w:r>
                                <w:rPr>
                                  <w:rFonts w:hint="eastAsia"/>
                                  <w:b/>
                                  <w:bCs/>
                                  <w:color w:val="FF0000"/>
                                  <w:lang w:val="en-US" w:eastAsia="zh-CN"/>
                                </w:rPr>
                                <w:t>本项目所在区域</w:t>
                              </w:r>
                            </w:p>
                          </w:txbxContent>
                        </wps:txbx>
                        <wps:bodyPr upright="1"/>
                      </wps:wsp>
                      <wps:wsp>
                        <wps:cNvPr id="181" name="椭圆 181"/>
                        <wps:cNvSpPr/>
                        <wps:spPr>
                          <a:xfrm>
                            <a:off x="5413" y="1648273"/>
                            <a:ext cx="266" cy="237"/>
                          </a:xfrm>
                          <a:prstGeom prst="ellipse">
                            <a:avLst/>
                          </a:prstGeom>
                          <a:noFill/>
                          <a:ln w="9525" cap="flat" cmpd="sng">
                            <a:solidFill>
                              <a:srgbClr val="FF0000"/>
                            </a:solidFill>
                            <a:prstDash val="solid"/>
                            <a:headEnd type="none" w="med" len="med"/>
                            <a:tailEnd type="none" w="med" len="med"/>
                          </a:ln>
                        </wps:spPr>
                        <wps:txbx>
                          <w:txbxContent>
                            <w:p w14:paraId="3C56B38F"/>
                          </w:txbxContent>
                        </wps:txbx>
                        <wps:bodyPr upright="1"/>
                      </wps:wsp>
                      <wps:wsp>
                        <wps:cNvPr id="184" name="直接连接符 184"/>
                        <wps:cNvCnPr/>
                        <wps:spPr>
                          <a:xfrm flipV="1">
                            <a:off x="5731" y="1647891"/>
                            <a:ext cx="630" cy="468"/>
                          </a:xfrm>
                          <a:prstGeom prst="line">
                            <a:avLst/>
                          </a:prstGeom>
                          <a:ln w="9525" cap="flat" cmpd="sng">
                            <a:solidFill>
                              <a:srgbClr val="FF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260.1pt;margin-top:213.7pt;height:42.65pt;width:149.6pt;z-index:251689984;mso-width-relative:page;mso-height-relative:page;" coordorigin="5413,1647579" coordsize="2942,931" o:gfxdata="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STb0D9sAAAALAQAADwAAAAAAAAABACAAAAAiAAAAZHJzL2Rvd25yZXYueG1sUEsBAhQA&#10;FAAAAAgAh07iQGp9K3QMAwAAuggAAA4AAAAAAAAAAQAgAAAAKgEAAGRycy9lMm9Eb2MueG1sUEsF&#10;BgAAAAAGAAYAWQEAAKgGAAAAAA==&#10;">
                <o:lock v:ext="edit" aspectratio="f"/>
                <v:rect id="_x0000_s1026" o:spid="_x0000_s1026" o:spt="1" style="position:absolute;left:6256;top:1647579;height:614;width:2099;" filled="f" stroked="f" coordsize="21600,21600" o:gfxdata="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S0Bs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15824900">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default" w:eastAsia="宋体"/>
                            <w:b/>
                            <w:bCs/>
                            <w:color w:val="FF0000"/>
                            <w:lang w:val="en-US" w:eastAsia="zh-CN"/>
                          </w:rPr>
                        </w:pPr>
                        <w:r>
                          <w:rPr>
                            <w:rFonts w:hint="eastAsia"/>
                            <w:b/>
                            <w:bCs/>
                            <w:color w:val="FF0000"/>
                            <w:lang w:val="en-US" w:eastAsia="zh-CN"/>
                          </w:rPr>
                          <w:t>本项目所在区域</w:t>
                        </w:r>
                      </w:p>
                    </w:txbxContent>
                  </v:textbox>
                </v:rect>
                <v:shape id="_x0000_s1026" o:spid="_x0000_s1026" o:spt="3" type="#_x0000_t3" style="position:absolute;left:5413;top:1648273;height:237;width:266;" filled="f" stroked="t" coordsize="21600,21600" o:gfxdata="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WsTUrsAAADc&#10;AAAADwAAAAAAAAABACAAAAAiAAAAZHJzL2Rvd25yZXYueG1sUEsBAhQAFAAAAAgAh07iQDMvBZ47&#10;AAAAOQAAABAAAAAAAAAAAQAgAAAACgEAAGRycy9zaGFwZXhtbC54bWxQSwUGAAAAAAYABgBbAQAA&#10;tAMAAAAA&#10;">
                  <v:fill on="f" focussize="0,0"/>
                  <v:stroke color="#FF0000" joinstyle="round"/>
                  <v:imagedata o:title=""/>
                  <o:lock v:ext="edit" aspectratio="f"/>
                  <v:textbox>
                    <w:txbxContent>
                      <w:p w14:paraId="3C56B38F"/>
                    </w:txbxContent>
                  </v:textbox>
                </v:shape>
                <v:line id="_x0000_s1026" o:spid="_x0000_s1026" o:spt="20" style="position:absolute;left:5731;top:1647891;flip:y;height:468;width:630;" filled="f" stroked="t" coordsize="21600,21600" o:gfxdata="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mIZW8AAAA&#10;3AAAAA8AAAAAAAAAAQAgAAAAIgAAAGRycy9kb3ducmV2LnhtbFBLAQIUABQAAAAIAIdO4kAzLwWe&#10;OwAAADkAAAAQAAAAAAAAAAEAIAAAAAsBAABkcnMvc2hhcGV4bWwueG1sUEsFBgAAAAAGAAYAWwEA&#10;ALUDAAAAAA==&#10;">
                  <v:fill on="f" focussize="0,0"/>
                  <v:stroke color="#FF0000" joinstyle="round"/>
                  <v:imagedata o:title=""/>
                  <o:lock v:ext="edit" aspectratio="f"/>
                </v:line>
              </v:group>
            </w:pict>
          </mc:Fallback>
        </mc:AlternateContent>
      </w:r>
      <w:r>
        <w:rPr>
          <w:color w:val="auto"/>
          <w:highlight w:val="none"/>
        </w:rPr>
        <w:drawing>
          <wp:inline distT="0" distB="0" distL="114300" distR="114300">
            <wp:extent cx="5274310" cy="4391660"/>
            <wp:effectExtent l="0" t="0" r="2540" b="8890"/>
            <wp:docPr id="1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3"/>
                    <pic:cNvPicPr>
                      <a:picLocks noChangeAspect="1"/>
                    </pic:cNvPicPr>
                  </pic:nvPicPr>
                  <pic:blipFill>
                    <a:blip r:embed="rId40"/>
                    <a:stretch>
                      <a:fillRect/>
                    </a:stretch>
                  </pic:blipFill>
                  <pic:spPr>
                    <a:xfrm>
                      <a:off x="0" y="0"/>
                      <a:ext cx="5274310" cy="4391660"/>
                    </a:xfrm>
                    <a:prstGeom prst="rect">
                      <a:avLst/>
                    </a:prstGeom>
                    <a:noFill/>
                    <a:ln>
                      <a:noFill/>
                    </a:ln>
                  </pic:spPr>
                </pic:pic>
              </a:graphicData>
            </a:graphic>
          </wp:inline>
        </w:drawing>
      </w:r>
    </w:p>
    <w:p w14:paraId="2B47266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
          <w:color w:val="auto"/>
          <w:szCs w:val="21"/>
          <w:highlight w:val="none"/>
        </w:rPr>
      </w:pPr>
      <w:r>
        <w:rPr>
          <w:b/>
          <w:color w:val="auto"/>
          <w:szCs w:val="21"/>
          <w:highlight w:val="none"/>
        </w:rPr>
        <w:t>图</w:t>
      </w:r>
      <w:r>
        <w:rPr>
          <w:rFonts w:hint="eastAsia"/>
          <w:b/>
          <w:color w:val="auto"/>
          <w:szCs w:val="21"/>
          <w:highlight w:val="none"/>
          <w:lang w:val="en-US" w:eastAsia="zh-CN"/>
        </w:rPr>
        <w:t>4.2-2</w:t>
      </w:r>
      <w:r>
        <w:rPr>
          <w:b/>
          <w:color w:val="auto"/>
          <w:szCs w:val="21"/>
          <w:highlight w:val="none"/>
        </w:rPr>
        <w:t xml:space="preserve">  </w:t>
      </w:r>
      <w:r>
        <w:rPr>
          <w:rFonts w:hint="eastAsia"/>
          <w:b/>
          <w:color w:val="auto"/>
          <w:szCs w:val="21"/>
          <w:highlight w:val="none"/>
          <w:lang w:val="en-US" w:eastAsia="zh-CN"/>
        </w:rPr>
        <w:t>黑龙江省地表水水质状况示意</w:t>
      </w:r>
      <w:r>
        <w:rPr>
          <w:b/>
          <w:color w:val="auto"/>
          <w:szCs w:val="21"/>
          <w:highlight w:val="none"/>
        </w:rPr>
        <w:t>图</w:t>
      </w:r>
    </w:p>
    <w:p w14:paraId="49837691">
      <w:pPr>
        <w:pStyle w:val="4"/>
        <w:spacing w:after="163"/>
        <w:rPr>
          <w:rFonts w:cs="Times New Roman"/>
          <w:color w:val="auto"/>
          <w:highlight w:val="none"/>
          <w:lang w:val="zh-CN"/>
        </w:rPr>
      </w:pPr>
      <w:bookmarkStart w:id="268" w:name="_Toc4149"/>
      <w:r>
        <w:rPr>
          <w:rFonts w:cs="Times New Roman"/>
          <w:color w:val="auto"/>
          <w:highlight w:val="none"/>
          <w:lang w:val="zh-CN"/>
        </w:rPr>
        <w:t>4.2.3 地下水环境质量现状评价</w:t>
      </w:r>
      <w:bookmarkEnd w:id="268"/>
    </w:p>
    <w:p w14:paraId="42267E1D">
      <w:pPr>
        <w:rPr>
          <w:rFonts w:ascii="Times New Roman" w:hAnsi="Times New Roman" w:eastAsia="宋体" w:cs="Times New Roman"/>
          <w:color w:val="auto"/>
          <w:highlight w:val="none"/>
        </w:rPr>
      </w:pPr>
      <w:r>
        <w:rPr>
          <w:rFonts w:cs="Times New Roman"/>
          <w:color w:val="auto"/>
          <w:highlight w:val="none"/>
        </w:rPr>
        <w:t>本项目地下水环境质量现</w:t>
      </w:r>
      <w:r>
        <w:rPr>
          <w:rFonts w:ascii="Times New Roman" w:hAnsi="Times New Roman" w:eastAsia="宋体" w:cs="Times New Roman"/>
          <w:color w:val="auto"/>
          <w:highlight w:val="none"/>
        </w:rPr>
        <w:t>状委托</w:t>
      </w:r>
      <w:r>
        <w:rPr>
          <w:rFonts w:hint="eastAsia" w:ascii="Times New Roman" w:hAnsi="Times New Roman" w:eastAsia="宋体" w:cs="Times New Roman"/>
          <w:color w:val="auto"/>
          <w:highlight w:val="none"/>
          <w:lang w:eastAsia="zh-CN"/>
        </w:rPr>
        <w:t>黑龙江汉风环境检测技术有限公司</w:t>
      </w:r>
      <w:r>
        <w:rPr>
          <w:rFonts w:ascii="Times New Roman" w:hAnsi="Times New Roman" w:eastAsia="宋体" w:cs="Times New Roman"/>
          <w:color w:val="auto"/>
          <w:highlight w:val="none"/>
        </w:rPr>
        <w:t>进行监测。</w:t>
      </w:r>
    </w:p>
    <w:p w14:paraId="46D33182">
      <w:pPr>
        <w:ind w:firstLine="482"/>
        <w:rPr>
          <w:rFonts w:cs="Times New Roman"/>
          <w:b/>
          <w:snapToGrid w:val="0"/>
          <w:color w:val="auto"/>
          <w:kern w:val="0"/>
          <w:highlight w:val="none"/>
        </w:rPr>
      </w:pPr>
      <w:r>
        <w:rPr>
          <w:rFonts w:cs="Times New Roman"/>
          <w:b/>
          <w:snapToGrid w:val="0"/>
          <w:color w:val="auto"/>
          <w:kern w:val="0"/>
          <w:highlight w:val="none"/>
        </w:rPr>
        <w:t>1、监测因子</w:t>
      </w:r>
    </w:p>
    <w:p w14:paraId="6B33C96C">
      <w:pPr>
        <w:rPr>
          <w:rFonts w:hint="default" w:ascii="Times New Roman" w:hAnsi="Times New Roman" w:cs="Times New Roman"/>
          <w:bCs/>
          <w:snapToGrid w:val="0"/>
          <w:color w:val="auto"/>
          <w:kern w:val="0"/>
          <w:sz w:val="24"/>
          <w:szCs w:val="24"/>
          <w:highlight w:val="none"/>
        </w:rPr>
      </w:pPr>
      <w:r>
        <w:rPr>
          <w:rFonts w:hint="default" w:ascii="Times New Roman" w:hAnsi="Times New Roman" w:cs="Times New Roman"/>
          <w:bCs/>
          <w:color w:val="auto"/>
          <w:sz w:val="24"/>
          <w:szCs w:val="24"/>
          <w:highlight w:val="none"/>
        </w:rPr>
        <w:t>根据项目特点和可能对地下水的影响，结合评价区地下水水化学特征，确定如下监测因子：</w:t>
      </w:r>
      <w:r>
        <w:rPr>
          <w:rFonts w:hint="default" w:ascii="Times New Roman" w:hAnsi="Times New Roman" w:eastAsia="宋体" w:cs="Times New Roman"/>
          <w:color w:val="auto"/>
          <w:sz w:val="24"/>
          <w:szCs w:val="24"/>
          <w:highlight w:val="none"/>
        </w:rPr>
        <w:t>K</w:t>
      </w:r>
      <w:r>
        <w:rPr>
          <w:rFonts w:hint="default" w:ascii="Times New Roman" w:hAnsi="Times New Roman" w:eastAsia="宋体" w:cs="Times New Roman"/>
          <w:color w:val="auto"/>
          <w:sz w:val="24"/>
          <w:szCs w:val="24"/>
          <w:highlight w:val="none"/>
          <w:vertAlign w:val="superscript"/>
        </w:rPr>
        <w:t>+</w:t>
      </w:r>
      <w:r>
        <w:rPr>
          <w:rFonts w:hint="default" w:ascii="Times New Roman" w:hAnsi="Times New Roman" w:eastAsia="宋体" w:cs="Times New Roman"/>
          <w:color w:val="auto"/>
          <w:sz w:val="24"/>
          <w:szCs w:val="24"/>
          <w:highlight w:val="none"/>
        </w:rPr>
        <w:t>、Na</w:t>
      </w:r>
      <w:r>
        <w:rPr>
          <w:rFonts w:hint="default" w:ascii="Times New Roman" w:hAnsi="Times New Roman" w:eastAsia="宋体" w:cs="Times New Roman"/>
          <w:color w:val="auto"/>
          <w:sz w:val="24"/>
          <w:szCs w:val="24"/>
          <w:highlight w:val="none"/>
          <w:vertAlign w:val="superscript"/>
        </w:rPr>
        <w:t>+</w:t>
      </w:r>
      <w:r>
        <w:rPr>
          <w:rFonts w:hint="default" w:ascii="Times New Roman" w:hAnsi="Times New Roman" w:eastAsia="宋体" w:cs="Times New Roman"/>
          <w:color w:val="auto"/>
          <w:sz w:val="24"/>
          <w:szCs w:val="24"/>
          <w:highlight w:val="none"/>
        </w:rPr>
        <w:t>、Ca</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、Mg</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、CO</w:t>
      </w:r>
      <w:r>
        <w:rPr>
          <w:rFonts w:hint="default" w:ascii="Times New Roman" w:hAnsi="Times New Roman" w:eastAsia="宋体" w:cs="Times New Roman"/>
          <w:color w:val="auto"/>
          <w:sz w:val="24"/>
          <w:szCs w:val="24"/>
          <w:highlight w:val="none"/>
          <w:vertAlign w:val="subscript"/>
        </w:rPr>
        <w:t>3</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、HCO</w:t>
      </w:r>
      <w:r>
        <w:rPr>
          <w:rFonts w:hint="default" w:ascii="Times New Roman" w:hAnsi="Times New Roman" w:eastAsia="宋体" w:cs="Times New Roman"/>
          <w:color w:val="auto"/>
          <w:sz w:val="24"/>
          <w:szCs w:val="24"/>
          <w:highlight w:val="none"/>
          <w:vertAlign w:val="subscript"/>
        </w:rPr>
        <w:t>3</w:t>
      </w:r>
      <w:r>
        <w:rPr>
          <w:rFonts w:hint="default" w:ascii="Times New Roman" w:hAnsi="Times New Roman" w:eastAsia="宋体" w:cs="Times New Roman"/>
          <w:color w:val="auto"/>
          <w:sz w:val="24"/>
          <w:szCs w:val="24"/>
          <w:highlight w:val="none"/>
          <w:vertAlign w:val="superscript"/>
        </w:rPr>
        <w:t>-</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vertAlign w:val="baseline"/>
          <w:lang w:val="en-US" w:eastAsia="zh-CN"/>
        </w:rPr>
        <w:t>Cl</w:t>
      </w:r>
      <w:r>
        <w:rPr>
          <w:rFonts w:hint="default" w:ascii="Times New Roman" w:hAnsi="Times New Roman" w:eastAsia="宋体" w:cs="Times New Roman"/>
          <w:color w:val="auto"/>
          <w:sz w:val="24"/>
          <w:szCs w:val="24"/>
          <w:highlight w:val="none"/>
          <w:vertAlign w:val="superscript"/>
          <w:lang w:val="en-US" w:eastAsia="zh-CN"/>
        </w:rPr>
        <w:t>-</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SO</w:t>
      </w:r>
      <w:r>
        <w:rPr>
          <w:rFonts w:hint="default" w:ascii="Times New Roman" w:hAnsi="Times New Roman" w:eastAsia="宋体" w:cs="Times New Roman"/>
          <w:color w:val="auto"/>
          <w:sz w:val="24"/>
          <w:szCs w:val="24"/>
          <w:highlight w:val="none"/>
          <w:vertAlign w:val="subscript"/>
          <w:lang w:val="en-US" w:eastAsia="zh-CN"/>
        </w:rPr>
        <w:t>4</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vertAlign w:val="baseline"/>
          <w:lang w:val="en-US" w:eastAsia="zh-CN"/>
        </w:rPr>
        <w:t>、</w:t>
      </w:r>
      <w:r>
        <w:rPr>
          <w:rFonts w:hint="default" w:ascii="Times New Roman" w:hAnsi="Times New Roman" w:eastAsia="宋体" w:cs="Times New Roman"/>
          <w:color w:val="auto"/>
          <w:sz w:val="24"/>
          <w:szCs w:val="24"/>
          <w:highlight w:val="none"/>
        </w:rPr>
        <w:t>pH</w:t>
      </w:r>
      <w:r>
        <w:rPr>
          <w:rFonts w:hint="default" w:ascii="Times New Roman" w:hAnsi="Times New Roman" w:eastAsia="宋体" w:cs="Times New Roman"/>
          <w:color w:val="auto"/>
          <w:sz w:val="24"/>
          <w:szCs w:val="24"/>
          <w:highlight w:val="none"/>
          <w:lang w:val="en-US" w:eastAsia="zh-CN"/>
        </w:rPr>
        <w:t>值</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pacing w:val="-6"/>
          <w:sz w:val="24"/>
          <w:szCs w:val="24"/>
          <w:highlight w:val="none"/>
          <w:lang w:val="en-US" w:eastAsia="zh-CN"/>
        </w:rPr>
        <w:t>高锰酸盐指数</w:t>
      </w:r>
      <w:r>
        <w:rPr>
          <w:rFonts w:hint="eastAsia" w:ascii="Times New Roman" w:hAnsi="Times New Roman" w:eastAsia="宋体" w:cs="Times New Roman"/>
          <w:color w:val="auto"/>
          <w:spacing w:val="-6"/>
          <w:sz w:val="24"/>
          <w:szCs w:val="24"/>
          <w:highlight w:val="none"/>
          <w:lang w:val="en-US" w:eastAsia="zh-CN"/>
        </w:rPr>
        <w:t>（耗氧量）</w:t>
      </w:r>
      <w:r>
        <w:rPr>
          <w:rFonts w:hint="default" w:ascii="Times New Roman" w:hAnsi="Times New Roman" w:eastAsia="宋体" w:cs="Times New Roman"/>
          <w:color w:val="auto"/>
          <w:sz w:val="24"/>
          <w:szCs w:val="24"/>
          <w:highlight w:val="none"/>
        </w:rPr>
        <w:t>、氨氮、总硬度、硝酸盐（以N计）、亚硝酸盐（以N计）、硫酸盐、氯化物</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铁、锰、总大肠菌群、挥发酚</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类</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、氰化物、砷、汞、六价铬、镉、铅、氟</w:t>
      </w:r>
      <w:r>
        <w:rPr>
          <w:rFonts w:hint="default" w:ascii="Times New Roman" w:hAnsi="Times New Roman" w:eastAsia="宋体" w:cs="Times New Roman"/>
          <w:color w:val="auto"/>
          <w:sz w:val="24"/>
          <w:szCs w:val="24"/>
          <w:highlight w:val="none"/>
          <w:lang w:eastAsia="zh-CN"/>
        </w:rPr>
        <w:t>化物</w:t>
      </w:r>
      <w:r>
        <w:rPr>
          <w:rFonts w:hint="default" w:ascii="Times New Roman" w:hAnsi="Times New Roman" w:eastAsia="宋体" w:cs="Times New Roman"/>
          <w:color w:val="auto"/>
          <w:sz w:val="24"/>
          <w:szCs w:val="24"/>
          <w:highlight w:val="none"/>
        </w:rPr>
        <w:t>、溶解性总固体、</w:t>
      </w:r>
      <w:r>
        <w:rPr>
          <w:rFonts w:hint="default" w:ascii="Times New Roman" w:hAnsi="Times New Roman" w:eastAsia="宋体" w:cs="Times New Roman"/>
          <w:color w:val="auto"/>
          <w:sz w:val="24"/>
          <w:szCs w:val="24"/>
          <w:highlight w:val="none"/>
          <w:lang w:val="en-US" w:eastAsia="zh-CN"/>
        </w:rPr>
        <w:t>细菌总数、</w:t>
      </w:r>
      <w:r>
        <w:rPr>
          <w:rFonts w:hint="default" w:ascii="Times New Roman" w:hAnsi="Times New Roman" w:eastAsia="宋体" w:cs="Times New Roman"/>
          <w:bCs/>
          <w:color w:val="auto"/>
          <w:sz w:val="24"/>
          <w:szCs w:val="24"/>
          <w:highlight w:val="none"/>
          <w:lang w:val="en-US" w:eastAsia="zh-CN"/>
        </w:rPr>
        <w:t>石油类、总磷、总氮、</w:t>
      </w:r>
      <w:r>
        <w:rPr>
          <w:rFonts w:hint="default" w:ascii="Times New Roman" w:hAnsi="Times New Roman" w:eastAsia="宋体" w:cs="Times New Roman"/>
          <w:color w:val="auto"/>
          <w:sz w:val="24"/>
          <w:szCs w:val="24"/>
          <w:highlight w:val="none"/>
          <w:lang w:eastAsia="zh-CN"/>
        </w:rPr>
        <w:t>化学需氧量</w:t>
      </w:r>
      <w:r>
        <w:rPr>
          <w:rFonts w:hint="default" w:ascii="Times New Roman" w:hAnsi="Times New Roman" w:eastAsia="宋体" w:cs="Times New Roman"/>
          <w:b w:val="0"/>
          <w:bCs w:val="0"/>
          <w:color w:val="auto"/>
          <w:sz w:val="24"/>
          <w:szCs w:val="24"/>
          <w:highlight w:val="none"/>
          <w:lang w:val="en-US" w:eastAsia="zh-CN"/>
        </w:rPr>
        <w:t>、</w:t>
      </w:r>
      <w:r>
        <w:rPr>
          <w:rFonts w:hint="default" w:ascii="Times New Roman" w:hAnsi="Times New Roman" w:eastAsia="宋体" w:cs="Times New Roman"/>
          <w:color w:val="auto"/>
          <w:sz w:val="24"/>
          <w:szCs w:val="24"/>
          <w:highlight w:val="none"/>
          <w:lang w:eastAsia="zh-CN"/>
        </w:rPr>
        <w:t>生化需氧量</w:t>
      </w:r>
      <w:r>
        <w:rPr>
          <w:rFonts w:hint="default" w:ascii="Times New Roman" w:hAnsi="Times New Roman" w:cs="Times New Roman"/>
          <w:bCs/>
          <w:color w:val="auto"/>
          <w:sz w:val="24"/>
          <w:szCs w:val="24"/>
          <w:highlight w:val="none"/>
        </w:rPr>
        <w:t>等</w:t>
      </w:r>
      <w:r>
        <w:rPr>
          <w:rFonts w:hint="eastAsia" w:ascii="Times New Roman" w:hAnsi="Times New Roman" w:cs="Times New Roman"/>
          <w:bCs/>
          <w:color w:val="auto"/>
          <w:sz w:val="24"/>
          <w:szCs w:val="24"/>
          <w:highlight w:val="none"/>
          <w:lang w:val="en-US" w:eastAsia="zh-CN"/>
        </w:rPr>
        <w:t>34</w:t>
      </w:r>
      <w:r>
        <w:rPr>
          <w:rFonts w:hint="default" w:ascii="Times New Roman" w:hAnsi="Times New Roman" w:cs="Times New Roman"/>
          <w:bCs/>
          <w:color w:val="auto"/>
          <w:sz w:val="24"/>
          <w:szCs w:val="24"/>
          <w:highlight w:val="none"/>
        </w:rPr>
        <w:t>项。</w:t>
      </w:r>
    </w:p>
    <w:p w14:paraId="68C7FEB3">
      <w:pPr>
        <w:ind w:firstLine="482"/>
        <w:rPr>
          <w:rFonts w:cs="Times New Roman"/>
          <w:b/>
          <w:snapToGrid w:val="0"/>
          <w:color w:val="auto"/>
          <w:kern w:val="0"/>
          <w:highlight w:val="none"/>
        </w:rPr>
      </w:pPr>
      <w:r>
        <w:rPr>
          <w:rFonts w:cs="Times New Roman"/>
          <w:b/>
          <w:snapToGrid w:val="0"/>
          <w:color w:val="auto"/>
          <w:kern w:val="0"/>
          <w:highlight w:val="none"/>
        </w:rPr>
        <w:t>2、监测点位</w:t>
      </w:r>
    </w:p>
    <w:p w14:paraId="35766090">
      <w:pPr>
        <w:rPr>
          <w:rFonts w:cs="Times New Roman"/>
          <w:bCs/>
          <w:snapToGrid w:val="0"/>
          <w:color w:val="auto"/>
          <w:kern w:val="0"/>
          <w:highlight w:val="none"/>
        </w:rPr>
      </w:pPr>
      <w:r>
        <w:rPr>
          <w:rFonts w:hint="eastAsia" w:cs="Times New Roman"/>
          <w:bCs/>
          <w:snapToGrid w:val="0"/>
          <w:color w:val="auto"/>
          <w:kern w:val="0"/>
          <w:highlight w:val="none"/>
          <w:lang w:val="en-US" w:eastAsia="zh-CN"/>
        </w:rPr>
        <w:t>根据2.3.3小节，本项目</w:t>
      </w:r>
      <w:r>
        <w:rPr>
          <w:rFonts w:cs="Times New Roman"/>
          <w:bCs/>
          <w:snapToGrid w:val="0"/>
          <w:color w:val="auto"/>
          <w:kern w:val="0"/>
          <w:highlight w:val="none"/>
        </w:rPr>
        <w:t>地下水环境</w:t>
      </w:r>
      <w:r>
        <w:rPr>
          <w:rFonts w:hint="eastAsia" w:cs="Times New Roman"/>
          <w:bCs/>
          <w:snapToGrid w:val="0"/>
          <w:color w:val="auto"/>
          <w:kern w:val="0"/>
          <w:highlight w:val="none"/>
          <w:lang w:val="en-US" w:eastAsia="zh-CN"/>
        </w:rPr>
        <w:t>评价</w:t>
      </w:r>
      <w:r>
        <w:rPr>
          <w:rFonts w:cs="Times New Roman"/>
          <w:bCs/>
          <w:snapToGrid w:val="0"/>
          <w:color w:val="auto"/>
          <w:kern w:val="0"/>
          <w:highlight w:val="none"/>
        </w:rPr>
        <w:t>等级</w:t>
      </w:r>
      <w:r>
        <w:rPr>
          <w:rFonts w:hint="eastAsia" w:cs="Times New Roman"/>
          <w:bCs/>
          <w:snapToGrid w:val="0"/>
          <w:color w:val="auto"/>
          <w:kern w:val="0"/>
          <w:highlight w:val="none"/>
          <w:lang w:val="en-US" w:eastAsia="zh-CN"/>
        </w:rPr>
        <w:t>为</w:t>
      </w:r>
      <w:r>
        <w:rPr>
          <w:rFonts w:cs="Times New Roman"/>
          <w:bCs/>
          <w:snapToGrid w:val="0"/>
          <w:color w:val="auto"/>
          <w:kern w:val="0"/>
          <w:highlight w:val="none"/>
        </w:rPr>
        <w:t>三级，</w:t>
      </w:r>
      <w:r>
        <w:rPr>
          <w:rFonts w:hint="eastAsia" w:cs="Times New Roman"/>
          <w:bCs/>
          <w:snapToGrid w:val="0"/>
          <w:color w:val="auto"/>
          <w:kern w:val="0"/>
          <w:highlight w:val="none"/>
          <w:lang w:val="en-US" w:eastAsia="zh-CN"/>
        </w:rPr>
        <w:t>本项目依据《环境影响评价技术导则 地下水环境》（HJ610-2016）中“8.3.3.3现状监测点的布设原则  三级评价项目潜水含水层水质监测点应不少于3个，可能受建设项目影响且具有饮用水开发利用价值的含水层1~2个。原则上建设项目场地上游及下游影响区的地下水水质监测点各不得少于1个”进行布设地下水环境质量现状监测点。</w:t>
      </w:r>
      <w:r>
        <w:rPr>
          <w:rFonts w:hint="eastAsia" w:cs="Times New Roman"/>
          <w:color w:val="auto"/>
          <w:highlight w:val="none"/>
          <w:lang w:val="en-US" w:eastAsia="zh-CN"/>
        </w:rPr>
        <w:t>因此，</w:t>
      </w:r>
      <w:r>
        <w:rPr>
          <w:rFonts w:cs="Times New Roman"/>
          <w:bCs/>
          <w:snapToGrid w:val="0"/>
          <w:color w:val="auto"/>
          <w:kern w:val="0"/>
          <w:highlight w:val="none"/>
        </w:rPr>
        <w:t>本次地下水环境现状监测在评价范围内共布设</w:t>
      </w:r>
      <w:r>
        <w:rPr>
          <w:rFonts w:hint="eastAsia" w:cs="Times New Roman"/>
          <w:bCs/>
          <w:snapToGrid w:val="0"/>
          <w:color w:val="auto"/>
          <w:kern w:val="0"/>
          <w:highlight w:val="none"/>
          <w:lang w:val="en-US" w:eastAsia="zh-CN"/>
        </w:rPr>
        <w:t>6</w:t>
      </w:r>
      <w:r>
        <w:rPr>
          <w:rFonts w:cs="Times New Roman"/>
          <w:bCs/>
          <w:snapToGrid w:val="0"/>
          <w:color w:val="auto"/>
          <w:kern w:val="0"/>
          <w:highlight w:val="none"/>
        </w:rPr>
        <w:t>个地下水水位监测点和3个地下水水质监测点，分别分布于建设项目场地</w:t>
      </w:r>
      <w:r>
        <w:rPr>
          <w:rFonts w:hint="eastAsia" w:cs="Times New Roman"/>
          <w:bCs/>
          <w:snapToGrid w:val="0"/>
          <w:color w:val="auto"/>
          <w:kern w:val="0"/>
          <w:highlight w:val="none"/>
          <w:lang w:eastAsia="zh-CN"/>
        </w:rPr>
        <w:t>、</w:t>
      </w:r>
      <w:r>
        <w:rPr>
          <w:rFonts w:cs="Times New Roman"/>
          <w:bCs/>
          <w:snapToGrid w:val="0"/>
          <w:color w:val="auto"/>
          <w:kern w:val="0"/>
          <w:highlight w:val="none"/>
        </w:rPr>
        <w:t>上游及其下游</w:t>
      </w:r>
      <w:r>
        <w:rPr>
          <w:rFonts w:hint="eastAsia" w:cs="Times New Roman"/>
          <w:bCs/>
          <w:snapToGrid w:val="0"/>
          <w:color w:val="auto"/>
          <w:kern w:val="0"/>
          <w:highlight w:val="none"/>
          <w:lang w:eastAsia="zh-CN"/>
        </w:rPr>
        <w:t>，</w:t>
      </w:r>
      <w:r>
        <w:rPr>
          <w:rFonts w:cs="Times New Roman"/>
          <w:bCs/>
          <w:snapToGrid w:val="0"/>
          <w:color w:val="auto"/>
          <w:kern w:val="0"/>
          <w:highlight w:val="none"/>
        </w:rPr>
        <w:t>地下水环境质量现状监测点位见下表和图4-2-</w:t>
      </w:r>
      <w:r>
        <w:rPr>
          <w:rFonts w:hint="eastAsia" w:cs="Times New Roman"/>
          <w:bCs/>
          <w:snapToGrid w:val="0"/>
          <w:color w:val="auto"/>
          <w:kern w:val="0"/>
          <w:highlight w:val="none"/>
          <w:lang w:val="en-US" w:eastAsia="zh-CN"/>
        </w:rPr>
        <w:t>3</w:t>
      </w:r>
      <w:r>
        <w:rPr>
          <w:rFonts w:cs="Times New Roman"/>
          <w:bCs/>
          <w:snapToGrid w:val="0"/>
          <w:color w:val="auto"/>
          <w:kern w:val="0"/>
          <w:highlight w:val="none"/>
        </w:rPr>
        <w:t>。</w:t>
      </w:r>
      <w:r>
        <w:rPr>
          <w:rFonts w:hint="eastAsia" w:cs="Times New Roman"/>
          <w:bCs/>
          <w:snapToGrid w:val="0"/>
          <w:color w:val="auto"/>
          <w:kern w:val="0"/>
          <w:highlight w:val="none"/>
          <w:lang w:val="en-US" w:eastAsia="zh-CN"/>
        </w:rPr>
        <w:t>本项目所在地标高200米，</w:t>
      </w:r>
      <w:r>
        <w:rPr>
          <w:snapToGrid w:val="0"/>
          <w:color w:val="auto"/>
          <w:kern w:val="0"/>
          <w:sz w:val="24"/>
          <w:highlight w:val="none"/>
        </w:rPr>
        <w:t>含水层上覆稳定的</w:t>
      </w:r>
      <w:r>
        <w:rPr>
          <w:rFonts w:hint="eastAsia"/>
          <w:snapToGrid w:val="0"/>
          <w:color w:val="auto"/>
          <w:kern w:val="0"/>
          <w:sz w:val="24"/>
          <w:highlight w:val="none"/>
          <w:lang w:val="en-US" w:eastAsia="zh-CN"/>
        </w:rPr>
        <w:t>亚</w:t>
      </w:r>
      <w:r>
        <w:rPr>
          <w:snapToGrid w:val="0"/>
          <w:color w:val="auto"/>
          <w:kern w:val="0"/>
          <w:sz w:val="24"/>
          <w:highlight w:val="none"/>
        </w:rPr>
        <w:t>粘土覆盖层</w:t>
      </w:r>
      <w:r>
        <w:rPr>
          <w:rFonts w:hint="eastAsia"/>
          <w:snapToGrid w:val="0"/>
          <w:color w:val="auto"/>
          <w:kern w:val="0"/>
          <w:sz w:val="24"/>
          <w:highlight w:val="none"/>
          <w:lang w:eastAsia="zh-CN"/>
        </w:rPr>
        <w:t>，</w:t>
      </w:r>
      <w:r>
        <w:rPr>
          <w:rFonts w:hint="default" w:ascii="Times New Roman" w:hAnsi="Times New Roman" w:cs="Times New Roman"/>
          <w:color w:val="auto"/>
          <w:highlight w:val="none"/>
          <w:lang w:val="en-US" w:eastAsia="zh-CN"/>
        </w:rPr>
        <w:t>含水层由</w:t>
      </w:r>
      <w:r>
        <w:rPr>
          <w:rFonts w:hint="default" w:ascii="Times New Roman" w:hAnsi="Times New Roman" w:cs="Times New Roman"/>
          <w:color w:val="auto"/>
          <w:highlight w:val="none"/>
          <w:lang w:eastAsia="zh-CN"/>
        </w:rPr>
        <w:t>第四系全新统及第四系上更新统砂、砂砾石组成，多具承压性，局部为潜水，渗透系数为</w:t>
      </w:r>
      <w:r>
        <w:rPr>
          <w:rFonts w:hint="default" w:ascii="Times New Roman" w:hAnsi="Times New Roman" w:cs="Times New Roman"/>
          <w:color w:val="auto"/>
          <w:highlight w:val="none"/>
          <w:lang w:val="en-US" w:eastAsia="zh-CN"/>
        </w:rPr>
        <w:t>12.10-13.68m/d</w:t>
      </w:r>
      <w:r>
        <w:rPr>
          <w:rFonts w:hint="default" w:ascii="Times New Roman" w:hAnsi="Times New Roman" w:cs="Times New Roman"/>
          <w:color w:val="auto"/>
          <w:highlight w:val="none"/>
          <w:lang w:eastAsia="zh-CN"/>
        </w:rPr>
        <w:t>，含水层厚度为</w:t>
      </w:r>
      <w:r>
        <w:rPr>
          <w:rFonts w:hint="default" w:ascii="Times New Roman" w:hAnsi="Times New Roman" w:cs="Times New Roman"/>
          <w:color w:val="auto"/>
          <w:highlight w:val="none"/>
          <w:lang w:val="en-US" w:eastAsia="zh-CN"/>
        </w:rPr>
        <w:t>25-70m</w:t>
      </w:r>
      <w:r>
        <w:rPr>
          <w:rFonts w:hint="default" w:ascii="Times New Roman" w:hAnsi="Times New Roman" w:cs="Times New Roman"/>
          <w:color w:val="auto"/>
          <w:highlight w:val="none"/>
        </w:rPr>
        <w:t>，由南向北</w:t>
      </w:r>
      <w:r>
        <w:rPr>
          <w:rFonts w:hint="default" w:ascii="Times New Roman" w:hAnsi="Times New Roman" w:cs="Times New Roman"/>
          <w:color w:val="auto"/>
          <w:highlight w:val="none"/>
          <w:lang w:eastAsia="zh-CN"/>
        </w:rPr>
        <w:t>、由东向西</w:t>
      </w:r>
      <w:r>
        <w:rPr>
          <w:rFonts w:hint="default" w:ascii="Times New Roman" w:hAnsi="Times New Roman" w:cs="Times New Roman"/>
          <w:color w:val="auto"/>
          <w:highlight w:val="none"/>
        </w:rPr>
        <w:t>逐渐变厚，富水性也逐渐增大，地下水水位埋深</w:t>
      </w:r>
      <w:r>
        <w:rPr>
          <w:rFonts w:hint="default" w:ascii="Times New Roman" w:hAnsi="Times New Roman" w:cs="Times New Roman"/>
          <w:color w:val="auto"/>
          <w:highlight w:val="none"/>
          <w:lang w:eastAsia="zh-CN"/>
        </w:rPr>
        <w:t>一般为</w:t>
      </w:r>
      <w:r>
        <w:rPr>
          <w:rFonts w:hint="default" w:ascii="Times New Roman" w:hAnsi="Times New Roman" w:cs="Times New Roman"/>
          <w:color w:val="auto"/>
          <w:highlight w:val="none"/>
          <w:lang w:val="en-US" w:eastAsia="zh-CN"/>
        </w:rPr>
        <w:t>0.3</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2.0</w:t>
      </w:r>
      <w:r>
        <w:rPr>
          <w:rFonts w:hint="default" w:ascii="Times New Roman" w:hAnsi="Times New Roman" w:cs="Times New Roman"/>
          <w:color w:val="auto"/>
          <w:highlight w:val="none"/>
        </w:rPr>
        <w:t>m</w:t>
      </w:r>
      <w:r>
        <w:rPr>
          <w:rFonts w:hint="default" w:ascii="Times New Roman" w:hAnsi="Times New Roman" w:cs="Times New Roman"/>
          <w:color w:val="auto"/>
          <w:highlight w:val="none"/>
          <w:lang w:eastAsia="zh-CN"/>
        </w:rPr>
        <w:t>，局部大于</w:t>
      </w:r>
      <w:r>
        <w:rPr>
          <w:rFonts w:hint="default" w:ascii="Times New Roman" w:hAnsi="Times New Roman" w:cs="Times New Roman"/>
          <w:color w:val="auto"/>
          <w:highlight w:val="none"/>
          <w:lang w:val="en-US" w:eastAsia="zh-CN"/>
        </w:rPr>
        <w:t>2.0m</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eastAsia="zh-CN"/>
        </w:rPr>
        <w:t>推算</w:t>
      </w:r>
      <w:r>
        <w:rPr>
          <w:rFonts w:hint="default" w:ascii="Times New Roman" w:hAnsi="Times New Roman" w:cs="Times New Roman"/>
          <w:color w:val="auto"/>
          <w:highlight w:val="none"/>
        </w:rPr>
        <w:t>单井涌水量为1000-</w:t>
      </w:r>
      <w:r>
        <w:rPr>
          <w:rFonts w:hint="default" w:ascii="Times New Roman" w:hAnsi="Times New Roman" w:cs="Times New Roman"/>
          <w:color w:val="auto"/>
          <w:highlight w:val="none"/>
          <w:lang w:val="en-US" w:eastAsia="zh-CN"/>
        </w:rPr>
        <w:t>5</w:t>
      </w:r>
      <w:r>
        <w:rPr>
          <w:rFonts w:hint="default" w:ascii="Times New Roman" w:hAnsi="Times New Roman" w:cs="Times New Roman"/>
          <w:color w:val="auto"/>
          <w:highlight w:val="none"/>
        </w:rPr>
        <w:t>000m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w:t>
      </w:r>
      <w:r>
        <w:rPr>
          <w:rFonts w:hint="default" w:ascii="Times New Roman" w:hAnsi="Times New Roman" w:cs="Times New Roman"/>
          <w:color w:val="auto"/>
          <w:highlight w:val="none"/>
          <w:lang w:eastAsia="zh-CN"/>
        </w:rPr>
        <w:t>水量丰富</w:t>
      </w:r>
      <w:r>
        <w:rPr>
          <w:rFonts w:hint="default" w:ascii="Times New Roman" w:hAnsi="Times New Roman" w:cs="Times New Roman"/>
          <w:color w:val="auto"/>
          <w:highlight w:val="none"/>
        </w:rPr>
        <w:t>。</w:t>
      </w:r>
    </w:p>
    <w:p w14:paraId="5C7B7E1D">
      <w:pPr>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bCs/>
          <w:snapToGrid w:val="0"/>
          <w:color w:val="auto"/>
          <w:kern w:val="0"/>
          <w:highlight w:val="none"/>
        </w:rPr>
      </w:pPr>
      <w:r>
        <w:rPr>
          <w:rFonts w:hint="eastAsia" w:cs="Times New Roman"/>
          <w:bCs/>
          <w:snapToGrid w:val="0"/>
          <w:color w:val="auto"/>
          <w:kern w:val="0"/>
          <w:highlight w:val="none"/>
          <w:lang w:val="en-US" w:eastAsia="zh-CN"/>
        </w:rPr>
        <w:t>综上，本项目地下水环境质量现状监测点布设合理</w:t>
      </w:r>
      <w:r>
        <w:rPr>
          <w:rFonts w:cs="Times New Roman"/>
          <w:bCs/>
          <w:snapToGrid w:val="0"/>
          <w:color w:val="auto"/>
          <w:kern w:val="0"/>
          <w:highlight w:val="none"/>
        </w:rPr>
        <w:t>。</w:t>
      </w:r>
    </w:p>
    <w:p w14:paraId="76683A17">
      <w:pPr>
        <w:keepNext w:val="0"/>
        <w:keepLines w:val="0"/>
        <w:pageBreakBefore w:val="0"/>
        <w:widowControl w:val="0"/>
        <w:kinsoku/>
        <w:wordWrap/>
        <w:overflowPunct/>
        <w:topLinePunct w:val="0"/>
        <w:autoSpaceDE/>
        <w:autoSpaceDN/>
        <w:bidi w:val="0"/>
        <w:adjustRightInd w:val="0"/>
        <w:snapToGrid w:val="0"/>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6</w:t>
      </w:r>
      <w:r>
        <w:rPr>
          <w:rFonts w:cs="Times New Roman"/>
          <w:b/>
          <w:color w:val="auto"/>
          <w:szCs w:val="24"/>
          <w:highlight w:val="none"/>
        </w:rPr>
        <w:t xml:space="preserve">  地下水环境质量现状监测点位</w:t>
      </w:r>
    </w:p>
    <w:tbl>
      <w:tblPr>
        <w:tblStyle w:val="4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172"/>
        <w:gridCol w:w="1899"/>
        <w:gridCol w:w="800"/>
        <w:gridCol w:w="807"/>
        <w:gridCol w:w="1039"/>
        <w:gridCol w:w="1179"/>
        <w:gridCol w:w="993"/>
      </w:tblGrid>
      <w:tr w14:paraId="3FCC0A5D">
        <w:tblPrEx>
          <w:tblCellMar>
            <w:top w:w="0" w:type="dxa"/>
            <w:left w:w="108" w:type="dxa"/>
            <w:bottom w:w="0" w:type="dxa"/>
            <w:right w:w="108" w:type="dxa"/>
          </w:tblCellMar>
        </w:tblPrEx>
        <w:trPr>
          <w:trHeight w:val="825" w:hRule="atLeast"/>
          <w:jc w:val="center"/>
        </w:trPr>
        <w:tc>
          <w:tcPr>
            <w:tcW w:w="373" w:type="pct"/>
            <w:vAlign w:val="center"/>
          </w:tcPr>
          <w:p w14:paraId="7B4F1031">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编号</w:t>
            </w:r>
          </w:p>
        </w:tc>
        <w:tc>
          <w:tcPr>
            <w:tcW w:w="687" w:type="pct"/>
            <w:vAlign w:val="center"/>
          </w:tcPr>
          <w:p w14:paraId="2D5B3E7D">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性质</w:t>
            </w:r>
          </w:p>
        </w:tc>
        <w:tc>
          <w:tcPr>
            <w:tcW w:w="1113" w:type="pct"/>
            <w:vAlign w:val="center"/>
          </w:tcPr>
          <w:p w14:paraId="7C411E3B">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监测点位置</w:t>
            </w:r>
          </w:p>
        </w:tc>
        <w:tc>
          <w:tcPr>
            <w:tcW w:w="469" w:type="pct"/>
            <w:vAlign w:val="center"/>
          </w:tcPr>
          <w:p w14:paraId="008831B7">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井深（m）</w:t>
            </w:r>
          </w:p>
        </w:tc>
        <w:tc>
          <w:tcPr>
            <w:tcW w:w="473" w:type="pct"/>
            <w:vAlign w:val="center"/>
          </w:tcPr>
          <w:p w14:paraId="289984CF">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水位埋深（m）</w:t>
            </w:r>
          </w:p>
        </w:tc>
        <w:tc>
          <w:tcPr>
            <w:tcW w:w="609" w:type="pct"/>
            <w:vAlign w:val="center"/>
          </w:tcPr>
          <w:p w14:paraId="56EFD764">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水位标高（m）</w:t>
            </w:r>
          </w:p>
        </w:tc>
        <w:tc>
          <w:tcPr>
            <w:tcW w:w="691" w:type="pct"/>
            <w:vAlign w:val="center"/>
          </w:tcPr>
          <w:p w14:paraId="25993BAB">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井</w:t>
            </w:r>
            <w:r>
              <w:rPr>
                <w:rFonts w:hint="default" w:ascii="Times New Roman" w:hAnsi="Times New Roman" w:eastAsia="宋体" w:cs="Times New Roman"/>
                <w:color w:val="auto"/>
                <w:sz w:val="21"/>
                <w:szCs w:val="21"/>
                <w:highlight w:val="none"/>
              </w:rPr>
              <w:t>用途</w:t>
            </w:r>
          </w:p>
        </w:tc>
        <w:tc>
          <w:tcPr>
            <w:tcW w:w="582" w:type="pct"/>
            <w:vAlign w:val="center"/>
          </w:tcPr>
          <w:p w14:paraId="149934E2">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所属含水层</w:t>
            </w:r>
          </w:p>
        </w:tc>
      </w:tr>
      <w:tr w14:paraId="778419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373" w:type="pct"/>
            <w:shd w:val="clear" w:color="auto" w:fill="auto"/>
            <w:vAlign w:val="center"/>
          </w:tcPr>
          <w:p w14:paraId="5291B975">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w:t>
            </w:r>
            <w:r>
              <w:rPr>
                <w:rFonts w:hint="default" w:ascii="Times New Roman" w:hAnsi="Times New Roman" w:cs="Times New Roman"/>
                <w:color w:val="auto"/>
                <w:sz w:val="21"/>
                <w:szCs w:val="21"/>
                <w:highlight w:val="none"/>
              </w:rPr>
              <w:t>1</w:t>
            </w:r>
            <w:r>
              <w:rPr>
                <w:rFonts w:hint="default" w:ascii="Times New Roman" w:hAnsi="Times New Roman" w:cs="Times New Roman"/>
                <w:color w:val="auto"/>
                <w:kern w:val="2"/>
                <w:sz w:val="21"/>
                <w:szCs w:val="21"/>
                <w:highlight w:val="none"/>
                <w:lang w:val="en-US" w:eastAsia="zh-CN" w:bidi="ar-SA"/>
              </w:rPr>
              <w:t>#</w:t>
            </w:r>
          </w:p>
        </w:tc>
        <w:tc>
          <w:tcPr>
            <w:tcW w:w="687" w:type="pct"/>
            <w:shd w:val="clear" w:color="auto" w:fill="auto"/>
            <w:vAlign w:val="center"/>
          </w:tcPr>
          <w:p w14:paraId="796E8A7C">
            <w:pPr>
              <w:pStyle w:val="478"/>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color w:val="auto"/>
                <w:highlight w:val="none"/>
              </w:rPr>
              <w:t>地下水水</w:t>
            </w:r>
            <w:r>
              <w:rPr>
                <w:rFonts w:hint="eastAsia"/>
                <w:color w:val="auto"/>
                <w:highlight w:val="none"/>
                <w:lang w:val="en-US" w:eastAsia="zh-CN"/>
              </w:rPr>
              <w:t>位、水质</w:t>
            </w:r>
            <w:r>
              <w:rPr>
                <w:color w:val="auto"/>
                <w:highlight w:val="none"/>
              </w:rPr>
              <w:t>监测点</w:t>
            </w:r>
            <w:r>
              <w:rPr>
                <w:rFonts w:hint="eastAsia"/>
                <w:color w:val="auto"/>
                <w:highlight w:val="none"/>
                <w:lang w:val="en-US" w:eastAsia="zh-CN"/>
              </w:rPr>
              <w:t>W1</w:t>
            </w:r>
          </w:p>
        </w:tc>
        <w:tc>
          <w:tcPr>
            <w:tcW w:w="1113" w:type="pct"/>
            <w:vAlign w:val="center"/>
          </w:tcPr>
          <w:p w14:paraId="7C9A823C">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131.153724，46.555903</w:t>
            </w:r>
          </w:p>
        </w:tc>
        <w:tc>
          <w:tcPr>
            <w:tcW w:w="469" w:type="pct"/>
            <w:shd w:val="clear" w:color="auto" w:fill="auto"/>
            <w:vAlign w:val="center"/>
          </w:tcPr>
          <w:p w14:paraId="63787E17">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60</w:t>
            </w:r>
          </w:p>
        </w:tc>
        <w:tc>
          <w:tcPr>
            <w:tcW w:w="807" w:type="dxa"/>
            <w:vAlign w:val="center"/>
          </w:tcPr>
          <w:p w14:paraId="762D4B70">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14</w:t>
            </w:r>
          </w:p>
        </w:tc>
        <w:tc>
          <w:tcPr>
            <w:tcW w:w="609" w:type="pct"/>
            <w:vAlign w:val="center"/>
          </w:tcPr>
          <w:p w14:paraId="13AEEF8D">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186</w:t>
            </w:r>
          </w:p>
        </w:tc>
        <w:tc>
          <w:tcPr>
            <w:tcW w:w="691" w:type="pct"/>
            <w:vAlign w:val="center"/>
          </w:tcPr>
          <w:p w14:paraId="18156042">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生产用水井</w:t>
            </w:r>
          </w:p>
        </w:tc>
        <w:tc>
          <w:tcPr>
            <w:tcW w:w="582" w:type="pct"/>
            <w:vAlign w:val="center"/>
          </w:tcPr>
          <w:p w14:paraId="6AA50C9B">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潜水层</w:t>
            </w:r>
          </w:p>
        </w:tc>
      </w:tr>
      <w:tr w14:paraId="41140E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373" w:type="pct"/>
            <w:shd w:val="clear" w:color="auto" w:fill="auto"/>
            <w:vAlign w:val="center"/>
          </w:tcPr>
          <w:p w14:paraId="54D47720">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cs="Times New Roman"/>
                <w:color w:val="auto"/>
                <w:kern w:val="2"/>
                <w:sz w:val="21"/>
                <w:szCs w:val="21"/>
                <w:highlight w:val="none"/>
                <w:lang w:val="en-US" w:eastAsia="zh-CN" w:bidi="ar-SA"/>
              </w:rPr>
              <w:t>#</w:t>
            </w:r>
          </w:p>
        </w:tc>
        <w:tc>
          <w:tcPr>
            <w:tcW w:w="687" w:type="pct"/>
            <w:shd w:val="clear" w:color="auto" w:fill="auto"/>
            <w:vAlign w:val="center"/>
          </w:tcPr>
          <w:p w14:paraId="14AEECFE">
            <w:pPr>
              <w:pStyle w:val="478"/>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color w:val="auto"/>
                <w:highlight w:val="none"/>
              </w:rPr>
              <w:t>地下水水</w:t>
            </w:r>
            <w:r>
              <w:rPr>
                <w:rFonts w:hint="eastAsia"/>
                <w:color w:val="auto"/>
                <w:highlight w:val="none"/>
                <w:lang w:val="en-US" w:eastAsia="zh-CN"/>
              </w:rPr>
              <w:t>位、水质</w:t>
            </w:r>
            <w:r>
              <w:rPr>
                <w:color w:val="auto"/>
                <w:highlight w:val="none"/>
              </w:rPr>
              <w:t>监测点</w:t>
            </w:r>
            <w:r>
              <w:rPr>
                <w:rFonts w:hint="eastAsia"/>
                <w:color w:val="auto"/>
                <w:highlight w:val="none"/>
                <w:lang w:val="en-US" w:eastAsia="zh-CN"/>
              </w:rPr>
              <w:t>W2</w:t>
            </w:r>
          </w:p>
        </w:tc>
        <w:tc>
          <w:tcPr>
            <w:tcW w:w="1113" w:type="pct"/>
            <w:vAlign w:val="center"/>
          </w:tcPr>
          <w:p w14:paraId="1A20F2D2">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131.148809，46.558674</w:t>
            </w:r>
          </w:p>
        </w:tc>
        <w:tc>
          <w:tcPr>
            <w:tcW w:w="469" w:type="pct"/>
            <w:shd w:val="clear" w:color="auto" w:fill="auto"/>
            <w:vAlign w:val="center"/>
          </w:tcPr>
          <w:p w14:paraId="066B50B6">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w:t>
            </w:r>
          </w:p>
        </w:tc>
        <w:tc>
          <w:tcPr>
            <w:tcW w:w="807" w:type="dxa"/>
            <w:vAlign w:val="center"/>
          </w:tcPr>
          <w:p w14:paraId="3E584FC9">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15</w:t>
            </w:r>
          </w:p>
        </w:tc>
        <w:tc>
          <w:tcPr>
            <w:tcW w:w="609" w:type="pct"/>
            <w:vAlign w:val="center"/>
          </w:tcPr>
          <w:p w14:paraId="5F089A3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185</w:t>
            </w:r>
          </w:p>
        </w:tc>
        <w:tc>
          <w:tcPr>
            <w:tcW w:w="691" w:type="pct"/>
            <w:vAlign w:val="center"/>
          </w:tcPr>
          <w:p w14:paraId="78D3BAFE">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生产用水井</w:t>
            </w:r>
          </w:p>
        </w:tc>
        <w:tc>
          <w:tcPr>
            <w:tcW w:w="582" w:type="pct"/>
            <w:vAlign w:val="center"/>
          </w:tcPr>
          <w:p w14:paraId="43DDDBD7">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潜水层</w:t>
            </w:r>
          </w:p>
        </w:tc>
      </w:tr>
      <w:tr w14:paraId="4367FF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373" w:type="pct"/>
            <w:shd w:val="clear" w:color="auto" w:fill="auto"/>
            <w:vAlign w:val="center"/>
          </w:tcPr>
          <w:p w14:paraId="2B84A05A">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3</w:t>
            </w:r>
            <w:r>
              <w:rPr>
                <w:rFonts w:hint="default" w:ascii="Times New Roman" w:hAnsi="Times New Roman" w:cs="Times New Roman"/>
                <w:color w:val="auto"/>
                <w:kern w:val="2"/>
                <w:sz w:val="21"/>
                <w:szCs w:val="21"/>
                <w:highlight w:val="none"/>
                <w:lang w:val="en-US" w:eastAsia="zh-CN" w:bidi="ar-SA"/>
              </w:rPr>
              <w:t>#</w:t>
            </w:r>
          </w:p>
        </w:tc>
        <w:tc>
          <w:tcPr>
            <w:tcW w:w="687" w:type="pct"/>
            <w:shd w:val="clear" w:color="auto" w:fill="auto"/>
            <w:vAlign w:val="center"/>
          </w:tcPr>
          <w:p w14:paraId="242547B6">
            <w:pPr>
              <w:pStyle w:val="478"/>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color w:val="auto"/>
                <w:highlight w:val="none"/>
              </w:rPr>
              <w:t>地下水水</w:t>
            </w:r>
            <w:r>
              <w:rPr>
                <w:rFonts w:hint="eastAsia"/>
                <w:color w:val="auto"/>
                <w:highlight w:val="none"/>
                <w:lang w:val="en-US" w:eastAsia="zh-CN"/>
              </w:rPr>
              <w:t>位、水质</w:t>
            </w:r>
            <w:r>
              <w:rPr>
                <w:color w:val="auto"/>
                <w:highlight w:val="none"/>
              </w:rPr>
              <w:t>监测点</w:t>
            </w:r>
            <w:r>
              <w:rPr>
                <w:rFonts w:hint="eastAsia"/>
                <w:color w:val="auto"/>
                <w:highlight w:val="none"/>
                <w:lang w:val="en-US" w:eastAsia="zh-CN"/>
              </w:rPr>
              <w:t>W3</w:t>
            </w:r>
          </w:p>
        </w:tc>
        <w:tc>
          <w:tcPr>
            <w:tcW w:w="1113" w:type="pct"/>
            <w:vAlign w:val="center"/>
          </w:tcPr>
          <w:p w14:paraId="2F406570">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131.147145，46.562337</w:t>
            </w:r>
          </w:p>
        </w:tc>
        <w:tc>
          <w:tcPr>
            <w:tcW w:w="469" w:type="pct"/>
            <w:shd w:val="clear" w:color="auto" w:fill="auto"/>
            <w:vAlign w:val="center"/>
          </w:tcPr>
          <w:p w14:paraId="15061D37">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55</w:t>
            </w:r>
          </w:p>
        </w:tc>
        <w:tc>
          <w:tcPr>
            <w:tcW w:w="807" w:type="dxa"/>
            <w:vAlign w:val="center"/>
          </w:tcPr>
          <w:p w14:paraId="0C5822B3">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16</w:t>
            </w:r>
          </w:p>
        </w:tc>
        <w:tc>
          <w:tcPr>
            <w:tcW w:w="609" w:type="pct"/>
            <w:vAlign w:val="center"/>
          </w:tcPr>
          <w:p w14:paraId="7B061193">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184</w:t>
            </w:r>
          </w:p>
        </w:tc>
        <w:tc>
          <w:tcPr>
            <w:tcW w:w="691" w:type="pct"/>
            <w:vAlign w:val="center"/>
          </w:tcPr>
          <w:p w14:paraId="0C32237F">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生活</w:t>
            </w:r>
            <w:r>
              <w:rPr>
                <w:rFonts w:hint="eastAsia" w:ascii="Times New Roman" w:hAnsi="Times New Roman" w:eastAsia="宋体" w:cs="Times New Roman"/>
                <w:color w:val="auto"/>
                <w:sz w:val="21"/>
                <w:szCs w:val="21"/>
                <w:highlight w:val="none"/>
                <w:lang w:val="en-US" w:eastAsia="zh-CN"/>
              </w:rPr>
              <w:t>用水井</w:t>
            </w:r>
          </w:p>
        </w:tc>
        <w:tc>
          <w:tcPr>
            <w:tcW w:w="582" w:type="pct"/>
            <w:vAlign w:val="center"/>
          </w:tcPr>
          <w:p w14:paraId="7F1A9A4E">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潜水层</w:t>
            </w:r>
          </w:p>
        </w:tc>
      </w:tr>
      <w:tr w14:paraId="49C451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373" w:type="pct"/>
            <w:shd w:val="clear" w:color="auto" w:fill="auto"/>
            <w:vAlign w:val="center"/>
          </w:tcPr>
          <w:p w14:paraId="5EF741ED">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both"/>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4</w:t>
            </w:r>
            <w:r>
              <w:rPr>
                <w:rFonts w:hint="default" w:ascii="Times New Roman" w:hAnsi="Times New Roman" w:cs="Times New Roman"/>
                <w:color w:val="auto"/>
                <w:kern w:val="2"/>
                <w:sz w:val="21"/>
                <w:szCs w:val="21"/>
                <w:highlight w:val="none"/>
                <w:lang w:val="en-US" w:eastAsia="zh-CN" w:bidi="ar-SA"/>
              </w:rPr>
              <w:t>#</w:t>
            </w:r>
          </w:p>
        </w:tc>
        <w:tc>
          <w:tcPr>
            <w:tcW w:w="687" w:type="pct"/>
            <w:shd w:val="clear" w:color="auto" w:fill="auto"/>
            <w:vAlign w:val="center"/>
          </w:tcPr>
          <w:p w14:paraId="6FCBAC3E">
            <w:pPr>
              <w:pStyle w:val="478"/>
              <w:bidi w:val="0"/>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color w:val="auto"/>
                <w:highlight w:val="none"/>
              </w:rPr>
              <w:t>地下水水</w:t>
            </w:r>
            <w:r>
              <w:rPr>
                <w:rFonts w:hint="eastAsia"/>
                <w:color w:val="auto"/>
                <w:highlight w:val="none"/>
                <w:lang w:val="en-US" w:eastAsia="zh-CN"/>
              </w:rPr>
              <w:t>位</w:t>
            </w:r>
            <w:r>
              <w:rPr>
                <w:color w:val="auto"/>
                <w:highlight w:val="none"/>
              </w:rPr>
              <w:t>监测点</w:t>
            </w:r>
            <w:r>
              <w:rPr>
                <w:rFonts w:hint="eastAsia"/>
                <w:color w:val="auto"/>
                <w:highlight w:val="none"/>
                <w:lang w:val="en-US" w:eastAsia="zh-CN"/>
              </w:rPr>
              <w:t>W4</w:t>
            </w:r>
          </w:p>
        </w:tc>
        <w:tc>
          <w:tcPr>
            <w:tcW w:w="1113" w:type="pct"/>
            <w:vAlign w:val="center"/>
          </w:tcPr>
          <w:p w14:paraId="31BAF7B6">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131.145347，46.569282</w:t>
            </w:r>
          </w:p>
        </w:tc>
        <w:tc>
          <w:tcPr>
            <w:tcW w:w="469" w:type="pct"/>
            <w:shd w:val="clear" w:color="auto" w:fill="auto"/>
            <w:vAlign w:val="center"/>
          </w:tcPr>
          <w:p w14:paraId="4E390313">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54</w:t>
            </w:r>
          </w:p>
        </w:tc>
        <w:tc>
          <w:tcPr>
            <w:tcW w:w="807" w:type="dxa"/>
            <w:vAlign w:val="center"/>
          </w:tcPr>
          <w:p w14:paraId="454008D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14</w:t>
            </w:r>
          </w:p>
        </w:tc>
        <w:tc>
          <w:tcPr>
            <w:tcW w:w="609" w:type="pct"/>
            <w:vAlign w:val="center"/>
          </w:tcPr>
          <w:p w14:paraId="1A866687">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186</w:t>
            </w:r>
          </w:p>
        </w:tc>
        <w:tc>
          <w:tcPr>
            <w:tcW w:w="691" w:type="pct"/>
            <w:vAlign w:val="center"/>
          </w:tcPr>
          <w:p w14:paraId="192360F8">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生活</w:t>
            </w:r>
            <w:r>
              <w:rPr>
                <w:rFonts w:hint="eastAsia" w:ascii="Times New Roman" w:hAnsi="Times New Roman" w:eastAsia="宋体" w:cs="Times New Roman"/>
                <w:color w:val="auto"/>
                <w:sz w:val="21"/>
                <w:szCs w:val="21"/>
                <w:highlight w:val="none"/>
                <w:lang w:val="en-US" w:eastAsia="zh-CN"/>
              </w:rPr>
              <w:t>用水井</w:t>
            </w:r>
          </w:p>
        </w:tc>
        <w:tc>
          <w:tcPr>
            <w:tcW w:w="582" w:type="pct"/>
            <w:vAlign w:val="center"/>
          </w:tcPr>
          <w:p w14:paraId="0E5D34A9">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潜水层</w:t>
            </w:r>
          </w:p>
        </w:tc>
      </w:tr>
      <w:tr w14:paraId="43D1B4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373" w:type="pct"/>
            <w:shd w:val="clear" w:color="auto" w:fill="auto"/>
            <w:vAlign w:val="center"/>
          </w:tcPr>
          <w:p w14:paraId="413EF618">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both"/>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5</w:t>
            </w:r>
            <w:r>
              <w:rPr>
                <w:rFonts w:hint="default" w:ascii="Times New Roman" w:hAnsi="Times New Roman" w:cs="Times New Roman"/>
                <w:color w:val="auto"/>
                <w:kern w:val="2"/>
                <w:sz w:val="21"/>
                <w:szCs w:val="21"/>
                <w:highlight w:val="none"/>
                <w:lang w:val="en-US" w:eastAsia="zh-CN" w:bidi="ar-SA"/>
              </w:rPr>
              <w:t>#</w:t>
            </w:r>
          </w:p>
        </w:tc>
        <w:tc>
          <w:tcPr>
            <w:tcW w:w="687" w:type="pct"/>
            <w:shd w:val="clear" w:color="auto" w:fill="auto"/>
            <w:vAlign w:val="center"/>
          </w:tcPr>
          <w:p w14:paraId="6DDF0FA5">
            <w:pPr>
              <w:pStyle w:val="478"/>
              <w:bidi w:val="0"/>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color w:val="auto"/>
                <w:highlight w:val="none"/>
              </w:rPr>
              <w:t>地下水水</w:t>
            </w:r>
            <w:r>
              <w:rPr>
                <w:rFonts w:hint="eastAsia"/>
                <w:color w:val="auto"/>
                <w:highlight w:val="none"/>
                <w:lang w:val="en-US" w:eastAsia="zh-CN"/>
              </w:rPr>
              <w:t>位</w:t>
            </w:r>
            <w:r>
              <w:rPr>
                <w:color w:val="auto"/>
                <w:highlight w:val="none"/>
              </w:rPr>
              <w:t>监测点</w:t>
            </w:r>
            <w:r>
              <w:rPr>
                <w:rFonts w:hint="eastAsia"/>
                <w:color w:val="auto"/>
                <w:highlight w:val="none"/>
                <w:lang w:val="en-US" w:eastAsia="zh-CN"/>
              </w:rPr>
              <w:t>W5</w:t>
            </w:r>
          </w:p>
        </w:tc>
        <w:tc>
          <w:tcPr>
            <w:tcW w:w="1113" w:type="pct"/>
            <w:vAlign w:val="center"/>
          </w:tcPr>
          <w:p w14:paraId="57CDF697">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131.142155</w:t>
            </w:r>
            <w:r>
              <w:rPr>
                <w:rFonts w:hint="eastAsia"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46.571669</w:t>
            </w:r>
          </w:p>
        </w:tc>
        <w:tc>
          <w:tcPr>
            <w:tcW w:w="469" w:type="pct"/>
            <w:shd w:val="clear" w:color="auto" w:fill="auto"/>
            <w:vAlign w:val="center"/>
          </w:tcPr>
          <w:p w14:paraId="68E51BE3">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54</w:t>
            </w:r>
          </w:p>
        </w:tc>
        <w:tc>
          <w:tcPr>
            <w:tcW w:w="807" w:type="dxa"/>
            <w:vAlign w:val="center"/>
          </w:tcPr>
          <w:p w14:paraId="1D57CAE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17</w:t>
            </w:r>
          </w:p>
        </w:tc>
        <w:tc>
          <w:tcPr>
            <w:tcW w:w="609" w:type="pct"/>
            <w:vAlign w:val="center"/>
          </w:tcPr>
          <w:p w14:paraId="1773AF72">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183</w:t>
            </w:r>
          </w:p>
        </w:tc>
        <w:tc>
          <w:tcPr>
            <w:tcW w:w="691" w:type="pct"/>
            <w:vAlign w:val="center"/>
          </w:tcPr>
          <w:p w14:paraId="31BDBD4E">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生活</w:t>
            </w:r>
            <w:r>
              <w:rPr>
                <w:rFonts w:hint="eastAsia" w:ascii="Times New Roman" w:hAnsi="Times New Roman" w:eastAsia="宋体" w:cs="Times New Roman"/>
                <w:color w:val="auto"/>
                <w:sz w:val="21"/>
                <w:szCs w:val="21"/>
                <w:highlight w:val="none"/>
                <w:lang w:val="en-US" w:eastAsia="zh-CN"/>
              </w:rPr>
              <w:t>用水井</w:t>
            </w:r>
          </w:p>
        </w:tc>
        <w:tc>
          <w:tcPr>
            <w:tcW w:w="582" w:type="pct"/>
            <w:vAlign w:val="center"/>
          </w:tcPr>
          <w:p w14:paraId="28087F97">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潜水层</w:t>
            </w:r>
          </w:p>
        </w:tc>
      </w:tr>
      <w:tr w14:paraId="5EC7DF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373" w:type="pct"/>
            <w:shd w:val="clear" w:color="auto" w:fill="auto"/>
            <w:vAlign w:val="center"/>
          </w:tcPr>
          <w:p w14:paraId="2208F0C7">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both"/>
              <w:textAlignment w:val="auto"/>
              <w:outlineLvl w:val="9"/>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6</w:t>
            </w:r>
            <w:r>
              <w:rPr>
                <w:rFonts w:hint="default" w:ascii="Times New Roman" w:hAnsi="Times New Roman" w:cs="Times New Roman"/>
                <w:color w:val="auto"/>
                <w:kern w:val="2"/>
                <w:sz w:val="21"/>
                <w:szCs w:val="21"/>
                <w:highlight w:val="none"/>
                <w:lang w:val="en-US" w:eastAsia="zh-CN" w:bidi="ar-SA"/>
              </w:rPr>
              <w:t>#</w:t>
            </w:r>
          </w:p>
        </w:tc>
        <w:tc>
          <w:tcPr>
            <w:tcW w:w="687" w:type="pct"/>
            <w:shd w:val="clear" w:color="auto" w:fill="auto"/>
            <w:vAlign w:val="center"/>
          </w:tcPr>
          <w:p w14:paraId="36598661">
            <w:pPr>
              <w:pStyle w:val="478"/>
              <w:bidi w:val="0"/>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color w:val="auto"/>
                <w:highlight w:val="none"/>
              </w:rPr>
              <w:t>地下水水</w:t>
            </w:r>
            <w:r>
              <w:rPr>
                <w:rFonts w:hint="eastAsia"/>
                <w:color w:val="auto"/>
                <w:highlight w:val="none"/>
                <w:lang w:val="en-US" w:eastAsia="zh-CN"/>
              </w:rPr>
              <w:t>位</w:t>
            </w:r>
            <w:r>
              <w:rPr>
                <w:color w:val="auto"/>
                <w:highlight w:val="none"/>
              </w:rPr>
              <w:t>监测点</w:t>
            </w:r>
            <w:r>
              <w:rPr>
                <w:rFonts w:hint="eastAsia"/>
                <w:color w:val="auto"/>
                <w:highlight w:val="none"/>
                <w:lang w:val="en-US" w:eastAsia="zh-CN"/>
              </w:rPr>
              <w:t>W6</w:t>
            </w:r>
          </w:p>
        </w:tc>
        <w:tc>
          <w:tcPr>
            <w:tcW w:w="1113" w:type="pct"/>
            <w:vAlign w:val="center"/>
          </w:tcPr>
          <w:p w14:paraId="116820D7">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131.143581，46.574589</w:t>
            </w:r>
          </w:p>
        </w:tc>
        <w:tc>
          <w:tcPr>
            <w:tcW w:w="469" w:type="pct"/>
            <w:shd w:val="clear" w:color="auto" w:fill="auto"/>
            <w:vAlign w:val="center"/>
          </w:tcPr>
          <w:p w14:paraId="10A51B70">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63</w:t>
            </w:r>
          </w:p>
        </w:tc>
        <w:tc>
          <w:tcPr>
            <w:tcW w:w="807" w:type="dxa"/>
            <w:vAlign w:val="center"/>
          </w:tcPr>
          <w:p w14:paraId="094FE491">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18</w:t>
            </w:r>
          </w:p>
        </w:tc>
        <w:tc>
          <w:tcPr>
            <w:tcW w:w="609" w:type="pct"/>
            <w:vAlign w:val="center"/>
          </w:tcPr>
          <w:p w14:paraId="535A6304">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182</w:t>
            </w:r>
          </w:p>
        </w:tc>
        <w:tc>
          <w:tcPr>
            <w:tcW w:w="691" w:type="pct"/>
            <w:vAlign w:val="center"/>
          </w:tcPr>
          <w:p w14:paraId="3E464BDD">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生活</w:t>
            </w:r>
            <w:r>
              <w:rPr>
                <w:rFonts w:hint="eastAsia" w:ascii="Times New Roman" w:hAnsi="Times New Roman" w:eastAsia="宋体" w:cs="Times New Roman"/>
                <w:color w:val="auto"/>
                <w:sz w:val="21"/>
                <w:szCs w:val="21"/>
                <w:highlight w:val="none"/>
                <w:lang w:val="en-US" w:eastAsia="zh-CN"/>
              </w:rPr>
              <w:t>用水井</w:t>
            </w:r>
          </w:p>
        </w:tc>
        <w:tc>
          <w:tcPr>
            <w:tcW w:w="582" w:type="pct"/>
            <w:vAlign w:val="center"/>
          </w:tcPr>
          <w:p w14:paraId="24DF7111">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潜水层</w:t>
            </w:r>
          </w:p>
        </w:tc>
      </w:tr>
    </w:tbl>
    <w:p w14:paraId="18C63811">
      <w:pPr>
        <w:adjustRightInd/>
        <w:snapToGrid/>
        <w:ind w:firstLine="0" w:firstLineChars="0"/>
        <w:jc w:val="center"/>
        <w:rPr>
          <w:rFonts w:cs="Times New Roman"/>
          <w:color w:val="auto"/>
          <w:highlight w:val="none"/>
        </w:rPr>
      </w:pPr>
    </w:p>
    <w:p w14:paraId="13530BCF">
      <w:pPr>
        <w:adjustRightInd/>
        <w:snapToGrid/>
        <w:ind w:firstLine="0" w:firstLineChars="0"/>
        <w:jc w:val="center"/>
        <w:rPr>
          <w:rFonts w:cs="Times New Roman"/>
          <w:color w:val="auto"/>
          <w:highlight w:val="none"/>
        </w:rPr>
      </w:pPr>
      <w:r>
        <w:rPr>
          <w:rFonts w:hint="eastAsia" w:eastAsia="宋体"/>
          <w:color w:val="auto"/>
          <w:highlight w:val="none"/>
          <w:lang w:eastAsia="zh-CN"/>
        </w:rPr>
        <w:drawing>
          <wp:anchor distT="0" distB="0" distL="114300" distR="114300" simplePos="0" relativeHeight="251736064" behindDoc="0" locked="0" layoutInCell="1" allowOverlap="1">
            <wp:simplePos x="0" y="0"/>
            <wp:positionH relativeFrom="column">
              <wp:posOffset>-222250</wp:posOffset>
            </wp:positionH>
            <wp:positionV relativeFrom="paragraph">
              <wp:posOffset>154305</wp:posOffset>
            </wp:positionV>
            <wp:extent cx="5786755" cy="3672205"/>
            <wp:effectExtent l="0" t="0" r="4445" b="4445"/>
            <wp:wrapNone/>
            <wp:docPr id="116" name="图片 4" descr="1756348360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 descr="1756348360950"/>
                    <pic:cNvPicPr>
                      <a:picLocks noChangeAspect="1"/>
                    </pic:cNvPicPr>
                  </pic:nvPicPr>
                  <pic:blipFill>
                    <a:blip r:embed="rId41"/>
                    <a:stretch>
                      <a:fillRect/>
                    </a:stretch>
                  </pic:blipFill>
                  <pic:spPr>
                    <a:xfrm>
                      <a:off x="0" y="0"/>
                      <a:ext cx="5786755" cy="3672205"/>
                    </a:xfrm>
                    <a:prstGeom prst="rect">
                      <a:avLst/>
                    </a:prstGeom>
                    <a:noFill/>
                    <a:ln>
                      <a:noFill/>
                    </a:ln>
                  </pic:spPr>
                </pic:pic>
              </a:graphicData>
            </a:graphic>
          </wp:anchor>
        </w:drawing>
      </w:r>
    </w:p>
    <w:p w14:paraId="6C9B9EAD">
      <w:pPr>
        <w:pStyle w:val="27"/>
        <w:rPr>
          <w:rFonts w:cs="Times New Roman"/>
          <w:color w:val="auto"/>
          <w:highlight w:val="none"/>
        </w:rPr>
      </w:pPr>
    </w:p>
    <w:p w14:paraId="1A76C29C">
      <w:pPr>
        <w:rPr>
          <w:color w:val="auto"/>
          <w:highlight w:val="none"/>
        </w:rPr>
      </w:pPr>
    </w:p>
    <w:p w14:paraId="4E2E6134">
      <w:pPr>
        <w:adjustRightInd/>
        <w:snapToGrid/>
        <w:ind w:firstLine="0" w:firstLineChars="0"/>
        <w:jc w:val="center"/>
        <w:rPr>
          <w:rFonts w:cs="Times New Roman"/>
          <w:color w:val="auto"/>
          <w:highlight w:val="none"/>
        </w:rPr>
      </w:pPr>
    </w:p>
    <w:p w14:paraId="67746253">
      <w:pPr>
        <w:pStyle w:val="36"/>
        <w:rPr>
          <w:color w:val="auto"/>
          <w:highlight w:val="none"/>
        </w:rPr>
      </w:pPr>
    </w:p>
    <w:p w14:paraId="4732DF8C">
      <w:pPr>
        <w:adjustRightInd/>
        <w:snapToGrid/>
        <w:ind w:firstLine="0" w:firstLineChars="0"/>
        <w:jc w:val="center"/>
        <w:rPr>
          <w:rFonts w:cs="Times New Roman"/>
          <w:color w:val="auto"/>
          <w:highlight w:val="none"/>
        </w:rPr>
      </w:pPr>
    </w:p>
    <w:p w14:paraId="31BD41B2">
      <w:pPr>
        <w:adjustRightInd/>
        <w:snapToGrid/>
        <w:ind w:firstLine="0" w:firstLineChars="0"/>
        <w:jc w:val="center"/>
        <w:rPr>
          <w:rFonts w:cs="Times New Roman"/>
          <w:color w:val="auto"/>
          <w:highlight w:val="none"/>
        </w:rPr>
      </w:pPr>
    </w:p>
    <w:p w14:paraId="2C22C16D">
      <w:pPr>
        <w:adjustRightInd/>
        <w:snapToGrid/>
        <w:ind w:firstLine="0" w:firstLineChars="0"/>
        <w:jc w:val="center"/>
        <w:rPr>
          <w:rFonts w:cs="Times New Roman"/>
          <w:color w:val="auto"/>
          <w:highlight w:val="none"/>
        </w:rPr>
      </w:pPr>
    </w:p>
    <w:p w14:paraId="7B77D2B8">
      <w:pPr>
        <w:adjustRightInd/>
        <w:snapToGrid/>
        <w:ind w:firstLine="0" w:firstLineChars="0"/>
        <w:jc w:val="center"/>
        <w:rPr>
          <w:rFonts w:cs="Times New Roman"/>
          <w:color w:val="auto"/>
          <w:highlight w:val="none"/>
        </w:rPr>
      </w:pPr>
    </w:p>
    <w:p w14:paraId="79E66991">
      <w:pPr>
        <w:adjustRightInd/>
        <w:snapToGrid/>
        <w:ind w:firstLine="0" w:firstLineChars="0"/>
        <w:jc w:val="center"/>
        <w:rPr>
          <w:rFonts w:cs="Times New Roman"/>
          <w:color w:val="auto"/>
          <w:highlight w:val="none"/>
        </w:rPr>
      </w:pPr>
    </w:p>
    <w:p w14:paraId="3BAD24D7">
      <w:pPr>
        <w:adjustRightInd/>
        <w:snapToGrid/>
        <w:ind w:firstLine="0" w:firstLineChars="0"/>
        <w:jc w:val="center"/>
        <w:rPr>
          <w:rFonts w:cs="Times New Roman"/>
          <w:color w:val="auto"/>
          <w:highlight w:val="none"/>
        </w:rPr>
      </w:pPr>
    </w:p>
    <w:p w14:paraId="08605C55">
      <w:pPr>
        <w:adjustRightInd/>
        <w:snapToGrid/>
        <w:ind w:firstLine="0" w:firstLineChars="0"/>
        <w:jc w:val="center"/>
        <w:rPr>
          <w:rFonts w:cs="Times New Roman"/>
          <w:color w:val="auto"/>
          <w:highlight w:val="none"/>
        </w:rPr>
      </w:pPr>
    </w:p>
    <w:p w14:paraId="68954422">
      <w:pPr>
        <w:adjustRightInd/>
        <w:snapToGrid/>
        <w:ind w:firstLine="0" w:firstLineChars="0"/>
        <w:jc w:val="center"/>
        <w:rPr>
          <w:rFonts w:cs="Times New Roman"/>
          <w:color w:val="auto"/>
          <w:highlight w:val="none"/>
        </w:rPr>
      </w:pPr>
    </w:p>
    <w:p w14:paraId="71E6AF75">
      <w:pPr>
        <w:spacing w:line="240" w:lineRule="auto"/>
        <w:ind w:firstLine="0" w:firstLineChars="0"/>
        <w:jc w:val="center"/>
        <w:rPr>
          <w:rFonts w:cs="Times New Roman"/>
          <w:b/>
          <w:color w:val="auto"/>
          <w:szCs w:val="24"/>
          <w:highlight w:val="none"/>
        </w:rPr>
      </w:pPr>
      <w:r>
        <w:rPr>
          <w:rFonts w:cs="Times New Roman"/>
          <w:b/>
          <w:color w:val="auto"/>
          <w:szCs w:val="24"/>
          <w:highlight w:val="none"/>
        </w:rPr>
        <w:t>图4-2-</w:t>
      </w:r>
      <w:r>
        <w:rPr>
          <w:rFonts w:hint="eastAsia" w:cs="Times New Roman"/>
          <w:b/>
          <w:color w:val="auto"/>
          <w:szCs w:val="24"/>
          <w:highlight w:val="none"/>
          <w:lang w:val="en-US" w:eastAsia="zh-CN"/>
        </w:rPr>
        <w:t xml:space="preserve">3  </w:t>
      </w:r>
      <w:r>
        <w:rPr>
          <w:rFonts w:cs="Times New Roman"/>
          <w:b/>
          <w:color w:val="auto"/>
          <w:szCs w:val="24"/>
          <w:highlight w:val="none"/>
        </w:rPr>
        <w:t>地下水监测点位示意图</w:t>
      </w:r>
    </w:p>
    <w:p w14:paraId="7D5D1D62">
      <w:pPr>
        <w:spacing w:line="500" w:lineRule="exact"/>
        <w:ind w:firstLine="482"/>
        <w:rPr>
          <w:rFonts w:cs="Times New Roman"/>
          <w:b/>
          <w:snapToGrid w:val="0"/>
          <w:color w:val="auto"/>
          <w:kern w:val="0"/>
          <w:highlight w:val="none"/>
        </w:rPr>
      </w:pPr>
      <w:r>
        <w:rPr>
          <w:rFonts w:cs="Times New Roman"/>
          <w:b/>
          <w:snapToGrid w:val="0"/>
          <w:color w:val="auto"/>
          <w:kern w:val="0"/>
          <w:highlight w:val="none"/>
        </w:rPr>
        <w:t>3、监测时间与频次</w:t>
      </w:r>
    </w:p>
    <w:p w14:paraId="019975E0">
      <w:pPr>
        <w:adjustRightInd/>
        <w:snapToGrid/>
        <w:spacing w:line="500" w:lineRule="exact"/>
        <w:rPr>
          <w:rFonts w:cs="Times New Roman"/>
          <w:bCs/>
          <w:snapToGrid w:val="0"/>
          <w:color w:val="auto"/>
          <w:kern w:val="0"/>
          <w:highlight w:val="none"/>
        </w:rPr>
      </w:pPr>
      <w:r>
        <w:rPr>
          <w:rFonts w:cs="Times New Roman"/>
          <w:bCs/>
          <w:snapToGrid w:val="0"/>
          <w:color w:val="auto"/>
          <w:kern w:val="0"/>
          <w:highlight w:val="none"/>
        </w:rPr>
        <w:t>监测频率为1天（202</w:t>
      </w:r>
      <w:r>
        <w:rPr>
          <w:rFonts w:hint="eastAsia" w:cs="Times New Roman"/>
          <w:bCs/>
          <w:snapToGrid w:val="0"/>
          <w:color w:val="auto"/>
          <w:kern w:val="0"/>
          <w:highlight w:val="none"/>
          <w:lang w:val="en-US" w:eastAsia="zh-CN"/>
        </w:rPr>
        <w:t>5</w:t>
      </w:r>
      <w:r>
        <w:rPr>
          <w:rFonts w:cs="Times New Roman"/>
          <w:bCs/>
          <w:snapToGrid w:val="0"/>
          <w:color w:val="auto"/>
          <w:kern w:val="0"/>
          <w:highlight w:val="none"/>
        </w:rPr>
        <w:t>年</w:t>
      </w:r>
      <w:r>
        <w:rPr>
          <w:rFonts w:hint="eastAsia" w:cs="Times New Roman"/>
          <w:bCs/>
          <w:snapToGrid w:val="0"/>
          <w:color w:val="auto"/>
          <w:kern w:val="0"/>
          <w:highlight w:val="none"/>
          <w:lang w:val="en-US" w:eastAsia="zh-CN"/>
        </w:rPr>
        <w:t>8</w:t>
      </w:r>
      <w:r>
        <w:rPr>
          <w:rFonts w:cs="Times New Roman"/>
          <w:bCs/>
          <w:snapToGrid w:val="0"/>
          <w:color w:val="auto"/>
          <w:kern w:val="0"/>
          <w:highlight w:val="none"/>
        </w:rPr>
        <w:t>月</w:t>
      </w:r>
      <w:r>
        <w:rPr>
          <w:rFonts w:hint="eastAsia" w:cs="Times New Roman"/>
          <w:bCs/>
          <w:snapToGrid w:val="0"/>
          <w:color w:val="auto"/>
          <w:kern w:val="0"/>
          <w:highlight w:val="none"/>
          <w:lang w:val="en-US" w:eastAsia="zh-CN"/>
        </w:rPr>
        <w:t>16</w:t>
      </w:r>
      <w:r>
        <w:rPr>
          <w:rFonts w:cs="Times New Roman"/>
          <w:bCs/>
          <w:snapToGrid w:val="0"/>
          <w:color w:val="auto"/>
          <w:kern w:val="0"/>
          <w:highlight w:val="none"/>
        </w:rPr>
        <w:t>日），详见监测报告。</w:t>
      </w:r>
    </w:p>
    <w:p w14:paraId="5B46A943">
      <w:pPr>
        <w:spacing w:line="500" w:lineRule="exact"/>
        <w:ind w:firstLine="482"/>
        <w:rPr>
          <w:rFonts w:cs="Times New Roman"/>
          <w:b/>
          <w:snapToGrid w:val="0"/>
          <w:color w:val="auto"/>
          <w:kern w:val="0"/>
          <w:highlight w:val="none"/>
        </w:rPr>
      </w:pPr>
      <w:r>
        <w:rPr>
          <w:rFonts w:cs="Times New Roman"/>
          <w:b/>
          <w:snapToGrid w:val="0"/>
          <w:color w:val="auto"/>
          <w:kern w:val="0"/>
          <w:highlight w:val="none"/>
        </w:rPr>
        <w:t>4、监测分析方法</w:t>
      </w:r>
    </w:p>
    <w:p w14:paraId="3F06313F">
      <w:pPr>
        <w:adjustRightInd/>
        <w:snapToGrid/>
        <w:spacing w:line="500" w:lineRule="exact"/>
        <w:rPr>
          <w:rFonts w:cs="Times New Roman"/>
          <w:bCs/>
          <w:snapToGrid w:val="0"/>
          <w:color w:val="auto"/>
          <w:kern w:val="0"/>
          <w:highlight w:val="none"/>
        </w:rPr>
      </w:pPr>
      <w:r>
        <w:rPr>
          <w:rFonts w:cs="Times New Roman"/>
          <w:bCs/>
          <w:snapToGrid w:val="0"/>
          <w:color w:val="auto"/>
          <w:kern w:val="0"/>
          <w:highlight w:val="none"/>
        </w:rPr>
        <w:t>地下水的监测分析方法详见下表。</w:t>
      </w:r>
    </w:p>
    <w:p w14:paraId="13C81301">
      <w:pPr>
        <w:spacing w:line="240" w:lineRule="auto"/>
        <w:ind w:firstLine="482"/>
        <w:jc w:val="center"/>
        <w:rPr>
          <w:rFonts w:cs="Times New Roman"/>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7</w:t>
      </w:r>
      <w:r>
        <w:rPr>
          <w:rFonts w:cs="Times New Roman"/>
          <w:b/>
          <w:color w:val="auto"/>
          <w:szCs w:val="24"/>
          <w:highlight w:val="none"/>
        </w:rPr>
        <w:t xml:space="preserve">  地下水监测项目分析方法表</w:t>
      </w:r>
    </w:p>
    <w:tbl>
      <w:tblPr>
        <w:tblStyle w:val="4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6"/>
        <w:gridCol w:w="1932"/>
        <w:gridCol w:w="5307"/>
      </w:tblGrid>
      <w:tr w14:paraId="0DAB4A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754" w:type="pct"/>
            <w:tcBorders>
              <w:tl2br w:val="nil"/>
              <w:tr2bl w:val="nil"/>
            </w:tcBorders>
            <w:noWrap w:val="0"/>
            <w:vAlign w:val="center"/>
          </w:tcPr>
          <w:p w14:paraId="084BE33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类别</w:t>
            </w:r>
          </w:p>
        </w:tc>
        <w:tc>
          <w:tcPr>
            <w:tcW w:w="1133" w:type="pct"/>
            <w:tcBorders>
              <w:tl2br w:val="nil"/>
              <w:tr2bl w:val="nil"/>
            </w:tcBorders>
            <w:noWrap w:val="0"/>
            <w:vAlign w:val="center"/>
          </w:tcPr>
          <w:p w14:paraId="3DA92553">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检测项目</w:t>
            </w:r>
          </w:p>
        </w:tc>
        <w:tc>
          <w:tcPr>
            <w:tcW w:w="3112" w:type="pct"/>
            <w:tcBorders>
              <w:tl2br w:val="nil"/>
              <w:tr2bl w:val="nil"/>
            </w:tcBorders>
            <w:noWrap w:val="0"/>
            <w:vAlign w:val="center"/>
          </w:tcPr>
          <w:p w14:paraId="45A061D3">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检测依据</w:t>
            </w:r>
          </w:p>
        </w:tc>
      </w:tr>
      <w:tr w14:paraId="7CA19F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restart"/>
            <w:tcBorders>
              <w:tl2br w:val="nil"/>
              <w:tr2bl w:val="nil"/>
            </w:tcBorders>
            <w:noWrap w:val="0"/>
            <w:vAlign w:val="center"/>
          </w:tcPr>
          <w:p w14:paraId="7AE38D3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地下水</w:t>
            </w:r>
          </w:p>
        </w:tc>
        <w:tc>
          <w:tcPr>
            <w:tcW w:w="1133" w:type="pct"/>
            <w:tcBorders>
              <w:tl2br w:val="nil"/>
              <w:tr2bl w:val="nil"/>
            </w:tcBorders>
            <w:noWrap w:val="0"/>
            <w:vAlign w:val="center"/>
          </w:tcPr>
          <w:p w14:paraId="390F5A87">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Ca</w:t>
            </w:r>
            <w:r>
              <w:rPr>
                <w:rFonts w:hint="default" w:ascii="Times New Roman" w:hAnsi="Times New Roman" w:eastAsia="宋体" w:cs="Times New Roman"/>
                <w:color w:val="auto"/>
                <w:sz w:val="21"/>
                <w:szCs w:val="21"/>
                <w:highlight w:val="none"/>
                <w:vertAlign w:val="superscript"/>
              </w:rPr>
              <w:t>2+</w:t>
            </w:r>
            <w:r>
              <w:rPr>
                <w:rFonts w:hint="default" w:ascii="Times New Roman" w:hAnsi="Times New Roman" w:eastAsia="宋体" w:cs="Times New Roman"/>
                <w:color w:val="auto"/>
                <w:sz w:val="21"/>
                <w:szCs w:val="21"/>
                <w:highlight w:val="none"/>
              </w:rPr>
              <w:t>、Mg</w:t>
            </w:r>
            <w:r>
              <w:rPr>
                <w:rFonts w:hint="default" w:ascii="Times New Roman" w:hAnsi="Times New Roman" w:eastAsia="宋体" w:cs="Times New Roman"/>
                <w:color w:val="auto"/>
                <w:sz w:val="21"/>
                <w:szCs w:val="21"/>
                <w:highlight w:val="none"/>
                <w:vertAlign w:val="superscript"/>
              </w:rPr>
              <w:t>2+</w:t>
            </w:r>
          </w:p>
          <w:p w14:paraId="6E9D050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、K</w:t>
            </w:r>
            <w:r>
              <w:rPr>
                <w:rFonts w:hint="default" w:ascii="Times New Roman" w:hAnsi="Times New Roman" w:eastAsia="宋体" w:cs="Times New Roman"/>
                <w:color w:val="auto"/>
                <w:sz w:val="21"/>
                <w:szCs w:val="21"/>
                <w:highlight w:val="none"/>
                <w:vertAlign w:val="superscript"/>
              </w:rPr>
              <w:t>+</w:t>
            </w:r>
            <w:r>
              <w:rPr>
                <w:rFonts w:hint="default" w:ascii="Times New Roman" w:hAnsi="Times New Roman" w:eastAsia="宋体" w:cs="Times New Roman"/>
                <w:color w:val="auto"/>
                <w:sz w:val="21"/>
                <w:szCs w:val="21"/>
                <w:highlight w:val="none"/>
              </w:rPr>
              <w:t>、Na</w:t>
            </w:r>
            <w:r>
              <w:rPr>
                <w:rFonts w:hint="default" w:ascii="Times New Roman" w:hAnsi="Times New Roman" w:eastAsia="宋体" w:cs="Times New Roman"/>
                <w:color w:val="auto"/>
                <w:sz w:val="21"/>
                <w:szCs w:val="21"/>
                <w:highlight w:val="none"/>
                <w:vertAlign w:val="superscript"/>
              </w:rPr>
              <w:t>+</w:t>
            </w:r>
          </w:p>
        </w:tc>
        <w:tc>
          <w:tcPr>
            <w:tcW w:w="3112" w:type="pct"/>
            <w:tcBorders>
              <w:tl2br w:val="nil"/>
              <w:tr2bl w:val="nil"/>
            </w:tcBorders>
            <w:noWrap w:val="0"/>
            <w:vAlign w:val="center"/>
          </w:tcPr>
          <w:p w14:paraId="0A901314">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可溶性阳离子（Li+、Na+、NH4+、K+、Ca2+、Mg2+）的测定 离子色谱法 HJ 812-2016</w:t>
            </w:r>
          </w:p>
        </w:tc>
      </w:tr>
      <w:tr w14:paraId="63A67D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0D96424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517F48D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vertAlign w:val="superscript"/>
              </w:rPr>
              <w:t>2-</w:t>
            </w:r>
            <w:r>
              <w:rPr>
                <w:rFonts w:hint="default" w:ascii="Times New Roman" w:hAnsi="Times New Roman" w:eastAsia="宋体" w:cs="Times New Roman"/>
                <w:color w:val="auto"/>
                <w:sz w:val="21"/>
                <w:szCs w:val="21"/>
                <w:highlight w:val="none"/>
              </w:rPr>
              <w:t>、HCO</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vertAlign w:val="superscript"/>
              </w:rPr>
              <w:t>-</w:t>
            </w:r>
          </w:p>
        </w:tc>
        <w:tc>
          <w:tcPr>
            <w:tcW w:w="3112" w:type="pct"/>
            <w:tcBorders>
              <w:tl2br w:val="nil"/>
              <w:tr2bl w:val="nil"/>
            </w:tcBorders>
            <w:noWrap w:val="0"/>
            <w:vAlign w:val="center"/>
          </w:tcPr>
          <w:p w14:paraId="03540CAE">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水和废水监测分析方法（第四版）国家环境保护总局（2002年）酸碱指示剂滴定法</w:t>
            </w:r>
          </w:p>
        </w:tc>
      </w:tr>
      <w:tr w14:paraId="42794C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0AD8F8E3">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2DAAACD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Cl</w:t>
            </w:r>
            <w:r>
              <w:rPr>
                <w:rFonts w:hint="default" w:ascii="Times New Roman" w:hAnsi="Times New Roman" w:eastAsia="宋体" w:cs="Times New Roman"/>
                <w:color w:val="auto"/>
                <w:sz w:val="21"/>
                <w:szCs w:val="21"/>
                <w:highlight w:val="none"/>
                <w:vertAlign w:val="superscript"/>
              </w:rPr>
              <w:t>-</w:t>
            </w:r>
            <w:r>
              <w:rPr>
                <w:rFonts w:hint="default" w:ascii="Times New Roman" w:hAnsi="Times New Roman" w:eastAsia="宋体" w:cs="Times New Roman"/>
                <w:color w:val="auto"/>
                <w:sz w:val="21"/>
                <w:szCs w:val="21"/>
                <w:highlight w:val="none"/>
              </w:rPr>
              <w:t>、SO</w:t>
            </w:r>
            <w:r>
              <w:rPr>
                <w:rFonts w:hint="default" w:ascii="Times New Roman" w:hAnsi="Times New Roman" w:eastAsia="宋体" w:cs="Times New Roman"/>
                <w:color w:val="auto"/>
                <w:sz w:val="21"/>
                <w:szCs w:val="21"/>
                <w:highlight w:val="none"/>
                <w:vertAlign w:val="subscript"/>
              </w:rPr>
              <w:t>4</w:t>
            </w:r>
            <w:r>
              <w:rPr>
                <w:rFonts w:hint="default" w:ascii="Times New Roman" w:hAnsi="Times New Roman" w:eastAsia="宋体" w:cs="Times New Roman"/>
                <w:color w:val="auto"/>
                <w:sz w:val="21"/>
                <w:szCs w:val="21"/>
                <w:highlight w:val="none"/>
                <w:vertAlign w:val="superscript"/>
              </w:rPr>
              <w:t>2-</w:t>
            </w:r>
          </w:p>
        </w:tc>
        <w:tc>
          <w:tcPr>
            <w:tcW w:w="3112" w:type="pct"/>
            <w:tcBorders>
              <w:tl2br w:val="nil"/>
              <w:tr2bl w:val="nil"/>
            </w:tcBorders>
            <w:noWrap w:val="0"/>
            <w:vAlign w:val="center"/>
          </w:tcPr>
          <w:p w14:paraId="0BF9793F">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无机阴离子（F-、Cl-、NO2-、Br-、NO3-、PO43-、SO32-、SO42 -）的测定离子色谱法HJ 84-2016</w:t>
            </w:r>
          </w:p>
        </w:tc>
      </w:tr>
      <w:tr w14:paraId="0AD5C0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5BEC43EC">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601FFE15">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pH</w:t>
            </w:r>
            <w:r>
              <w:rPr>
                <w:rFonts w:hint="eastAsia" w:ascii="Times New Roman" w:hAnsi="Times New Roman" w:eastAsia="宋体" w:cs="Times New Roman"/>
                <w:color w:val="auto"/>
                <w:sz w:val="21"/>
                <w:szCs w:val="21"/>
                <w:highlight w:val="none"/>
                <w:lang w:val="en-US" w:eastAsia="zh-CN"/>
              </w:rPr>
              <w:t>值</w:t>
            </w:r>
          </w:p>
        </w:tc>
        <w:tc>
          <w:tcPr>
            <w:tcW w:w="3112" w:type="pct"/>
            <w:tcBorders>
              <w:tl2br w:val="nil"/>
              <w:tr2bl w:val="nil"/>
            </w:tcBorders>
            <w:noWrap w:val="0"/>
            <w:vAlign w:val="center"/>
          </w:tcPr>
          <w:p w14:paraId="3C5CDEC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 pH 值的测定 电极法HJ 1147-2020</w:t>
            </w:r>
          </w:p>
        </w:tc>
      </w:tr>
      <w:tr w14:paraId="3F77AD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1FE152AD">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431E309E">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高锰酸盐指数</w:t>
            </w:r>
          </w:p>
        </w:tc>
        <w:tc>
          <w:tcPr>
            <w:tcW w:w="3112" w:type="pct"/>
            <w:vMerge w:val="restart"/>
            <w:tcBorders>
              <w:tl2br w:val="nil"/>
              <w:tr2bl w:val="nil"/>
            </w:tcBorders>
            <w:noWrap w:val="0"/>
            <w:vAlign w:val="center"/>
          </w:tcPr>
          <w:p w14:paraId="18DF718A">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高锰酸盐指数的测定GB 11892-89</w:t>
            </w:r>
          </w:p>
        </w:tc>
      </w:tr>
      <w:tr w14:paraId="69639A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30F168A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029C44FA">
            <w:pPr>
              <w:spacing w:line="320" w:lineRule="atLeast"/>
              <w:ind w:firstLine="0" w:firstLineChars="0"/>
              <w:jc w:val="center"/>
              <w:rPr>
                <w:rFonts w:hint="default" w:ascii="Times New Roman" w:hAnsi="Times New Roman" w:eastAsia="宋体" w:cs="Times New Roman"/>
                <w:color w:val="auto"/>
                <w:sz w:val="21"/>
                <w:szCs w:val="21"/>
                <w:highlight w:val="none"/>
              </w:rPr>
            </w:pPr>
          </w:p>
        </w:tc>
        <w:tc>
          <w:tcPr>
            <w:tcW w:w="3112" w:type="pct"/>
            <w:vMerge w:val="continue"/>
            <w:tcBorders>
              <w:tl2br w:val="nil"/>
              <w:tr2bl w:val="nil"/>
            </w:tcBorders>
            <w:noWrap w:val="0"/>
            <w:vAlign w:val="center"/>
          </w:tcPr>
          <w:p w14:paraId="3B944CBE">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7FE562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2DFE06D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32ADEDB4">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氨氮</w:t>
            </w:r>
          </w:p>
        </w:tc>
        <w:tc>
          <w:tcPr>
            <w:tcW w:w="3112" w:type="pct"/>
            <w:tcBorders>
              <w:tl2br w:val="nil"/>
              <w:tr2bl w:val="nil"/>
            </w:tcBorders>
            <w:noWrap w:val="0"/>
            <w:vAlign w:val="center"/>
          </w:tcPr>
          <w:p w14:paraId="0315569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 氨氮的测定 纳氏试剂分光光度法</w:t>
            </w:r>
          </w:p>
          <w:p w14:paraId="4FC86CE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HJ 535-2009</w:t>
            </w:r>
          </w:p>
        </w:tc>
      </w:tr>
      <w:tr w14:paraId="244842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20B9ABB2">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301F12C3">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总硬度</w:t>
            </w:r>
          </w:p>
        </w:tc>
        <w:tc>
          <w:tcPr>
            <w:tcW w:w="3112" w:type="pct"/>
            <w:tcBorders>
              <w:tl2br w:val="nil"/>
              <w:tr2bl w:val="nil"/>
            </w:tcBorders>
            <w:noWrap w:val="0"/>
            <w:vAlign w:val="center"/>
          </w:tcPr>
          <w:p w14:paraId="538AE9D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 xml:space="preserve">生活饮用水标准检验方法 </w:t>
            </w:r>
            <w:r>
              <w:rPr>
                <w:rFonts w:hint="default" w:ascii="Times New Roman" w:hAnsi="Times New Roman" w:eastAsia="宋体" w:cs="Times New Roman"/>
                <w:color w:val="auto"/>
                <w:sz w:val="21"/>
                <w:szCs w:val="21"/>
                <w:highlight w:val="none"/>
                <w:lang w:val="en-US" w:eastAsia="zh-CN"/>
              </w:rPr>
              <w:t>第4部分：</w:t>
            </w:r>
            <w:r>
              <w:rPr>
                <w:rFonts w:hint="default" w:ascii="Times New Roman" w:hAnsi="Times New Roman" w:eastAsia="宋体" w:cs="Times New Roman"/>
                <w:color w:val="auto"/>
                <w:sz w:val="21"/>
                <w:szCs w:val="21"/>
                <w:highlight w:val="none"/>
              </w:rPr>
              <w:t>感官性状和物理指标</w:t>
            </w:r>
            <w:r>
              <w:rPr>
                <w:rFonts w:hint="default" w:ascii="Times New Roman" w:hAnsi="Times New Roman" w:eastAsia="宋体" w:cs="Times New Roman"/>
                <w:color w:val="auto"/>
                <w:sz w:val="21"/>
                <w:szCs w:val="21"/>
                <w:highlight w:val="none"/>
                <w:lang w:eastAsia="zh-CN"/>
              </w:rPr>
              <w:t>GB/T 5750.4-2023 10</w:t>
            </w:r>
          </w:p>
        </w:tc>
      </w:tr>
      <w:tr w14:paraId="116FE1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4FEBE064">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18BDFC4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硝酸盐</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以N计</w:t>
            </w:r>
            <w:r>
              <w:rPr>
                <w:rFonts w:hint="eastAsia" w:ascii="Times New Roman" w:hAnsi="Times New Roman" w:eastAsia="宋体" w:cs="Times New Roman"/>
                <w:color w:val="auto"/>
                <w:sz w:val="21"/>
                <w:szCs w:val="21"/>
                <w:highlight w:val="none"/>
                <w:lang w:eastAsia="zh-CN"/>
              </w:rPr>
              <w:t>）</w:t>
            </w:r>
          </w:p>
        </w:tc>
        <w:tc>
          <w:tcPr>
            <w:tcW w:w="3112" w:type="pct"/>
            <w:tcBorders>
              <w:tl2br w:val="nil"/>
              <w:tr2bl w:val="nil"/>
            </w:tcBorders>
            <w:noWrap w:val="0"/>
            <w:vAlign w:val="center"/>
          </w:tcPr>
          <w:p w14:paraId="0A64C623">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硝酸盐氮的测定 酚二磺酸分光光度法</w:t>
            </w:r>
          </w:p>
          <w:p w14:paraId="62D53284">
            <w:pPr>
              <w:spacing w:line="320" w:lineRule="atLeast"/>
              <w:ind w:firstLine="0" w:firstLineChars="0"/>
              <w:jc w:val="center"/>
              <w:rPr>
                <w:rFonts w:hint="default" w:ascii="Times New Roman" w:hAnsi="Times New Roman" w:eastAsia="宋体" w:cs="Times New Roman"/>
                <w:color w:val="auto"/>
                <w:sz w:val="21"/>
                <w:szCs w:val="21"/>
                <w:highlight w:val="none"/>
                <w:lang w:val="fr-FR" w:eastAsia="zh-CN"/>
              </w:rPr>
            </w:pPr>
            <w:r>
              <w:rPr>
                <w:rFonts w:hint="default" w:ascii="Times New Roman" w:hAnsi="Times New Roman" w:eastAsia="宋体" w:cs="Times New Roman"/>
                <w:color w:val="auto"/>
                <w:sz w:val="21"/>
                <w:szCs w:val="21"/>
                <w:highlight w:val="none"/>
              </w:rPr>
              <w:t>GB</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7480-87</w:t>
            </w:r>
          </w:p>
        </w:tc>
      </w:tr>
      <w:tr w14:paraId="739591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4B0A999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02A7790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亚硝酸盐（以N计）</w:t>
            </w:r>
          </w:p>
        </w:tc>
        <w:tc>
          <w:tcPr>
            <w:tcW w:w="3112" w:type="pct"/>
            <w:tcBorders>
              <w:tl2br w:val="nil"/>
              <w:tr2bl w:val="nil"/>
            </w:tcBorders>
            <w:noWrap w:val="0"/>
            <w:vAlign w:val="center"/>
          </w:tcPr>
          <w:p w14:paraId="0DFDB087">
            <w:pPr>
              <w:spacing w:line="320" w:lineRule="atLeast"/>
              <w:ind w:firstLine="0" w:firstLineChars="0"/>
              <w:jc w:val="center"/>
              <w:rPr>
                <w:rFonts w:hint="default" w:ascii="Times New Roman" w:hAnsi="Times New Roman" w:eastAsia="宋体" w:cs="Times New Roman"/>
                <w:color w:val="auto"/>
                <w:sz w:val="21"/>
                <w:szCs w:val="21"/>
                <w:highlight w:val="none"/>
                <w:lang w:val="fr-FR" w:eastAsia="zh-CN"/>
              </w:rPr>
            </w:pPr>
            <w:r>
              <w:rPr>
                <w:rFonts w:hint="default" w:ascii="Times New Roman" w:hAnsi="Times New Roman" w:eastAsia="宋体" w:cs="Times New Roman"/>
                <w:color w:val="auto"/>
                <w:sz w:val="21"/>
                <w:szCs w:val="21"/>
                <w:highlight w:val="none"/>
              </w:rPr>
              <w:t>水质 亚硝酸盐氮的测定 分光光度法GB 7493-87</w:t>
            </w:r>
          </w:p>
        </w:tc>
      </w:tr>
      <w:tr w14:paraId="617F47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31F88E3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6A5F042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硫酸盐</w:t>
            </w:r>
          </w:p>
        </w:tc>
        <w:tc>
          <w:tcPr>
            <w:tcW w:w="3112" w:type="pct"/>
            <w:tcBorders>
              <w:tl2br w:val="nil"/>
              <w:tr2bl w:val="nil"/>
            </w:tcBorders>
            <w:noWrap w:val="0"/>
            <w:vAlign w:val="center"/>
          </w:tcPr>
          <w:p w14:paraId="4AF0B8F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 xml:space="preserve">生活饮用水标准检验方法 </w:t>
            </w:r>
            <w:r>
              <w:rPr>
                <w:rFonts w:hint="default" w:ascii="Times New Roman" w:hAnsi="Times New Roman" w:eastAsia="宋体" w:cs="Times New Roman"/>
                <w:color w:val="auto"/>
                <w:sz w:val="21"/>
                <w:szCs w:val="21"/>
                <w:highlight w:val="none"/>
                <w:lang w:val="en-US" w:eastAsia="zh-CN"/>
              </w:rPr>
              <w:t>第5部分：无机非金属指标</w:t>
            </w:r>
            <w:r>
              <w:rPr>
                <w:rFonts w:hint="default" w:ascii="Times New Roman" w:hAnsi="Times New Roman" w:eastAsia="宋体" w:cs="Times New Roman"/>
                <w:color w:val="auto"/>
                <w:sz w:val="21"/>
                <w:szCs w:val="21"/>
                <w:highlight w:val="none"/>
                <w:lang w:eastAsia="zh-CN"/>
              </w:rPr>
              <w:t>GB/T 5750.5-2023 4</w:t>
            </w:r>
          </w:p>
        </w:tc>
      </w:tr>
      <w:tr w14:paraId="18157C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66A8B620">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182380E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氯化物</w:t>
            </w:r>
          </w:p>
        </w:tc>
        <w:tc>
          <w:tcPr>
            <w:tcW w:w="3112" w:type="pct"/>
            <w:tcBorders>
              <w:tl2br w:val="nil"/>
              <w:tr2bl w:val="nil"/>
            </w:tcBorders>
            <w:noWrap w:val="0"/>
            <w:vAlign w:val="center"/>
          </w:tcPr>
          <w:p w14:paraId="0980ABE9">
            <w:pPr>
              <w:spacing w:line="320" w:lineRule="atLeast"/>
              <w:ind w:firstLine="0" w:firstLineChars="0"/>
              <w:jc w:val="center"/>
              <w:rPr>
                <w:rFonts w:hint="default" w:ascii="Times New Roman" w:hAnsi="Times New Roman" w:eastAsia="宋体" w:cs="Times New Roman"/>
                <w:color w:val="auto"/>
                <w:sz w:val="21"/>
                <w:szCs w:val="21"/>
                <w:highlight w:val="none"/>
                <w:lang w:val="fr-FR" w:eastAsia="zh-CN"/>
              </w:rPr>
            </w:pPr>
            <w:r>
              <w:rPr>
                <w:rFonts w:hint="default" w:ascii="Times New Roman" w:hAnsi="Times New Roman" w:eastAsia="宋体" w:cs="Times New Roman"/>
                <w:color w:val="auto"/>
                <w:sz w:val="21"/>
                <w:szCs w:val="21"/>
                <w:highlight w:val="none"/>
              </w:rPr>
              <w:t>水质 氯化物的测定 硝酸银滴定GB 11896-89</w:t>
            </w:r>
          </w:p>
        </w:tc>
      </w:tr>
      <w:tr w14:paraId="16C413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179405AD">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3A37203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铁</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锰</w:t>
            </w:r>
          </w:p>
        </w:tc>
        <w:tc>
          <w:tcPr>
            <w:tcW w:w="3112" w:type="pct"/>
            <w:tcBorders>
              <w:tl2br w:val="nil"/>
              <w:tr2bl w:val="nil"/>
            </w:tcBorders>
            <w:noWrap w:val="0"/>
            <w:vAlign w:val="center"/>
          </w:tcPr>
          <w:p w14:paraId="78CD5DCE">
            <w:pPr>
              <w:spacing w:line="320" w:lineRule="atLeast"/>
              <w:ind w:firstLine="0" w:firstLineChars="0"/>
              <w:jc w:val="center"/>
              <w:rPr>
                <w:rFonts w:hint="default" w:ascii="Times New Roman" w:hAnsi="Times New Roman" w:eastAsia="宋体" w:cs="Times New Roman"/>
                <w:color w:val="auto"/>
                <w:sz w:val="21"/>
                <w:szCs w:val="21"/>
                <w:highlight w:val="none"/>
                <w:lang w:val="fr-FR" w:eastAsia="zh-CN"/>
              </w:rPr>
            </w:pPr>
            <w:r>
              <w:rPr>
                <w:rFonts w:hint="default" w:ascii="Times New Roman" w:hAnsi="Times New Roman" w:eastAsia="宋体" w:cs="Times New Roman"/>
                <w:color w:val="auto"/>
                <w:sz w:val="21"/>
                <w:szCs w:val="21"/>
                <w:highlight w:val="none"/>
              </w:rPr>
              <w:t>水质 铁、锰的测定 火焰原子吸收分光光度法GB 11911-89</w:t>
            </w:r>
          </w:p>
        </w:tc>
      </w:tr>
      <w:tr w14:paraId="62D8DC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19DEA1A4">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1AB0FC41">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总大</w:t>
            </w:r>
          </w:p>
          <w:p w14:paraId="2B6FDD11">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肠菌群</w:t>
            </w:r>
          </w:p>
        </w:tc>
        <w:tc>
          <w:tcPr>
            <w:tcW w:w="3112" w:type="pct"/>
            <w:vMerge w:val="restart"/>
            <w:tcBorders>
              <w:tl2br w:val="nil"/>
              <w:tr2bl w:val="nil"/>
            </w:tcBorders>
            <w:noWrap w:val="0"/>
            <w:vAlign w:val="center"/>
          </w:tcPr>
          <w:p w14:paraId="0BFE4701">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生活饮用水标准检验方法 第12部分：微生物指标GB/T 5750.12-2023 5</w:t>
            </w:r>
          </w:p>
        </w:tc>
      </w:tr>
      <w:tr w14:paraId="435B91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5E7131E1">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6BB86B86">
            <w:pPr>
              <w:spacing w:line="320" w:lineRule="atLeast"/>
              <w:ind w:firstLine="0" w:firstLineChars="0"/>
              <w:jc w:val="center"/>
              <w:rPr>
                <w:rFonts w:hint="default" w:ascii="Times New Roman" w:hAnsi="Times New Roman" w:eastAsia="宋体" w:cs="Times New Roman"/>
                <w:color w:val="auto"/>
                <w:sz w:val="21"/>
                <w:szCs w:val="21"/>
                <w:highlight w:val="none"/>
              </w:rPr>
            </w:pPr>
          </w:p>
        </w:tc>
        <w:tc>
          <w:tcPr>
            <w:tcW w:w="3112" w:type="pct"/>
            <w:vMerge w:val="continue"/>
            <w:tcBorders>
              <w:tl2br w:val="nil"/>
              <w:tr2bl w:val="nil"/>
            </w:tcBorders>
            <w:noWrap w:val="0"/>
            <w:vAlign w:val="center"/>
          </w:tcPr>
          <w:p w14:paraId="7CC5F5C9">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6D5B81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09E0CFA9">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2FC1BC82">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挥发酚</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类</w:t>
            </w:r>
            <w:r>
              <w:rPr>
                <w:rFonts w:hint="default" w:ascii="Times New Roman" w:hAnsi="Times New Roman" w:eastAsia="宋体" w:cs="Times New Roman"/>
                <w:color w:val="auto"/>
                <w:sz w:val="21"/>
                <w:szCs w:val="21"/>
                <w:highlight w:val="none"/>
                <w:lang w:eastAsia="zh-CN"/>
              </w:rPr>
              <w:t>）</w:t>
            </w:r>
          </w:p>
        </w:tc>
        <w:tc>
          <w:tcPr>
            <w:tcW w:w="3112" w:type="pct"/>
            <w:tcBorders>
              <w:tl2br w:val="nil"/>
              <w:tr2bl w:val="nil"/>
            </w:tcBorders>
            <w:noWrap w:val="0"/>
            <w:vAlign w:val="center"/>
          </w:tcPr>
          <w:p w14:paraId="57B7E0A5">
            <w:pPr>
              <w:spacing w:line="320" w:lineRule="atLeast"/>
              <w:ind w:firstLine="0" w:firstLineChars="0"/>
              <w:jc w:val="center"/>
              <w:rPr>
                <w:rFonts w:hint="default" w:ascii="Times New Roman" w:hAnsi="Times New Roman" w:eastAsia="宋体" w:cs="Times New Roman"/>
                <w:color w:val="auto"/>
                <w:sz w:val="21"/>
                <w:szCs w:val="21"/>
                <w:highlight w:val="none"/>
                <w:lang w:val="fr-FR" w:eastAsia="zh-CN"/>
              </w:rPr>
            </w:pPr>
            <w:r>
              <w:rPr>
                <w:rFonts w:hint="default" w:ascii="Times New Roman" w:hAnsi="Times New Roman" w:eastAsia="宋体" w:cs="Times New Roman"/>
                <w:color w:val="auto"/>
                <w:sz w:val="21"/>
                <w:szCs w:val="21"/>
                <w:highlight w:val="none"/>
              </w:rPr>
              <w:t>水质 挥发酚的测定 4-氨基安替比林分光光度法HJ 503-2009</w:t>
            </w:r>
          </w:p>
        </w:tc>
      </w:tr>
      <w:tr w14:paraId="30568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44946018">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12C68C5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氰化物</w:t>
            </w:r>
          </w:p>
        </w:tc>
        <w:tc>
          <w:tcPr>
            <w:tcW w:w="3112" w:type="pct"/>
            <w:tcBorders>
              <w:tl2br w:val="nil"/>
              <w:tr2bl w:val="nil"/>
            </w:tcBorders>
            <w:noWrap w:val="0"/>
            <w:vAlign w:val="center"/>
          </w:tcPr>
          <w:p w14:paraId="5ED053B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 氰化物的测定 容量法和分光光度法HJ</w:t>
            </w:r>
            <w:r>
              <w:rPr>
                <w:rFonts w:hint="eastAsia"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484-2009</w:t>
            </w:r>
          </w:p>
        </w:tc>
      </w:tr>
      <w:tr w14:paraId="3FF24E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5857098A">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6D49103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砷</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汞</w:t>
            </w:r>
          </w:p>
        </w:tc>
        <w:tc>
          <w:tcPr>
            <w:tcW w:w="3112" w:type="pct"/>
            <w:tcBorders>
              <w:tl2br w:val="nil"/>
              <w:tr2bl w:val="nil"/>
            </w:tcBorders>
            <w:noWrap w:val="0"/>
            <w:vAlign w:val="center"/>
          </w:tcPr>
          <w:p w14:paraId="4FBDC17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 汞、砷、硒、铋和锑的测定 原子荧光法HJ 694-2014</w:t>
            </w:r>
          </w:p>
        </w:tc>
      </w:tr>
      <w:tr w14:paraId="437E66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4AE3175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03101DF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六价铬</w:t>
            </w:r>
          </w:p>
        </w:tc>
        <w:tc>
          <w:tcPr>
            <w:tcW w:w="3112" w:type="pct"/>
            <w:tcBorders>
              <w:tl2br w:val="nil"/>
              <w:tr2bl w:val="nil"/>
            </w:tcBorders>
            <w:noWrap w:val="0"/>
            <w:vAlign w:val="center"/>
          </w:tcPr>
          <w:p w14:paraId="4F73A34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 xml:space="preserve">水质 六价铬的测定 二苯碳酰二肼分光光度法 </w:t>
            </w:r>
            <w:r>
              <w:rPr>
                <w:rFonts w:hint="default" w:ascii="Times New Roman" w:hAnsi="Times New Roman" w:eastAsia="宋体" w:cs="Times New Roman"/>
                <w:color w:val="auto"/>
                <w:sz w:val="21"/>
                <w:szCs w:val="21"/>
                <w:highlight w:val="none"/>
                <w:lang w:eastAsia="zh-CN"/>
              </w:rPr>
              <w:t>GB 7467-87</w:t>
            </w:r>
          </w:p>
        </w:tc>
      </w:tr>
      <w:tr w14:paraId="72D2C9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644406B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6073280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铅</w:t>
            </w:r>
          </w:p>
        </w:tc>
        <w:tc>
          <w:tcPr>
            <w:tcW w:w="3112" w:type="pct"/>
            <w:tcBorders>
              <w:tl2br w:val="nil"/>
              <w:tr2bl w:val="nil"/>
            </w:tcBorders>
            <w:noWrap w:val="0"/>
            <w:vAlign w:val="center"/>
          </w:tcPr>
          <w:p w14:paraId="7EFDDCD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 铜、锌、铅、镉的测定</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原子吸收分光光度法GB 7475-87</w:t>
            </w:r>
          </w:p>
        </w:tc>
      </w:tr>
      <w:tr w14:paraId="73E84B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075C784C">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1E87743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镉</w:t>
            </w:r>
          </w:p>
        </w:tc>
        <w:tc>
          <w:tcPr>
            <w:tcW w:w="3112" w:type="pct"/>
            <w:tcBorders>
              <w:tl2br w:val="nil"/>
              <w:tr2bl w:val="nil"/>
            </w:tcBorders>
            <w:noWrap w:val="0"/>
            <w:vAlign w:val="center"/>
          </w:tcPr>
          <w:p w14:paraId="039E5B3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 铜、锌、铅、镉的测定</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原子吸收分光光度法GB 7475-87</w:t>
            </w:r>
          </w:p>
        </w:tc>
      </w:tr>
      <w:tr w14:paraId="5DB583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182307EB">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76E800CF">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氟</w:t>
            </w:r>
            <w:r>
              <w:rPr>
                <w:rFonts w:hint="default" w:ascii="Times New Roman" w:hAnsi="Times New Roman" w:eastAsia="宋体" w:cs="Times New Roman"/>
                <w:color w:val="auto"/>
                <w:sz w:val="21"/>
                <w:szCs w:val="21"/>
                <w:highlight w:val="none"/>
                <w:lang w:eastAsia="zh-CN"/>
              </w:rPr>
              <w:t>化物</w:t>
            </w:r>
          </w:p>
        </w:tc>
        <w:tc>
          <w:tcPr>
            <w:tcW w:w="3112" w:type="pct"/>
            <w:tcBorders>
              <w:tl2br w:val="nil"/>
              <w:tr2bl w:val="nil"/>
            </w:tcBorders>
            <w:noWrap w:val="0"/>
            <w:vAlign w:val="center"/>
          </w:tcPr>
          <w:p w14:paraId="562772F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 氟化物的测定 氟试剂分光光度法HJ488-2009</w:t>
            </w:r>
          </w:p>
        </w:tc>
      </w:tr>
      <w:tr w14:paraId="3EE4FF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05D71383">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4C46468B">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溶解性总固体</w:t>
            </w:r>
          </w:p>
        </w:tc>
        <w:tc>
          <w:tcPr>
            <w:tcW w:w="3112" w:type="pct"/>
            <w:vMerge w:val="restart"/>
            <w:tcBorders>
              <w:tl2br w:val="nil"/>
              <w:tr2bl w:val="nil"/>
            </w:tcBorders>
            <w:noWrap w:val="0"/>
            <w:vAlign w:val="center"/>
          </w:tcPr>
          <w:p w14:paraId="75D1D38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 xml:space="preserve">生活饮用水标准检验方法 第4部分：感官性状和物理指标 </w:t>
            </w:r>
            <w:r>
              <w:rPr>
                <w:rFonts w:hint="default" w:ascii="Times New Roman" w:hAnsi="Times New Roman" w:eastAsia="宋体" w:cs="Times New Roman"/>
                <w:color w:val="auto"/>
                <w:sz w:val="21"/>
                <w:szCs w:val="21"/>
                <w:highlight w:val="none"/>
                <w:lang w:eastAsia="zh-CN"/>
              </w:rPr>
              <w:t>GB/T 5750.4-2023 11</w:t>
            </w:r>
          </w:p>
        </w:tc>
      </w:tr>
      <w:tr w14:paraId="3C155A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13B1D908">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73F18DB5">
            <w:pPr>
              <w:spacing w:line="320" w:lineRule="atLeast"/>
              <w:ind w:firstLine="0" w:firstLineChars="0"/>
              <w:jc w:val="center"/>
              <w:rPr>
                <w:rFonts w:hint="default" w:ascii="Times New Roman" w:hAnsi="Times New Roman" w:eastAsia="宋体" w:cs="Times New Roman"/>
                <w:color w:val="auto"/>
                <w:sz w:val="21"/>
                <w:szCs w:val="21"/>
                <w:highlight w:val="none"/>
                <w:lang w:eastAsia="zh-CN"/>
              </w:rPr>
            </w:pPr>
          </w:p>
        </w:tc>
        <w:tc>
          <w:tcPr>
            <w:tcW w:w="3112" w:type="pct"/>
            <w:vMerge w:val="continue"/>
            <w:tcBorders>
              <w:tl2br w:val="nil"/>
              <w:tr2bl w:val="nil"/>
            </w:tcBorders>
            <w:noWrap w:val="0"/>
            <w:vAlign w:val="center"/>
          </w:tcPr>
          <w:p w14:paraId="4795436E">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682100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4" w:type="pct"/>
            <w:vMerge w:val="continue"/>
            <w:tcBorders>
              <w:tl2br w:val="nil"/>
              <w:tr2bl w:val="nil"/>
            </w:tcBorders>
            <w:noWrap w:val="0"/>
            <w:vAlign w:val="center"/>
          </w:tcPr>
          <w:p w14:paraId="1BC7281E">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tcBorders>
              <w:tl2br w:val="nil"/>
              <w:tr2bl w:val="nil"/>
            </w:tcBorders>
            <w:noWrap w:val="0"/>
            <w:vAlign w:val="center"/>
          </w:tcPr>
          <w:p w14:paraId="6A4E38D9">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石油类</w:t>
            </w:r>
          </w:p>
        </w:tc>
        <w:tc>
          <w:tcPr>
            <w:tcW w:w="3112" w:type="pct"/>
            <w:tcBorders>
              <w:tl2br w:val="nil"/>
              <w:tr2bl w:val="nil"/>
            </w:tcBorders>
            <w:noWrap w:val="0"/>
            <w:vAlign w:val="center"/>
          </w:tcPr>
          <w:p w14:paraId="1B4639CA">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石油类的测定 紫外分光光度法（试行）</w:t>
            </w:r>
          </w:p>
          <w:p w14:paraId="379C733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 xml:space="preserve"> HJ 970-2018</w:t>
            </w:r>
          </w:p>
        </w:tc>
      </w:tr>
      <w:tr w14:paraId="213CCE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4A58F440">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2D8533A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总磷</w:t>
            </w:r>
          </w:p>
        </w:tc>
        <w:tc>
          <w:tcPr>
            <w:tcW w:w="3112" w:type="pct"/>
            <w:vMerge w:val="restart"/>
            <w:tcBorders>
              <w:tl2br w:val="nil"/>
              <w:tr2bl w:val="nil"/>
            </w:tcBorders>
            <w:noWrap w:val="0"/>
            <w:vAlign w:val="center"/>
          </w:tcPr>
          <w:p w14:paraId="5E2CB6CF">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总磷的测定 钼酸铵分光光度法GB 11893-89</w:t>
            </w:r>
          </w:p>
        </w:tc>
      </w:tr>
      <w:tr w14:paraId="08D4B6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42CE1209">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7531911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3112" w:type="pct"/>
            <w:vMerge w:val="continue"/>
            <w:tcBorders>
              <w:tl2br w:val="nil"/>
              <w:tr2bl w:val="nil"/>
            </w:tcBorders>
            <w:noWrap w:val="0"/>
            <w:vAlign w:val="center"/>
          </w:tcPr>
          <w:p w14:paraId="6A7C2051">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7526BF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5821603C">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683BD6EB">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总氮</w:t>
            </w:r>
          </w:p>
        </w:tc>
        <w:tc>
          <w:tcPr>
            <w:tcW w:w="3112" w:type="pct"/>
            <w:vMerge w:val="restart"/>
            <w:tcBorders>
              <w:tl2br w:val="nil"/>
              <w:tr2bl w:val="nil"/>
            </w:tcBorders>
            <w:noWrap w:val="0"/>
            <w:vAlign w:val="center"/>
          </w:tcPr>
          <w:p w14:paraId="65B12F23">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总氮的测定 碱性过硫酸钾消解紫外分光光度法HJ 636-2012</w:t>
            </w:r>
          </w:p>
        </w:tc>
      </w:tr>
      <w:tr w14:paraId="18AAE8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61F161FC">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08579839">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3112" w:type="pct"/>
            <w:vMerge w:val="continue"/>
            <w:tcBorders>
              <w:tl2br w:val="nil"/>
              <w:tr2bl w:val="nil"/>
            </w:tcBorders>
            <w:noWrap w:val="0"/>
            <w:vAlign w:val="center"/>
          </w:tcPr>
          <w:p w14:paraId="27CBA14C">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3778E1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5817C787">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760ED189">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化学需氧量</w:t>
            </w:r>
          </w:p>
        </w:tc>
        <w:tc>
          <w:tcPr>
            <w:tcW w:w="3112" w:type="pct"/>
            <w:vMerge w:val="restart"/>
            <w:tcBorders>
              <w:tl2br w:val="nil"/>
              <w:tr2bl w:val="nil"/>
            </w:tcBorders>
            <w:noWrap w:val="0"/>
            <w:vAlign w:val="center"/>
          </w:tcPr>
          <w:p w14:paraId="75D056F9">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化学需氧量的测定 重铬酸盐法HJ 828-2017</w:t>
            </w:r>
          </w:p>
        </w:tc>
      </w:tr>
      <w:tr w14:paraId="55F24F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74F9B908">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195DBE3A">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3112" w:type="pct"/>
            <w:vMerge w:val="continue"/>
            <w:tcBorders>
              <w:tl2br w:val="nil"/>
              <w:tr2bl w:val="nil"/>
            </w:tcBorders>
            <w:noWrap w:val="0"/>
            <w:vAlign w:val="center"/>
          </w:tcPr>
          <w:p w14:paraId="26A0129B">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0857EF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2D528E07">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7A0CAB0A">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生化需氧量</w:t>
            </w:r>
          </w:p>
        </w:tc>
        <w:tc>
          <w:tcPr>
            <w:tcW w:w="3112" w:type="pct"/>
            <w:vMerge w:val="restart"/>
            <w:tcBorders>
              <w:tl2br w:val="nil"/>
              <w:tr2bl w:val="nil"/>
            </w:tcBorders>
            <w:noWrap w:val="0"/>
            <w:vAlign w:val="center"/>
          </w:tcPr>
          <w:p w14:paraId="66F21576">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五日生化需氧量（BOD5）的测定 稀释与接种法 HJ 505-2009</w:t>
            </w:r>
          </w:p>
        </w:tc>
      </w:tr>
      <w:tr w14:paraId="6CCE77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56F3926E">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3259B623">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3112" w:type="pct"/>
            <w:vMerge w:val="continue"/>
            <w:tcBorders>
              <w:tl2br w:val="nil"/>
              <w:tr2bl w:val="nil"/>
            </w:tcBorders>
            <w:noWrap w:val="0"/>
            <w:vAlign w:val="center"/>
          </w:tcPr>
          <w:p w14:paraId="15A3F2DC">
            <w:pPr>
              <w:spacing w:line="320" w:lineRule="atLeast"/>
              <w:ind w:firstLine="0" w:firstLineChars="0"/>
              <w:jc w:val="center"/>
              <w:rPr>
                <w:rFonts w:hint="default" w:ascii="Times New Roman" w:hAnsi="Times New Roman" w:eastAsia="宋体" w:cs="Times New Roman"/>
                <w:color w:val="auto"/>
                <w:sz w:val="21"/>
                <w:szCs w:val="21"/>
                <w:highlight w:val="none"/>
              </w:rPr>
            </w:pPr>
          </w:p>
        </w:tc>
      </w:tr>
      <w:tr w14:paraId="5AE3E5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4C1EAE9B">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restart"/>
            <w:tcBorders>
              <w:tl2br w:val="nil"/>
              <w:tr2bl w:val="nil"/>
            </w:tcBorders>
            <w:noWrap w:val="0"/>
            <w:vAlign w:val="center"/>
          </w:tcPr>
          <w:p w14:paraId="1EA6462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细菌总数</w:t>
            </w:r>
          </w:p>
        </w:tc>
        <w:tc>
          <w:tcPr>
            <w:tcW w:w="3112" w:type="pct"/>
            <w:vMerge w:val="restart"/>
            <w:tcBorders>
              <w:tl2br w:val="nil"/>
              <w:tr2bl w:val="nil"/>
            </w:tcBorders>
            <w:noWrap w:val="0"/>
            <w:vAlign w:val="center"/>
          </w:tcPr>
          <w:p w14:paraId="55F898D4">
            <w:pPr>
              <w:spacing w:line="32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生活饮用水标准检验方法 第12部分：微生物指标GB/T 5750.12-2023 4</w:t>
            </w:r>
          </w:p>
        </w:tc>
      </w:tr>
      <w:tr w14:paraId="23AB1B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4" w:type="pct"/>
            <w:vMerge w:val="continue"/>
            <w:tcBorders>
              <w:tl2br w:val="nil"/>
              <w:tr2bl w:val="nil"/>
            </w:tcBorders>
            <w:noWrap w:val="0"/>
            <w:vAlign w:val="center"/>
          </w:tcPr>
          <w:p w14:paraId="05CBE3AA">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1133" w:type="pct"/>
            <w:vMerge w:val="continue"/>
            <w:tcBorders>
              <w:tl2br w:val="nil"/>
              <w:tr2bl w:val="nil"/>
            </w:tcBorders>
            <w:noWrap w:val="0"/>
            <w:vAlign w:val="center"/>
          </w:tcPr>
          <w:p w14:paraId="16C2C4C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p>
        </w:tc>
        <w:tc>
          <w:tcPr>
            <w:tcW w:w="3112" w:type="pct"/>
            <w:vMerge w:val="continue"/>
            <w:tcBorders>
              <w:tl2br w:val="nil"/>
              <w:tr2bl w:val="nil"/>
            </w:tcBorders>
            <w:noWrap w:val="0"/>
            <w:vAlign w:val="center"/>
          </w:tcPr>
          <w:p w14:paraId="24479F9F">
            <w:pPr>
              <w:spacing w:line="320" w:lineRule="atLeast"/>
              <w:ind w:firstLine="0" w:firstLineChars="0"/>
              <w:jc w:val="center"/>
              <w:rPr>
                <w:rFonts w:hint="default" w:ascii="Times New Roman" w:hAnsi="Times New Roman" w:eastAsia="宋体" w:cs="Times New Roman"/>
                <w:color w:val="auto"/>
                <w:sz w:val="21"/>
                <w:szCs w:val="21"/>
                <w:highlight w:val="none"/>
              </w:rPr>
            </w:pPr>
          </w:p>
        </w:tc>
      </w:tr>
    </w:tbl>
    <w:p w14:paraId="2400A6F0">
      <w:pPr>
        <w:spacing w:line="500" w:lineRule="exact"/>
        <w:ind w:firstLine="482"/>
        <w:rPr>
          <w:rFonts w:cs="Times New Roman"/>
          <w:b/>
          <w:snapToGrid w:val="0"/>
          <w:color w:val="auto"/>
          <w:kern w:val="0"/>
          <w:highlight w:val="none"/>
        </w:rPr>
      </w:pPr>
      <w:r>
        <w:rPr>
          <w:rFonts w:cs="Times New Roman"/>
          <w:b/>
          <w:snapToGrid w:val="0"/>
          <w:color w:val="auto"/>
          <w:kern w:val="0"/>
          <w:highlight w:val="none"/>
        </w:rPr>
        <w:t>5、监测结果统计与分析</w:t>
      </w:r>
    </w:p>
    <w:p w14:paraId="3D5610CD">
      <w:pPr>
        <w:bidi w:val="0"/>
        <w:rPr>
          <w:color w:val="auto"/>
          <w:highlight w:val="none"/>
        </w:rPr>
      </w:pPr>
      <w:r>
        <w:rPr>
          <w:color w:val="auto"/>
          <w:highlight w:val="none"/>
        </w:rPr>
        <w:t>地下水监测结果统计于下表。</w:t>
      </w:r>
    </w:p>
    <w:p w14:paraId="767DB7B3">
      <w:pPr>
        <w:pStyle w:val="456"/>
        <w:spacing w:line="240" w:lineRule="auto"/>
        <w:ind w:firstLine="0" w:firstLineChars="0"/>
        <w:rPr>
          <w:rFonts w:ascii="Times New Roman" w:hAnsi="Times New Roman"/>
          <w:b/>
          <w:bCs/>
          <w:color w:val="auto"/>
          <w:highlight w:val="none"/>
        </w:rPr>
      </w:pPr>
      <w:r>
        <w:rPr>
          <w:rFonts w:ascii="Times New Roman" w:hAnsi="Times New Roman"/>
          <w:b/>
          <w:bCs/>
          <w:color w:val="auto"/>
          <w:highlight w:val="none"/>
        </w:rPr>
        <w:t>表4</w:t>
      </w:r>
      <w:r>
        <w:rPr>
          <w:rFonts w:hint="eastAsia" w:ascii="Times New Roman" w:hAnsi="Times New Roman"/>
          <w:b/>
          <w:bCs/>
          <w:color w:val="auto"/>
          <w:highlight w:val="none"/>
          <w:lang w:val="en-US" w:eastAsia="zh-CN"/>
        </w:rPr>
        <w:t>.</w:t>
      </w:r>
      <w:r>
        <w:rPr>
          <w:rFonts w:ascii="Times New Roman" w:hAnsi="Times New Roman"/>
          <w:b/>
          <w:bCs/>
          <w:color w:val="auto"/>
          <w:highlight w:val="none"/>
        </w:rPr>
        <w:t>2-</w:t>
      </w:r>
      <w:r>
        <w:rPr>
          <w:rFonts w:hint="eastAsia" w:ascii="Times New Roman" w:hAnsi="Times New Roman"/>
          <w:b/>
          <w:bCs/>
          <w:color w:val="auto"/>
          <w:highlight w:val="none"/>
          <w:lang w:val="en-US" w:eastAsia="zh-CN"/>
        </w:rPr>
        <w:t>8</w:t>
      </w:r>
      <w:r>
        <w:rPr>
          <w:rFonts w:ascii="Times New Roman" w:hAnsi="Times New Roman"/>
          <w:b/>
          <w:bCs/>
          <w:color w:val="auto"/>
          <w:highlight w:val="none"/>
        </w:rPr>
        <w:t xml:space="preserve">  地下水监测结果统计表  单位：mg/L</w:t>
      </w:r>
    </w:p>
    <w:tbl>
      <w:tblPr>
        <w:tblStyle w:val="47"/>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84"/>
        <w:gridCol w:w="1901"/>
        <w:gridCol w:w="1901"/>
        <w:gridCol w:w="1903"/>
        <w:gridCol w:w="1337"/>
      </w:tblGrid>
      <w:tr w14:paraId="5EDDC3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tblHeader/>
          <w:jc w:val="center"/>
        </w:trPr>
        <w:tc>
          <w:tcPr>
            <w:tcW w:w="874" w:type="pct"/>
            <w:tcBorders>
              <w:tl2br w:val="nil"/>
              <w:tr2bl w:val="nil"/>
            </w:tcBorders>
            <w:noWrap w:val="0"/>
            <w:vAlign w:val="center"/>
          </w:tcPr>
          <w:p w14:paraId="27D79F3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检测项目</w:t>
            </w:r>
          </w:p>
        </w:tc>
        <w:tc>
          <w:tcPr>
            <w:tcW w:w="3355" w:type="pct"/>
            <w:gridSpan w:val="3"/>
            <w:tcBorders>
              <w:tl2br w:val="nil"/>
              <w:tr2bl w:val="nil"/>
            </w:tcBorders>
            <w:noWrap w:val="0"/>
            <w:vAlign w:val="center"/>
          </w:tcPr>
          <w:p w14:paraId="05D35CD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检测结果2025.08.16</w:t>
            </w:r>
          </w:p>
        </w:tc>
        <w:tc>
          <w:tcPr>
            <w:tcW w:w="769" w:type="pct"/>
            <w:vMerge w:val="restart"/>
            <w:tcBorders>
              <w:tl2br w:val="nil"/>
              <w:tr2bl w:val="nil"/>
            </w:tcBorders>
            <w:noWrap w:val="0"/>
            <w:vAlign w:val="center"/>
          </w:tcPr>
          <w:p w14:paraId="2D133AF4">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单位</w:t>
            </w:r>
          </w:p>
        </w:tc>
      </w:tr>
      <w:tr w14:paraId="4E13E1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tblHeader/>
          <w:jc w:val="center"/>
        </w:trPr>
        <w:tc>
          <w:tcPr>
            <w:tcW w:w="874" w:type="pct"/>
            <w:tcBorders>
              <w:tl2br w:val="nil"/>
              <w:tr2bl w:val="nil"/>
            </w:tcBorders>
            <w:noWrap w:val="0"/>
            <w:vAlign w:val="center"/>
          </w:tcPr>
          <w:p w14:paraId="71E3A74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检测</w:t>
            </w:r>
            <w:r>
              <w:rPr>
                <w:rFonts w:hint="eastAsia" w:ascii="Times New Roman" w:hAnsi="Times New Roman" w:eastAsia="宋体" w:cs="Times New Roman"/>
                <w:color w:val="auto"/>
                <w:sz w:val="21"/>
                <w:szCs w:val="21"/>
                <w:highlight w:val="none"/>
                <w:lang w:val="en-US" w:eastAsia="zh-CN"/>
              </w:rPr>
              <w:t>点位</w:t>
            </w:r>
          </w:p>
        </w:tc>
        <w:tc>
          <w:tcPr>
            <w:tcW w:w="1118" w:type="pct"/>
            <w:tcBorders>
              <w:tl2br w:val="nil"/>
              <w:tr2bl w:val="nil"/>
            </w:tcBorders>
            <w:noWrap w:val="0"/>
            <w:vAlign w:val="center"/>
          </w:tcPr>
          <w:p w14:paraId="09640CA1">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1#地下水水</w:t>
            </w:r>
            <w:r>
              <w:rPr>
                <w:rFonts w:hint="eastAsia" w:ascii="Times New Roman" w:hAnsi="Times New Roman" w:eastAsia="宋体" w:cs="Times New Roman"/>
                <w:color w:val="auto"/>
                <w:sz w:val="21"/>
                <w:szCs w:val="21"/>
                <w:highlight w:val="none"/>
                <w:lang w:val="en-US" w:eastAsia="zh-CN"/>
              </w:rPr>
              <w:t>位、水质</w:t>
            </w:r>
            <w:r>
              <w:rPr>
                <w:rFonts w:hint="default" w:ascii="Times New Roman" w:hAnsi="Times New Roman" w:eastAsia="宋体" w:cs="Times New Roman"/>
                <w:color w:val="auto"/>
                <w:sz w:val="21"/>
                <w:szCs w:val="21"/>
                <w:highlight w:val="none"/>
                <w:lang w:val="en-US" w:eastAsia="zh-CN"/>
              </w:rPr>
              <w:t>监测点</w:t>
            </w:r>
            <w:r>
              <w:rPr>
                <w:rFonts w:hint="eastAsia" w:ascii="Times New Roman" w:hAnsi="Times New Roman" w:eastAsia="宋体" w:cs="Times New Roman"/>
                <w:color w:val="auto"/>
                <w:sz w:val="21"/>
                <w:szCs w:val="21"/>
                <w:highlight w:val="none"/>
                <w:lang w:val="en-US" w:eastAsia="zh-CN"/>
              </w:rPr>
              <w:t>W1</w:t>
            </w:r>
          </w:p>
        </w:tc>
        <w:tc>
          <w:tcPr>
            <w:tcW w:w="1118" w:type="pct"/>
            <w:tcBorders>
              <w:tl2br w:val="nil"/>
              <w:tr2bl w:val="nil"/>
            </w:tcBorders>
            <w:noWrap w:val="0"/>
            <w:vAlign w:val="center"/>
          </w:tcPr>
          <w:p w14:paraId="785A5FE9">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#地下水水</w:t>
            </w:r>
            <w:r>
              <w:rPr>
                <w:rFonts w:hint="eastAsia" w:ascii="Times New Roman" w:hAnsi="Times New Roman" w:eastAsia="宋体" w:cs="Times New Roman"/>
                <w:color w:val="auto"/>
                <w:sz w:val="21"/>
                <w:szCs w:val="21"/>
                <w:highlight w:val="none"/>
                <w:lang w:val="en-US" w:eastAsia="zh-CN"/>
              </w:rPr>
              <w:t>位、水质</w:t>
            </w:r>
            <w:r>
              <w:rPr>
                <w:rFonts w:hint="default" w:ascii="Times New Roman" w:hAnsi="Times New Roman" w:eastAsia="宋体" w:cs="Times New Roman"/>
                <w:color w:val="auto"/>
                <w:sz w:val="21"/>
                <w:szCs w:val="21"/>
                <w:highlight w:val="none"/>
                <w:lang w:val="en-US" w:eastAsia="zh-CN"/>
              </w:rPr>
              <w:t>监测点</w:t>
            </w:r>
            <w:r>
              <w:rPr>
                <w:rFonts w:hint="eastAsia" w:ascii="Times New Roman" w:hAnsi="Times New Roman" w:eastAsia="宋体" w:cs="Times New Roman"/>
                <w:color w:val="auto"/>
                <w:sz w:val="21"/>
                <w:szCs w:val="21"/>
                <w:highlight w:val="none"/>
                <w:lang w:val="en-US" w:eastAsia="zh-CN"/>
              </w:rPr>
              <w:t>W2</w:t>
            </w:r>
          </w:p>
        </w:tc>
        <w:tc>
          <w:tcPr>
            <w:tcW w:w="1118" w:type="pct"/>
            <w:tcBorders>
              <w:tl2br w:val="nil"/>
              <w:tr2bl w:val="nil"/>
            </w:tcBorders>
            <w:noWrap w:val="0"/>
            <w:vAlign w:val="center"/>
          </w:tcPr>
          <w:p w14:paraId="131120D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lang w:val="en-US" w:eastAsia="zh-CN"/>
              </w:rPr>
              <w:t>#地下水水</w:t>
            </w:r>
            <w:r>
              <w:rPr>
                <w:rFonts w:hint="eastAsia" w:ascii="Times New Roman" w:hAnsi="Times New Roman" w:eastAsia="宋体" w:cs="Times New Roman"/>
                <w:color w:val="auto"/>
                <w:sz w:val="21"/>
                <w:szCs w:val="21"/>
                <w:highlight w:val="none"/>
                <w:lang w:val="en-US" w:eastAsia="zh-CN"/>
              </w:rPr>
              <w:t>位、水质</w:t>
            </w:r>
            <w:r>
              <w:rPr>
                <w:rFonts w:hint="default" w:ascii="Times New Roman" w:hAnsi="Times New Roman" w:eastAsia="宋体" w:cs="Times New Roman"/>
                <w:color w:val="auto"/>
                <w:sz w:val="21"/>
                <w:szCs w:val="21"/>
                <w:highlight w:val="none"/>
                <w:lang w:val="en-US" w:eastAsia="zh-CN"/>
              </w:rPr>
              <w:t>监测点</w:t>
            </w:r>
            <w:r>
              <w:rPr>
                <w:rFonts w:hint="eastAsia" w:ascii="Times New Roman" w:hAnsi="Times New Roman" w:eastAsia="宋体" w:cs="Times New Roman"/>
                <w:color w:val="auto"/>
                <w:sz w:val="21"/>
                <w:szCs w:val="21"/>
                <w:highlight w:val="none"/>
                <w:lang w:val="en-US" w:eastAsia="zh-CN"/>
              </w:rPr>
              <w:t>W3</w:t>
            </w:r>
          </w:p>
        </w:tc>
        <w:tc>
          <w:tcPr>
            <w:tcW w:w="769" w:type="pct"/>
            <w:vMerge w:val="continue"/>
            <w:tcBorders>
              <w:tl2br w:val="nil"/>
              <w:tr2bl w:val="nil"/>
            </w:tcBorders>
            <w:noWrap w:val="0"/>
            <w:vAlign w:val="center"/>
          </w:tcPr>
          <w:p w14:paraId="7E69D48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p>
        </w:tc>
      </w:tr>
      <w:tr w14:paraId="6537FE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31F9D5B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K</w:t>
            </w:r>
            <w:r>
              <w:rPr>
                <w:rFonts w:hint="default" w:ascii="Times New Roman" w:hAnsi="Times New Roman" w:eastAsia="宋体" w:cs="Times New Roman"/>
                <w:color w:val="auto"/>
                <w:sz w:val="21"/>
                <w:szCs w:val="21"/>
                <w:highlight w:val="none"/>
                <w:vertAlign w:val="superscript"/>
                <w:lang w:val="en-US" w:eastAsia="zh-CN"/>
              </w:rPr>
              <w:t>+</w:t>
            </w:r>
          </w:p>
        </w:tc>
        <w:tc>
          <w:tcPr>
            <w:tcW w:w="1118" w:type="pct"/>
            <w:tcBorders>
              <w:tl2br w:val="nil"/>
              <w:tr2bl w:val="nil"/>
            </w:tcBorders>
            <w:noWrap w:val="0"/>
            <w:vAlign w:val="center"/>
          </w:tcPr>
          <w:p w14:paraId="0955770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lang w:val="en-US" w:eastAsia="zh-CN"/>
              </w:rPr>
              <w:t xml:space="preserve">.04 </w:t>
            </w:r>
          </w:p>
        </w:tc>
        <w:tc>
          <w:tcPr>
            <w:tcW w:w="1118" w:type="pct"/>
            <w:tcBorders>
              <w:tl2br w:val="nil"/>
              <w:tr2bl w:val="nil"/>
            </w:tcBorders>
            <w:noWrap w:val="0"/>
            <w:vAlign w:val="center"/>
          </w:tcPr>
          <w:p w14:paraId="67F636D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 xml:space="preserve">.76 </w:t>
            </w:r>
          </w:p>
        </w:tc>
        <w:tc>
          <w:tcPr>
            <w:tcW w:w="1118" w:type="pct"/>
            <w:tcBorders>
              <w:tl2br w:val="nil"/>
              <w:tr2bl w:val="nil"/>
            </w:tcBorders>
            <w:noWrap w:val="0"/>
            <w:vAlign w:val="center"/>
          </w:tcPr>
          <w:p w14:paraId="7239627B">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 xml:space="preserve">.37 </w:t>
            </w:r>
          </w:p>
        </w:tc>
        <w:tc>
          <w:tcPr>
            <w:tcW w:w="769" w:type="pct"/>
            <w:tcBorders>
              <w:tl2br w:val="nil"/>
              <w:tr2bl w:val="nil"/>
            </w:tcBorders>
            <w:noWrap w:val="0"/>
            <w:vAlign w:val="center"/>
          </w:tcPr>
          <w:p w14:paraId="2313FEA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402838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3E0E723">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Na</w:t>
            </w:r>
            <w:r>
              <w:rPr>
                <w:rFonts w:hint="default" w:ascii="Times New Roman" w:hAnsi="Times New Roman" w:eastAsia="宋体" w:cs="Times New Roman"/>
                <w:color w:val="auto"/>
                <w:sz w:val="21"/>
                <w:szCs w:val="21"/>
                <w:highlight w:val="none"/>
                <w:vertAlign w:val="superscript"/>
                <w:lang w:val="en-US" w:eastAsia="zh-CN"/>
              </w:rPr>
              <w:t>+</w:t>
            </w:r>
          </w:p>
        </w:tc>
        <w:tc>
          <w:tcPr>
            <w:tcW w:w="1118" w:type="pct"/>
            <w:tcBorders>
              <w:tl2br w:val="nil"/>
              <w:tr2bl w:val="nil"/>
            </w:tcBorders>
            <w:noWrap w:val="0"/>
            <w:vAlign w:val="center"/>
          </w:tcPr>
          <w:p w14:paraId="215F5A3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46</w:t>
            </w:r>
            <w:r>
              <w:rPr>
                <w:rFonts w:hint="default" w:ascii="Times New Roman" w:hAnsi="Times New Roman" w:eastAsia="宋体" w:cs="Times New Roman"/>
                <w:color w:val="auto"/>
                <w:sz w:val="21"/>
                <w:szCs w:val="21"/>
                <w:highlight w:val="none"/>
                <w:lang w:val="en-US" w:eastAsia="zh-CN"/>
              </w:rPr>
              <w:t xml:space="preserve">.0 </w:t>
            </w:r>
          </w:p>
        </w:tc>
        <w:tc>
          <w:tcPr>
            <w:tcW w:w="1118" w:type="pct"/>
            <w:tcBorders>
              <w:tl2br w:val="nil"/>
              <w:tr2bl w:val="nil"/>
            </w:tcBorders>
            <w:noWrap w:val="0"/>
            <w:vAlign w:val="center"/>
          </w:tcPr>
          <w:p w14:paraId="675FFD5A">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36</w:t>
            </w:r>
            <w:r>
              <w:rPr>
                <w:rFonts w:hint="default" w:ascii="Times New Roman" w:hAnsi="Times New Roman" w:eastAsia="宋体" w:cs="Times New Roman"/>
                <w:color w:val="auto"/>
                <w:sz w:val="21"/>
                <w:szCs w:val="21"/>
                <w:highlight w:val="none"/>
                <w:lang w:val="en-US" w:eastAsia="zh-CN"/>
              </w:rPr>
              <w:t xml:space="preserve">.3 </w:t>
            </w:r>
          </w:p>
        </w:tc>
        <w:tc>
          <w:tcPr>
            <w:tcW w:w="1118" w:type="pct"/>
            <w:tcBorders>
              <w:tl2br w:val="nil"/>
              <w:tr2bl w:val="nil"/>
            </w:tcBorders>
            <w:noWrap w:val="0"/>
            <w:vAlign w:val="center"/>
          </w:tcPr>
          <w:p w14:paraId="60576F93">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36</w:t>
            </w:r>
            <w:r>
              <w:rPr>
                <w:rFonts w:hint="default" w:ascii="Times New Roman" w:hAnsi="Times New Roman" w:eastAsia="宋体" w:cs="Times New Roman"/>
                <w:color w:val="auto"/>
                <w:sz w:val="21"/>
                <w:szCs w:val="21"/>
                <w:highlight w:val="none"/>
                <w:lang w:val="en-US" w:eastAsia="zh-CN"/>
              </w:rPr>
              <w:t xml:space="preserve">.3 </w:t>
            </w:r>
          </w:p>
        </w:tc>
        <w:tc>
          <w:tcPr>
            <w:tcW w:w="769" w:type="pct"/>
            <w:tcBorders>
              <w:tl2br w:val="nil"/>
              <w:tr2bl w:val="nil"/>
            </w:tcBorders>
            <w:noWrap w:val="0"/>
            <w:vAlign w:val="center"/>
          </w:tcPr>
          <w:p w14:paraId="7738A23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30BB25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3F26D78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Ca</w:t>
            </w:r>
            <w:r>
              <w:rPr>
                <w:rFonts w:hint="default" w:ascii="Times New Roman" w:hAnsi="Times New Roman" w:eastAsia="宋体" w:cs="Times New Roman"/>
                <w:color w:val="auto"/>
                <w:sz w:val="21"/>
                <w:szCs w:val="21"/>
                <w:highlight w:val="none"/>
                <w:vertAlign w:val="superscript"/>
                <w:lang w:val="en-US" w:eastAsia="zh-CN"/>
              </w:rPr>
              <w:t>2+</w:t>
            </w:r>
          </w:p>
        </w:tc>
        <w:tc>
          <w:tcPr>
            <w:tcW w:w="1118" w:type="pct"/>
            <w:tcBorders>
              <w:tl2br w:val="nil"/>
              <w:tr2bl w:val="nil"/>
            </w:tcBorders>
            <w:noWrap w:val="0"/>
            <w:vAlign w:val="center"/>
          </w:tcPr>
          <w:p w14:paraId="077B13F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76</w:t>
            </w:r>
            <w:r>
              <w:rPr>
                <w:rFonts w:hint="default" w:ascii="Times New Roman" w:hAnsi="Times New Roman" w:eastAsia="宋体" w:cs="Times New Roman"/>
                <w:color w:val="auto"/>
                <w:sz w:val="21"/>
                <w:szCs w:val="21"/>
                <w:highlight w:val="none"/>
                <w:lang w:val="en-US" w:eastAsia="zh-CN"/>
              </w:rPr>
              <w:t xml:space="preserve">.4 </w:t>
            </w:r>
          </w:p>
        </w:tc>
        <w:tc>
          <w:tcPr>
            <w:tcW w:w="1118" w:type="pct"/>
            <w:tcBorders>
              <w:tl2br w:val="nil"/>
              <w:tr2bl w:val="nil"/>
            </w:tcBorders>
            <w:noWrap w:val="0"/>
            <w:vAlign w:val="center"/>
          </w:tcPr>
          <w:p w14:paraId="0A33B802">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68</w:t>
            </w:r>
            <w:r>
              <w:rPr>
                <w:rFonts w:hint="default" w:ascii="Times New Roman" w:hAnsi="Times New Roman" w:eastAsia="宋体" w:cs="Times New Roman"/>
                <w:color w:val="auto"/>
                <w:sz w:val="21"/>
                <w:szCs w:val="21"/>
                <w:highlight w:val="none"/>
                <w:lang w:val="en-US" w:eastAsia="zh-CN"/>
              </w:rPr>
              <w:t xml:space="preserve">.0 </w:t>
            </w:r>
          </w:p>
        </w:tc>
        <w:tc>
          <w:tcPr>
            <w:tcW w:w="1118" w:type="pct"/>
            <w:tcBorders>
              <w:tl2br w:val="nil"/>
              <w:tr2bl w:val="nil"/>
            </w:tcBorders>
            <w:noWrap w:val="0"/>
            <w:vAlign w:val="center"/>
          </w:tcPr>
          <w:p w14:paraId="587AB3D4">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68</w:t>
            </w:r>
            <w:r>
              <w:rPr>
                <w:rFonts w:hint="default" w:ascii="Times New Roman" w:hAnsi="Times New Roman" w:eastAsia="宋体" w:cs="Times New Roman"/>
                <w:color w:val="auto"/>
                <w:sz w:val="21"/>
                <w:szCs w:val="21"/>
                <w:highlight w:val="none"/>
                <w:lang w:val="en-US" w:eastAsia="zh-CN"/>
              </w:rPr>
              <w:t xml:space="preserve">.5 </w:t>
            </w:r>
          </w:p>
        </w:tc>
        <w:tc>
          <w:tcPr>
            <w:tcW w:w="769" w:type="pct"/>
            <w:tcBorders>
              <w:tl2br w:val="nil"/>
              <w:tr2bl w:val="nil"/>
            </w:tcBorders>
            <w:noWrap w:val="0"/>
            <w:vAlign w:val="center"/>
          </w:tcPr>
          <w:p w14:paraId="549F879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251EC8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00FB542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w:t>
            </w:r>
            <w:r>
              <w:rPr>
                <w:rFonts w:hint="default" w:ascii="Times New Roman" w:hAnsi="Times New Roman" w:eastAsia="宋体" w:cs="Times New Roman"/>
                <w:color w:val="auto"/>
                <w:sz w:val="21"/>
                <w:szCs w:val="21"/>
                <w:highlight w:val="none"/>
                <w:vertAlign w:val="superscript"/>
                <w:lang w:val="en-US" w:eastAsia="zh-CN"/>
              </w:rPr>
              <w:t>2+</w:t>
            </w:r>
          </w:p>
        </w:tc>
        <w:tc>
          <w:tcPr>
            <w:tcW w:w="1118" w:type="pct"/>
            <w:tcBorders>
              <w:tl2br w:val="nil"/>
              <w:tr2bl w:val="nil"/>
            </w:tcBorders>
            <w:noWrap w:val="0"/>
            <w:vAlign w:val="center"/>
          </w:tcPr>
          <w:p w14:paraId="348A086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44</w:t>
            </w:r>
            <w:r>
              <w:rPr>
                <w:rFonts w:hint="default" w:ascii="Times New Roman" w:hAnsi="Times New Roman" w:eastAsia="宋体" w:cs="Times New Roman"/>
                <w:color w:val="auto"/>
                <w:sz w:val="21"/>
                <w:szCs w:val="21"/>
                <w:highlight w:val="none"/>
                <w:lang w:val="en-US" w:eastAsia="zh-CN"/>
              </w:rPr>
              <w:t xml:space="preserve">.8 </w:t>
            </w:r>
          </w:p>
        </w:tc>
        <w:tc>
          <w:tcPr>
            <w:tcW w:w="1118" w:type="pct"/>
            <w:tcBorders>
              <w:tl2br w:val="nil"/>
              <w:tr2bl w:val="nil"/>
            </w:tcBorders>
            <w:noWrap w:val="0"/>
            <w:vAlign w:val="center"/>
          </w:tcPr>
          <w:p w14:paraId="4CA91F2E">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32</w:t>
            </w:r>
            <w:r>
              <w:rPr>
                <w:rFonts w:hint="default" w:ascii="Times New Roman" w:hAnsi="Times New Roman" w:eastAsia="宋体" w:cs="Times New Roman"/>
                <w:color w:val="auto"/>
                <w:sz w:val="21"/>
                <w:szCs w:val="21"/>
                <w:highlight w:val="none"/>
                <w:lang w:val="en-US" w:eastAsia="zh-CN"/>
              </w:rPr>
              <w:t xml:space="preserve">.6 </w:t>
            </w:r>
          </w:p>
        </w:tc>
        <w:tc>
          <w:tcPr>
            <w:tcW w:w="1118" w:type="pct"/>
            <w:tcBorders>
              <w:tl2br w:val="nil"/>
              <w:tr2bl w:val="nil"/>
            </w:tcBorders>
            <w:noWrap w:val="0"/>
            <w:vAlign w:val="center"/>
          </w:tcPr>
          <w:p w14:paraId="1C6D050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lang w:val="en-US" w:eastAsia="zh-CN"/>
              </w:rPr>
              <w:t xml:space="preserve">.4 </w:t>
            </w:r>
          </w:p>
        </w:tc>
        <w:tc>
          <w:tcPr>
            <w:tcW w:w="769" w:type="pct"/>
            <w:tcBorders>
              <w:tl2br w:val="nil"/>
              <w:tr2bl w:val="nil"/>
            </w:tcBorders>
            <w:noWrap w:val="0"/>
            <w:vAlign w:val="center"/>
          </w:tcPr>
          <w:p w14:paraId="2F206C1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555272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6D5E52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w:t>
            </w:r>
            <w:r>
              <w:rPr>
                <w:rFonts w:hint="default" w:ascii="Times New Roman" w:hAnsi="Times New Roman" w:eastAsia="宋体" w:cs="Times New Roman"/>
                <w:color w:val="auto"/>
                <w:sz w:val="21"/>
                <w:szCs w:val="21"/>
                <w:highlight w:val="none"/>
                <w:vertAlign w:val="subscript"/>
                <w:lang w:val="en-US" w:eastAsia="zh-CN"/>
              </w:rPr>
              <w:t>3</w:t>
            </w:r>
            <w:r>
              <w:rPr>
                <w:rFonts w:hint="default" w:ascii="Times New Roman" w:hAnsi="Times New Roman" w:eastAsia="宋体" w:cs="Times New Roman"/>
                <w:color w:val="auto"/>
                <w:sz w:val="21"/>
                <w:szCs w:val="21"/>
                <w:highlight w:val="none"/>
                <w:vertAlign w:val="superscript"/>
                <w:lang w:val="en-US" w:eastAsia="zh-CN"/>
              </w:rPr>
              <w:t>2-</w:t>
            </w:r>
          </w:p>
        </w:tc>
        <w:tc>
          <w:tcPr>
            <w:tcW w:w="1118" w:type="pct"/>
            <w:tcBorders>
              <w:tl2br w:val="nil"/>
              <w:tr2bl w:val="nil"/>
            </w:tcBorders>
            <w:noWrap w:val="0"/>
            <w:vAlign w:val="center"/>
          </w:tcPr>
          <w:p w14:paraId="68CAE29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1118" w:type="pct"/>
            <w:tcBorders>
              <w:tl2br w:val="nil"/>
              <w:tr2bl w:val="nil"/>
            </w:tcBorders>
            <w:noWrap w:val="0"/>
            <w:vAlign w:val="center"/>
          </w:tcPr>
          <w:p w14:paraId="633E322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1118" w:type="pct"/>
            <w:tcBorders>
              <w:tl2br w:val="nil"/>
              <w:tr2bl w:val="nil"/>
            </w:tcBorders>
            <w:noWrap w:val="0"/>
            <w:vAlign w:val="center"/>
          </w:tcPr>
          <w:p w14:paraId="61EF069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769" w:type="pct"/>
            <w:tcBorders>
              <w:tl2br w:val="nil"/>
              <w:tr2bl w:val="nil"/>
            </w:tcBorders>
            <w:noWrap w:val="0"/>
            <w:vAlign w:val="center"/>
          </w:tcPr>
          <w:p w14:paraId="1D624C4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6010CA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BD13B4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HCO</w:t>
            </w:r>
            <w:r>
              <w:rPr>
                <w:rFonts w:hint="default" w:ascii="Times New Roman" w:hAnsi="Times New Roman" w:eastAsia="宋体" w:cs="Times New Roman"/>
                <w:color w:val="auto"/>
                <w:sz w:val="21"/>
                <w:szCs w:val="21"/>
                <w:highlight w:val="none"/>
                <w:vertAlign w:val="superscript"/>
                <w:lang w:val="en-US" w:eastAsia="zh-CN"/>
              </w:rPr>
              <w:t>3-</w:t>
            </w:r>
          </w:p>
        </w:tc>
        <w:tc>
          <w:tcPr>
            <w:tcW w:w="1118" w:type="pct"/>
            <w:tcBorders>
              <w:tl2br w:val="nil"/>
              <w:tr2bl w:val="nil"/>
            </w:tcBorders>
            <w:noWrap w:val="0"/>
            <w:vAlign w:val="center"/>
          </w:tcPr>
          <w:p w14:paraId="33E8DB2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109</w:t>
            </w:r>
          </w:p>
        </w:tc>
        <w:tc>
          <w:tcPr>
            <w:tcW w:w="1118" w:type="pct"/>
            <w:tcBorders>
              <w:tl2br w:val="nil"/>
              <w:tr2bl w:val="nil"/>
            </w:tcBorders>
            <w:noWrap w:val="0"/>
            <w:vAlign w:val="center"/>
          </w:tcPr>
          <w:p w14:paraId="610CF86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100</w:t>
            </w:r>
          </w:p>
        </w:tc>
        <w:tc>
          <w:tcPr>
            <w:tcW w:w="1118" w:type="pct"/>
            <w:tcBorders>
              <w:tl2br w:val="nil"/>
              <w:tr2bl w:val="nil"/>
            </w:tcBorders>
            <w:noWrap w:val="0"/>
            <w:vAlign w:val="center"/>
          </w:tcPr>
          <w:p w14:paraId="2B02CBC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136</w:t>
            </w:r>
          </w:p>
        </w:tc>
        <w:tc>
          <w:tcPr>
            <w:tcW w:w="769" w:type="pct"/>
            <w:tcBorders>
              <w:tl2br w:val="nil"/>
              <w:tr2bl w:val="nil"/>
            </w:tcBorders>
            <w:noWrap w:val="0"/>
            <w:vAlign w:val="center"/>
          </w:tcPr>
          <w:p w14:paraId="14532DB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785774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33CB52F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Cl</w:t>
            </w:r>
            <w:r>
              <w:rPr>
                <w:rFonts w:hint="default" w:ascii="Times New Roman" w:hAnsi="Times New Roman" w:eastAsia="宋体" w:cs="Times New Roman"/>
                <w:color w:val="auto"/>
                <w:sz w:val="21"/>
                <w:szCs w:val="21"/>
                <w:highlight w:val="none"/>
                <w:vertAlign w:val="superscript"/>
                <w:lang w:val="en-US" w:eastAsia="zh-CN"/>
              </w:rPr>
              <w:t>-</w:t>
            </w:r>
          </w:p>
        </w:tc>
        <w:tc>
          <w:tcPr>
            <w:tcW w:w="1118" w:type="pct"/>
            <w:tcBorders>
              <w:tl2br w:val="nil"/>
              <w:tr2bl w:val="nil"/>
            </w:tcBorders>
            <w:noWrap w:val="0"/>
            <w:vAlign w:val="center"/>
          </w:tcPr>
          <w:p w14:paraId="2187F35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191</w:t>
            </w:r>
          </w:p>
        </w:tc>
        <w:tc>
          <w:tcPr>
            <w:tcW w:w="1118" w:type="pct"/>
            <w:tcBorders>
              <w:tl2br w:val="nil"/>
              <w:tr2bl w:val="nil"/>
            </w:tcBorders>
            <w:noWrap w:val="0"/>
            <w:vAlign w:val="center"/>
          </w:tcPr>
          <w:p w14:paraId="341E384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160</w:t>
            </w:r>
          </w:p>
        </w:tc>
        <w:tc>
          <w:tcPr>
            <w:tcW w:w="1118" w:type="pct"/>
            <w:tcBorders>
              <w:tl2br w:val="nil"/>
              <w:tr2bl w:val="nil"/>
            </w:tcBorders>
            <w:noWrap w:val="0"/>
            <w:vAlign w:val="center"/>
          </w:tcPr>
          <w:p w14:paraId="50B0AE1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133</w:t>
            </w:r>
          </w:p>
        </w:tc>
        <w:tc>
          <w:tcPr>
            <w:tcW w:w="769" w:type="pct"/>
            <w:tcBorders>
              <w:tl2br w:val="nil"/>
              <w:tr2bl w:val="nil"/>
            </w:tcBorders>
            <w:noWrap w:val="0"/>
            <w:vAlign w:val="center"/>
          </w:tcPr>
          <w:p w14:paraId="68D1C45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6170A7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3EF5AFF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SO</w:t>
            </w:r>
            <w:r>
              <w:rPr>
                <w:rFonts w:hint="default" w:ascii="Times New Roman" w:hAnsi="Times New Roman" w:eastAsia="宋体" w:cs="Times New Roman"/>
                <w:color w:val="auto"/>
                <w:sz w:val="21"/>
                <w:szCs w:val="21"/>
                <w:highlight w:val="none"/>
                <w:vertAlign w:val="subscript"/>
                <w:lang w:val="en-US" w:eastAsia="zh-CN"/>
              </w:rPr>
              <w:t>4</w:t>
            </w:r>
            <w:r>
              <w:rPr>
                <w:rFonts w:hint="default" w:ascii="Times New Roman" w:hAnsi="Times New Roman" w:eastAsia="宋体" w:cs="Times New Roman"/>
                <w:color w:val="auto"/>
                <w:sz w:val="21"/>
                <w:szCs w:val="21"/>
                <w:highlight w:val="none"/>
                <w:vertAlign w:val="superscript"/>
                <w:lang w:val="en-US" w:eastAsia="zh-CN"/>
              </w:rPr>
              <w:t>2-</w:t>
            </w:r>
          </w:p>
        </w:tc>
        <w:tc>
          <w:tcPr>
            <w:tcW w:w="1118" w:type="pct"/>
            <w:tcBorders>
              <w:tl2br w:val="nil"/>
              <w:tr2bl w:val="nil"/>
            </w:tcBorders>
            <w:noWrap w:val="0"/>
            <w:vAlign w:val="center"/>
          </w:tcPr>
          <w:p w14:paraId="1B9548D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104</w:t>
            </w:r>
          </w:p>
        </w:tc>
        <w:tc>
          <w:tcPr>
            <w:tcW w:w="1118" w:type="pct"/>
            <w:tcBorders>
              <w:tl2br w:val="nil"/>
              <w:tr2bl w:val="nil"/>
            </w:tcBorders>
            <w:noWrap w:val="0"/>
            <w:vAlign w:val="center"/>
          </w:tcPr>
          <w:p w14:paraId="134E850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92.3</w:t>
            </w:r>
          </w:p>
        </w:tc>
        <w:tc>
          <w:tcPr>
            <w:tcW w:w="1118" w:type="pct"/>
            <w:tcBorders>
              <w:tl2br w:val="nil"/>
              <w:tr2bl w:val="nil"/>
            </w:tcBorders>
            <w:noWrap w:val="0"/>
            <w:vAlign w:val="center"/>
          </w:tcPr>
          <w:p w14:paraId="4BFB179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84.5</w:t>
            </w:r>
          </w:p>
        </w:tc>
        <w:tc>
          <w:tcPr>
            <w:tcW w:w="769" w:type="pct"/>
            <w:tcBorders>
              <w:tl2br w:val="nil"/>
              <w:tr2bl w:val="nil"/>
            </w:tcBorders>
            <w:noWrap w:val="0"/>
            <w:vAlign w:val="center"/>
          </w:tcPr>
          <w:p w14:paraId="1B47495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5E3AA5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41ED76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pH</w:t>
            </w:r>
            <w:r>
              <w:rPr>
                <w:rFonts w:hint="eastAsia" w:ascii="Times New Roman" w:hAnsi="Times New Roman" w:eastAsia="宋体" w:cs="Times New Roman"/>
                <w:color w:val="auto"/>
                <w:sz w:val="21"/>
                <w:szCs w:val="21"/>
                <w:highlight w:val="none"/>
                <w:lang w:val="en-US" w:eastAsia="zh-CN"/>
              </w:rPr>
              <w:t>值</w:t>
            </w:r>
          </w:p>
        </w:tc>
        <w:tc>
          <w:tcPr>
            <w:tcW w:w="1118" w:type="pct"/>
            <w:tcBorders>
              <w:tl2br w:val="nil"/>
              <w:tr2bl w:val="nil"/>
            </w:tcBorders>
            <w:noWrap w:val="0"/>
            <w:vAlign w:val="center"/>
          </w:tcPr>
          <w:p w14:paraId="7EFDFA8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7.6</w:t>
            </w:r>
          </w:p>
        </w:tc>
        <w:tc>
          <w:tcPr>
            <w:tcW w:w="1118" w:type="pct"/>
            <w:tcBorders>
              <w:tl2br w:val="nil"/>
              <w:tr2bl w:val="nil"/>
            </w:tcBorders>
            <w:noWrap w:val="0"/>
            <w:vAlign w:val="center"/>
          </w:tcPr>
          <w:p w14:paraId="293E0E1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7.5</w:t>
            </w:r>
          </w:p>
        </w:tc>
        <w:tc>
          <w:tcPr>
            <w:tcW w:w="1118" w:type="pct"/>
            <w:tcBorders>
              <w:tl2br w:val="nil"/>
              <w:tr2bl w:val="nil"/>
            </w:tcBorders>
            <w:noWrap w:val="0"/>
            <w:vAlign w:val="center"/>
          </w:tcPr>
          <w:p w14:paraId="6C0E232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7.4</w:t>
            </w:r>
          </w:p>
        </w:tc>
        <w:tc>
          <w:tcPr>
            <w:tcW w:w="769" w:type="pct"/>
            <w:tcBorders>
              <w:tl2br w:val="nil"/>
              <w:tr2bl w:val="nil"/>
            </w:tcBorders>
            <w:noWrap w:val="0"/>
            <w:vAlign w:val="center"/>
          </w:tcPr>
          <w:p w14:paraId="536EB2D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无量纲</w:t>
            </w:r>
          </w:p>
        </w:tc>
      </w:tr>
      <w:tr w14:paraId="409CC2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6F5EFC9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高锰酸盐指数</w:t>
            </w:r>
          </w:p>
        </w:tc>
        <w:tc>
          <w:tcPr>
            <w:tcW w:w="1118" w:type="pct"/>
            <w:tcBorders>
              <w:tl2br w:val="nil"/>
              <w:tr2bl w:val="nil"/>
            </w:tcBorders>
            <w:noWrap w:val="0"/>
            <w:vAlign w:val="center"/>
          </w:tcPr>
          <w:p w14:paraId="13E976F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1.1</w:t>
            </w:r>
          </w:p>
        </w:tc>
        <w:tc>
          <w:tcPr>
            <w:tcW w:w="1118" w:type="pct"/>
            <w:tcBorders>
              <w:tl2br w:val="nil"/>
              <w:tr2bl w:val="nil"/>
            </w:tcBorders>
            <w:noWrap w:val="0"/>
            <w:vAlign w:val="center"/>
          </w:tcPr>
          <w:p w14:paraId="5541654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0.9</w:t>
            </w:r>
          </w:p>
        </w:tc>
        <w:tc>
          <w:tcPr>
            <w:tcW w:w="1118" w:type="pct"/>
            <w:tcBorders>
              <w:tl2br w:val="nil"/>
              <w:tr2bl w:val="nil"/>
            </w:tcBorders>
            <w:noWrap w:val="0"/>
            <w:vAlign w:val="center"/>
          </w:tcPr>
          <w:p w14:paraId="3F4FDC3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w:t>
            </w:r>
          </w:p>
        </w:tc>
        <w:tc>
          <w:tcPr>
            <w:tcW w:w="769" w:type="pct"/>
            <w:tcBorders>
              <w:tl2br w:val="nil"/>
              <w:tr2bl w:val="nil"/>
            </w:tcBorders>
            <w:noWrap w:val="0"/>
            <w:vAlign w:val="center"/>
          </w:tcPr>
          <w:p w14:paraId="62BA332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238D7D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220FE78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氨氮</w:t>
            </w:r>
          </w:p>
        </w:tc>
        <w:tc>
          <w:tcPr>
            <w:tcW w:w="1118" w:type="pct"/>
            <w:tcBorders>
              <w:tl2br w:val="nil"/>
              <w:tr2bl w:val="nil"/>
            </w:tcBorders>
            <w:noWrap w:val="0"/>
            <w:vAlign w:val="center"/>
          </w:tcPr>
          <w:p w14:paraId="12FF394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0.406</w:t>
            </w:r>
          </w:p>
        </w:tc>
        <w:tc>
          <w:tcPr>
            <w:tcW w:w="1118" w:type="pct"/>
            <w:tcBorders>
              <w:tl2br w:val="nil"/>
              <w:tr2bl w:val="nil"/>
            </w:tcBorders>
            <w:noWrap w:val="0"/>
            <w:vAlign w:val="center"/>
          </w:tcPr>
          <w:p w14:paraId="5C226C7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0.486</w:t>
            </w:r>
          </w:p>
        </w:tc>
        <w:tc>
          <w:tcPr>
            <w:tcW w:w="1118" w:type="pct"/>
            <w:tcBorders>
              <w:tl2br w:val="nil"/>
              <w:tr2bl w:val="nil"/>
            </w:tcBorders>
            <w:noWrap w:val="0"/>
            <w:vAlign w:val="center"/>
          </w:tcPr>
          <w:p w14:paraId="44F0FF0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0.469</w:t>
            </w:r>
          </w:p>
        </w:tc>
        <w:tc>
          <w:tcPr>
            <w:tcW w:w="769" w:type="pct"/>
            <w:tcBorders>
              <w:tl2br w:val="nil"/>
              <w:tr2bl w:val="nil"/>
            </w:tcBorders>
            <w:noWrap w:val="0"/>
            <w:vAlign w:val="center"/>
          </w:tcPr>
          <w:p w14:paraId="4397E30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71AEDF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27834E8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总硬度</w:t>
            </w:r>
          </w:p>
        </w:tc>
        <w:tc>
          <w:tcPr>
            <w:tcW w:w="1118" w:type="pct"/>
            <w:tcBorders>
              <w:tl2br w:val="nil"/>
              <w:tr2bl w:val="nil"/>
            </w:tcBorders>
            <w:noWrap w:val="0"/>
            <w:vAlign w:val="center"/>
          </w:tcPr>
          <w:p w14:paraId="725C254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386</w:t>
            </w:r>
          </w:p>
        </w:tc>
        <w:tc>
          <w:tcPr>
            <w:tcW w:w="1118" w:type="pct"/>
            <w:tcBorders>
              <w:tl2br w:val="nil"/>
              <w:tr2bl w:val="nil"/>
            </w:tcBorders>
            <w:noWrap w:val="0"/>
            <w:vAlign w:val="center"/>
          </w:tcPr>
          <w:p w14:paraId="21CFA4A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414</w:t>
            </w:r>
          </w:p>
        </w:tc>
        <w:tc>
          <w:tcPr>
            <w:tcW w:w="1118" w:type="pct"/>
            <w:tcBorders>
              <w:tl2br w:val="nil"/>
              <w:tr2bl w:val="nil"/>
            </w:tcBorders>
            <w:noWrap w:val="0"/>
            <w:vAlign w:val="center"/>
          </w:tcPr>
          <w:p w14:paraId="5D7488A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430</w:t>
            </w:r>
          </w:p>
        </w:tc>
        <w:tc>
          <w:tcPr>
            <w:tcW w:w="769" w:type="pct"/>
            <w:tcBorders>
              <w:tl2br w:val="nil"/>
              <w:tr2bl w:val="nil"/>
            </w:tcBorders>
            <w:noWrap w:val="0"/>
            <w:vAlign w:val="center"/>
          </w:tcPr>
          <w:p w14:paraId="5639953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787817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653E39E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硝酸盐</w:t>
            </w:r>
          </w:p>
          <w:p w14:paraId="2ED3F0F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（以N计）</w:t>
            </w:r>
          </w:p>
        </w:tc>
        <w:tc>
          <w:tcPr>
            <w:tcW w:w="1118" w:type="pct"/>
            <w:tcBorders>
              <w:tl2br w:val="nil"/>
              <w:tr2bl w:val="nil"/>
            </w:tcBorders>
            <w:noWrap w:val="0"/>
            <w:vAlign w:val="center"/>
          </w:tcPr>
          <w:p w14:paraId="0CDA9AE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0.13</w:t>
            </w:r>
          </w:p>
        </w:tc>
        <w:tc>
          <w:tcPr>
            <w:tcW w:w="1118" w:type="pct"/>
            <w:tcBorders>
              <w:tl2br w:val="nil"/>
              <w:tr2bl w:val="nil"/>
            </w:tcBorders>
            <w:noWrap w:val="0"/>
            <w:vAlign w:val="center"/>
          </w:tcPr>
          <w:p w14:paraId="0E6FDA3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0.20</w:t>
            </w:r>
          </w:p>
        </w:tc>
        <w:tc>
          <w:tcPr>
            <w:tcW w:w="1118" w:type="pct"/>
            <w:tcBorders>
              <w:tl2br w:val="nil"/>
              <w:tr2bl w:val="nil"/>
            </w:tcBorders>
            <w:noWrap w:val="0"/>
            <w:vAlign w:val="center"/>
          </w:tcPr>
          <w:p w14:paraId="582346D5">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0.15</w:t>
            </w:r>
          </w:p>
        </w:tc>
        <w:tc>
          <w:tcPr>
            <w:tcW w:w="769" w:type="pct"/>
            <w:tcBorders>
              <w:tl2br w:val="nil"/>
              <w:tr2bl w:val="nil"/>
            </w:tcBorders>
            <w:noWrap w:val="0"/>
            <w:vAlign w:val="center"/>
          </w:tcPr>
          <w:p w14:paraId="70BA4AA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6F44AB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4CDC2C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亚硝酸盐</w:t>
            </w:r>
          </w:p>
          <w:p w14:paraId="4E8974E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（以N计）</w:t>
            </w:r>
          </w:p>
        </w:tc>
        <w:tc>
          <w:tcPr>
            <w:tcW w:w="1118" w:type="pct"/>
            <w:tcBorders>
              <w:tl2br w:val="nil"/>
              <w:tr2bl w:val="nil"/>
            </w:tcBorders>
            <w:noWrap w:val="0"/>
            <w:vAlign w:val="center"/>
          </w:tcPr>
          <w:p w14:paraId="05E5BD8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0.003L</w:t>
            </w:r>
          </w:p>
        </w:tc>
        <w:tc>
          <w:tcPr>
            <w:tcW w:w="1118" w:type="pct"/>
            <w:tcBorders>
              <w:tl2br w:val="nil"/>
              <w:tr2bl w:val="nil"/>
            </w:tcBorders>
            <w:noWrap w:val="0"/>
            <w:vAlign w:val="center"/>
          </w:tcPr>
          <w:p w14:paraId="04B255BD">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0.003L</w:t>
            </w:r>
          </w:p>
        </w:tc>
        <w:tc>
          <w:tcPr>
            <w:tcW w:w="1118" w:type="pct"/>
            <w:tcBorders>
              <w:tl2br w:val="nil"/>
              <w:tr2bl w:val="nil"/>
            </w:tcBorders>
            <w:noWrap w:val="0"/>
            <w:vAlign w:val="center"/>
          </w:tcPr>
          <w:p w14:paraId="575447ED">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0.003L</w:t>
            </w:r>
          </w:p>
        </w:tc>
        <w:tc>
          <w:tcPr>
            <w:tcW w:w="769" w:type="pct"/>
            <w:tcBorders>
              <w:tl2br w:val="nil"/>
              <w:tr2bl w:val="nil"/>
            </w:tcBorders>
            <w:noWrap w:val="0"/>
            <w:vAlign w:val="center"/>
          </w:tcPr>
          <w:p w14:paraId="7293DD2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1E6CAC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3F9F9EB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硫酸盐</w:t>
            </w:r>
          </w:p>
        </w:tc>
        <w:tc>
          <w:tcPr>
            <w:tcW w:w="1118" w:type="pct"/>
            <w:tcBorders>
              <w:tl2br w:val="nil"/>
              <w:tr2bl w:val="nil"/>
            </w:tcBorders>
            <w:noWrap w:val="0"/>
            <w:vAlign w:val="center"/>
          </w:tcPr>
          <w:p w14:paraId="1DB92AA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105</w:t>
            </w:r>
          </w:p>
        </w:tc>
        <w:tc>
          <w:tcPr>
            <w:tcW w:w="1118" w:type="pct"/>
            <w:tcBorders>
              <w:tl2br w:val="nil"/>
              <w:tr2bl w:val="nil"/>
            </w:tcBorders>
            <w:noWrap w:val="0"/>
            <w:vAlign w:val="center"/>
          </w:tcPr>
          <w:p w14:paraId="4C8C21F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93</w:t>
            </w:r>
          </w:p>
        </w:tc>
        <w:tc>
          <w:tcPr>
            <w:tcW w:w="1118" w:type="pct"/>
            <w:tcBorders>
              <w:tl2br w:val="nil"/>
              <w:tr2bl w:val="nil"/>
            </w:tcBorders>
            <w:noWrap w:val="0"/>
            <w:vAlign w:val="center"/>
          </w:tcPr>
          <w:p w14:paraId="1477411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84</w:t>
            </w:r>
          </w:p>
        </w:tc>
        <w:tc>
          <w:tcPr>
            <w:tcW w:w="769" w:type="pct"/>
            <w:tcBorders>
              <w:tl2br w:val="nil"/>
              <w:tr2bl w:val="nil"/>
            </w:tcBorders>
            <w:noWrap w:val="0"/>
            <w:vAlign w:val="center"/>
          </w:tcPr>
          <w:p w14:paraId="1D80DE4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748FBF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C4ECF7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氯化物</w:t>
            </w:r>
          </w:p>
        </w:tc>
        <w:tc>
          <w:tcPr>
            <w:tcW w:w="1118" w:type="pct"/>
            <w:tcBorders>
              <w:tl2br w:val="nil"/>
              <w:tr2bl w:val="nil"/>
            </w:tcBorders>
            <w:noWrap w:val="0"/>
            <w:vAlign w:val="center"/>
          </w:tcPr>
          <w:p w14:paraId="24433A1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192</w:t>
            </w:r>
          </w:p>
        </w:tc>
        <w:tc>
          <w:tcPr>
            <w:tcW w:w="1118" w:type="pct"/>
            <w:tcBorders>
              <w:tl2br w:val="nil"/>
              <w:tr2bl w:val="nil"/>
            </w:tcBorders>
            <w:noWrap w:val="0"/>
            <w:vAlign w:val="center"/>
          </w:tcPr>
          <w:p w14:paraId="01362A3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160</w:t>
            </w:r>
          </w:p>
        </w:tc>
        <w:tc>
          <w:tcPr>
            <w:tcW w:w="1118" w:type="pct"/>
            <w:tcBorders>
              <w:tl2br w:val="nil"/>
              <w:tr2bl w:val="nil"/>
            </w:tcBorders>
            <w:noWrap w:val="0"/>
            <w:vAlign w:val="center"/>
          </w:tcPr>
          <w:p w14:paraId="4BCFA9D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132</w:t>
            </w:r>
          </w:p>
        </w:tc>
        <w:tc>
          <w:tcPr>
            <w:tcW w:w="769" w:type="pct"/>
            <w:tcBorders>
              <w:tl2br w:val="nil"/>
              <w:tr2bl w:val="nil"/>
            </w:tcBorders>
            <w:noWrap w:val="0"/>
            <w:vAlign w:val="center"/>
          </w:tcPr>
          <w:p w14:paraId="74099DB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057A7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011C23E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铁</w:t>
            </w:r>
          </w:p>
        </w:tc>
        <w:tc>
          <w:tcPr>
            <w:tcW w:w="1118" w:type="pct"/>
            <w:tcBorders>
              <w:tl2br w:val="nil"/>
              <w:tr2bl w:val="nil"/>
            </w:tcBorders>
            <w:noWrap w:val="0"/>
            <w:vAlign w:val="center"/>
          </w:tcPr>
          <w:p w14:paraId="71F6D94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2.71</w:t>
            </w:r>
          </w:p>
        </w:tc>
        <w:tc>
          <w:tcPr>
            <w:tcW w:w="1118" w:type="pct"/>
            <w:tcBorders>
              <w:tl2br w:val="nil"/>
              <w:tr2bl w:val="nil"/>
            </w:tcBorders>
            <w:noWrap w:val="0"/>
            <w:vAlign w:val="center"/>
          </w:tcPr>
          <w:p w14:paraId="660618A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2.35</w:t>
            </w:r>
          </w:p>
        </w:tc>
        <w:tc>
          <w:tcPr>
            <w:tcW w:w="1118" w:type="pct"/>
            <w:tcBorders>
              <w:tl2br w:val="nil"/>
              <w:tr2bl w:val="nil"/>
            </w:tcBorders>
            <w:noWrap w:val="0"/>
            <w:vAlign w:val="center"/>
          </w:tcPr>
          <w:p w14:paraId="1682149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2.76</w:t>
            </w:r>
          </w:p>
        </w:tc>
        <w:tc>
          <w:tcPr>
            <w:tcW w:w="769" w:type="pct"/>
            <w:tcBorders>
              <w:tl2br w:val="nil"/>
              <w:tr2bl w:val="nil"/>
            </w:tcBorders>
            <w:noWrap w:val="0"/>
            <w:vAlign w:val="center"/>
          </w:tcPr>
          <w:p w14:paraId="38042BE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4E0576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034C0B6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锰</w:t>
            </w:r>
          </w:p>
        </w:tc>
        <w:tc>
          <w:tcPr>
            <w:tcW w:w="1118" w:type="pct"/>
            <w:tcBorders>
              <w:tl2br w:val="nil"/>
              <w:tr2bl w:val="nil"/>
            </w:tcBorders>
            <w:noWrap w:val="0"/>
            <w:vAlign w:val="center"/>
          </w:tcPr>
          <w:p w14:paraId="012A917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2.10</w:t>
            </w:r>
          </w:p>
        </w:tc>
        <w:tc>
          <w:tcPr>
            <w:tcW w:w="1118" w:type="pct"/>
            <w:tcBorders>
              <w:tl2br w:val="nil"/>
              <w:tr2bl w:val="nil"/>
            </w:tcBorders>
            <w:noWrap w:val="0"/>
            <w:vAlign w:val="center"/>
          </w:tcPr>
          <w:p w14:paraId="24D00503">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2.43</w:t>
            </w:r>
          </w:p>
        </w:tc>
        <w:tc>
          <w:tcPr>
            <w:tcW w:w="1118" w:type="pct"/>
            <w:tcBorders>
              <w:tl2br w:val="nil"/>
              <w:tr2bl w:val="nil"/>
            </w:tcBorders>
            <w:noWrap w:val="0"/>
            <w:vAlign w:val="center"/>
          </w:tcPr>
          <w:p w14:paraId="0F08964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2.14</w:t>
            </w:r>
          </w:p>
        </w:tc>
        <w:tc>
          <w:tcPr>
            <w:tcW w:w="769" w:type="pct"/>
            <w:tcBorders>
              <w:tl2br w:val="nil"/>
              <w:tr2bl w:val="nil"/>
            </w:tcBorders>
            <w:noWrap w:val="0"/>
            <w:vAlign w:val="center"/>
          </w:tcPr>
          <w:p w14:paraId="0DA07CC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7EDD10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5C32442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总大肠菌群</w:t>
            </w:r>
          </w:p>
        </w:tc>
        <w:tc>
          <w:tcPr>
            <w:tcW w:w="1118" w:type="pct"/>
            <w:tcBorders>
              <w:tl2br w:val="nil"/>
              <w:tr2bl w:val="nil"/>
            </w:tcBorders>
            <w:noWrap w:val="0"/>
            <w:vAlign w:val="center"/>
          </w:tcPr>
          <w:p w14:paraId="122CEA7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2L</w:t>
            </w:r>
          </w:p>
        </w:tc>
        <w:tc>
          <w:tcPr>
            <w:tcW w:w="1118" w:type="pct"/>
            <w:tcBorders>
              <w:tl2br w:val="nil"/>
              <w:tr2bl w:val="nil"/>
            </w:tcBorders>
            <w:noWrap w:val="0"/>
            <w:vAlign w:val="center"/>
          </w:tcPr>
          <w:p w14:paraId="372D046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2L</w:t>
            </w:r>
          </w:p>
        </w:tc>
        <w:tc>
          <w:tcPr>
            <w:tcW w:w="1118" w:type="pct"/>
            <w:tcBorders>
              <w:tl2br w:val="nil"/>
              <w:tr2bl w:val="nil"/>
            </w:tcBorders>
            <w:noWrap w:val="0"/>
            <w:vAlign w:val="center"/>
          </w:tcPr>
          <w:p w14:paraId="5BAE2DC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2L</w:t>
            </w:r>
          </w:p>
        </w:tc>
        <w:tc>
          <w:tcPr>
            <w:tcW w:w="769" w:type="pct"/>
            <w:tcBorders>
              <w:tl2br w:val="nil"/>
              <w:tr2bl w:val="nil"/>
            </w:tcBorders>
            <w:noWrap w:val="0"/>
            <w:vAlign w:val="center"/>
          </w:tcPr>
          <w:p w14:paraId="38B0D34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MPN/100mL</w:t>
            </w:r>
          </w:p>
        </w:tc>
      </w:tr>
      <w:tr w14:paraId="647BE4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559E829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挥发酚（类）</w:t>
            </w:r>
          </w:p>
        </w:tc>
        <w:tc>
          <w:tcPr>
            <w:tcW w:w="1118" w:type="pct"/>
            <w:tcBorders>
              <w:tl2br w:val="nil"/>
              <w:tr2bl w:val="nil"/>
            </w:tcBorders>
            <w:noWrap w:val="0"/>
            <w:vAlign w:val="center"/>
          </w:tcPr>
          <w:p w14:paraId="09AA0AF3">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1118" w:type="pct"/>
            <w:tcBorders>
              <w:tl2br w:val="nil"/>
              <w:tr2bl w:val="nil"/>
            </w:tcBorders>
            <w:noWrap w:val="0"/>
            <w:vAlign w:val="center"/>
          </w:tcPr>
          <w:p w14:paraId="7EE487D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1118" w:type="pct"/>
            <w:tcBorders>
              <w:tl2br w:val="nil"/>
              <w:tr2bl w:val="nil"/>
            </w:tcBorders>
            <w:noWrap w:val="0"/>
            <w:vAlign w:val="center"/>
          </w:tcPr>
          <w:p w14:paraId="1C7E5B9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769" w:type="pct"/>
            <w:tcBorders>
              <w:tl2br w:val="nil"/>
              <w:tr2bl w:val="nil"/>
            </w:tcBorders>
            <w:noWrap w:val="0"/>
            <w:vAlign w:val="center"/>
          </w:tcPr>
          <w:p w14:paraId="6A78ECC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59DD55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66D4A37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氰化物</w:t>
            </w:r>
          </w:p>
        </w:tc>
        <w:tc>
          <w:tcPr>
            <w:tcW w:w="1118" w:type="pct"/>
            <w:tcBorders>
              <w:tl2br w:val="nil"/>
              <w:tr2bl w:val="nil"/>
            </w:tcBorders>
            <w:noWrap w:val="0"/>
            <w:vAlign w:val="center"/>
          </w:tcPr>
          <w:p w14:paraId="1D14792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0.004</w:t>
            </w:r>
            <w:r>
              <w:rPr>
                <w:rFonts w:hint="default" w:ascii="Times New Roman" w:hAnsi="Times New Roman" w:eastAsia="宋体" w:cs="Times New Roman"/>
                <w:color w:val="auto"/>
                <w:sz w:val="21"/>
                <w:szCs w:val="21"/>
                <w:highlight w:val="none"/>
                <w:lang w:val="en-US" w:eastAsia="zh-CN"/>
              </w:rPr>
              <w:t>L</w:t>
            </w:r>
          </w:p>
        </w:tc>
        <w:tc>
          <w:tcPr>
            <w:tcW w:w="1118" w:type="pct"/>
            <w:tcBorders>
              <w:tl2br w:val="nil"/>
              <w:tr2bl w:val="nil"/>
            </w:tcBorders>
            <w:noWrap w:val="0"/>
            <w:vAlign w:val="center"/>
          </w:tcPr>
          <w:p w14:paraId="11277A57">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0.004</w:t>
            </w:r>
            <w:r>
              <w:rPr>
                <w:rFonts w:hint="default" w:ascii="Times New Roman" w:hAnsi="Times New Roman" w:eastAsia="宋体" w:cs="Times New Roman"/>
                <w:color w:val="auto"/>
                <w:sz w:val="21"/>
                <w:szCs w:val="21"/>
                <w:highlight w:val="none"/>
                <w:lang w:val="en-US" w:eastAsia="zh-CN"/>
              </w:rPr>
              <w:t>L</w:t>
            </w:r>
          </w:p>
        </w:tc>
        <w:tc>
          <w:tcPr>
            <w:tcW w:w="1118" w:type="pct"/>
            <w:tcBorders>
              <w:tl2br w:val="nil"/>
              <w:tr2bl w:val="nil"/>
            </w:tcBorders>
            <w:noWrap w:val="0"/>
            <w:vAlign w:val="center"/>
          </w:tcPr>
          <w:p w14:paraId="0FBC6CCB">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0.004</w:t>
            </w:r>
            <w:r>
              <w:rPr>
                <w:rFonts w:hint="default" w:ascii="Times New Roman" w:hAnsi="Times New Roman" w:eastAsia="宋体" w:cs="Times New Roman"/>
                <w:color w:val="auto"/>
                <w:sz w:val="21"/>
                <w:szCs w:val="21"/>
                <w:highlight w:val="none"/>
                <w:lang w:val="en-US" w:eastAsia="zh-CN"/>
              </w:rPr>
              <w:t>L</w:t>
            </w:r>
          </w:p>
        </w:tc>
        <w:tc>
          <w:tcPr>
            <w:tcW w:w="769" w:type="pct"/>
            <w:tcBorders>
              <w:tl2br w:val="nil"/>
              <w:tr2bl w:val="nil"/>
            </w:tcBorders>
            <w:noWrap w:val="0"/>
            <w:vAlign w:val="center"/>
          </w:tcPr>
          <w:p w14:paraId="3376AB4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495700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B8191C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砷</w:t>
            </w:r>
          </w:p>
        </w:tc>
        <w:tc>
          <w:tcPr>
            <w:tcW w:w="1118" w:type="pct"/>
            <w:tcBorders>
              <w:tl2br w:val="nil"/>
              <w:tr2bl w:val="nil"/>
            </w:tcBorders>
            <w:noWrap w:val="0"/>
            <w:vAlign w:val="center"/>
          </w:tcPr>
          <w:p w14:paraId="16F5568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1118" w:type="pct"/>
            <w:tcBorders>
              <w:tl2br w:val="nil"/>
              <w:tr2bl w:val="nil"/>
            </w:tcBorders>
            <w:noWrap w:val="0"/>
            <w:vAlign w:val="center"/>
          </w:tcPr>
          <w:p w14:paraId="7EF9401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1118" w:type="pct"/>
            <w:tcBorders>
              <w:tl2br w:val="nil"/>
              <w:tr2bl w:val="nil"/>
            </w:tcBorders>
            <w:noWrap w:val="0"/>
            <w:vAlign w:val="center"/>
          </w:tcPr>
          <w:p w14:paraId="17FFE493">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769" w:type="pct"/>
            <w:tcBorders>
              <w:tl2br w:val="nil"/>
              <w:tr2bl w:val="nil"/>
            </w:tcBorders>
            <w:noWrap w:val="0"/>
            <w:vAlign w:val="center"/>
          </w:tcPr>
          <w:p w14:paraId="6C30994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5ACD31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0CF5AA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汞</w:t>
            </w:r>
          </w:p>
        </w:tc>
        <w:tc>
          <w:tcPr>
            <w:tcW w:w="1118" w:type="pct"/>
            <w:tcBorders>
              <w:tl2br w:val="nil"/>
              <w:tr2bl w:val="nil"/>
            </w:tcBorders>
            <w:noWrap w:val="0"/>
            <w:vAlign w:val="center"/>
          </w:tcPr>
          <w:p w14:paraId="7112C97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0.00004L</w:t>
            </w:r>
          </w:p>
        </w:tc>
        <w:tc>
          <w:tcPr>
            <w:tcW w:w="1118" w:type="pct"/>
            <w:tcBorders>
              <w:tl2br w:val="nil"/>
              <w:tr2bl w:val="nil"/>
            </w:tcBorders>
            <w:noWrap w:val="0"/>
            <w:vAlign w:val="center"/>
          </w:tcPr>
          <w:p w14:paraId="461C3ED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0.00004L</w:t>
            </w:r>
          </w:p>
        </w:tc>
        <w:tc>
          <w:tcPr>
            <w:tcW w:w="1118" w:type="pct"/>
            <w:tcBorders>
              <w:tl2br w:val="nil"/>
              <w:tr2bl w:val="nil"/>
            </w:tcBorders>
            <w:noWrap w:val="0"/>
            <w:vAlign w:val="center"/>
          </w:tcPr>
          <w:p w14:paraId="66B48F3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0.00004L</w:t>
            </w:r>
          </w:p>
        </w:tc>
        <w:tc>
          <w:tcPr>
            <w:tcW w:w="769" w:type="pct"/>
            <w:tcBorders>
              <w:tl2br w:val="nil"/>
              <w:tr2bl w:val="nil"/>
            </w:tcBorders>
            <w:noWrap w:val="0"/>
            <w:vAlign w:val="center"/>
          </w:tcPr>
          <w:p w14:paraId="0969558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67B9E2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0E808D7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六价铬</w:t>
            </w:r>
          </w:p>
        </w:tc>
        <w:tc>
          <w:tcPr>
            <w:tcW w:w="1118" w:type="pct"/>
            <w:tcBorders>
              <w:tl2br w:val="nil"/>
              <w:tr2bl w:val="nil"/>
            </w:tcBorders>
            <w:noWrap w:val="0"/>
            <w:vAlign w:val="center"/>
          </w:tcPr>
          <w:p w14:paraId="3B4CC32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0.004L</w:t>
            </w:r>
          </w:p>
        </w:tc>
        <w:tc>
          <w:tcPr>
            <w:tcW w:w="1118" w:type="pct"/>
            <w:tcBorders>
              <w:tl2br w:val="nil"/>
              <w:tr2bl w:val="nil"/>
            </w:tcBorders>
            <w:noWrap w:val="0"/>
            <w:vAlign w:val="center"/>
          </w:tcPr>
          <w:p w14:paraId="74E76B0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0.004L</w:t>
            </w:r>
          </w:p>
        </w:tc>
        <w:tc>
          <w:tcPr>
            <w:tcW w:w="1118" w:type="pct"/>
            <w:tcBorders>
              <w:tl2br w:val="nil"/>
              <w:tr2bl w:val="nil"/>
            </w:tcBorders>
            <w:noWrap w:val="0"/>
            <w:vAlign w:val="center"/>
          </w:tcPr>
          <w:p w14:paraId="6B636D0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0.004L</w:t>
            </w:r>
          </w:p>
        </w:tc>
        <w:tc>
          <w:tcPr>
            <w:tcW w:w="769" w:type="pct"/>
            <w:tcBorders>
              <w:tl2br w:val="nil"/>
              <w:tr2bl w:val="nil"/>
            </w:tcBorders>
            <w:noWrap w:val="0"/>
            <w:vAlign w:val="center"/>
          </w:tcPr>
          <w:p w14:paraId="23B9D94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602F09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590291A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铅</w:t>
            </w:r>
          </w:p>
        </w:tc>
        <w:tc>
          <w:tcPr>
            <w:tcW w:w="1118" w:type="pct"/>
            <w:tcBorders>
              <w:tl2br w:val="nil"/>
              <w:tr2bl w:val="nil"/>
            </w:tcBorders>
            <w:noWrap w:val="0"/>
            <w:vAlign w:val="center"/>
          </w:tcPr>
          <w:p w14:paraId="1F61B72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0.01L</w:t>
            </w:r>
          </w:p>
        </w:tc>
        <w:tc>
          <w:tcPr>
            <w:tcW w:w="1118" w:type="pct"/>
            <w:tcBorders>
              <w:tl2br w:val="nil"/>
              <w:tr2bl w:val="nil"/>
            </w:tcBorders>
            <w:noWrap w:val="0"/>
            <w:vAlign w:val="center"/>
          </w:tcPr>
          <w:p w14:paraId="3644269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0.01L</w:t>
            </w:r>
          </w:p>
        </w:tc>
        <w:tc>
          <w:tcPr>
            <w:tcW w:w="1118" w:type="pct"/>
            <w:tcBorders>
              <w:tl2br w:val="nil"/>
              <w:tr2bl w:val="nil"/>
            </w:tcBorders>
            <w:noWrap w:val="0"/>
            <w:vAlign w:val="center"/>
          </w:tcPr>
          <w:p w14:paraId="388034B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0.01L</w:t>
            </w:r>
          </w:p>
        </w:tc>
        <w:tc>
          <w:tcPr>
            <w:tcW w:w="769" w:type="pct"/>
            <w:tcBorders>
              <w:tl2br w:val="nil"/>
              <w:tr2bl w:val="nil"/>
            </w:tcBorders>
            <w:noWrap w:val="0"/>
            <w:vAlign w:val="center"/>
          </w:tcPr>
          <w:p w14:paraId="1916219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7CE0EE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27E6B353">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镉</w:t>
            </w:r>
          </w:p>
        </w:tc>
        <w:tc>
          <w:tcPr>
            <w:tcW w:w="1118" w:type="pct"/>
            <w:tcBorders>
              <w:tl2br w:val="nil"/>
              <w:tr2bl w:val="nil"/>
            </w:tcBorders>
            <w:noWrap w:val="0"/>
            <w:vAlign w:val="center"/>
          </w:tcPr>
          <w:p w14:paraId="7E56B13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0.001L</w:t>
            </w:r>
          </w:p>
        </w:tc>
        <w:tc>
          <w:tcPr>
            <w:tcW w:w="1118" w:type="pct"/>
            <w:tcBorders>
              <w:tl2br w:val="nil"/>
              <w:tr2bl w:val="nil"/>
            </w:tcBorders>
            <w:noWrap w:val="0"/>
            <w:vAlign w:val="center"/>
          </w:tcPr>
          <w:p w14:paraId="7E1001B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0.001L</w:t>
            </w:r>
          </w:p>
        </w:tc>
        <w:tc>
          <w:tcPr>
            <w:tcW w:w="1118" w:type="pct"/>
            <w:tcBorders>
              <w:tl2br w:val="nil"/>
              <w:tr2bl w:val="nil"/>
            </w:tcBorders>
            <w:noWrap w:val="0"/>
            <w:vAlign w:val="center"/>
          </w:tcPr>
          <w:p w14:paraId="4D31B91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0.001L</w:t>
            </w:r>
          </w:p>
        </w:tc>
        <w:tc>
          <w:tcPr>
            <w:tcW w:w="769" w:type="pct"/>
            <w:tcBorders>
              <w:tl2br w:val="nil"/>
              <w:tr2bl w:val="nil"/>
            </w:tcBorders>
            <w:noWrap w:val="0"/>
            <w:vAlign w:val="center"/>
          </w:tcPr>
          <w:p w14:paraId="461557C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36EB3A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6CAAB5D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氟化物</w:t>
            </w:r>
          </w:p>
        </w:tc>
        <w:tc>
          <w:tcPr>
            <w:tcW w:w="1118" w:type="pct"/>
            <w:tcBorders>
              <w:tl2br w:val="nil"/>
              <w:tr2bl w:val="nil"/>
            </w:tcBorders>
            <w:noWrap w:val="0"/>
            <w:vAlign w:val="center"/>
          </w:tcPr>
          <w:p w14:paraId="5F5541F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0.17</w:t>
            </w:r>
          </w:p>
        </w:tc>
        <w:tc>
          <w:tcPr>
            <w:tcW w:w="1118" w:type="pct"/>
            <w:tcBorders>
              <w:tl2br w:val="nil"/>
              <w:tr2bl w:val="nil"/>
            </w:tcBorders>
            <w:noWrap w:val="0"/>
            <w:vAlign w:val="center"/>
          </w:tcPr>
          <w:p w14:paraId="611D89D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0.14</w:t>
            </w:r>
          </w:p>
        </w:tc>
        <w:tc>
          <w:tcPr>
            <w:tcW w:w="1118" w:type="pct"/>
            <w:tcBorders>
              <w:tl2br w:val="nil"/>
              <w:tr2bl w:val="nil"/>
            </w:tcBorders>
            <w:noWrap w:val="0"/>
            <w:vAlign w:val="center"/>
          </w:tcPr>
          <w:p w14:paraId="76058DB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0.13</w:t>
            </w:r>
          </w:p>
        </w:tc>
        <w:tc>
          <w:tcPr>
            <w:tcW w:w="769" w:type="pct"/>
            <w:tcBorders>
              <w:tl2br w:val="nil"/>
              <w:tr2bl w:val="nil"/>
            </w:tcBorders>
            <w:noWrap w:val="0"/>
            <w:vAlign w:val="center"/>
          </w:tcPr>
          <w:p w14:paraId="0C006FE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45CBE5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0EA813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溶解性总固体</w:t>
            </w:r>
          </w:p>
        </w:tc>
        <w:tc>
          <w:tcPr>
            <w:tcW w:w="1118" w:type="pct"/>
            <w:tcBorders>
              <w:tl2br w:val="nil"/>
              <w:tr2bl w:val="nil"/>
            </w:tcBorders>
            <w:noWrap w:val="0"/>
            <w:vAlign w:val="center"/>
          </w:tcPr>
          <w:p w14:paraId="563AF861">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887</w:t>
            </w:r>
          </w:p>
        </w:tc>
        <w:tc>
          <w:tcPr>
            <w:tcW w:w="1118" w:type="pct"/>
            <w:tcBorders>
              <w:tl2br w:val="nil"/>
              <w:tr2bl w:val="nil"/>
            </w:tcBorders>
            <w:noWrap w:val="0"/>
            <w:vAlign w:val="center"/>
          </w:tcPr>
          <w:p w14:paraId="163BC6F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923</w:t>
            </w:r>
          </w:p>
        </w:tc>
        <w:tc>
          <w:tcPr>
            <w:tcW w:w="1118" w:type="pct"/>
            <w:tcBorders>
              <w:tl2br w:val="nil"/>
              <w:tr2bl w:val="nil"/>
            </w:tcBorders>
            <w:noWrap w:val="0"/>
            <w:vAlign w:val="center"/>
          </w:tcPr>
          <w:p w14:paraId="23A8B2C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973</w:t>
            </w:r>
          </w:p>
        </w:tc>
        <w:tc>
          <w:tcPr>
            <w:tcW w:w="769" w:type="pct"/>
            <w:tcBorders>
              <w:tl2br w:val="nil"/>
              <w:tr2bl w:val="nil"/>
            </w:tcBorders>
            <w:noWrap w:val="0"/>
            <w:vAlign w:val="center"/>
          </w:tcPr>
          <w:p w14:paraId="1BB73D33">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14D783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29A96869">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细菌总数</w:t>
            </w:r>
          </w:p>
        </w:tc>
        <w:tc>
          <w:tcPr>
            <w:tcW w:w="1118" w:type="pct"/>
            <w:tcBorders>
              <w:tl2br w:val="nil"/>
              <w:tr2bl w:val="nil"/>
            </w:tcBorders>
            <w:noWrap w:val="0"/>
            <w:vAlign w:val="center"/>
          </w:tcPr>
          <w:p w14:paraId="70FA0645">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36</w:t>
            </w:r>
          </w:p>
        </w:tc>
        <w:tc>
          <w:tcPr>
            <w:tcW w:w="1118" w:type="pct"/>
            <w:tcBorders>
              <w:tl2br w:val="nil"/>
              <w:tr2bl w:val="nil"/>
            </w:tcBorders>
            <w:noWrap w:val="0"/>
            <w:vAlign w:val="center"/>
          </w:tcPr>
          <w:p w14:paraId="39CC0FD7">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32</w:t>
            </w:r>
          </w:p>
        </w:tc>
        <w:tc>
          <w:tcPr>
            <w:tcW w:w="1118" w:type="pct"/>
            <w:tcBorders>
              <w:tl2br w:val="nil"/>
              <w:tr2bl w:val="nil"/>
            </w:tcBorders>
            <w:noWrap w:val="0"/>
            <w:vAlign w:val="center"/>
          </w:tcPr>
          <w:p w14:paraId="4066E29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28</w:t>
            </w:r>
          </w:p>
        </w:tc>
        <w:tc>
          <w:tcPr>
            <w:tcW w:w="769" w:type="pct"/>
            <w:tcBorders>
              <w:tl2br w:val="nil"/>
              <w:tr2bl w:val="nil"/>
            </w:tcBorders>
            <w:noWrap w:val="0"/>
            <w:vAlign w:val="center"/>
          </w:tcPr>
          <w:p w14:paraId="45C8367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CFU/mL</w:t>
            </w:r>
          </w:p>
        </w:tc>
      </w:tr>
      <w:tr w14:paraId="4EC2ED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0FA811DD">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石油类</w:t>
            </w:r>
          </w:p>
        </w:tc>
        <w:tc>
          <w:tcPr>
            <w:tcW w:w="1118" w:type="pct"/>
            <w:tcBorders>
              <w:tl2br w:val="nil"/>
              <w:tr2bl w:val="nil"/>
            </w:tcBorders>
            <w:noWrap w:val="0"/>
            <w:vAlign w:val="center"/>
          </w:tcPr>
          <w:p w14:paraId="4B5E00E2">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w:t>
            </w:r>
            <w:r>
              <w:rPr>
                <w:rFonts w:hint="eastAsia" w:ascii="Times New Roman" w:hAnsi="Times New Roman" w:eastAsia="宋体" w:cs="Times New Roman"/>
                <w:color w:val="auto"/>
                <w:sz w:val="21"/>
                <w:szCs w:val="21"/>
                <w:highlight w:val="none"/>
                <w:lang w:val="en-US" w:eastAsia="zh-CN"/>
              </w:rPr>
              <w:t>1L</w:t>
            </w:r>
          </w:p>
        </w:tc>
        <w:tc>
          <w:tcPr>
            <w:tcW w:w="1118" w:type="pct"/>
            <w:tcBorders>
              <w:tl2br w:val="nil"/>
              <w:tr2bl w:val="nil"/>
            </w:tcBorders>
            <w:noWrap w:val="0"/>
            <w:vAlign w:val="center"/>
          </w:tcPr>
          <w:p w14:paraId="5BD1105B">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w:t>
            </w:r>
            <w:r>
              <w:rPr>
                <w:rFonts w:hint="eastAsia" w:ascii="Times New Roman" w:hAnsi="Times New Roman" w:eastAsia="宋体" w:cs="Times New Roman"/>
                <w:color w:val="auto"/>
                <w:sz w:val="21"/>
                <w:szCs w:val="21"/>
                <w:highlight w:val="none"/>
                <w:lang w:val="en-US" w:eastAsia="zh-CN"/>
              </w:rPr>
              <w:t>1L</w:t>
            </w:r>
          </w:p>
        </w:tc>
        <w:tc>
          <w:tcPr>
            <w:tcW w:w="1118" w:type="pct"/>
            <w:tcBorders>
              <w:tl2br w:val="nil"/>
              <w:tr2bl w:val="nil"/>
            </w:tcBorders>
            <w:noWrap w:val="0"/>
            <w:vAlign w:val="center"/>
          </w:tcPr>
          <w:p w14:paraId="31167492">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w:t>
            </w:r>
            <w:r>
              <w:rPr>
                <w:rFonts w:hint="eastAsia" w:ascii="Times New Roman" w:hAnsi="Times New Roman" w:eastAsia="宋体" w:cs="Times New Roman"/>
                <w:color w:val="auto"/>
                <w:sz w:val="21"/>
                <w:szCs w:val="21"/>
                <w:highlight w:val="none"/>
                <w:lang w:val="en-US" w:eastAsia="zh-CN"/>
              </w:rPr>
              <w:t>1L</w:t>
            </w:r>
          </w:p>
        </w:tc>
        <w:tc>
          <w:tcPr>
            <w:tcW w:w="769" w:type="pct"/>
            <w:tcBorders>
              <w:tl2br w:val="nil"/>
              <w:tr2bl w:val="nil"/>
            </w:tcBorders>
            <w:noWrap w:val="0"/>
            <w:vAlign w:val="center"/>
          </w:tcPr>
          <w:p w14:paraId="1979FB34">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157733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56221646">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总磷</w:t>
            </w:r>
          </w:p>
        </w:tc>
        <w:tc>
          <w:tcPr>
            <w:tcW w:w="1118" w:type="pct"/>
            <w:tcBorders>
              <w:tl2br w:val="nil"/>
              <w:tr2bl w:val="nil"/>
            </w:tcBorders>
            <w:noWrap w:val="0"/>
            <w:vAlign w:val="center"/>
          </w:tcPr>
          <w:p w14:paraId="607E946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0.01L</w:t>
            </w:r>
          </w:p>
        </w:tc>
        <w:tc>
          <w:tcPr>
            <w:tcW w:w="1118" w:type="pct"/>
            <w:tcBorders>
              <w:tl2br w:val="nil"/>
              <w:tr2bl w:val="nil"/>
            </w:tcBorders>
            <w:noWrap w:val="0"/>
            <w:vAlign w:val="center"/>
          </w:tcPr>
          <w:p w14:paraId="5F5DE6C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0.01L</w:t>
            </w:r>
          </w:p>
        </w:tc>
        <w:tc>
          <w:tcPr>
            <w:tcW w:w="1118" w:type="pct"/>
            <w:tcBorders>
              <w:tl2br w:val="nil"/>
              <w:tr2bl w:val="nil"/>
            </w:tcBorders>
            <w:noWrap w:val="0"/>
            <w:vAlign w:val="center"/>
          </w:tcPr>
          <w:p w14:paraId="2019FCEF">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0.01L</w:t>
            </w:r>
          </w:p>
        </w:tc>
        <w:tc>
          <w:tcPr>
            <w:tcW w:w="769" w:type="pct"/>
            <w:tcBorders>
              <w:tl2br w:val="nil"/>
              <w:tr2bl w:val="nil"/>
            </w:tcBorders>
            <w:noWrap w:val="0"/>
            <w:vAlign w:val="center"/>
          </w:tcPr>
          <w:p w14:paraId="1F76520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03D60F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7FEBF8D7">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总氮</w:t>
            </w:r>
          </w:p>
        </w:tc>
        <w:tc>
          <w:tcPr>
            <w:tcW w:w="1118" w:type="pct"/>
            <w:tcBorders>
              <w:tl2br w:val="nil"/>
              <w:tr2bl w:val="nil"/>
            </w:tcBorders>
            <w:noWrap w:val="0"/>
            <w:vAlign w:val="center"/>
          </w:tcPr>
          <w:p w14:paraId="6FBD49C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1.39</w:t>
            </w:r>
          </w:p>
        </w:tc>
        <w:tc>
          <w:tcPr>
            <w:tcW w:w="1118" w:type="pct"/>
            <w:tcBorders>
              <w:tl2br w:val="nil"/>
              <w:tr2bl w:val="nil"/>
            </w:tcBorders>
            <w:noWrap w:val="0"/>
            <w:vAlign w:val="center"/>
          </w:tcPr>
          <w:p w14:paraId="0247BC6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1.24</w:t>
            </w:r>
          </w:p>
        </w:tc>
        <w:tc>
          <w:tcPr>
            <w:tcW w:w="1118" w:type="pct"/>
            <w:tcBorders>
              <w:tl2br w:val="nil"/>
              <w:tr2bl w:val="nil"/>
            </w:tcBorders>
            <w:noWrap w:val="0"/>
            <w:vAlign w:val="center"/>
          </w:tcPr>
          <w:p w14:paraId="2B642CC8">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1.02</w:t>
            </w:r>
          </w:p>
        </w:tc>
        <w:tc>
          <w:tcPr>
            <w:tcW w:w="769" w:type="pct"/>
            <w:tcBorders>
              <w:tl2br w:val="nil"/>
              <w:tr2bl w:val="nil"/>
            </w:tcBorders>
            <w:noWrap w:val="0"/>
            <w:vAlign w:val="center"/>
          </w:tcPr>
          <w:p w14:paraId="359820E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34A850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464C6F07">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化学需氧量</w:t>
            </w:r>
          </w:p>
        </w:tc>
        <w:tc>
          <w:tcPr>
            <w:tcW w:w="1118" w:type="pct"/>
            <w:tcBorders>
              <w:tl2br w:val="nil"/>
              <w:tr2bl w:val="nil"/>
            </w:tcBorders>
            <w:noWrap w:val="0"/>
            <w:vAlign w:val="center"/>
          </w:tcPr>
          <w:p w14:paraId="7EC1EC8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4L</w:t>
            </w:r>
          </w:p>
        </w:tc>
        <w:tc>
          <w:tcPr>
            <w:tcW w:w="1118" w:type="pct"/>
            <w:tcBorders>
              <w:tl2br w:val="nil"/>
              <w:tr2bl w:val="nil"/>
            </w:tcBorders>
            <w:noWrap w:val="0"/>
            <w:vAlign w:val="center"/>
          </w:tcPr>
          <w:p w14:paraId="61ADABA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4L</w:t>
            </w:r>
          </w:p>
        </w:tc>
        <w:tc>
          <w:tcPr>
            <w:tcW w:w="1118" w:type="pct"/>
            <w:tcBorders>
              <w:tl2br w:val="nil"/>
              <w:tr2bl w:val="nil"/>
            </w:tcBorders>
            <w:noWrap w:val="0"/>
            <w:vAlign w:val="center"/>
          </w:tcPr>
          <w:p w14:paraId="2627351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4L</w:t>
            </w:r>
          </w:p>
        </w:tc>
        <w:tc>
          <w:tcPr>
            <w:tcW w:w="769" w:type="pct"/>
            <w:tcBorders>
              <w:tl2br w:val="nil"/>
              <w:tr2bl w:val="nil"/>
            </w:tcBorders>
            <w:noWrap w:val="0"/>
            <w:vAlign w:val="center"/>
          </w:tcPr>
          <w:p w14:paraId="68671C1A">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r w14:paraId="0A93CF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874" w:type="pct"/>
            <w:tcBorders>
              <w:tl2br w:val="nil"/>
              <w:tr2bl w:val="nil"/>
            </w:tcBorders>
            <w:noWrap w:val="0"/>
            <w:vAlign w:val="center"/>
          </w:tcPr>
          <w:p w14:paraId="5F26DD5F">
            <w:pPr>
              <w:spacing w:line="32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生化需氧量</w:t>
            </w:r>
          </w:p>
        </w:tc>
        <w:tc>
          <w:tcPr>
            <w:tcW w:w="1118" w:type="pct"/>
            <w:tcBorders>
              <w:tl2br w:val="nil"/>
              <w:tr2bl w:val="nil"/>
            </w:tcBorders>
            <w:noWrap w:val="0"/>
            <w:vAlign w:val="center"/>
          </w:tcPr>
          <w:p w14:paraId="1479F89E">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0.5L</w:t>
            </w:r>
          </w:p>
        </w:tc>
        <w:tc>
          <w:tcPr>
            <w:tcW w:w="1118" w:type="pct"/>
            <w:tcBorders>
              <w:tl2br w:val="nil"/>
              <w:tr2bl w:val="nil"/>
            </w:tcBorders>
            <w:noWrap w:val="0"/>
            <w:vAlign w:val="center"/>
          </w:tcPr>
          <w:p w14:paraId="756DF7CC">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0.5L</w:t>
            </w:r>
          </w:p>
        </w:tc>
        <w:tc>
          <w:tcPr>
            <w:tcW w:w="1118" w:type="pct"/>
            <w:tcBorders>
              <w:tl2br w:val="nil"/>
              <w:tr2bl w:val="nil"/>
            </w:tcBorders>
            <w:noWrap w:val="0"/>
            <w:vAlign w:val="center"/>
          </w:tcPr>
          <w:p w14:paraId="01487DD6">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0.5L</w:t>
            </w:r>
          </w:p>
        </w:tc>
        <w:tc>
          <w:tcPr>
            <w:tcW w:w="769" w:type="pct"/>
            <w:tcBorders>
              <w:tl2br w:val="nil"/>
              <w:tr2bl w:val="nil"/>
            </w:tcBorders>
            <w:noWrap w:val="0"/>
            <w:vAlign w:val="center"/>
          </w:tcPr>
          <w:p w14:paraId="6DB7BCB0">
            <w:pPr>
              <w:spacing w:line="32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mg/L</w:t>
            </w:r>
          </w:p>
        </w:tc>
      </w:tr>
    </w:tbl>
    <w:p w14:paraId="3AD92CE9">
      <w:pPr>
        <w:adjustRightInd/>
        <w:snapToGrid/>
        <w:ind w:firstLine="482"/>
        <w:rPr>
          <w:rFonts w:cs="Times New Roman"/>
          <w:b/>
          <w:color w:val="auto"/>
          <w:highlight w:val="none"/>
        </w:rPr>
      </w:pPr>
      <w:r>
        <w:rPr>
          <w:rFonts w:cs="Times New Roman"/>
          <w:b/>
          <w:snapToGrid w:val="0"/>
          <w:color w:val="auto"/>
          <w:kern w:val="0"/>
          <w:highlight w:val="none"/>
        </w:rPr>
        <w:t>6、</w:t>
      </w:r>
      <w:r>
        <w:rPr>
          <w:rFonts w:cs="Times New Roman"/>
          <w:b/>
          <w:color w:val="auto"/>
          <w:highlight w:val="none"/>
        </w:rPr>
        <w:t>地下水现状评价</w:t>
      </w:r>
    </w:p>
    <w:p w14:paraId="060DC166">
      <w:pPr>
        <w:adjustRightInd/>
        <w:snapToGrid/>
        <w:rPr>
          <w:rFonts w:cs="Times New Roman"/>
          <w:color w:val="auto"/>
          <w:highlight w:val="none"/>
        </w:rPr>
      </w:pPr>
      <w:r>
        <w:rPr>
          <w:rFonts w:cs="Times New Roman"/>
          <w:color w:val="auto"/>
          <w:highlight w:val="none"/>
        </w:rPr>
        <w:t>（1）评价标准</w:t>
      </w:r>
    </w:p>
    <w:p w14:paraId="59386372">
      <w:pPr>
        <w:keepNext w:val="0"/>
        <w:keepLines w:val="0"/>
        <w:pageBreakBefore w:val="0"/>
        <w:widowControl w:val="0"/>
        <w:kinsoku/>
        <w:wordWrap/>
        <w:overflowPunct/>
        <w:topLinePunct w:val="0"/>
        <w:autoSpaceDE/>
        <w:autoSpaceDN/>
        <w:bidi w:val="0"/>
        <w:adjustRightInd/>
        <w:snapToGrid/>
        <w:spacing w:line="520" w:lineRule="atLeast"/>
        <w:textAlignment w:val="auto"/>
        <w:rPr>
          <w:rFonts w:cs="Times New Roman"/>
          <w:color w:val="auto"/>
          <w:highlight w:val="none"/>
        </w:rPr>
      </w:pPr>
      <w:r>
        <w:rPr>
          <w:rFonts w:cs="Times New Roman"/>
          <w:color w:val="auto"/>
          <w:highlight w:val="none"/>
        </w:rPr>
        <w:t>根据评价区地下水水质状况和使用功能，地下水评价执行《地下水质量标准》(GB/T14848-2017)Ⅲ类标准，具体指标的评价标准见下表。</w:t>
      </w:r>
    </w:p>
    <w:p w14:paraId="66CD7F6D">
      <w:pPr>
        <w:keepNext w:val="0"/>
        <w:keepLines w:val="0"/>
        <w:pageBreakBefore w:val="0"/>
        <w:widowControl w:val="0"/>
        <w:kinsoku/>
        <w:wordWrap/>
        <w:overflowPunct/>
        <w:topLinePunct w:val="0"/>
        <w:autoSpaceDE/>
        <w:autoSpaceDN/>
        <w:bidi w:val="0"/>
        <w:adjustRightInd/>
        <w:snapToGrid/>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9</w:t>
      </w:r>
      <w:r>
        <w:rPr>
          <w:rFonts w:cs="Times New Roman"/>
          <w:b/>
          <w:color w:val="auto"/>
          <w:szCs w:val="24"/>
          <w:highlight w:val="none"/>
        </w:rPr>
        <w:t xml:space="preserve">  地下水质量标准表</w:t>
      </w:r>
    </w:p>
    <w:tbl>
      <w:tblPr>
        <w:tblStyle w:val="47"/>
        <w:tblW w:w="498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95"/>
        <w:gridCol w:w="1210"/>
        <w:gridCol w:w="1127"/>
        <w:gridCol w:w="1061"/>
        <w:gridCol w:w="1510"/>
        <w:gridCol w:w="1294"/>
      </w:tblGrid>
      <w:tr w14:paraId="2BEA0E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350" w:type="pct"/>
            <w:vAlign w:val="center"/>
          </w:tcPr>
          <w:p w14:paraId="01E46BF2">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项目</w:t>
            </w:r>
          </w:p>
        </w:tc>
        <w:tc>
          <w:tcPr>
            <w:tcW w:w="712" w:type="pct"/>
            <w:vAlign w:val="center"/>
          </w:tcPr>
          <w:p w14:paraId="6DE172B9">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I类</w:t>
            </w:r>
          </w:p>
        </w:tc>
        <w:tc>
          <w:tcPr>
            <w:tcW w:w="663" w:type="pct"/>
            <w:vAlign w:val="center"/>
          </w:tcPr>
          <w:p w14:paraId="7F6A55B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II类</w:t>
            </w:r>
          </w:p>
        </w:tc>
        <w:tc>
          <w:tcPr>
            <w:tcW w:w="624" w:type="pct"/>
            <w:vAlign w:val="center"/>
          </w:tcPr>
          <w:p w14:paraId="0505091C">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III类</w:t>
            </w:r>
          </w:p>
        </w:tc>
        <w:tc>
          <w:tcPr>
            <w:tcW w:w="888" w:type="pct"/>
            <w:vAlign w:val="center"/>
          </w:tcPr>
          <w:p w14:paraId="39788EE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IV类</w:t>
            </w:r>
          </w:p>
        </w:tc>
        <w:tc>
          <w:tcPr>
            <w:tcW w:w="761" w:type="pct"/>
            <w:vAlign w:val="center"/>
          </w:tcPr>
          <w:p w14:paraId="02B48D8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V类</w:t>
            </w:r>
          </w:p>
        </w:tc>
      </w:tr>
      <w:tr w14:paraId="036BDC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7" w:hRule="atLeast"/>
          <w:jc w:val="center"/>
        </w:trPr>
        <w:tc>
          <w:tcPr>
            <w:tcW w:w="1350" w:type="pct"/>
            <w:vAlign w:val="center"/>
          </w:tcPr>
          <w:p w14:paraId="5C8E4165">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pH值</w:t>
            </w:r>
          </w:p>
        </w:tc>
        <w:tc>
          <w:tcPr>
            <w:tcW w:w="1999" w:type="pct"/>
            <w:gridSpan w:val="3"/>
            <w:vAlign w:val="center"/>
          </w:tcPr>
          <w:p w14:paraId="3EAD1CB0">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6.5～8.5</w:t>
            </w:r>
          </w:p>
        </w:tc>
        <w:tc>
          <w:tcPr>
            <w:tcW w:w="888" w:type="pct"/>
            <w:vAlign w:val="center"/>
          </w:tcPr>
          <w:p w14:paraId="54FF340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5.5～6.5，8.5～9</w:t>
            </w:r>
          </w:p>
        </w:tc>
        <w:tc>
          <w:tcPr>
            <w:tcW w:w="761" w:type="pct"/>
            <w:vAlign w:val="center"/>
          </w:tcPr>
          <w:p w14:paraId="4F99853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&lt;5.5，&gt;9</w:t>
            </w:r>
          </w:p>
        </w:tc>
      </w:tr>
      <w:tr w14:paraId="37D235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779A232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氨氮</w:t>
            </w:r>
          </w:p>
        </w:tc>
        <w:tc>
          <w:tcPr>
            <w:tcW w:w="712" w:type="pct"/>
            <w:vAlign w:val="center"/>
          </w:tcPr>
          <w:p w14:paraId="0746F79C">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≤0.02</w:t>
            </w:r>
          </w:p>
        </w:tc>
        <w:tc>
          <w:tcPr>
            <w:tcW w:w="663" w:type="pct"/>
            <w:vAlign w:val="center"/>
          </w:tcPr>
          <w:p w14:paraId="175F85F8">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≤0.10</w:t>
            </w:r>
          </w:p>
        </w:tc>
        <w:tc>
          <w:tcPr>
            <w:tcW w:w="624" w:type="pct"/>
            <w:vAlign w:val="center"/>
          </w:tcPr>
          <w:p w14:paraId="22464C48">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≤0.50</w:t>
            </w:r>
          </w:p>
        </w:tc>
        <w:tc>
          <w:tcPr>
            <w:tcW w:w="888" w:type="pct"/>
            <w:vAlign w:val="center"/>
          </w:tcPr>
          <w:p w14:paraId="7D36459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≤1.5</w:t>
            </w:r>
          </w:p>
        </w:tc>
        <w:tc>
          <w:tcPr>
            <w:tcW w:w="761" w:type="pct"/>
            <w:vAlign w:val="center"/>
          </w:tcPr>
          <w:p w14:paraId="12371B9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&gt;1.5</w:t>
            </w:r>
          </w:p>
        </w:tc>
      </w:tr>
      <w:tr w14:paraId="4485FA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3E0F5FDC">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硝酸盐氮</w:t>
            </w:r>
          </w:p>
        </w:tc>
        <w:tc>
          <w:tcPr>
            <w:tcW w:w="712" w:type="pct"/>
            <w:vAlign w:val="center"/>
          </w:tcPr>
          <w:p w14:paraId="7CE0E21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≤2.0</w:t>
            </w:r>
          </w:p>
        </w:tc>
        <w:tc>
          <w:tcPr>
            <w:tcW w:w="663" w:type="pct"/>
            <w:vAlign w:val="center"/>
          </w:tcPr>
          <w:p w14:paraId="743EB19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≤5.0</w:t>
            </w:r>
          </w:p>
        </w:tc>
        <w:tc>
          <w:tcPr>
            <w:tcW w:w="624" w:type="pct"/>
            <w:vAlign w:val="center"/>
          </w:tcPr>
          <w:p w14:paraId="0ACE9AA3">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≤20</w:t>
            </w:r>
          </w:p>
        </w:tc>
        <w:tc>
          <w:tcPr>
            <w:tcW w:w="888" w:type="pct"/>
            <w:vAlign w:val="center"/>
          </w:tcPr>
          <w:p w14:paraId="075D5D37">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≤30</w:t>
            </w:r>
          </w:p>
        </w:tc>
        <w:tc>
          <w:tcPr>
            <w:tcW w:w="761" w:type="pct"/>
            <w:vAlign w:val="center"/>
          </w:tcPr>
          <w:p w14:paraId="7BA002C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&gt;30</w:t>
            </w:r>
          </w:p>
        </w:tc>
      </w:tr>
      <w:tr w14:paraId="680FE6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4015337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亚硝酸盐氮</w:t>
            </w:r>
          </w:p>
        </w:tc>
        <w:tc>
          <w:tcPr>
            <w:tcW w:w="712" w:type="pct"/>
            <w:vAlign w:val="center"/>
          </w:tcPr>
          <w:p w14:paraId="283FC06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≤0.01</w:t>
            </w:r>
          </w:p>
        </w:tc>
        <w:tc>
          <w:tcPr>
            <w:tcW w:w="663" w:type="pct"/>
            <w:vAlign w:val="center"/>
          </w:tcPr>
          <w:p w14:paraId="6B480F3C">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≤0.10</w:t>
            </w:r>
          </w:p>
        </w:tc>
        <w:tc>
          <w:tcPr>
            <w:tcW w:w="624" w:type="pct"/>
            <w:vAlign w:val="center"/>
          </w:tcPr>
          <w:p w14:paraId="0A15A624">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≤1.00</w:t>
            </w:r>
          </w:p>
        </w:tc>
        <w:tc>
          <w:tcPr>
            <w:tcW w:w="888" w:type="pct"/>
            <w:vAlign w:val="center"/>
          </w:tcPr>
          <w:p w14:paraId="2FBE7BB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≤4.80</w:t>
            </w:r>
          </w:p>
        </w:tc>
        <w:tc>
          <w:tcPr>
            <w:tcW w:w="761" w:type="pct"/>
            <w:vAlign w:val="center"/>
          </w:tcPr>
          <w:p w14:paraId="722AE65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&gt;4.80</w:t>
            </w:r>
          </w:p>
        </w:tc>
      </w:tr>
      <w:tr w14:paraId="7B3B74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4085A708">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挥发酚</w:t>
            </w:r>
          </w:p>
        </w:tc>
        <w:tc>
          <w:tcPr>
            <w:tcW w:w="712" w:type="pct"/>
            <w:vAlign w:val="center"/>
          </w:tcPr>
          <w:p w14:paraId="794FC32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≤0.001</w:t>
            </w:r>
          </w:p>
        </w:tc>
        <w:tc>
          <w:tcPr>
            <w:tcW w:w="663" w:type="pct"/>
            <w:vAlign w:val="center"/>
          </w:tcPr>
          <w:p w14:paraId="60C1E2AE">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≤0.001</w:t>
            </w:r>
          </w:p>
        </w:tc>
        <w:tc>
          <w:tcPr>
            <w:tcW w:w="624" w:type="pct"/>
            <w:vAlign w:val="center"/>
          </w:tcPr>
          <w:p w14:paraId="297A2037">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≤0.002</w:t>
            </w:r>
          </w:p>
        </w:tc>
        <w:tc>
          <w:tcPr>
            <w:tcW w:w="888" w:type="pct"/>
            <w:vAlign w:val="center"/>
          </w:tcPr>
          <w:p w14:paraId="57C3811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≤0.01</w:t>
            </w:r>
          </w:p>
        </w:tc>
        <w:tc>
          <w:tcPr>
            <w:tcW w:w="761" w:type="pct"/>
            <w:vAlign w:val="center"/>
          </w:tcPr>
          <w:p w14:paraId="2D293AE0">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&gt;0.01</w:t>
            </w:r>
          </w:p>
        </w:tc>
      </w:tr>
      <w:tr w14:paraId="4F77A9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00396E5F">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氟化物</w:t>
            </w:r>
          </w:p>
        </w:tc>
        <w:tc>
          <w:tcPr>
            <w:tcW w:w="712" w:type="pct"/>
            <w:vAlign w:val="center"/>
          </w:tcPr>
          <w:p w14:paraId="2F50CA8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w:t>
            </w:r>
          </w:p>
        </w:tc>
        <w:tc>
          <w:tcPr>
            <w:tcW w:w="663" w:type="pct"/>
            <w:vAlign w:val="center"/>
          </w:tcPr>
          <w:p w14:paraId="57EF06A9">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w:t>
            </w:r>
          </w:p>
        </w:tc>
        <w:tc>
          <w:tcPr>
            <w:tcW w:w="624" w:type="pct"/>
            <w:vAlign w:val="center"/>
          </w:tcPr>
          <w:p w14:paraId="46056BFE">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≤1.0</w:t>
            </w:r>
          </w:p>
        </w:tc>
        <w:tc>
          <w:tcPr>
            <w:tcW w:w="888" w:type="pct"/>
            <w:vAlign w:val="center"/>
          </w:tcPr>
          <w:p w14:paraId="1A60E47F">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≤2.0</w:t>
            </w:r>
          </w:p>
        </w:tc>
        <w:tc>
          <w:tcPr>
            <w:tcW w:w="761" w:type="pct"/>
            <w:vAlign w:val="center"/>
          </w:tcPr>
          <w:p w14:paraId="5F89F8D5">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&gt;2.0</w:t>
            </w:r>
          </w:p>
        </w:tc>
      </w:tr>
      <w:tr w14:paraId="33D397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316696E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汞</w:t>
            </w:r>
          </w:p>
        </w:tc>
        <w:tc>
          <w:tcPr>
            <w:tcW w:w="712" w:type="pct"/>
            <w:vAlign w:val="center"/>
          </w:tcPr>
          <w:p w14:paraId="355F987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≤0.0001</w:t>
            </w:r>
          </w:p>
        </w:tc>
        <w:tc>
          <w:tcPr>
            <w:tcW w:w="663" w:type="pct"/>
            <w:vAlign w:val="center"/>
          </w:tcPr>
          <w:p w14:paraId="49B3E9B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≤0.0001</w:t>
            </w:r>
          </w:p>
        </w:tc>
        <w:tc>
          <w:tcPr>
            <w:tcW w:w="624" w:type="pct"/>
            <w:vAlign w:val="center"/>
          </w:tcPr>
          <w:p w14:paraId="601FCCC9">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≤0.001</w:t>
            </w:r>
          </w:p>
        </w:tc>
        <w:tc>
          <w:tcPr>
            <w:tcW w:w="888" w:type="pct"/>
            <w:vAlign w:val="center"/>
          </w:tcPr>
          <w:p w14:paraId="5886C17E">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≤0.002</w:t>
            </w:r>
          </w:p>
        </w:tc>
        <w:tc>
          <w:tcPr>
            <w:tcW w:w="761" w:type="pct"/>
            <w:vAlign w:val="center"/>
          </w:tcPr>
          <w:p w14:paraId="13062D2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&gt;0.002</w:t>
            </w:r>
          </w:p>
        </w:tc>
      </w:tr>
      <w:tr w14:paraId="7217C7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350" w:type="pct"/>
            <w:vAlign w:val="center"/>
          </w:tcPr>
          <w:p w14:paraId="218036E8">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砷</w:t>
            </w:r>
          </w:p>
        </w:tc>
        <w:tc>
          <w:tcPr>
            <w:tcW w:w="712" w:type="pct"/>
            <w:vAlign w:val="center"/>
          </w:tcPr>
          <w:p w14:paraId="28DBC02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≤0.001</w:t>
            </w:r>
          </w:p>
        </w:tc>
        <w:tc>
          <w:tcPr>
            <w:tcW w:w="663" w:type="pct"/>
            <w:vAlign w:val="center"/>
          </w:tcPr>
          <w:p w14:paraId="12837FF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≤0.001</w:t>
            </w:r>
          </w:p>
        </w:tc>
        <w:tc>
          <w:tcPr>
            <w:tcW w:w="624" w:type="pct"/>
            <w:vAlign w:val="center"/>
          </w:tcPr>
          <w:p w14:paraId="13634F93">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≤0.01</w:t>
            </w:r>
          </w:p>
        </w:tc>
        <w:tc>
          <w:tcPr>
            <w:tcW w:w="888" w:type="pct"/>
            <w:vAlign w:val="center"/>
          </w:tcPr>
          <w:p w14:paraId="7612C9F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≤0.05</w:t>
            </w:r>
          </w:p>
        </w:tc>
        <w:tc>
          <w:tcPr>
            <w:tcW w:w="761" w:type="pct"/>
            <w:vAlign w:val="center"/>
          </w:tcPr>
          <w:p w14:paraId="5097F4C5">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&gt;0.05</w:t>
            </w:r>
          </w:p>
        </w:tc>
      </w:tr>
      <w:tr w14:paraId="0D9FD3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2F1607CF">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铁</w:t>
            </w:r>
          </w:p>
        </w:tc>
        <w:tc>
          <w:tcPr>
            <w:tcW w:w="712" w:type="pct"/>
            <w:vAlign w:val="center"/>
          </w:tcPr>
          <w:p w14:paraId="0787708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≤0.1</w:t>
            </w:r>
          </w:p>
        </w:tc>
        <w:tc>
          <w:tcPr>
            <w:tcW w:w="663" w:type="pct"/>
            <w:vAlign w:val="center"/>
          </w:tcPr>
          <w:p w14:paraId="575BF9A8">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≤0.2</w:t>
            </w:r>
          </w:p>
        </w:tc>
        <w:tc>
          <w:tcPr>
            <w:tcW w:w="624" w:type="pct"/>
            <w:vAlign w:val="center"/>
          </w:tcPr>
          <w:p w14:paraId="4AD1210B">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≤0.3</w:t>
            </w:r>
          </w:p>
        </w:tc>
        <w:tc>
          <w:tcPr>
            <w:tcW w:w="888" w:type="pct"/>
            <w:vAlign w:val="center"/>
          </w:tcPr>
          <w:p w14:paraId="049699F9">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≤2.0</w:t>
            </w:r>
          </w:p>
        </w:tc>
        <w:tc>
          <w:tcPr>
            <w:tcW w:w="761" w:type="pct"/>
            <w:vAlign w:val="center"/>
          </w:tcPr>
          <w:p w14:paraId="5F51D43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&gt;2.0</w:t>
            </w:r>
          </w:p>
        </w:tc>
      </w:tr>
      <w:tr w14:paraId="6A61DE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68E01F97">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锰</w:t>
            </w:r>
          </w:p>
        </w:tc>
        <w:tc>
          <w:tcPr>
            <w:tcW w:w="712" w:type="pct"/>
            <w:vAlign w:val="center"/>
          </w:tcPr>
          <w:p w14:paraId="5B5B1465">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≤0.05</w:t>
            </w:r>
          </w:p>
        </w:tc>
        <w:tc>
          <w:tcPr>
            <w:tcW w:w="663" w:type="pct"/>
            <w:vAlign w:val="center"/>
          </w:tcPr>
          <w:p w14:paraId="6ACF1F9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≤0.05</w:t>
            </w:r>
          </w:p>
        </w:tc>
        <w:tc>
          <w:tcPr>
            <w:tcW w:w="624" w:type="pct"/>
            <w:vAlign w:val="center"/>
          </w:tcPr>
          <w:p w14:paraId="60547FD3">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≤0.10</w:t>
            </w:r>
          </w:p>
        </w:tc>
        <w:tc>
          <w:tcPr>
            <w:tcW w:w="888" w:type="pct"/>
            <w:vAlign w:val="center"/>
          </w:tcPr>
          <w:p w14:paraId="636B068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≤1.50</w:t>
            </w:r>
          </w:p>
        </w:tc>
        <w:tc>
          <w:tcPr>
            <w:tcW w:w="761" w:type="pct"/>
            <w:vAlign w:val="center"/>
          </w:tcPr>
          <w:p w14:paraId="5BFCF24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&gt;1.50</w:t>
            </w:r>
          </w:p>
        </w:tc>
      </w:tr>
      <w:tr w14:paraId="3FB9C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556C7BE3">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铅</w:t>
            </w:r>
          </w:p>
        </w:tc>
        <w:tc>
          <w:tcPr>
            <w:tcW w:w="712" w:type="pct"/>
            <w:vAlign w:val="center"/>
          </w:tcPr>
          <w:p w14:paraId="04DC813F">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≤0.005</w:t>
            </w:r>
          </w:p>
        </w:tc>
        <w:tc>
          <w:tcPr>
            <w:tcW w:w="663" w:type="pct"/>
            <w:vAlign w:val="center"/>
          </w:tcPr>
          <w:p w14:paraId="5BF45B8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≤0.005</w:t>
            </w:r>
          </w:p>
        </w:tc>
        <w:tc>
          <w:tcPr>
            <w:tcW w:w="624" w:type="pct"/>
            <w:vAlign w:val="center"/>
          </w:tcPr>
          <w:p w14:paraId="7A08C2CA">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≤0.01</w:t>
            </w:r>
          </w:p>
        </w:tc>
        <w:tc>
          <w:tcPr>
            <w:tcW w:w="888" w:type="pct"/>
            <w:vAlign w:val="center"/>
          </w:tcPr>
          <w:p w14:paraId="0B15189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≤0.10</w:t>
            </w:r>
          </w:p>
        </w:tc>
        <w:tc>
          <w:tcPr>
            <w:tcW w:w="761" w:type="pct"/>
            <w:vAlign w:val="center"/>
          </w:tcPr>
          <w:p w14:paraId="60C5290E">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&gt;0.10</w:t>
            </w:r>
          </w:p>
        </w:tc>
      </w:tr>
      <w:tr w14:paraId="2DCD6B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0C01C9C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镉</w:t>
            </w:r>
          </w:p>
        </w:tc>
        <w:tc>
          <w:tcPr>
            <w:tcW w:w="712" w:type="pct"/>
            <w:vAlign w:val="center"/>
          </w:tcPr>
          <w:p w14:paraId="34E40DD8">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≤0.0001</w:t>
            </w:r>
          </w:p>
        </w:tc>
        <w:tc>
          <w:tcPr>
            <w:tcW w:w="663" w:type="pct"/>
            <w:vAlign w:val="center"/>
          </w:tcPr>
          <w:p w14:paraId="7246644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≤0.001</w:t>
            </w:r>
          </w:p>
        </w:tc>
        <w:tc>
          <w:tcPr>
            <w:tcW w:w="624" w:type="pct"/>
            <w:vAlign w:val="center"/>
          </w:tcPr>
          <w:p w14:paraId="51B20450">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≤0.005</w:t>
            </w:r>
          </w:p>
        </w:tc>
        <w:tc>
          <w:tcPr>
            <w:tcW w:w="888" w:type="pct"/>
            <w:vAlign w:val="center"/>
          </w:tcPr>
          <w:p w14:paraId="7EF01D2F">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≤0.01</w:t>
            </w:r>
          </w:p>
        </w:tc>
        <w:tc>
          <w:tcPr>
            <w:tcW w:w="761" w:type="pct"/>
            <w:vAlign w:val="center"/>
          </w:tcPr>
          <w:p w14:paraId="4A3006A9">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&gt;0.01</w:t>
            </w:r>
          </w:p>
        </w:tc>
      </w:tr>
      <w:tr w14:paraId="6568FE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05DC49DC">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氰化物</w:t>
            </w:r>
          </w:p>
        </w:tc>
        <w:tc>
          <w:tcPr>
            <w:tcW w:w="712" w:type="pct"/>
            <w:vAlign w:val="center"/>
          </w:tcPr>
          <w:p w14:paraId="088F190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≤0.001</w:t>
            </w:r>
          </w:p>
        </w:tc>
        <w:tc>
          <w:tcPr>
            <w:tcW w:w="663" w:type="pct"/>
            <w:vAlign w:val="center"/>
          </w:tcPr>
          <w:p w14:paraId="3AEEF0B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≤0.01</w:t>
            </w:r>
          </w:p>
        </w:tc>
        <w:tc>
          <w:tcPr>
            <w:tcW w:w="624" w:type="pct"/>
            <w:vAlign w:val="center"/>
          </w:tcPr>
          <w:p w14:paraId="71EB498C">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≤0.05</w:t>
            </w:r>
          </w:p>
        </w:tc>
        <w:tc>
          <w:tcPr>
            <w:tcW w:w="888" w:type="pct"/>
            <w:vAlign w:val="center"/>
          </w:tcPr>
          <w:p w14:paraId="5E8F037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≤0.1</w:t>
            </w:r>
          </w:p>
        </w:tc>
        <w:tc>
          <w:tcPr>
            <w:tcW w:w="761" w:type="pct"/>
            <w:vAlign w:val="center"/>
          </w:tcPr>
          <w:p w14:paraId="074A8573">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&gt;0.1</w:t>
            </w:r>
          </w:p>
        </w:tc>
      </w:tr>
      <w:tr w14:paraId="3CA384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1C84072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总硬度</w:t>
            </w:r>
          </w:p>
        </w:tc>
        <w:tc>
          <w:tcPr>
            <w:tcW w:w="712" w:type="pct"/>
            <w:vAlign w:val="center"/>
          </w:tcPr>
          <w:p w14:paraId="40CECE93">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≤150</w:t>
            </w:r>
          </w:p>
        </w:tc>
        <w:tc>
          <w:tcPr>
            <w:tcW w:w="663" w:type="pct"/>
            <w:vAlign w:val="center"/>
          </w:tcPr>
          <w:p w14:paraId="0A301583">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≤300</w:t>
            </w:r>
          </w:p>
        </w:tc>
        <w:tc>
          <w:tcPr>
            <w:tcW w:w="624" w:type="pct"/>
            <w:vAlign w:val="center"/>
          </w:tcPr>
          <w:p w14:paraId="74D9DEDA">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≤450</w:t>
            </w:r>
          </w:p>
        </w:tc>
        <w:tc>
          <w:tcPr>
            <w:tcW w:w="888" w:type="pct"/>
            <w:vAlign w:val="center"/>
          </w:tcPr>
          <w:p w14:paraId="6B008B0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≤650</w:t>
            </w:r>
          </w:p>
        </w:tc>
        <w:tc>
          <w:tcPr>
            <w:tcW w:w="761" w:type="pct"/>
            <w:vAlign w:val="center"/>
          </w:tcPr>
          <w:p w14:paraId="7B4FD8FE">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&gt;650</w:t>
            </w:r>
          </w:p>
        </w:tc>
      </w:tr>
      <w:tr w14:paraId="04134D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2C81D899">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硫酸盐</w:t>
            </w:r>
          </w:p>
        </w:tc>
        <w:tc>
          <w:tcPr>
            <w:tcW w:w="712" w:type="pct"/>
            <w:vAlign w:val="center"/>
          </w:tcPr>
          <w:p w14:paraId="231CE418">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≤50</w:t>
            </w:r>
          </w:p>
        </w:tc>
        <w:tc>
          <w:tcPr>
            <w:tcW w:w="663" w:type="pct"/>
            <w:vAlign w:val="center"/>
          </w:tcPr>
          <w:p w14:paraId="1081836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≤150</w:t>
            </w:r>
          </w:p>
        </w:tc>
        <w:tc>
          <w:tcPr>
            <w:tcW w:w="624" w:type="pct"/>
            <w:vAlign w:val="center"/>
          </w:tcPr>
          <w:p w14:paraId="1A1FE520">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≤250</w:t>
            </w:r>
          </w:p>
        </w:tc>
        <w:tc>
          <w:tcPr>
            <w:tcW w:w="888" w:type="pct"/>
            <w:vAlign w:val="center"/>
          </w:tcPr>
          <w:p w14:paraId="478ED15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≤350</w:t>
            </w:r>
          </w:p>
        </w:tc>
        <w:tc>
          <w:tcPr>
            <w:tcW w:w="761" w:type="pct"/>
            <w:vAlign w:val="center"/>
          </w:tcPr>
          <w:p w14:paraId="63D3F07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&gt;350</w:t>
            </w:r>
          </w:p>
        </w:tc>
      </w:tr>
      <w:tr w14:paraId="2E3BCD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5A11D6B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六价铬</w:t>
            </w:r>
          </w:p>
        </w:tc>
        <w:tc>
          <w:tcPr>
            <w:tcW w:w="712" w:type="pct"/>
            <w:vAlign w:val="center"/>
          </w:tcPr>
          <w:p w14:paraId="5E224C10">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≤0.005</w:t>
            </w:r>
          </w:p>
        </w:tc>
        <w:tc>
          <w:tcPr>
            <w:tcW w:w="663" w:type="pct"/>
            <w:vAlign w:val="center"/>
          </w:tcPr>
          <w:p w14:paraId="662DB55E">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≤0.01</w:t>
            </w:r>
          </w:p>
        </w:tc>
        <w:tc>
          <w:tcPr>
            <w:tcW w:w="624" w:type="pct"/>
            <w:vAlign w:val="center"/>
          </w:tcPr>
          <w:p w14:paraId="2284FF4D">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≤0.05</w:t>
            </w:r>
          </w:p>
        </w:tc>
        <w:tc>
          <w:tcPr>
            <w:tcW w:w="888" w:type="pct"/>
            <w:vAlign w:val="center"/>
          </w:tcPr>
          <w:p w14:paraId="5ECF24B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≤0.10</w:t>
            </w:r>
          </w:p>
        </w:tc>
        <w:tc>
          <w:tcPr>
            <w:tcW w:w="761" w:type="pct"/>
            <w:vAlign w:val="center"/>
          </w:tcPr>
          <w:p w14:paraId="68DD5A8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&gt;0.10</w:t>
            </w:r>
          </w:p>
        </w:tc>
      </w:tr>
      <w:tr w14:paraId="09923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6F0D60A6">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氯化物</w:t>
            </w:r>
          </w:p>
        </w:tc>
        <w:tc>
          <w:tcPr>
            <w:tcW w:w="712" w:type="pct"/>
            <w:vAlign w:val="center"/>
          </w:tcPr>
          <w:p w14:paraId="54C9DC47">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≤50</w:t>
            </w:r>
          </w:p>
        </w:tc>
        <w:tc>
          <w:tcPr>
            <w:tcW w:w="663" w:type="pct"/>
            <w:vAlign w:val="center"/>
          </w:tcPr>
          <w:p w14:paraId="0ADB597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≤150</w:t>
            </w:r>
          </w:p>
        </w:tc>
        <w:tc>
          <w:tcPr>
            <w:tcW w:w="624" w:type="pct"/>
            <w:vAlign w:val="center"/>
          </w:tcPr>
          <w:p w14:paraId="759F2DA6">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≤250</w:t>
            </w:r>
          </w:p>
        </w:tc>
        <w:tc>
          <w:tcPr>
            <w:tcW w:w="888" w:type="pct"/>
            <w:vAlign w:val="center"/>
          </w:tcPr>
          <w:p w14:paraId="05B44265">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≤350</w:t>
            </w:r>
          </w:p>
        </w:tc>
        <w:tc>
          <w:tcPr>
            <w:tcW w:w="761" w:type="pct"/>
            <w:vAlign w:val="center"/>
          </w:tcPr>
          <w:p w14:paraId="5E886383">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&gt;350</w:t>
            </w:r>
          </w:p>
        </w:tc>
      </w:tr>
      <w:tr w14:paraId="0B1DB8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6A90F4A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溶解性总固体</w:t>
            </w:r>
          </w:p>
        </w:tc>
        <w:tc>
          <w:tcPr>
            <w:tcW w:w="712" w:type="pct"/>
            <w:vAlign w:val="center"/>
          </w:tcPr>
          <w:p w14:paraId="5913E16F">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≤300</w:t>
            </w:r>
          </w:p>
        </w:tc>
        <w:tc>
          <w:tcPr>
            <w:tcW w:w="663" w:type="pct"/>
            <w:vAlign w:val="center"/>
          </w:tcPr>
          <w:p w14:paraId="59C9A9D2">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≤500</w:t>
            </w:r>
          </w:p>
        </w:tc>
        <w:tc>
          <w:tcPr>
            <w:tcW w:w="624" w:type="pct"/>
            <w:vAlign w:val="center"/>
          </w:tcPr>
          <w:p w14:paraId="4B2C6CD3">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≤1000</w:t>
            </w:r>
          </w:p>
        </w:tc>
        <w:tc>
          <w:tcPr>
            <w:tcW w:w="888" w:type="pct"/>
            <w:vAlign w:val="center"/>
          </w:tcPr>
          <w:p w14:paraId="4CD91DA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≤2000</w:t>
            </w:r>
          </w:p>
        </w:tc>
        <w:tc>
          <w:tcPr>
            <w:tcW w:w="761" w:type="pct"/>
            <w:vAlign w:val="center"/>
          </w:tcPr>
          <w:p w14:paraId="1DA221A0">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&gt;2000</w:t>
            </w:r>
          </w:p>
        </w:tc>
      </w:tr>
      <w:tr w14:paraId="409609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6838BDF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耗氧量（COD</w:t>
            </w:r>
            <w:r>
              <w:rPr>
                <w:rFonts w:cs="Times New Roman"/>
                <w:bCs/>
                <w:color w:val="auto"/>
                <w:sz w:val="21"/>
                <w:szCs w:val="21"/>
                <w:highlight w:val="none"/>
                <w:vertAlign w:val="subscript"/>
              </w:rPr>
              <w:t>Mn</w:t>
            </w:r>
            <w:r>
              <w:rPr>
                <w:rFonts w:cs="Times New Roman"/>
                <w:bCs/>
                <w:color w:val="auto"/>
                <w:sz w:val="21"/>
                <w:szCs w:val="21"/>
                <w:highlight w:val="none"/>
              </w:rPr>
              <w:t>计）</w:t>
            </w:r>
          </w:p>
        </w:tc>
        <w:tc>
          <w:tcPr>
            <w:tcW w:w="712" w:type="pct"/>
            <w:vAlign w:val="center"/>
          </w:tcPr>
          <w:p w14:paraId="45930A0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w:t>
            </w:r>
          </w:p>
        </w:tc>
        <w:tc>
          <w:tcPr>
            <w:tcW w:w="663" w:type="pct"/>
            <w:vAlign w:val="center"/>
          </w:tcPr>
          <w:p w14:paraId="7329D6B7">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≤2.0</w:t>
            </w:r>
          </w:p>
        </w:tc>
        <w:tc>
          <w:tcPr>
            <w:tcW w:w="624" w:type="pct"/>
            <w:vAlign w:val="center"/>
          </w:tcPr>
          <w:p w14:paraId="68F23D95">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≤3.0</w:t>
            </w:r>
          </w:p>
        </w:tc>
        <w:tc>
          <w:tcPr>
            <w:tcW w:w="888" w:type="pct"/>
            <w:vAlign w:val="center"/>
          </w:tcPr>
          <w:p w14:paraId="7786988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w:t>
            </w:r>
          </w:p>
        </w:tc>
        <w:tc>
          <w:tcPr>
            <w:tcW w:w="761" w:type="pct"/>
            <w:vAlign w:val="center"/>
          </w:tcPr>
          <w:p w14:paraId="39488D9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&gt;10</w:t>
            </w:r>
          </w:p>
        </w:tc>
      </w:tr>
      <w:tr w14:paraId="17EF02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1350" w:type="pct"/>
            <w:vAlign w:val="center"/>
          </w:tcPr>
          <w:p w14:paraId="6DCD3B47">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总大肠菌群</w:t>
            </w:r>
          </w:p>
        </w:tc>
        <w:tc>
          <w:tcPr>
            <w:tcW w:w="712" w:type="pct"/>
            <w:vAlign w:val="center"/>
          </w:tcPr>
          <w:p w14:paraId="11FDE94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≤3.0</w:t>
            </w:r>
          </w:p>
        </w:tc>
        <w:tc>
          <w:tcPr>
            <w:tcW w:w="663" w:type="pct"/>
            <w:vAlign w:val="center"/>
          </w:tcPr>
          <w:p w14:paraId="5B4D389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≤3.0</w:t>
            </w:r>
          </w:p>
        </w:tc>
        <w:tc>
          <w:tcPr>
            <w:tcW w:w="624" w:type="pct"/>
            <w:vAlign w:val="center"/>
          </w:tcPr>
          <w:p w14:paraId="5036CD32">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≤3.0</w:t>
            </w:r>
          </w:p>
        </w:tc>
        <w:tc>
          <w:tcPr>
            <w:tcW w:w="888" w:type="pct"/>
            <w:vAlign w:val="center"/>
          </w:tcPr>
          <w:p w14:paraId="64221D2D">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≤100</w:t>
            </w:r>
          </w:p>
        </w:tc>
        <w:tc>
          <w:tcPr>
            <w:tcW w:w="761" w:type="pct"/>
            <w:vAlign w:val="center"/>
          </w:tcPr>
          <w:p w14:paraId="680303C5">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&gt;100</w:t>
            </w:r>
          </w:p>
        </w:tc>
      </w:tr>
      <w:tr w14:paraId="51ED57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350" w:type="pct"/>
            <w:vAlign w:val="center"/>
          </w:tcPr>
          <w:p w14:paraId="25EFE6FC">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细菌总数</w:t>
            </w:r>
          </w:p>
        </w:tc>
        <w:tc>
          <w:tcPr>
            <w:tcW w:w="712" w:type="pct"/>
            <w:vAlign w:val="center"/>
          </w:tcPr>
          <w:p w14:paraId="1430DA9B">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≤100</w:t>
            </w:r>
          </w:p>
        </w:tc>
        <w:tc>
          <w:tcPr>
            <w:tcW w:w="663" w:type="pct"/>
            <w:vAlign w:val="center"/>
          </w:tcPr>
          <w:p w14:paraId="595D9EC1">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≤100</w:t>
            </w:r>
          </w:p>
        </w:tc>
        <w:tc>
          <w:tcPr>
            <w:tcW w:w="624" w:type="pct"/>
            <w:vAlign w:val="center"/>
          </w:tcPr>
          <w:p w14:paraId="03000B7B">
            <w:pPr>
              <w:adjustRightInd/>
              <w:snapToGrid/>
              <w:spacing w:line="360" w:lineRule="exact"/>
              <w:ind w:firstLine="0" w:firstLineChars="0"/>
              <w:jc w:val="center"/>
              <w:rPr>
                <w:rFonts w:cs="Times New Roman"/>
                <w:b/>
                <w:bCs/>
                <w:color w:val="auto"/>
                <w:sz w:val="21"/>
                <w:szCs w:val="21"/>
                <w:highlight w:val="none"/>
              </w:rPr>
            </w:pPr>
            <w:r>
              <w:rPr>
                <w:rFonts w:cs="Times New Roman"/>
                <w:b/>
                <w:bCs/>
                <w:color w:val="auto"/>
                <w:sz w:val="21"/>
                <w:szCs w:val="21"/>
                <w:highlight w:val="none"/>
              </w:rPr>
              <w:t>≤100</w:t>
            </w:r>
          </w:p>
        </w:tc>
        <w:tc>
          <w:tcPr>
            <w:tcW w:w="888" w:type="pct"/>
            <w:vAlign w:val="center"/>
          </w:tcPr>
          <w:p w14:paraId="32B45234">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≤1000</w:t>
            </w:r>
          </w:p>
        </w:tc>
        <w:tc>
          <w:tcPr>
            <w:tcW w:w="761" w:type="pct"/>
            <w:vAlign w:val="center"/>
          </w:tcPr>
          <w:p w14:paraId="60FC232A">
            <w:pPr>
              <w:adjustRightInd/>
              <w:snapToGrid/>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&gt;1000</w:t>
            </w:r>
          </w:p>
        </w:tc>
      </w:tr>
    </w:tbl>
    <w:p w14:paraId="1BDB2113">
      <w:pPr>
        <w:adjustRightInd/>
        <w:snapToGrid/>
        <w:spacing w:line="240" w:lineRule="auto"/>
        <w:ind w:firstLine="0" w:firstLineChars="0"/>
        <w:rPr>
          <w:rFonts w:cs="Times New Roman"/>
          <w:b/>
          <w:color w:val="auto"/>
          <w:sz w:val="21"/>
          <w:szCs w:val="21"/>
          <w:highlight w:val="none"/>
        </w:rPr>
      </w:pPr>
      <w:r>
        <w:rPr>
          <w:rFonts w:cs="Times New Roman"/>
          <w:b/>
          <w:color w:val="auto"/>
          <w:sz w:val="21"/>
          <w:szCs w:val="21"/>
          <w:highlight w:val="none"/>
        </w:rPr>
        <w:t>（注：单位为mg/L，pH无量纲，总大肠菌群单位为MPN</w:t>
      </w:r>
      <w:r>
        <w:rPr>
          <w:rFonts w:cs="Times New Roman"/>
          <w:b/>
          <w:color w:val="auto"/>
          <w:sz w:val="21"/>
          <w:szCs w:val="21"/>
          <w:highlight w:val="none"/>
          <w:vertAlign w:val="superscript"/>
        </w:rPr>
        <w:t>b</w:t>
      </w:r>
      <w:r>
        <w:rPr>
          <w:rFonts w:cs="Times New Roman"/>
          <w:b/>
          <w:color w:val="auto"/>
          <w:sz w:val="21"/>
          <w:szCs w:val="21"/>
          <w:highlight w:val="none"/>
        </w:rPr>
        <w:t>/100mL，细菌总数单位为CFU/mL）</w:t>
      </w:r>
    </w:p>
    <w:p w14:paraId="3EB2831A">
      <w:pPr>
        <w:adjustRightInd/>
        <w:snapToGrid/>
        <w:rPr>
          <w:rFonts w:cs="Times New Roman"/>
          <w:color w:val="auto"/>
          <w:highlight w:val="none"/>
        </w:rPr>
      </w:pPr>
      <w:r>
        <w:rPr>
          <w:rFonts w:cs="Times New Roman"/>
          <w:color w:val="auto"/>
          <w:highlight w:val="none"/>
        </w:rPr>
        <w:t>（2）评价模式</w:t>
      </w:r>
    </w:p>
    <w:p w14:paraId="77D9C672">
      <w:pPr>
        <w:adjustRightInd/>
        <w:snapToGrid/>
        <w:rPr>
          <w:rFonts w:cs="Times New Roman"/>
          <w:color w:val="auto"/>
          <w:highlight w:val="none"/>
        </w:rPr>
      </w:pPr>
      <w:r>
        <w:rPr>
          <w:rFonts w:cs="Times New Roman"/>
          <w:color w:val="auto"/>
          <w:highlight w:val="none"/>
        </w:rPr>
        <w:t>地下水现状评价采用标准指数法。标准指数计算结果大于1，表明该水质因子已经超标，标准指数越大，超标越严重。标准指数法计算公式如下：</w:t>
      </w:r>
    </w:p>
    <w:p w14:paraId="0D5B8FB4">
      <w:pPr>
        <w:adjustRightInd/>
        <w:snapToGrid/>
        <w:spacing w:line="240" w:lineRule="auto"/>
        <w:ind w:firstLine="0" w:firstLineChars="0"/>
        <w:jc w:val="center"/>
        <w:rPr>
          <w:rFonts w:cs="Times New Roman"/>
          <w:color w:val="auto"/>
          <w:highlight w:val="none"/>
        </w:rPr>
      </w:pPr>
      <w:r>
        <w:rPr>
          <w:rFonts w:cs="Times New Roman"/>
          <w:color w:val="auto"/>
          <w:position w:val="-30"/>
          <w:highlight w:val="none"/>
        </w:rPr>
        <w:object>
          <v:shape id="_x0000_i1025" o:spt="75" type="#_x0000_t75" style="height:36pt;width:47.55pt;" o:ole="t" filled="f" o:preferrelative="t" stroked="f" coordsize="21600,21600">
            <v:path/>
            <v:fill on="f" focussize="0,0"/>
            <v:stroke on="f" joinstyle="miter"/>
            <v:imagedata r:id="rId43" o:title=""/>
            <o:lock v:ext="edit" aspectratio="t"/>
            <w10:wrap type="none"/>
            <w10:anchorlock/>
          </v:shape>
          <o:OLEObject Type="Embed" ProgID="Equation.3" ShapeID="_x0000_i1025" DrawAspect="Content" ObjectID="_1468075725" r:id="rId42">
            <o:LockedField>false</o:LockedField>
          </o:OLEObject>
        </w:object>
      </w:r>
    </w:p>
    <w:p w14:paraId="0D349C32">
      <w:pPr>
        <w:adjustRightInd/>
        <w:snapToGrid/>
        <w:rPr>
          <w:rFonts w:cs="Times New Roman"/>
          <w:color w:val="auto"/>
          <w:highlight w:val="none"/>
        </w:rPr>
      </w:pPr>
      <w:r>
        <w:rPr>
          <w:rFonts w:cs="Times New Roman"/>
          <w:color w:val="auto"/>
          <w:highlight w:val="none"/>
        </w:rPr>
        <w:t>式中：P</w:t>
      </w:r>
      <w:r>
        <w:rPr>
          <w:rFonts w:cs="Times New Roman"/>
          <w:color w:val="auto"/>
          <w:highlight w:val="none"/>
          <w:vertAlign w:val="subscript"/>
        </w:rPr>
        <w:t>i</w:t>
      </w:r>
      <w:r>
        <w:rPr>
          <w:rFonts w:cs="Times New Roman"/>
          <w:color w:val="auto"/>
          <w:highlight w:val="none"/>
        </w:rPr>
        <w:t>－第i个水质因子的标准指数，无量纲；</w:t>
      </w:r>
    </w:p>
    <w:p w14:paraId="4B1ABFE7">
      <w:pPr>
        <w:adjustRightInd/>
        <w:snapToGrid/>
        <w:ind w:firstLine="1180" w:firstLineChars="492"/>
        <w:rPr>
          <w:rFonts w:cs="Times New Roman"/>
          <w:color w:val="auto"/>
          <w:highlight w:val="none"/>
        </w:rPr>
      </w:pPr>
      <w:r>
        <w:rPr>
          <w:rFonts w:cs="Times New Roman"/>
          <w:color w:val="auto"/>
          <w:highlight w:val="none"/>
        </w:rPr>
        <w:t>C</w:t>
      </w:r>
      <w:r>
        <w:rPr>
          <w:rFonts w:cs="Times New Roman"/>
          <w:color w:val="auto"/>
          <w:highlight w:val="none"/>
          <w:vertAlign w:val="subscript"/>
        </w:rPr>
        <w:t>i</w:t>
      </w:r>
      <w:r>
        <w:rPr>
          <w:rFonts w:cs="Times New Roman"/>
          <w:color w:val="auto"/>
          <w:highlight w:val="none"/>
        </w:rPr>
        <w:t>－第i个水质因子的监测浓度值，mg/L；</w:t>
      </w:r>
    </w:p>
    <w:p w14:paraId="339E0DC1">
      <w:pPr>
        <w:adjustRightInd/>
        <w:snapToGrid/>
        <w:ind w:firstLine="1180" w:firstLineChars="492"/>
        <w:rPr>
          <w:rFonts w:cs="Times New Roman"/>
          <w:color w:val="auto"/>
          <w:highlight w:val="none"/>
        </w:rPr>
      </w:pPr>
      <w:r>
        <w:rPr>
          <w:rFonts w:cs="Times New Roman"/>
          <w:color w:val="auto"/>
          <w:highlight w:val="none"/>
        </w:rPr>
        <w:t>C</w:t>
      </w:r>
      <w:r>
        <w:rPr>
          <w:rFonts w:cs="Times New Roman"/>
          <w:color w:val="auto"/>
          <w:highlight w:val="none"/>
          <w:vertAlign w:val="subscript"/>
        </w:rPr>
        <w:t>si</w:t>
      </w:r>
      <w:r>
        <w:rPr>
          <w:rFonts w:cs="Times New Roman"/>
          <w:color w:val="auto"/>
          <w:highlight w:val="none"/>
        </w:rPr>
        <w:t>－第i个水质因子的标准浓度值，mg/L。</w:t>
      </w:r>
    </w:p>
    <w:p w14:paraId="5714C4CF">
      <w:pPr>
        <w:adjustRightInd/>
        <w:snapToGrid/>
        <w:rPr>
          <w:rFonts w:cs="Times New Roman"/>
          <w:color w:val="auto"/>
          <w:highlight w:val="none"/>
          <w:lang w:val="zh-CN"/>
        </w:rPr>
      </w:pPr>
      <w:r>
        <w:rPr>
          <w:rFonts w:cs="Times New Roman"/>
          <w:color w:val="auto"/>
          <w:highlight w:val="none"/>
        </w:rPr>
        <w:drawing>
          <wp:anchor distT="0" distB="0" distL="114300" distR="114300" simplePos="0" relativeHeight="251734016" behindDoc="0" locked="0" layoutInCell="1" allowOverlap="1">
            <wp:simplePos x="0" y="0"/>
            <wp:positionH relativeFrom="column">
              <wp:posOffset>1626870</wp:posOffset>
            </wp:positionH>
            <wp:positionV relativeFrom="paragraph">
              <wp:posOffset>293370</wp:posOffset>
            </wp:positionV>
            <wp:extent cx="1136650" cy="365125"/>
            <wp:effectExtent l="0" t="0" r="6350" b="15875"/>
            <wp:wrapNone/>
            <wp:docPr id="4" name="图片 4" descr="C:/Users/Administrator/AppData/Local/Temp/picturecompress_20211105115811/output_2.pn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Local/Temp/picturecompress_20211105115811/output_2.pngoutput_2"/>
                    <pic:cNvPicPr>
                      <a:picLocks noChangeAspect="1"/>
                    </pic:cNvPicPr>
                  </pic:nvPicPr>
                  <pic:blipFill>
                    <a:blip r:embed="rId44"/>
                    <a:stretch>
                      <a:fillRect/>
                    </a:stretch>
                  </pic:blipFill>
                  <pic:spPr>
                    <a:xfrm>
                      <a:off x="0" y="0"/>
                      <a:ext cx="1136650" cy="365125"/>
                    </a:xfrm>
                    <a:prstGeom prst="rect">
                      <a:avLst/>
                    </a:prstGeom>
                  </pic:spPr>
                </pic:pic>
              </a:graphicData>
            </a:graphic>
          </wp:anchor>
        </w:drawing>
      </w:r>
      <w:r>
        <w:rPr>
          <w:rFonts w:cs="Times New Roman"/>
          <w:color w:val="auto"/>
          <w:highlight w:val="none"/>
          <w:lang w:val="zh-CN"/>
        </w:rPr>
        <w:t>pH的标准指数公式：</w:t>
      </w:r>
    </w:p>
    <w:p w14:paraId="3A78F552">
      <w:pPr>
        <w:adjustRightInd/>
        <w:snapToGrid/>
        <w:ind w:firstLine="3585" w:firstLineChars="1494"/>
        <w:rPr>
          <w:rFonts w:cs="Times New Roman"/>
          <w:color w:val="auto"/>
          <w:highlight w:val="none"/>
          <w:lang w:val="zh-CN"/>
        </w:rPr>
      </w:pPr>
      <w:r>
        <w:rPr>
          <w:rFonts w:cs="Times New Roman"/>
          <w:color w:val="auto"/>
          <w:highlight w:val="none"/>
          <w:lang w:val="zh-CN"/>
        </w:rPr>
        <w:t xml:space="preserve">          pH≤7时</w:t>
      </w:r>
    </w:p>
    <w:p w14:paraId="4F93D9C3">
      <w:pPr>
        <w:adjustRightInd/>
        <w:snapToGrid/>
        <w:ind w:firstLine="2505" w:firstLineChars="1044"/>
        <w:rPr>
          <w:rFonts w:cs="Times New Roman"/>
          <w:color w:val="auto"/>
          <w:highlight w:val="none"/>
          <w:lang w:val="zh-CN"/>
        </w:rPr>
      </w:pPr>
      <w:r>
        <w:rPr>
          <w:rFonts w:cs="Times New Roman"/>
          <w:color w:val="auto"/>
          <w:highlight w:val="none"/>
        </w:rPr>
        <w:drawing>
          <wp:anchor distT="0" distB="0" distL="114300" distR="114300" simplePos="0" relativeHeight="251735040" behindDoc="0" locked="0" layoutInCell="1" allowOverlap="1">
            <wp:simplePos x="0" y="0"/>
            <wp:positionH relativeFrom="column">
              <wp:posOffset>1626870</wp:posOffset>
            </wp:positionH>
            <wp:positionV relativeFrom="paragraph">
              <wp:posOffset>201930</wp:posOffset>
            </wp:positionV>
            <wp:extent cx="1119505" cy="369570"/>
            <wp:effectExtent l="0" t="0" r="4445" b="11430"/>
            <wp:wrapNone/>
            <wp:docPr id="5" name="图片 5" descr="C:/Users/Administrator/AppData/Local/Temp/picturecompress_20211105115811/output_3.pngoutput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Local/Temp/picturecompress_20211105115811/output_3.pngoutput_3"/>
                    <pic:cNvPicPr>
                      <a:picLocks noChangeAspect="1"/>
                    </pic:cNvPicPr>
                  </pic:nvPicPr>
                  <pic:blipFill>
                    <a:blip r:embed="rId45"/>
                    <a:stretch>
                      <a:fillRect/>
                    </a:stretch>
                  </pic:blipFill>
                  <pic:spPr>
                    <a:xfrm>
                      <a:off x="0" y="0"/>
                      <a:ext cx="1119505" cy="369570"/>
                    </a:xfrm>
                    <a:prstGeom prst="rect">
                      <a:avLst/>
                    </a:prstGeom>
                  </pic:spPr>
                </pic:pic>
              </a:graphicData>
            </a:graphic>
          </wp:anchor>
        </w:drawing>
      </w:r>
      <w:r>
        <w:rPr>
          <w:rFonts w:cs="Times New Roman"/>
          <w:color w:val="auto"/>
          <w:highlight w:val="none"/>
          <w:lang w:val="zh-CN"/>
        </w:rPr>
        <w:t xml:space="preserve"> </w:t>
      </w:r>
    </w:p>
    <w:p w14:paraId="77C7CD97">
      <w:pPr>
        <w:adjustRightInd/>
        <w:snapToGrid/>
        <w:ind w:firstLine="3465" w:firstLineChars="1444"/>
        <w:rPr>
          <w:rFonts w:cs="Times New Roman"/>
          <w:color w:val="auto"/>
          <w:highlight w:val="none"/>
          <w:lang w:val="zh-CN"/>
        </w:rPr>
      </w:pPr>
      <w:r>
        <w:rPr>
          <w:rFonts w:cs="Times New Roman"/>
          <w:color w:val="auto"/>
          <w:highlight w:val="none"/>
          <w:lang w:val="zh-CN"/>
        </w:rPr>
        <w:t xml:space="preserve">           pH＞7时</w:t>
      </w:r>
    </w:p>
    <w:p w14:paraId="619C9463">
      <w:pPr>
        <w:adjustRightInd/>
        <w:snapToGrid/>
        <w:rPr>
          <w:rFonts w:cs="Times New Roman"/>
          <w:color w:val="auto"/>
          <w:highlight w:val="none"/>
        </w:rPr>
      </w:pPr>
      <w:r>
        <w:rPr>
          <w:rFonts w:cs="Times New Roman"/>
          <w:color w:val="auto"/>
          <w:highlight w:val="none"/>
        </w:rPr>
        <w:t>式中：P</w:t>
      </w:r>
      <w:r>
        <w:rPr>
          <w:rFonts w:cs="Times New Roman"/>
          <w:color w:val="auto"/>
          <w:highlight w:val="none"/>
          <w:vertAlign w:val="subscript"/>
        </w:rPr>
        <w:t>pH</w:t>
      </w:r>
      <w:r>
        <w:rPr>
          <w:rFonts w:cs="Times New Roman"/>
          <w:color w:val="auto"/>
          <w:highlight w:val="none"/>
        </w:rPr>
        <w:t>——pH的标准指数；</w:t>
      </w:r>
    </w:p>
    <w:p w14:paraId="0F20184E">
      <w:pPr>
        <w:adjustRightInd/>
        <w:snapToGrid/>
        <w:ind w:firstLine="1185" w:firstLineChars="494"/>
        <w:rPr>
          <w:rFonts w:cs="Times New Roman"/>
          <w:color w:val="auto"/>
          <w:highlight w:val="none"/>
        </w:rPr>
      </w:pPr>
      <w:r>
        <w:rPr>
          <w:rFonts w:cs="Times New Roman"/>
          <w:color w:val="auto"/>
          <w:highlight w:val="none"/>
        </w:rPr>
        <w:t>pH——pH监测值；</w:t>
      </w:r>
    </w:p>
    <w:p w14:paraId="7AAB66B8">
      <w:pPr>
        <w:adjustRightInd/>
        <w:snapToGrid/>
        <w:ind w:firstLine="1185" w:firstLineChars="494"/>
        <w:rPr>
          <w:rFonts w:cs="Times New Roman"/>
          <w:color w:val="auto"/>
          <w:highlight w:val="none"/>
        </w:rPr>
      </w:pPr>
      <w:r>
        <w:rPr>
          <w:rFonts w:cs="Times New Roman"/>
          <w:color w:val="auto"/>
          <w:highlight w:val="none"/>
        </w:rPr>
        <w:t>pH</w:t>
      </w:r>
      <w:r>
        <w:rPr>
          <w:rFonts w:cs="Times New Roman"/>
          <w:color w:val="auto"/>
          <w:highlight w:val="none"/>
          <w:vertAlign w:val="subscript"/>
        </w:rPr>
        <w:t>su</w:t>
      </w:r>
      <w:r>
        <w:rPr>
          <w:rFonts w:cs="Times New Roman"/>
          <w:color w:val="auto"/>
          <w:highlight w:val="none"/>
        </w:rPr>
        <w:t>——标准中pH的上限值；</w:t>
      </w:r>
    </w:p>
    <w:p w14:paraId="512A71E5">
      <w:pPr>
        <w:adjustRightInd/>
        <w:snapToGrid/>
        <w:ind w:firstLine="1200" w:firstLineChars="500"/>
        <w:rPr>
          <w:rFonts w:cs="Times New Roman"/>
          <w:color w:val="auto"/>
          <w:highlight w:val="none"/>
        </w:rPr>
      </w:pPr>
      <w:r>
        <w:rPr>
          <w:rFonts w:cs="Times New Roman"/>
          <w:color w:val="auto"/>
          <w:highlight w:val="none"/>
        </w:rPr>
        <w:t>pH</w:t>
      </w:r>
      <w:r>
        <w:rPr>
          <w:rFonts w:cs="Times New Roman"/>
          <w:color w:val="auto"/>
          <w:highlight w:val="none"/>
          <w:vertAlign w:val="subscript"/>
        </w:rPr>
        <w:t>sd</w:t>
      </w:r>
      <w:r>
        <w:rPr>
          <w:rFonts w:cs="Times New Roman"/>
          <w:color w:val="auto"/>
          <w:highlight w:val="none"/>
        </w:rPr>
        <w:t>——标准中pH的下限值。</w:t>
      </w:r>
    </w:p>
    <w:p w14:paraId="3FA2A6D5">
      <w:pPr>
        <w:adjustRightInd/>
        <w:snapToGrid/>
        <w:rPr>
          <w:rFonts w:cs="Times New Roman"/>
          <w:color w:val="auto"/>
          <w:highlight w:val="none"/>
        </w:rPr>
      </w:pPr>
      <w:r>
        <w:rPr>
          <w:rFonts w:cs="Times New Roman"/>
          <w:color w:val="auto"/>
          <w:highlight w:val="none"/>
        </w:rPr>
        <w:t>（3）评价结果及分析</w:t>
      </w:r>
    </w:p>
    <w:p w14:paraId="2ADA909A">
      <w:pPr>
        <w:adjustRightInd/>
        <w:snapToGrid/>
        <w:rPr>
          <w:rFonts w:cs="Times New Roman"/>
          <w:color w:val="auto"/>
          <w:sz w:val="21"/>
          <w:szCs w:val="21"/>
          <w:highlight w:val="none"/>
        </w:rPr>
      </w:pPr>
      <w:r>
        <w:rPr>
          <w:rFonts w:cs="Times New Roman"/>
          <w:color w:val="auto"/>
          <w:highlight w:val="none"/>
        </w:rPr>
        <w:t>根据监测数据和评价标准，按上述模式计算的结果见下表。</w:t>
      </w:r>
    </w:p>
    <w:p w14:paraId="790D381A">
      <w:pPr>
        <w:adjustRightInd/>
        <w:snapToGrid/>
        <w:spacing w:line="240" w:lineRule="auto"/>
        <w:ind w:firstLine="0" w:firstLineChars="0"/>
        <w:jc w:val="center"/>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2-1</w:t>
      </w:r>
      <w:r>
        <w:rPr>
          <w:rFonts w:hint="eastAsia" w:cs="Times New Roman"/>
          <w:b/>
          <w:color w:val="auto"/>
          <w:szCs w:val="24"/>
          <w:highlight w:val="none"/>
          <w:lang w:val="en-US" w:eastAsia="zh-CN"/>
        </w:rPr>
        <w:t>0</w:t>
      </w:r>
      <w:r>
        <w:rPr>
          <w:rFonts w:cs="Times New Roman"/>
          <w:b/>
          <w:color w:val="auto"/>
          <w:szCs w:val="24"/>
          <w:highlight w:val="none"/>
        </w:rPr>
        <w:t xml:space="preserve">  地下水污染指数计算结果</w:t>
      </w:r>
    </w:p>
    <w:tbl>
      <w:tblPr>
        <w:tblStyle w:val="47"/>
        <w:tblW w:w="500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2005"/>
        <w:gridCol w:w="2185"/>
        <w:gridCol w:w="2062"/>
        <w:gridCol w:w="2067"/>
      </w:tblGrid>
      <w:tr w14:paraId="4EDEBE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Merge w:val="restart"/>
            <w:vAlign w:val="center"/>
          </w:tcPr>
          <w:p w14:paraId="181E306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评价因子</w:t>
            </w:r>
          </w:p>
        </w:tc>
        <w:tc>
          <w:tcPr>
            <w:tcW w:w="3794" w:type="pct"/>
            <w:gridSpan w:val="3"/>
          </w:tcPr>
          <w:p w14:paraId="27AFA06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监测点位</w:t>
            </w:r>
          </w:p>
        </w:tc>
      </w:tr>
      <w:tr w14:paraId="1D32F0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Merge w:val="continue"/>
            <w:vAlign w:val="center"/>
          </w:tcPr>
          <w:p w14:paraId="1B673049">
            <w:pPr>
              <w:spacing w:line="240" w:lineRule="auto"/>
              <w:ind w:firstLine="0" w:firstLineChars="0"/>
              <w:jc w:val="center"/>
              <w:rPr>
                <w:rFonts w:cs="Times New Roman"/>
                <w:color w:val="auto"/>
                <w:sz w:val="21"/>
                <w:szCs w:val="21"/>
                <w:highlight w:val="none"/>
              </w:rPr>
            </w:pPr>
          </w:p>
        </w:tc>
        <w:tc>
          <w:tcPr>
            <w:tcW w:w="1313" w:type="pct"/>
            <w:vAlign w:val="center"/>
          </w:tcPr>
          <w:p w14:paraId="2B387EE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1239" w:type="pct"/>
            <w:vAlign w:val="center"/>
          </w:tcPr>
          <w:p w14:paraId="19D20F8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1242" w:type="pct"/>
            <w:vAlign w:val="center"/>
          </w:tcPr>
          <w:p w14:paraId="57EC7F70">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3#</w:t>
            </w:r>
          </w:p>
        </w:tc>
      </w:tr>
      <w:tr w14:paraId="0C7FF7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12B87C7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pH值（无量纲）</w:t>
            </w:r>
          </w:p>
        </w:tc>
        <w:tc>
          <w:tcPr>
            <w:tcW w:w="1313" w:type="pct"/>
            <w:vAlign w:val="center"/>
          </w:tcPr>
          <w:p w14:paraId="2C8CF4B7">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0.30</w:t>
            </w:r>
          </w:p>
        </w:tc>
        <w:tc>
          <w:tcPr>
            <w:tcW w:w="1239" w:type="pct"/>
            <w:vAlign w:val="center"/>
          </w:tcPr>
          <w:p w14:paraId="5C1DE6D5">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0.25</w:t>
            </w:r>
          </w:p>
        </w:tc>
        <w:tc>
          <w:tcPr>
            <w:tcW w:w="1242" w:type="pct"/>
            <w:vAlign w:val="center"/>
          </w:tcPr>
          <w:p w14:paraId="0F90D2F7">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0.20</w:t>
            </w:r>
          </w:p>
        </w:tc>
      </w:tr>
      <w:tr w14:paraId="3170C4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0EEE226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1313" w:type="pct"/>
            <w:vAlign w:val="center"/>
          </w:tcPr>
          <w:p w14:paraId="73D8C6A6">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0.81</w:t>
            </w:r>
          </w:p>
        </w:tc>
        <w:tc>
          <w:tcPr>
            <w:tcW w:w="1239" w:type="pct"/>
            <w:vAlign w:val="center"/>
          </w:tcPr>
          <w:p w14:paraId="108F6C77">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0.97</w:t>
            </w:r>
          </w:p>
        </w:tc>
        <w:tc>
          <w:tcPr>
            <w:tcW w:w="1242" w:type="pct"/>
            <w:vAlign w:val="center"/>
          </w:tcPr>
          <w:p w14:paraId="0C3EF703">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0.94</w:t>
            </w:r>
          </w:p>
        </w:tc>
      </w:tr>
      <w:tr w14:paraId="14F3E9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5E2EB00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硝酸盐氮</w:t>
            </w:r>
          </w:p>
        </w:tc>
        <w:tc>
          <w:tcPr>
            <w:tcW w:w="1313" w:type="pct"/>
            <w:vAlign w:val="center"/>
          </w:tcPr>
          <w:p w14:paraId="31AAC75B">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0.0065</w:t>
            </w:r>
          </w:p>
        </w:tc>
        <w:tc>
          <w:tcPr>
            <w:tcW w:w="1239" w:type="pct"/>
            <w:vAlign w:val="center"/>
          </w:tcPr>
          <w:p w14:paraId="0ACFA9EA">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0.10</w:t>
            </w:r>
          </w:p>
        </w:tc>
        <w:tc>
          <w:tcPr>
            <w:tcW w:w="1242" w:type="pct"/>
            <w:vAlign w:val="center"/>
          </w:tcPr>
          <w:p w14:paraId="04EC5DE5">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0.0075</w:t>
            </w:r>
          </w:p>
        </w:tc>
      </w:tr>
      <w:tr w14:paraId="5B624D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50D0F2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亚硝酸盐氮</w:t>
            </w:r>
          </w:p>
        </w:tc>
        <w:tc>
          <w:tcPr>
            <w:tcW w:w="1313" w:type="pct"/>
            <w:vAlign w:val="center"/>
          </w:tcPr>
          <w:p w14:paraId="01B3C58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3F3A6E2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5B9A2BF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5925F0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4100652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挥发酚</w:t>
            </w:r>
          </w:p>
        </w:tc>
        <w:tc>
          <w:tcPr>
            <w:tcW w:w="1313" w:type="pct"/>
            <w:vAlign w:val="center"/>
          </w:tcPr>
          <w:p w14:paraId="7C64B98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0BEADEE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508189A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1D1C8F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2480F3B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氟化物</w:t>
            </w:r>
          </w:p>
        </w:tc>
        <w:tc>
          <w:tcPr>
            <w:tcW w:w="1313" w:type="pct"/>
            <w:vAlign w:val="center"/>
          </w:tcPr>
          <w:p w14:paraId="017221A1">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0.17</w:t>
            </w:r>
          </w:p>
        </w:tc>
        <w:tc>
          <w:tcPr>
            <w:tcW w:w="1239" w:type="pct"/>
            <w:vAlign w:val="center"/>
          </w:tcPr>
          <w:p w14:paraId="38C86004">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0.14</w:t>
            </w:r>
          </w:p>
        </w:tc>
        <w:tc>
          <w:tcPr>
            <w:tcW w:w="1242" w:type="pct"/>
            <w:vAlign w:val="center"/>
          </w:tcPr>
          <w:p w14:paraId="5830D4F3">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0.13</w:t>
            </w:r>
          </w:p>
        </w:tc>
      </w:tr>
      <w:tr w14:paraId="28141E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6E20F19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汞</w:t>
            </w:r>
          </w:p>
        </w:tc>
        <w:tc>
          <w:tcPr>
            <w:tcW w:w="1313" w:type="pct"/>
            <w:vAlign w:val="center"/>
          </w:tcPr>
          <w:p w14:paraId="0D6DA46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107FDE07">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11CF8AF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2B80ED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199F027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砷</w:t>
            </w:r>
          </w:p>
        </w:tc>
        <w:tc>
          <w:tcPr>
            <w:tcW w:w="1313" w:type="pct"/>
            <w:vAlign w:val="center"/>
          </w:tcPr>
          <w:p w14:paraId="52EC527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2F9EDD9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6A4A13D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079617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889222B">
            <w:pPr>
              <w:spacing w:line="240" w:lineRule="auto"/>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铁</w:t>
            </w:r>
          </w:p>
        </w:tc>
        <w:tc>
          <w:tcPr>
            <w:tcW w:w="1313" w:type="pct"/>
            <w:vAlign w:val="center"/>
          </w:tcPr>
          <w:p w14:paraId="6A287EA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9.03</w:t>
            </w:r>
          </w:p>
        </w:tc>
        <w:tc>
          <w:tcPr>
            <w:tcW w:w="1239" w:type="pct"/>
            <w:vAlign w:val="center"/>
          </w:tcPr>
          <w:p w14:paraId="739D32C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7.83</w:t>
            </w:r>
          </w:p>
        </w:tc>
        <w:tc>
          <w:tcPr>
            <w:tcW w:w="1242" w:type="pct"/>
            <w:vAlign w:val="center"/>
          </w:tcPr>
          <w:p w14:paraId="2198A43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9.20</w:t>
            </w:r>
          </w:p>
        </w:tc>
      </w:tr>
      <w:tr w14:paraId="641101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6F1B924B">
            <w:pPr>
              <w:spacing w:line="240" w:lineRule="auto"/>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锰</w:t>
            </w:r>
          </w:p>
        </w:tc>
        <w:tc>
          <w:tcPr>
            <w:tcW w:w="1313" w:type="pct"/>
            <w:vAlign w:val="center"/>
          </w:tcPr>
          <w:p w14:paraId="21004B4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21.0</w:t>
            </w:r>
          </w:p>
        </w:tc>
        <w:tc>
          <w:tcPr>
            <w:tcW w:w="1239" w:type="pct"/>
            <w:vAlign w:val="center"/>
          </w:tcPr>
          <w:p w14:paraId="6C99484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24.3</w:t>
            </w:r>
          </w:p>
        </w:tc>
        <w:tc>
          <w:tcPr>
            <w:tcW w:w="1242" w:type="pct"/>
            <w:vAlign w:val="center"/>
          </w:tcPr>
          <w:p w14:paraId="4DC2453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21.4</w:t>
            </w:r>
          </w:p>
        </w:tc>
      </w:tr>
      <w:tr w14:paraId="6AB552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C13232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铅</w:t>
            </w:r>
          </w:p>
        </w:tc>
        <w:tc>
          <w:tcPr>
            <w:tcW w:w="1313" w:type="pct"/>
            <w:vAlign w:val="center"/>
          </w:tcPr>
          <w:p w14:paraId="5DD163F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0E4F983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72123A6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0EFB9D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0A39366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镉</w:t>
            </w:r>
          </w:p>
        </w:tc>
        <w:tc>
          <w:tcPr>
            <w:tcW w:w="1313" w:type="pct"/>
            <w:vAlign w:val="center"/>
          </w:tcPr>
          <w:p w14:paraId="3E44020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280A15C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4510591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608A33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D640CF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氰化物</w:t>
            </w:r>
          </w:p>
        </w:tc>
        <w:tc>
          <w:tcPr>
            <w:tcW w:w="1313" w:type="pct"/>
            <w:vAlign w:val="center"/>
          </w:tcPr>
          <w:p w14:paraId="48B6C40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57093F4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69179A5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1C8069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2562D69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总硬度</w:t>
            </w:r>
          </w:p>
        </w:tc>
        <w:tc>
          <w:tcPr>
            <w:tcW w:w="1313" w:type="pct"/>
            <w:vAlign w:val="center"/>
          </w:tcPr>
          <w:p w14:paraId="1F10E5DA">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0.86</w:t>
            </w:r>
          </w:p>
        </w:tc>
        <w:tc>
          <w:tcPr>
            <w:tcW w:w="1239" w:type="pct"/>
            <w:vAlign w:val="center"/>
          </w:tcPr>
          <w:p w14:paraId="59AB9B03">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0.92</w:t>
            </w:r>
          </w:p>
        </w:tc>
        <w:tc>
          <w:tcPr>
            <w:tcW w:w="1242" w:type="pct"/>
            <w:vAlign w:val="center"/>
          </w:tcPr>
          <w:p w14:paraId="6D070566">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0.96</w:t>
            </w:r>
          </w:p>
        </w:tc>
      </w:tr>
      <w:tr w14:paraId="6B372E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5787A3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硫酸盐</w:t>
            </w:r>
          </w:p>
        </w:tc>
        <w:tc>
          <w:tcPr>
            <w:tcW w:w="1313" w:type="pct"/>
            <w:vAlign w:val="center"/>
          </w:tcPr>
          <w:p w14:paraId="2584E075">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0.42</w:t>
            </w:r>
          </w:p>
        </w:tc>
        <w:tc>
          <w:tcPr>
            <w:tcW w:w="1239" w:type="pct"/>
            <w:vAlign w:val="center"/>
          </w:tcPr>
          <w:p w14:paraId="6F82BE88">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0.37</w:t>
            </w:r>
          </w:p>
        </w:tc>
        <w:tc>
          <w:tcPr>
            <w:tcW w:w="1242" w:type="pct"/>
            <w:vAlign w:val="center"/>
          </w:tcPr>
          <w:p w14:paraId="4DA9E3A5">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0.34</w:t>
            </w:r>
          </w:p>
        </w:tc>
      </w:tr>
      <w:tr w14:paraId="5EDFCB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1DA3B8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六价铬</w:t>
            </w:r>
          </w:p>
        </w:tc>
        <w:tc>
          <w:tcPr>
            <w:tcW w:w="1313" w:type="pct"/>
            <w:vAlign w:val="center"/>
          </w:tcPr>
          <w:p w14:paraId="670A12B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63A05B44">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4F72564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003E48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750D5D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氯化物</w:t>
            </w:r>
          </w:p>
        </w:tc>
        <w:tc>
          <w:tcPr>
            <w:tcW w:w="1313" w:type="pct"/>
            <w:vAlign w:val="center"/>
          </w:tcPr>
          <w:p w14:paraId="22BBF20B">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0.77</w:t>
            </w:r>
          </w:p>
        </w:tc>
        <w:tc>
          <w:tcPr>
            <w:tcW w:w="1239" w:type="pct"/>
            <w:vAlign w:val="center"/>
          </w:tcPr>
          <w:p w14:paraId="73DF86BE">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0.64</w:t>
            </w:r>
          </w:p>
        </w:tc>
        <w:tc>
          <w:tcPr>
            <w:tcW w:w="1242" w:type="pct"/>
            <w:vAlign w:val="center"/>
          </w:tcPr>
          <w:p w14:paraId="208B54F4">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0.53</w:t>
            </w:r>
          </w:p>
        </w:tc>
      </w:tr>
      <w:tr w14:paraId="023170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741B37D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溶解性总固体</w:t>
            </w:r>
          </w:p>
        </w:tc>
        <w:tc>
          <w:tcPr>
            <w:tcW w:w="1313" w:type="pct"/>
            <w:vAlign w:val="center"/>
          </w:tcPr>
          <w:p w14:paraId="295EC19F">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0.89</w:t>
            </w:r>
          </w:p>
        </w:tc>
        <w:tc>
          <w:tcPr>
            <w:tcW w:w="1239" w:type="pct"/>
            <w:vAlign w:val="center"/>
          </w:tcPr>
          <w:p w14:paraId="55EBE828">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0.92</w:t>
            </w:r>
          </w:p>
        </w:tc>
        <w:tc>
          <w:tcPr>
            <w:tcW w:w="1242" w:type="pct"/>
            <w:vAlign w:val="center"/>
          </w:tcPr>
          <w:p w14:paraId="1601D723">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0.97</w:t>
            </w:r>
          </w:p>
        </w:tc>
      </w:tr>
      <w:tr w14:paraId="6DFC32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5439656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耗氧量（CODMn计）</w:t>
            </w:r>
          </w:p>
        </w:tc>
        <w:tc>
          <w:tcPr>
            <w:tcW w:w="1313" w:type="pct"/>
            <w:vAlign w:val="center"/>
          </w:tcPr>
          <w:p w14:paraId="65FA66D0">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0.37</w:t>
            </w:r>
          </w:p>
        </w:tc>
        <w:tc>
          <w:tcPr>
            <w:tcW w:w="1239" w:type="pct"/>
            <w:vAlign w:val="center"/>
          </w:tcPr>
          <w:p w14:paraId="7A6C66E6">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0.30</w:t>
            </w:r>
          </w:p>
        </w:tc>
        <w:tc>
          <w:tcPr>
            <w:tcW w:w="1242" w:type="pct"/>
            <w:vAlign w:val="center"/>
          </w:tcPr>
          <w:p w14:paraId="5EFC3B9D">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0.33</w:t>
            </w:r>
          </w:p>
        </w:tc>
      </w:tr>
      <w:tr w14:paraId="7696A6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3DA93E3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总大肠菌群</w:t>
            </w:r>
          </w:p>
        </w:tc>
        <w:tc>
          <w:tcPr>
            <w:tcW w:w="1313" w:type="pct"/>
            <w:vAlign w:val="center"/>
          </w:tcPr>
          <w:p w14:paraId="0CACCBE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39" w:type="pct"/>
            <w:vAlign w:val="center"/>
          </w:tcPr>
          <w:p w14:paraId="68FFB5E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242" w:type="pct"/>
            <w:vAlign w:val="center"/>
          </w:tcPr>
          <w:p w14:paraId="3DAC84B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45F3E0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05" w:type="pct"/>
            <w:vAlign w:val="center"/>
          </w:tcPr>
          <w:p w14:paraId="6870E8B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细菌总数</w:t>
            </w:r>
          </w:p>
        </w:tc>
        <w:tc>
          <w:tcPr>
            <w:tcW w:w="1313" w:type="pct"/>
            <w:shd w:val="clear" w:color="auto" w:fill="auto"/>
            <w:vAlign w:val="center"/>
          </w:tcPr>
          <w:p w14:paraId="4C67B973">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0.36</w:t>
            </w:r>
          </w:p>
        </w:tc>
        <w:tc>
          <w:tcPr>
            <w:tcW w:w="1239" w:type="pct"/>
            <w:shd w:val="clear" w:color="auto" w:fill="auto"/>
            <w:vAlign w:val="center"/>
          </w:tcPr>
          <w:p w14:paraId="579D645C">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0.32</w:t>
            </w:r>
          </w:p>
        </w:tc>
        <w:tc>
          <w:tcPr>
            <w:tcW w:w="1242" w:type="pct"/>
            <w:shd w:val="clear" w:color="auto" w:fill="auto"/>
            <w:vAlign w:val="center"/>
          </w:tcPr>
          <w:p w14:paraId="147A4A26">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0.28</w:t>
            </w:r>
          </w:p>
        </w:tc>
      </w:tr>
    </w:tbl>
    <w:p w14:paraId="115E25AD">
      <w:pPr>
        <w:rPr>
          <w:rFonts w:cs="Times New Roman"/>
          <w:color w:val="auto"/>
          <w:highlight w:val="none"/>
        </w:rPr>
      </w:pPr>
      <w:r>
        <w:rPr>
          <w:rFonts w:cs="Times New Roman"/>
          <w:color w:val="auto"/>
          <w:highlight w:val="none"/>
        </w:rPr>
        <w:t>（4）地下水化学类型</w:t>
      </w:r>
    </w:p>
    <w:p w14:paraId="6EC00D0F">
      <w:pPr>
        <w:ind w:firstLine="528" w:firstLineChars="0"/>
        <w:rPr>
          <w:rFonts w:cs="Times New Roman"/>
          <w:color w:val="auto"/>
          <w:spacing w:val="12"/>
          <w:highlight w:val="none"/>
        </w:rPr>
      </w:pPr>
      <w:r>
        <w:rPr>
          <w:rFonts w:cs="Times New Roman"/>
          <w:color w:val="auto"/>
          <w:spacing w:val="12"/>
          <w:highlight w:val="none"/>
        </w:rPr>
        <w:t>用舒卡列夫分类法对地下水化学类型进行评价，其主要作用有两点，一是查明地下水化学类型，二是查验检测结果的准确性。地下水化学类型的舒卡列夫分类是根据地下水中7种主要离子（Na</w:t>
      </w:r>
      <w:r>
        <w:rPr>
          <w:rFonts w:cs="Times New Roman"/>
          <w:color w:val="auto"/>
          <w:spacing w:val="12"/>
          <w:highlight w:val="none"/>
          <w:vertAlign w:val="superscript"/>
        </w:rPr>
        <w:t>+</w:t>
      </w:r>
      <w:r>
        <w:rPr>
          <w:rFonts w:cs="Times New Roman"/>
          <w:color w:val="auto"/>
          <w:spacing w:val="12"/>
          <w:highlight w:val="none"/>
        </w:rPr>
        <w:t>、C</w:t>
      </w:r>
      <w:r>
        <w:rPr>
          <w:rFonts w:cs="Times New Roman"/>
          <w:color w:val="auto"/>
          <w:spacing w:val="12"/>
          <w:highlight w:val="none"/>
          <w:vertAlign w:val="subscript"/>
        </w:rPr>
        <w:t>a</w:t>
      </w:r>
      <w:r>
        <w:rPr>
          <w:rFonts w:cs="Times New Roman"/>
          <w:color w:val="auto"/>
          <w:spacing w:val="12"/>
          <w:highlight w:val="none"/>
          <w:vertAlign w:val="superscript"/>
        </w:rPr>
        <w:t>2+</w:t>
      </w:r>
      <w:r>
        <w:rPr>
          <w:rFonts w:cs="Times New Roman"/>
          <w:color w:val="auto"/>
          <w:spacing w:val="12"/>
          <w:highlight w:val="none"/>
        </w:rPr>
        <w:t>、Mg</w:t>
      </w:r>
      <w:r>
        <w:rPr>
          <w:rFonts w:cs="Times New Roman"/>
          <w:color w:val="auto"/>
          <w:spacing w:val="12"/>
          <w:highlight w:val="none"/>
          <w:vertAlign w:val="superscript"/>
        </w:rPr>
        <w:t>2+</w:t>
      </w:r>
      <w:r>
        <w:rPr>
          <w:rFonts w:cs="Times New Roman"/>
          <w:color w:val="auto"/>
          <w:spacing w:val="12"/>
          <w:highlight w:val="none"/>
        </w:rPr>
        <w:t>、HCO</w:t>
      </w:r>
      <w:r>
        <w:rPr>
          <w:rFonts w:cs="Times New Roman"/>
          <w:color w:val="auto"/>
          <w:spacing w:val="12"/>
          <w:highlight w:val="none"/>
          <w:vertAlign w:val="subscript"/>
        </w:rPr>
        <w:t>3</w:t>
      </w:r>
      <w:r>
        <w:rPr>
          <w:rFonts w:cs="Times New Roman"/>
          <w:color w:val="auto"/>
          <w:spacing w:val="12"/>
          <w:highlight w:val="none"/>
          <w:vertAlign w:val="superscript"/>
        </w:rPr>
        <w:t>-</w:t>
      </w:r>
      <w:r>
        <w:rPr>
          <w:rFonts w:cs="Times New Roman"/>
          <w:color w:val="auto"/>
          <w:spacing w:val="12"/>
          <w:highlight w:val="none"/>
        </w:rPr>
        <w:t>、SO</w:t>
      </w:r>
      <w:r>
        <w:rPr>
          <w:rFonts w:cs="Times New Roman"/>
          <w:color w:val="auto"/>
          <w:spacing w:val="12"/>
          <w:highlight w:val="none"/>
          <w:vertAlign w:val="subscript"/>
        </w:rPr>
        <w:t>4</w:t>
      </w:r>
      <w:r>
        <w:rPr>
          <w:rFonts w:cs="Times New Roman"/>
          <w:color w:val="auto"/>
          <w:spacing w:val="12"/>
          <w:highlight w:val="none"/>
          <w:vertAlign w:val="superscript"/>
        </w:rPr>
        <w:t>2-</w:t>
      </w:r>
      <w:r>
        <w:rPr>
          <w:rFonts w:cs="Times New Roman"/>
          <w:color w:val="auto"/>
          <w:spacing w:val="12"/>
          <w:highlight w:val="none"/>
        </w:rPr>
        <w:t>、Cl</w:t>
      </w:r>
      <w:r>
        <w:rPr>
          <w:rFonts w:cs="Times New Roman"/>
          <w:color w:val="auto"/>
          <w:spacing w:val="12"/>
          <w:highlight w:val="none"/>
          <w:vertAlign w:val="superscript"/>
        </w:rPr>
        <w:t>-</w:t>
      </w:r>
      <w:r>
        <w:rPr>
          <w:rFonts w:cs="Times New Roman"/>
          <w:color w:val="auto"/>
          <w:spacing w:val="12"/>
          <w:highlight w:val="none"/>
        </w:rPr>
        <w:t>，K</w:t>
      </w:r>
      <w:r>
        <w:rPr>
          <w:rFonts w:cs="Times New Roman"/>
          <w:color w:val="auto"/>
          <w:spacing w:val="12"/>
          <w:highlight w:val="none"/>
          <w:vertAlign w:val="superscript"/>
        </w:rPr>
        <w:t>+</w:t>
      </w:r>
      <w:r>
        <w:rPr>
          <w:rFonts w:cs="Times New Roman"/>
          <w:color w:val="auto"/>
          <w:spacing w:val="12"/>
          <w:highlight w:val="none"/>
        </w:rPr>
        <w:t>合并于Na</w:t>
      </w:r>
      <w:r>
        <w:rPr>
          <w:rFonts w:cs="Times New Roman"/>
          <w:color w:val="auto"/>
          <w:spacing w:val="12"/>
          <w:highlight w:val="none"/>
          <w:vertAlign w:val="superscript"/>
        </w:rPr>
        <w:t>+</w:t>
      </w:r>
      <w:r>
        <w:rPr>
          <w:rFonts w:cs="Times New Roman"/>
          <w:color w:val="auto"/>
          <w:spacing w:val="12"/>
          <w:highlight w:val="none"/>
        </w:rPr>
        <w:t>）。具体步骤如下：</w:t>
      </w:r>
    </w:p>
    <w:p w14:paraId="5F56A73D">
      <w:pPr>
        <w:ind w:firstLine="528" w:firstLineChars="0"/>
        <w:rPr>
          <w:rFonts w:cs="Times New Roman"/>
          <w:color w:val="auto"/>
          <w:spacing w:val="12"/>
          <w:highlight w:val="none"/>
        </w:rPr>
      </w:pPr>
      <w:r>
        <w:rPr>
          <w:rFonts w:cs="Times New Roman"/>
          <w:color w:val="auto"/>
          <w:spacing w:val="12"/>
          <w:highlight w:val="none"/>
        </w:rPr>
        <w:t>将7种主要离子中含量大于25</w:t>
      </w:r>
      <w:r>
        <w:rPr>
          <w:rFonts w:hint="eastAsia" w:cs="Times New Roman"/>
          <w:color w:val="auto"/>
          <w:spacing w:val="12"/>
          <w:highlight w:val="none"/>
        </w:rPr>
        <w:t>%</w:t>
      </w:r>
      <w:r>
        <w:rPr>
          <w:rFonts w:cs="Times New Roman"/>
          <w:color w:val="auto"/>
          <w:spacing w:val="12"/>
          <w:highlight w:val="none"/>
        </w:rPr>
        <w:t>毫克当量的阴离子和阳离子进行组合，可组合出49型水，并将每型用一个阿拉伯数字作为代号，见下表。</w:t>
      </w:r>
    </w:p>
    <w:p w14:paraId="48CF6989">
      <w:pPr>
        <w:adjustRightInd/>
        <w:snapToGrid/>
        <w:spacing w:line="240" w:lineRule="auto"/>
        <w:ind w:firstLine="0" w:firstLineChars="0"/>
        <w:jc w:val="center"/>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2-1</w:t>
      </w:r>
      <w:r>
        <w:rPr>
          <w:rFonts w:hint="eastAsia" w:cs="Times New Roman"/>
          <w:b/>
          <w:color w:val="auto"/>
          <w:szCs w:val="24"/>
          <w:highlight w:val="none"/>
          <w:lang w:val="en-US" w:eastAsia="zh-CN"/>
        </w:rPr>
        <w:t>1</w:t>
      </w:r>
      <w:r>
        <w:rPr>
          <w:rFonts w:cs="Times New Roman"/>
          <w:b/>
          <w:color w:val="auto"/>
          <w:szCs w:val="24"/>
          <w:highlight w:val="none"/>
        </w:rPr>
        <w:t xml:space="preserve">  舒卡列夫分类图表</w:t>
      </w:r>
    </w:p>
    <w:tbl>
      <w:tblPr>
        <w:tblStyle w:val="47"/>
        <w:tblW w:w="507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68"/>
        <w:gridCol w:w="868"/>
        <w:gridCol w:w="1001"/>
        <w:gridCol w:w="1003"/>
        <w:gridCol w:w="1001"/>
        <w:gridCol w:w="1004"/>
        <w:gridCol w:w="1004"/>
        <w:gridCol w:w="1007"/>
      </w:tblGrid>
      <w:tr w14:paraId="30BF45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29" w:hRule="atLeast"/>
          <w:jc w:val="center"/>
        </w:trPr>
        <w:tc>
          <w:tcPr>
            <w:tcW w:w="1021" w:type="pct"/>
            <w:vAlign w:val="center"/>
          </w:tcPr>
          <w:p w14:paraId="368582D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超过25%毫克当量的离子</w:t>
            </w:r>
          </w:p>
        </w:tc>
        <w:tc>
          <w:tcPr>
            <w:tcW w:w="501" w:type="pct"/>
            <w:vAlign w:val="center"/>
          </w:tcPr>
          <w:p w14:paraId="14934D2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HCO</w:t>
            </w:r>
            <w:r>
              <w:rPr>
                <w:rFonts w:cs="Times New Roman"/>
                <w:snapToGrid w:val="0"/>
                <w:color w:val="auto"/>
                <w:spacing w:val="16"/>
                <w:sz w:val="21"/>
                <w:szCs w:val="21"/>
                <w:highlight w:val="none"/>
                <w:vertAlign w:val="superscript"/>
              </w:rPr>
              <w:t>3-</w:t>
            </w:r>
          </w:p>
        </w:tc>
        <w:tc>
          <w:tcPr>
            <w:tcW w:w="578" w:type="pct"/>
            <w:vAlign w:val="center"/>
          </w:tcPr>
          <w:p w14:paraId="58FC6283">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vertAlign w:val="superscript"/>
              </w:rPr>
            </w:pPr>
            <w:r>
              <w:rPr>
                <w:rFonts w:cs="Times New Roman"/>
                <w:snapToGrid w:val="0"/>
                <w:color w:val="auto"/>
                <w:spacing w:val="16"/>
                <w:sz w:val="21"/>
                <w:szCs w:val="21"/>
                <w:highlight w:val="none"/>
              </w:rPr>
              <w:t>HCO</w:t>
            </w:r>
            <w:r>
              <w:rPr>
                <w:rFonts w:cs="Times New Roman"/>
                <w:snapToGrid w:val="0"/>
                <w:color w:val="auto"/>
                <w:spacing w:val="16"/>
                <w:sz w:val="21"/>
                <w:szCs w:val="21"/>
                <w:highlight w:val="none"/>
                <w:vertAlign w:val="subscript"/>
              </w:rPr>
              <w:t>3</w:t>
            </w:r>
            <w:r>
              <w:rPr>
                <w:rFonts w:cs="Times New Roman"/>
                <w:snapToGrid w:val="0"/>
                <w:color w:val="auto"/>
                <w:spacing w:val="16"/>
                <w:sz w:val="21"/>
                <w:szCs w:val="21"/>
                <w:highlight w:val="none"/>
                <w:vertAlign w:val="superscript"/>
              </w:rPr>
              <w:t>-</w:t>
            </w:r>
          </w:p>
          <w:p w14:paraId="695DE023">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SO</w:t>
            </w:r>
            <w:r>
              <w:rPr>
                <w:rFonts w:cs="Times New Roman"/>
                <w:snapToGrid w:val="0"/>
                <w:color w:val="auto"/>
                <w:spacing w:val="16"/>
                <w:sz w:val="21"/>
                <w:szCs w:val="21"/>
                <w:highlight w:val="none"/>
                <w:vertAlign w:val="subscript"/>
              </w:rPr>
              <w:t>4</w:t>
            </w:r>
            <w:r>
              <w:rPr>
                <w:rFonts w:cs="Times New Roman"/>
                <w:snapToGrid w:val="0"/>
                <w:color w:val="auto"/>
                <w:spacing w:val="16"/>
                <w:sz w:val="21"/>
                <w:szCs w:val="21"/>
                <w:highlight w:val="none"/>
                <w:vertAlign w:val="superscript"/>
              </w:rPr>
              <w:t>2-</w:t>
            </w:r>
          </w:p>
        </w:tc>
        <w:tc>
          <w:tcPr>
            <w:tcW w:w="579" w:type="pct"/>
            <w:vAlign w:val="center"/>
          </w:tcPr>
          <w:p w14:paraId="583BA7C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HCO</w:t>
            </w:r>
            <w:r>
              <w:rPr>
                <w:rFonts w:cs="Times New Roman"/>
                <w:snapToGrid w:val="0"/>
                <w:color w:val="auto"/>
                <w:spacing w:val="16"/>
                <w:sz w:val="21"/>
                <w:szCs w:val="21"/>
                <w:highlight w:val="none"/>
                <w:vertAlign w:val="subscript"/>
              </w:rPr>
              <w:t>3</w:t>
            </w:r>
            <w:r>
              <w:rPr>
                <w:rFonts w:cs="Times New Roman"/>
                <w:snapToGrid w:val="0"/>
                <w:color w:val="auto"/>
                <w:spacing w:val="16"/>
                <w:sz w:val="21"/>
                <w:szCs w:val="21"/>
                <w:highlight w:val="none"/>
                <w:vertAlign w:val="superscript"/>
              </w:rPr>
              <w:t>-</w:t>
            </w:r>
          </w:p>
          <w:p w14:paraId="72BDB14A">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SO</w:t>
            </w:r>
            <w:r>
              <w:rPr>
                <w:rFonts w:cs="Times New Roman"/>
                <w:snapToGrid w:val="0"/>
                <w:color w:val="auto"/>
                <w:spacing w:val="16"/>
                <w:sz w:val="21"/>
                <w:szCs w:val="21"/>
                <w:highlight w:val="none"/>
                <w:vertAlign w:val="subscript"/>
              </w:rPr>
              <w:t>4</w:t>
            </w:r>
            <w:r>
              <w:rPr>
                <w:rFonts w:cs="Times New Roman"/>
                <w:snapToGrid w:val="0"/>
                <w:color w:val="auto"/>
                <w:spacing w:val="16"/>
                <w:sz w:val="21"/>
                <w:szCs w:val="21"/>
                <w:highlight w:val="none"/>
                <w:vertAlign w:val="superscript"/>
              </w:rPr>
              <w:t>2-</w:t>
            </w:r>
          </w:p>
          <w:p w14:paraId="57BE0A24">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Cl</w:t>
            </w:r>
            <w:r>
              <w:rPr>
                <w:rFonts w:cs="Times New Roman"/>
                <w:snapToGrid w:val="0"/>
                <w:color w:val="auto"/>
                <w:spacing w:val="16"/>
                <w:sz w:val="21"/>
                <w:szCs w:val="21"/>
                <w:highlight w:val="none"/>
                <w:vertAlign w:val="superscript"/>
              </w:rPr>
              <w:t>-</w:t>
            </w:r>
          </w:p>
        </w:tc>
        <w:tc>
          <w:tcPr>
            <w:tcW w:w="578" w:type="pct"/>
            <w:vAlign w:val="center"/>
          </w:tcPr>
          <w:p w14:paraId="0BA16885">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vertAlign w:val="superscript"/>
              </w:rPr>
            </w:pPr>
            <w:r>
              <w:rPr>
                <w:rFonts w:cs="Times New Roman"/>
                <w:snapToGrid w:val="0"/>
                <w:color w:val="auto"/>
                <w:spacing w:val="16"/>
                <w:sz w:val="21"/>
                <w:szCs w:val="21"/>
                <w:highlight w:val="none"/>
              </w:rPr>
              <w:t>HCO</w:t>
            </w:r>
            <w:r>
              <w:rPr>
                <w:rFonts w:cs="Times New Roman"/>
                <w:snapToGrid w:val="0"/>
                <w:color w:val="auto"/>
                <w:spacing w:val="16"/>
                <w:sz w:val="21"/>
                <w:szCs w:val="21"/>
                <w:highlight w:val="none"/>
                <w:vertAlign w:val="subscript"/>
              </w:rPr>
              <w:t>3</w:t>
            </w:r>
            <w:r>
              <w:rPr>
                <w:rFonts w:cs="Times New Roman"/>
                <w:snapToGrid w:val="0"/>
                <w:color w:val="auto"/>
                <w:spacing w:val="16"/>
                <w:sz w:val="21"/>
                <w:szCs w:val="21"/>
                <w:highlight w:val="none"/>
                <w:vertAlign w:val="superscript"/>
              </w:rPr>
              <w:t>-</w:t>
            </w:r>
          </w:p>
          <w:p w14:paraId="22C07D4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Cl</w:t>
            </w:r>
            <w:r>
              <w:rPr>
                <w:rFonts w:cs="Times New Roman"/>
                <w:snapToGrid w:val="0"/>
                <w:color w:val="auto"/>
                <w:spacing w:val="16"/>
                <w:sz w:val="21"/>
                <w:szCs w:val="21"/>
                <w:highlight w:val="none"/>
                <w:vertAlign w:val="superscript"/>
              </w:rPr>
              <w:t>-</w:t>
            </w:r>
          </w:p>
        </w:tc>
        <w:tc>
          <w:tcPr>
            <w:tcW w:w="580" w:type="pct"/>
            <w:vAlign w:val="center"/>
          </w:tcPr>
          <w:p w14:paraId="2D2B3EF4">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SO</w:t>
            </w:r>
            <w:r>
              <w:rPr>
                <w:rFonts w:cs="Times New Roman"/>
                <w:snapToGrid w:val="0"/>
                <w:color w:val="auto"/>
                <w:spacing w:val="16"/>
                <w:sz w:val="21"/>
                <w:szCs w:val="21"/>
                <w:highlight w:val="none"/>
                <w:vertAlign w:val="subscript"/>
              </w:rPr>
              <w:t>4</w:t>
            </w:r>
            <w:r>
              <w:rPr>
                <w:rFonts w:cs="Times New Roman"/>
                <w:snapToGrid w:val="0"/>
                <w:color w:val="auto"/>
                <w:spacing w:val="16"/>
                <w:sz w:val="21"/>
                <w:szCs w:val="21"/>
                <w:highlight w:val="none"/>
                <w:vertAlign w:val="superscript"/>
              </w:rPr>
              <w:t>2-</w:t>
            </w:r>
          </w:p>
        </w:tc>
        <w:tc>
          <w:tcPr>
            <w:tcW w:w="580" w:type="pct"/>
            <w:vAlign w:val="center"/>
          </w:tcPr>
          <w:p w14:paraId="7CBBE7A8">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SO</w:t>
            </w:r>
            <w:r>
              <w:rPr>
                <w:rFonts w:cs="Times New Roman"/>
                <w:snapToGrid w:val="0"/>
                <w:color w:val="auto"/>
                <w:spacing w:val="16"/>
                <w:sz w:val="21"/>
                <w:szCs w:val="21"/>
                <w:highlight w:val="none"/>
                <w:vertAlign w:val="subscript"/>
              </w:rPr>
              <w:t>4</w:t>
            </w:r>
            <w:r>
              <w:rPr>
                <w:rFonts w:cs="Times New Roman"/>
                <w:snapToGrid w:val="0"/>
                <w:color w:val="auto"/>
                <w:spacing w:val="16"/>
                <w:sz w:val="21"/>
                <w:szCs w:val="21"/>
                <w:highlight w:val="none"/>
                <w:vertAlign w:val="superscript"/>
              </w:rPr>
              <w:t>2-</w:t>
            </w:r>
          </w:p>
          <w:p w14:paraId="42739B46">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Cl</w:t>
            </w:r>
            <w:r>
              <w:rPr>
                <w:rFonts w:cs="Times New Roman"/>
                <w:snapToGrid w:val="0"/>
                <w:color w:val="auto"/>
                <w:spacing w:val="16"/>
                <w:sz w:val="21"/>
                <w:szCs w:val="21"/>
                <w:highlight w:val="none"/>
                <w:vertAlign w:val="superscript"/>
              </w:rPr>
              <w:t>-</w:t>
            </w:r>
          </w:p>
        </w:tc>
        <w:tc>
          <w:tcPr>
            <w:tcW w:w="581" w:type="pct"/>
            <w:vAlign w:val="center"/>
          </w:tcPr>
          <w:p w14:paraId="6FFE7BF8">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Cl</w:t>
            </w:r>
            <w:r>
              <w:rPr>
                <w:rFonts w:cs="Times New Roman"/>
                <w:snapToGrid w:val="0"/>
                <w:color w:val="auto"/>
                <w:spacing w:val="16"/>
                <w:sz w:val="21"/>
                <w:szCs w:val="21"/>
                <w:highlight w:val="none"/>
                <w:vertAlign w:val="superscript"/>
              </w:rPr>
              <w:t>-</w:t>
            </w:r>
          </w:p>
        </w:tc>
      </w:tr>
      <w:tr w14:paraId="204EA7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021" w:type="pct"/>
            <w:vAlign w:val="center"/>
          </w:tcPr>
          <w:p w14:paraId="29DC6DD7">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Ca</w:t>
            </w:r>
            <w:r>
              <w:rPr>
                <w:rFonts w:cs="Times New Roman"/>
                <w:snapToGrid w:val="0"/>
                <w:color w:val="auto"/>
                <w:spacing w:val="16"/>
                <w:sz w:val="21"/>
                <w:szCs w:val="21"/>
                <w:highlight w:val="none"/>
                <w:vertAlign w:val="superscript"/>
              </w:rPr>
              <w:t>2+</w:t>
            </w:r>
          </w:p>
        </w:tc>
        <w:tc>
          <w:tcPr>
            <w:tcW w:w="501" w:type="pct"/>
            <w:vAlign w:val="center"/>
          </w:tcPr>
          <w:p w14:paraId="77B6F065">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w:t>
            </w:r>
          </w:p>
        </w:tc>
        <w:tc>
          <w:tcPr>
            <w:tcW w:w="578" w:type="pct"/>
            <w:vAlign w:val="center"/>
          </w:tcPr>
          <w:p w14:paraId="0DB18CB6">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8</w:t>
            </w:r>
          </w:p>
        </w:tc>
        <w:tc>
          <w:tcPr>
            <w:tcW w:w="579" w:type="pct"/>
            <w:vAlign w:val="center"/>
          </w:tcPr>
          <w:p w14:paraId="30D3078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15</w:t>
            </w:r>
          </w:p>
        </w:tc>
        <w:tc>
          <w:tcPr>
            <w:tcW w:w="578" w:type="pct"/>
            <w:vAlign w:val="center"/>
          </w:tcPr>
          <w:p w14:paraId="11442E72">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22</w:t>
            </w:r>
          </w:p>
        </w:tc>
        <w:tc>
          <w:tcPr>
            <w:tcW w:w="580" w:type="pct"/>
            <w:vAlign w:val="center"/>
          </w:tcPr>
          <w:p w14:paraId="34F8BA92">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29</w:t>
            </w:r>
          </w:p>
        </w:tc>
        <w:tc>
          <w:tcPr>
            <w:tcW w:w="580" w:type="pct"/>
            <w:vAlign w:val="center"/>
          </w:tcPr>
          <w:p w14:paraId="63D5DFD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36</w:t>
            </w:r>
          </w:p>
        </w:tc>
        <w:tc>
          <w:tcPr>
            <w:tcW w:w="581" w:type="pct"/>
            <w:vAlign w:val="center"/>
          </w:tcPr>
          <w:p w14:paraId="51622A09">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43</w:t>
            </w:r>
          </w:p>
        </w:tc>
      </w:tr>
      <w:tr w14:paraId="3CA5EC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021" w:type="pct"/>
            <w:vAlign w:val="center"/>
          </w:tcPr>
          <w:p w14:paraId="4D872693">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Ca</w:t>
            </w:r>
            <w:r>
              <w:rPr>
                <w:rFonts w:cs="Times New Roman"/>
                <w:snapToGrid w:val="0"/>
                <w:color w:val="auto"/>
                <w:spacing w:val="16"/>
                <w:sz w:val="21"/>
                <w:szCs w:val="21"/>
                <w:highlight w:val="none"/>
                <w:vertAlign w:val="superscript"/>
              </w:rPr>
              <w:t>2+</w:t>
            </w:r>
            <w:r>
              <w:rPr>
                <w:rFonts w:cs="Times New Roman"/>
                <w:snapToGrid w:val="0"/>
                <w:color w:val="auto"/>
                <w:spacing w:val="16"/>
                <w:sz w:val="21"/>
                <w:szCs w:val="21"/>
                <w:highlight w:val="none"/>
              </w:rPr>
              <w:t>-Mg</w:t>
            </w:r>
            <w:r>
              <w:rPr>
                <w:rFonts w:cs="Times New Roman"/>
                <w:snapToGrid w:val="0"/>
                <w:color w:val="auto"/>
                <w:spacing w:val="16"/>
                <w:sz w:val="21"/>
                <w:szCs w:val="21"/>
                <w:highlight w:val="none"/>
                <w:vertAlign w:val="superscript"/>
              </w:rPr>
              <w:t>2+</w:t>
            </w:r>
          </w:p>
        </w:tc>
        <w:tc>
          <w:tcPr>
            <w:tcW w:w="501" w:type="pct"/>
            <w:vAlign w:val="center"/>
          </w:tcPr>
          <w:p w14:paraId="161F72DD">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w:t>
            </w:r>
          </w:p>
        </w:tc>
        <w:tc>
          <w:tcPr>
            <w:tcW w:w="578" w:type="pct"/>
            <w:vAlign w:val="center"/>
          </w:tcPr>
          <w:p w14:paraId="4EFFA731">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9</w:t>
            </w:r>
          </w:p>
        </w:tc>
        <w:tc>
          <w:tcPr>
            <w:tcW w:w="579" w:type="pct"/>
            <w:vAlign w:val="center"/>
          </w:tcPr>
          <w:p w14:paraId="2B276359">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16</w:t>
            </w:r>
          </w:p>
        </w:tc>
        <w:tc>
          <w:tcPr>
            <w:tcW w:w="578" w:type="pct"/>
            <w:vAlign w:val="center"/>
          </w:tcPr>
          <w:p w14:paraId="3C44A542">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23</w:t>
            </w:r>
          </w:p>
        </w:tc>
        <w:tc>
          <w:tcPr>
            <w:tcW w:w="580" w:type="pct"/>
            <w:vAlign w:val="center"/>
          </w:tcPr>
          <w:p w14:paraId="4EB60206">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30</w:t>
            </w:r>
          </w:p>
        </w:tc>
        <w:tc>
          <w:tcPr>
            <w:tcW w:w="580" w:type="pct"/>
            <w:vAlign w:val="center"/>
          </w:tcPr>
          <w:p w14:paraId="1C28B76A">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37</w:t>
            </w:r>
          </w:p>
        </w:tc>
        <w:tc>
          <w:tcPr>
            <w:tcW w:w="581" w:type="pct"/>
            <w:vAlign w:val="center"/>
          </w:tcPr>
          <w:p w14:paraId="5D895D1A">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44</w:t>
            </w:r>
          </w:p>
        </w:tc>
      </w:tr>
      <w:tr w14:paraId="7D8F15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021" w:type="pct"/>
            <w:vAlign w:val="center"/>
          </w:tcPr>
          <w:p w14:paraId="2C528D4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Mg</w:t>
            </w:r>
            <w:r>
              <w:rPr>
                <w:rFonts w:cs="Times New Roman"/>
                <w:snapToGrid w:val="0"/>
                <w:color w:val="auto"/>
                <w:spacing w:val="16"/>
                <w:sz w:val="21"/>
                <w:szCs w:val="21"/>
                <w:highlight w:val="none"/>
                <w:vertAlign w:val="superscript"/>
              </w:rPr>
              <w:t>2+</w:t>
            </w:r>
          </w:p>
        </w:tc>
        <w:tc>
          <w:tcPr>
            <w:tcW w:w="501" w:type="pct"/>
            <w:vAlign w:val="center"/>
          </w:tcPr>
          <w:p w14:paraId="4772982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w:t>
            </w:r>
          </w:p>
        </w:tc>
        <w:tc>
          <w:tcPr>
            <w:tcW w:w="578" w:type="pct"/>
            <w:vAlign w:val="center"/>
          </w:tcPr>
          <w:p w14:paraId="5C4F5F7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10</w:t>
            </w:r>
          </w:p>
        </w:tc>
        <w:tc>
          <w:tcPr>
            <w:tcW w:w="579" w:type="pct"/>
            <w:vAlign w:val="center"/>
          </w:tcPr>
          <w:p w14:paraId="4716A6E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17</w:t>
            </w:r>
          </w:p>
        </w:tc>
        <w:tc>
          <w:tcPr>
            <w:tcW w:w="578" w:type="pct"/>
            <w:vAlign w:val="center"/>
          </w:tcPr>
          <w:p w14:paraId="00F2C70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24</w:t>
            </w:r>
          </w:p>
        </w:tc>
        <w:tc>
          <w:tcPr>
            <w:tcW w:w="580" w:type="pct"/>
            <w:vAlign w:val="center"/>
          </w:tcPr>
          <w:p w14:paraId="0D10778B">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31</w:t>
            </w:r>
          </w:p>
        </w:tc>
        <w:tc>
          <w:tcPr>
            <w:tcW w:w="580" w:type="pct"/>
            <w:vAlign w:val="center"/>
          </w:tcPr>
          <w:p w14:paraId="30CB660D">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38</w:t>
            </w:r>
          </w:p>
        </w:tc>
        <w:tc>
          <w:tcPr>
            <w:tcW w:w="581" w:type="pct"/>
            <w:vAlign w:val="center"/>
          </w:tcPr>
          <w:p w14:paraId="2319689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45</w:t>
            </w:r>
          </w:p>
        </w:tc>
      </w:tr>
      <w:tr w14:paraId="2AE51B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021" w:type="pct"/>
            <w:vAlign w:val="center"/>
          </w:tcPr>
          <w:p w14:paraId="38F1D740">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Na</w:t>
            </w:r>
            <w:r>
              <w:rPr>
                <w:rFonts w:cs="Times New Roman"/>
                <w:snapToGrid w:val="0"/>
                <w:color w:val="auto"/>
                <w:spacing w:val="16"/>
                <w:sz w:val="21"/>
                <w:szCs w:val="21"/>
                <w:highlight w:val="none"/>
                <w:vertAlign w:val="superscript"/>
              </w:rPr>
              <w:t>+</w:t>
            </w:r>
            <w:r>
              <w:rPr>
                <w:rFonts w:cs="Times New Roman"/>
                <w:snapToGrid w:val="0"/>
                <w:color w:val="auto"/>
                <w:spacing w:val="16"/>
                <w:sz w:val="21"/>
                <w:szCs w:val="21"/>
                <w:highlight w:val="none"/>
              </w:rPr>
              <w:t>-Ca</w:t>
            </w:r>
            <w:r>
              <w:rPr>
                <w:rFonts w:cs="Times New Roman"/>
                <w:snapToGrid w:val="0"/>
                <w:color w:val="auto"/>
                <w:spacing w:val="16"/>
                <w:sz w:val="21"/>
                <w:szCs w:val="21"/>
                <w:highlight w:val="none"/>
                <w:vertAlign w:val="superscript"/>
              </w:rPr>
              <w:t>2+</w:t>
            </w:r>
          </w:p>
        </w:tc>
        <w:tc>
          <w:tcPr>
            <w:tcW w:w="501" w:type="pct"/>
            <w:vAlign w:val="center"/>
          </w:tcPr>
          <w:p w14:paraId="08402FC6">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w:t>
            </w:r>
          </w:p>
        </w:tc>
        <w:tc>
          <w:tcPr>
            <w:tcW w:w="578" w:type="pct"/>
            <w:vAlign w:val="center"/>
          </w:tcPr>
          <w:p w14:paraId="00D6F67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11</w:t>
            </w:r>
          </w:p>
        </w:tc>
        <w:tc>
          <w:tcPr>
            <w:tcW w:w="579" w:type="pct"/>
            <w:vAlign w:val="center"/>
          </w:tcPr>
          <w:p w14:paraId="02F2FAC3">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18</w:t>
            </w:r>
          </w:p>
        </w:tc>
        <w:tc>
          <w:tcPr>
            <w:tcW w:w="578" w:type="pct"/>
            <w:vAlign w:val="center"/>
          </w:tcPr>
          <w:p w14:paraId="42FD4A2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25</w:t>
            </w:r>
          </w:p>
        </w:tc>
        <w:tc>
          <w:tcPr>
            <w:tcW w:w="580" w:type="pct"/>
            <w:vAlign w:val="center"/>
          </w:tcPr>
          <w:p w14:paraId="10517AE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32</w:t>
            </w:r>
          </w:p>
        </w:tc>
        <w:tc>
          <w:tcPr>
            <w:tcW w:w="580" w:type="pct"/>
            <w:vAlign w:val="center"/>
          </w:tcPr>
          <w:p w14:paraId="13EBA968">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39</w:t>
            </w:r>
          </w:p>
        </w:tc>
        <w:tc>
          <w:tcPr>
            <w:tcW w:w="581" w:type="pct"/>
            <w:vAlign w:val="center"/>
          </w:tcPr>
          <w:p w14:paraId="238EEBC2">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46</w:t>
            </w:r>
          </w:p>
        </w:tc>
      </w:tr>
      <w:tr w14:paraId="7A4D6B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021" w:type="pct"/>
            <w:vAlign w:val="center"/>
          </w:tcPr>
          <w:p w14:paraId="038B6BD1">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Na</w:t>
            </w:r>
            <w:r>
              <w:rPr>
                <w:rFonts w:cs="Times New Roman"/>
                <w:snapToGrid w:val="0"/>
                <w:color w:val="auto"/>
                <w:spacing w:val="16"/>
                <w:sz w:val="21"/>
                <w:szCs w:val="21"/>
                <w:highlight w:val="none"/>
                <w:vertAlign w:val="superscript"/>
              </w:rPr>
              <w:t>+</w:t>
            </w:r>
            <w:r>
              <w:rPr>
                <w:rFonts w:cs="Times New Roman"/>
                <w:snapToGrid w:val="0"/>
                <w:color w:val="auto"/>
                <w:spacing w:val="16"/>
                <w:sz w:val="21"/>
                <w:szCs w:val="21"/>
                <w:highlight w:val="none"/>
              </w:rPr>
              <w:t>-Ca</w:t>
            </w:r>
            <w:r>
              <w:rPr>
                <w:rFonts w:cs="Times New Roman"/>
                <w:snapToGrid w:val="0"/>
                <w:color w:val="auto"/>
                <w:spacing w:val="16"/>
                <w:sz w:val="21"/>
                <w:szCs w:val="21"/>
                <w:highlight w:val="none"/>
                <w:vertAlign w:val="superscript"/>
              </w:rPr>
              <w:t>2</w:t>
            </w:r>
            <w:r>
              <w:rPr>
                <w:rFonts w:cs="Times New Roman"/>
                <w:snapToGrid w:val="0"/>
                <w:color w:val="auto"/>
                <w:spacing w:val="16"/>
                <w:sz w:val="21"/>
                <w:szCs w:val="21"/>
                <w:highlight w:val="none"/>
              </w:rPr>
              <w:t>+-Mg</w:t>
            </w:r>
            <w:r>
              <w:rPr>
                <w:rFonts w:cs="Times New Roman"/>
                <w:snapToGrid w:val="0"/>
                <w:color w:val="auto"/>
                <w:spacing w:val="16"/>
                <w:sz w:val="21"/>
                <w:szCs w:val="21"/>
                <w:highlight w:val="none"/>
                <w:vertAlign w:val="superscript"/>
              </w:rPr>
              <w:t>2+</w:t>
            </w:r>
          </w:p>
        </w:tc>
        <w:tc>
          <w:tcPr>
            <w:tcW w:w="501" w:type="pct"/>
            <w:vAlign w:val="center"/>
          </w:tcPr>
          <w:p w14:paraId="1924DC81">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5</w:t>
            </w:r>
          </w:p>
        </w:tc>
        <w:tc>
          <w:tcPr>
            <w:tcW w:w="578" w:type="pct"/>
            <w:vAlign w:val="center"/>
          </w:tcPr>
          <w:p w14:paraId="340C262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12</w:t>
            </w:r>
          </w:p>
        </w:tc>
        <w:tc>
          <w:tcPr>
            <w:tcW w:w="579" w:type="pct"/>
            <w:vAlign w:val="center"/>
          </w:tcPr>
          <w:p w14:paraId="37F3B0F5">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19</w:t>
            </w:r>
          </w:p>
        </w:tc>
        <w:tc>
          <w:tcPr>
            <w:tcW w:w="578" w:type="pct"/>
            <w:vAlign w:val="center"/>
          </w:tcPr>
          <w:p w14:paraId="77EAB343">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26</w:t>
            </w:r>
          </w:p>
        </w:tc>
        <w:tc>
          <w:tcPr>
            <w:tcW w:w="580" w:type="pct"/>
            <w:vAlign w:val="center"/>
          </w:tcPr>
          <w:p w14:paraId="408CE0A6">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33</w:t>
            </w:r>
          </w:p>
        </w:tc>
        <w:tc>
          <w:tcPr>
            <w:tcW w:w="580" w:type="pct"/>
            <w:vAlign w:val="center"/>
          </w:tcPr>
          <w:p w14:paraId="0E7CD4A8">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40</w:t>
            </w:r>
          </w:p>
        </w:tc>
        <w:tc>
          <w:tcPr>
            <w:tcW w:w="581" w:type="pct"/>
            <w:vAlign w:val="center"/>
          </w:tcPr>
          <w:p w14:paraId="3C7380C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47</w:t>
            </w:r>
          </w:p>
        </w:tc>
      </w:tr>
      <w:tr w14:paraId="150591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021" w:type="pct"/>
            <w:vAlign w:val="center"/>
          </w:tcPr>
          <w:p w14:paraId="7C9455C1">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Na</w:t>
            </w:r>
            <w:r>
              <w:rPr>
                <w:rFonts w:cs="Times New Roman"/>
                <w:snapToGrid w:val="0"/>
                <w:color w:val="auto"/>
                <w:spacing w:val="16"/>
                <w:sz w:val="21"/>
                <w:szCs w:val="21"/>
                <w:highlight w:val="none"/>
                <w:vertAlign w:val="superscript"/>
              </w:rPr>
              <w:t>+</w:t>
            </w:r>
            <w:r>
              <w:rPr>
                <w:rFonts w:cs="Times New Roman"/>
                <w:snapToGrid w:val="0"/>
                <w:color w:val="auto"/>
                <w:spacing w:val="16"/>
                <w:sz w:val="21"/>
                <w:szCs w:val="21"/>
                <w:highlight w:val="none"/>
              </w:rPr>
              <w:t>-Mg</w:t>
            </w:r>
            <w:r>
              <w:rPr>
                <w:rFonts w:cs="Times New Roman"/>
                <w:snapToGrid w:val="0"/>
                <w:color w:val="auto"/>
                <w:spacing w:val="16"/>
                <w:sz w:val="21"/>
                <w:szCs w:val="21"/>
                <w:highlight w:val="none"/>
                <w:vertAlign w:val="superscript"/>
              </w:rPr>
              <w:t>2+</w:t>
            </w:r>
          </w:p>
        </w:tc>
        <w:tc>
          <w:tcPr>
            <w:tcW w:w="501" w:type="pct"/>
            <w:vAlign w:val="center"/>
          </w:tcPr>
          <w:p w14:paraId="71FF35D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6</w:t>
            </w:r>
          </w:p>
        </w:tc>
        <w:tc>
          <w:tcPr>
            <w:tcW w:w="578" w:type="pct"/>
            <w:vAlign w:val="center"/>
          </w:tcPr>
          <w:p w14:paraId="18F71EA6">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13</w:t>
            </w:r>
          </w:p>
        </w:tc>
        <w:tc>
          <w:tcPr>
            <w:tcW w:w="579" w:type="pct"/>
            <w:vAlign w:val="center"/>
          </w:tcPr>
          <w:p w14:paraId="7462EA0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20</w:t>
            </w:r>
          </w:p>
        </w:tc>
        <w:tc>
          <w:tcPr>
            <w:tcW w:w="578" w:type="pct"/>
            <w:vAlign w:val="center"/>
          </w:tcPr>
          <w:p w14:paraId="33F44634">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27</w:t>
            </w:r>
          </w:p>
        </w:tc>
        <w:tc>
          <w:tcPr>
            <w:tcW w:w="580" w:type="pct"/>
            <w:vAlign w:val="center"/>
          </w:tcPr>
          <w:p w14:paraId="326CD6A1">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34</w:t>
            </w:r>
          </w:p>
        </w:tc>
        <w:tc>
          <w:tcPr>
            <w:tcW w:w="580" w:type="pct"/>
            <w:vAlign w:val="center"/>
          </w:tcPr>
          <w:p w14:paraId="7282A04D">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41</w:t>
            </w:r>
          </w:p>
        </w:tc>
        <w:tc>
          <w:tcPr>
            <w:tcW w:w="581" w:type="pct"/>
            <w:vAlign w:val="center"/>
          </w:tcPr>
          <w:p w14:paraId="2D08C677">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48</w:t>
            </w:r>
          </w:p>
        </w:tc>
      </w:tr>
      <w:tr w14:paraId="6B1B71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021" w:type="pct"/>
            <w:vAlign w:val="center"/>
          </w:tcPr>
          <w:p w14:paraId="5013F604">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Na</w:t>
            </w:r>
            <w:r>
              <w:rPr>
                <w:rFonts w:cs="Times New Roman"/>
                <w:snapToGrid w:val="0"/>
                <w:color w:val="auto"/>
                <w:spacing w:val="16"/>
                <w:sz w:val="21"/>
                <w:szCs w:val="21"/>
                <w:highlight w:val="none"/>
                <w:vertAlign w:val="superscript"/>
              </w:rPr>
              <w:t>+</w:t>
            </w:r>
          </w:p>
        </w:tc>
        <w:tc>
          <w:tcPr>
            <w:tcW w:w="501" w:type="pct"/>
            <w:vAlign w:val="center"/>
          </w:tcPr>
          <w:p w14:paraId="02CC86EA">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7</w:t>
            </w:r>
          </w:p>
        </w:tc>
        <w:tc>
          <w:tcPr>
            <w:tcW w:w="578" w:type="pct"/>
            <w:vAlign w:val="center"/>
          </w:tcPr>
          <w:p w14:paraId="7A11B287">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14</w:t>
            </w:r>
          </w:p>
        </w:tc>
        <w:tc>
          <w:tcPr>
            <w:tcW w:w="579" w:type="pct"/>
            <w:vAlign w:val="center"/>
          </w:tcPr>
          <w:p w14:paraId="5BAE364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21</w:t>
            </w:r>
          </w:p>
        </w:tc>
        <w:tc>
          <w:tcPr>
            <w:tcW w:w="578" w:type="pct"/>
            <w:vAlign w:val="center"/>
          </w:tcPr>
          <w:p w14:paraId="5FB799A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28</w:t>
            </w:r>
          </w:p>
        </w:tc>
        <w:tc>
          <w:tcPr>
            <w:tcW w:w="580" w:type="pct"/>
            <w:vAlign w:val="center"/>
          </w:tcPr>
          <w:p w14:paraId="47A3882E">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35</w:t>
            </w:r>
          </w:p>
        </w:tc>
        <w:tc>
          <w:tcPr>
            <w:tcW w:w="580" w:type="pct"/>
            <w:vAlign w:val="center"/>
          </w:tcPr>
          <w:p w14:paraId="29DDC96F">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42</w:t>
            </w:r>
          </w:p>
        </w:tc>
        <w:tc>
          <w:tcPr>
            <w:tcW w:w="581" w:type="pct"/>
            <w:vAlign w:val="center"/>
          </w:tcPr>
          <w:p w14:paraId="38D1E47C">
            <w:pPr>
              <w:autoSpaceDE w:val="0"/>
              <w:autoSpaceDN w:val="0"/>
              <w:snapToGrid/>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49</w:t>
            </w:r>
          </w:p>
        </w:tc>
      </w:tr>
    </w:tbl>
    <w:p w14:paraId="6DE82B1A">
      <w:pPr>
        <w:adjustRightInd/>
        <w:snapToGrid/>
        <w:ind w:firstLine="528" w:firstLineChars="0"/>
        <w:rPr>
          <w:rFonts w:cs="Times New Roman"/>
          <w:color w:val="auto"/>
          <w:spacing w:val="12"/>
          <w:highlight w:val="none"/>
        </w:rPr>
      </w:pPr>
      <w:r>
        <w:rPr>
          <w:rFonts w:cs="Times New Roman"/>
          <w:color w:val="auto"/>
          <w:spacing w:val="12"/>
          <w:highlight w:val="none"/>
        </w:rPr>
        <w:t>离子毫克当量百分比计算结果见下表。</w:t>
      </w:r>
    </w:p>
    <w:p w14:paraId="63E0018D">
      <w:pPr>
        <w:adjustRightInd/>
        <w:snapToGrid/>
        <w:spacing w:line="240" w:lineRule="auto"/>
        <w:ind w:firstLine="0" w:firstLineChars="0"/>
        <w:jc w:val="center"/>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2-1</w:t>
      </w:r>
      <w:r>
        <w:rPr>
          <w:rFonts w:hint="eastAsia" w:cs="Times New Roman"/>
          <w:b/>
          <w:color w:val="auto"/>
          <w:szCs w:val="24"/>
          <w:highlight w:val="none"/>
          <w:lang w:val="en-US" w:eastAsia="zh-CN"/>
        </w:rPr>
        <w:t>2</w:t>
      </w:r>
      <w:r>
        <w:rPr>
          <w:rFonts w:cs="Times New Roman"/>
          <w:b/>
          <w:color w:val="auto"/>
          <w:szCs w:val="24"/>
          <w:highlight w:val="none"/>
        </w:rPr>
        <w:t xml:space="preserve">  离子毫克当量百分比计算结果</w:t>
      </w:r>
    </w:p>
    <w:tbl>
      <w:tblPr>
        <w:tblStyle w:val="47"/>
        <w:tblW w:w="965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352"/>
        <w:gridCol w:w="668"/>
        <w:gridCol w:w="567"/>
        <w:gridCol w:w="640"/>
        <w:gridCol w:w="644"/>
        <w:gridCol w:w="669"/>
        <w:gridCol w:w="752"/>
        <w:gridCol w:w="705"/>
        <w:gridCol w:w="750"/>
        <w:gridCol w:w="690"/>
        <w:gridCol w:w="690"/>
        <w:gridCol w:w="975"/>
        <w:gridCol w:w="1554"/>
      </w:tblGrid>
      <w:tr w14:paraId="4CAEE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980" w:hRule="atLeast"/>
          <w:jc w:val="center"/>
        </w:trPr>
        <w:tc>
          <w:tcPr>
            <w:tcW w:w="352" w:type="dxa"/>
            <w:vAlign w:val="center"/>
          </w:tcPr>
          <w:p w14:paraId="4E5A9D94">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监测点</w:t>
            </w:r>
          </w:p>
        </w:tc>
        <w:tc>
          <w:tcPr>
            <w:tcW w:w="668" w:type="dxa"/>
            <w:vAlign w:val="center"/>
          </w:tcPr>
          <w:p w14:paraId="77460F92">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浓度</w:t>
            </w:r>
          </w:p>
        </w:tc>
        <w:tc>
          <w:tcPr>
            <w:tcW w:w="567" w:type="dxa"/>
            <w:vAlign w:val="center"/>
          </w:tcPr>
          <w:p w14:paraId="6866218B">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K</w:t>
            </w:r>
            <w:r>
              <w:rPr>
                <w:rFonts w:cs="Times New Roman"/>
                <w:snapToGrid w:val="0"/>
                <w:color w:val="auto"/>
                <w:spacing w:val="16"/>
                <w:sz w:val="21"/>
                <w:szCs w:val="21"/>
                <w:highlight w:val="none"/>
                <w:vertAlign w:val="superscript"/>
              </w:rPr>
              <w:t>+</w:t>
            </w:r>
          </w:p>
        </w:tc>
        <w:tc>
          <w:tcPr>
            <w:tcW w:w="640" w:type="dxa"/>
            <w:vAlign w:val="center"/>
          </w:tcPr>
          <w:p w14:paraId="1DE1391C">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Na</w:t>
            </w:r>
            <w:r>
              <w:rPr>
                <w:rFonts w:cs="Times New Roman"/>
                <w:snapToGrid w:val="0"/>
                <w:color w:val="auto"/>
                <w:spacing w:val="16"/>
                <w:sz w:val="21"/>
                <w:szCs w:val="21"/>
                <w:highlight w:val="none"/>
                <w:vertAlign w:val="superscript"/>
              </w:rPr>
              <w:t>+</w:t>
            </w:r>
          </w:p>
        </w:tc>
        <w:tc>
          <w:tcPr>
            <w:tcW w:w="644" w:type="dxa"/>
            <w:vAlign w:val="center"/>
          </w:tcPr>
          <w:p w14:paraId="34D1D9C6">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Ca</w:t>
            </w:r>
            <w:r>
              <w:rPr>
                <w:rFonts w:cs="Times New Roman"/>
                <w:snapToGrid w:val="0"/>
                <w:color w:val="auto"/>
                <w:spacing w:val="16"/>
                <w:sz w:val="21"/>
                <w:szCs w:val="21"/>
                <w:highlight w:val="none"/>
                <w:vertAlign w:val="superscript"/>
              </w:rPr>
              <w:t>2+</w:t>
            </w:r>
          </w:p>
        </w:tc>
        <w:tc>
          <w:tcPr>
            <w:tcW w:w="669" w:type="dxa"/>
            <w:vAlign w:val="center"/>
          </w:tcPr>
          <w:p w14:paraId="51D46368">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Mg</w:t>
            </w:r>
            <w:r>
              <w:rPr>
                <w:rFonts w:cs="Times New Roman"/>
                <w:snapToGrid w:val="0"/>
                <w:color w:val="auto"/>
                <w:spacing w:val="16"/>
                <w:sz w:val="21"/>
                <w:szCs w:val="21"/>
                <w:highlight w:val="none"/>
                <w:vertAlign w:val="superscript"/>
              </w:rPr>
              <w:t>2+</w:t>
            </w:r>
          </w:p>
        </w:tc>
        <w:tc>
          <w:tcPr>
            <w:tcW w:w="752" w:type="dxa"/>
            <w:vAlign w:val="center"/>
          </w:tcPr>
          <w:p w14:paraId="0916C902">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总计</w:t>
            </w:r>
          </w:p>
        </w:tc>
        <w:tc>
          <w:tcPr>
            <w:tcW w:w="705" w:type="dxa"/>
            <w:vAlign w:val="center"/>
          </w:tcPr>
          <w:p w14:paraId="1A751FE5">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CO</w:t>
            </w:r>
            <w:r>
              <w:rPr>
                <w:rFonts w:cs="Times New Roman"/>
                <w:snapToGrid w:val="0"/>
                <w:color w:val="auto"/>
                <w:spacing w:val="16"/>
                <w:sz w:val="21"/>
                <w:szCs w:val="21"/>
                <w:highlight w:val="none"/>
                <w:vertAlign w:val="subscript"/>
              </w:rPr>
              <w:t>3</w:t>
            </w:r>
            <w:r>
              <w:rPr>
                <w:rFonts w:cs="Times New Roman"/>
                <w:snapToGrid w:val="0"/>
                <w:color w:val="auto"/>
                <w:spacing w:val="16"/>
                <w:sz w:val="21"/>
                <w:szCs w:val="21"/>
                <w:highlight w:val="none"/>
                <w:vertAlign w:val="superscript"/>
              </w:rPr>
              <w:t>2-</w:t>
            </w:r>
          </w:p>
        </w:tc>
        <w:tc>
          <w:tcPr>
            <w:tcW w:w="750" w:type="dxa"/>
            <w:vAlign w:val="center"/>
          </w:tcPr>
          <w:p w14:paraId="49728BA3">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HCO</w:t>
            </w:r>
            <w:r>
              <w:rPr>
                <w:rFonts w:cs="Times New Roman"/>
                <w:snapToGrid w:val="0"/>
                <w:color w:val="auto"/>
                <w:spacing w:val="16"/>
                <w:sz w:val="21"/>
                <w:szCs w:val="21"/>
                <w:highlight w:val="none"/>
                <w:vertAlign w:val="subscript"/>
              </w:rPr>
              <w:t>3</w:t>
            </w:r>
            <w:r>
              <w:rPr>
                <w:rFonts w:cs="Times New Roman"/>
                <w:snapToGrid w:val="0"/>
                <w:color w:val="auto"/>
                <w:spacing w:val="16"/>
                <w:sz w:val="21"/>
                <w:szCs w:val="21"/>
                <w:highlight w:val="none"/>
                <w:vertAlign w:val="superscript"/>
              </w:rPr>
              <w:t>-</w:t>
            </w:r>
          </w:p>
        </w:tc>
        <w:tc>
          <w:tcPr>
            <w:tcW w:w="690" w:type="dxa"/>
            <w:vAlign w:val="center"/>
          </w:tcPr>
          <w:p w14:paraId="51F9EEE4">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Cl</w:t>
            </w:r>
            <w:r>
              <w:rPr>
                <w:rFonts w:cs="Times New Roman"/>
                <w:snapToGrid w:val="0"/>
                <w:color w:val="auto"/>
                <w:spacing w:val="16"/>
                <w:sz w:val="21"/>
                <w:szCs w:val="21"/>
                <w:highlight w:val="none"/>
                <w:vertAlign w:val="superscript"/>
              </w:rPr>
              <w:t>-</w:t>
            </w:r>
          </w:p>
        </w:tc>
        <w:tc>
          <w:tcPr>
            <w:tcW w:w="690" w:type="dxa"/>
            <w:vAlign w:val="center"/>
          </w:tcPr>
          <w:p w14:paraId="11502087">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SO</w:t>
            </w:r>
            <w:r>
              <w:rPr>
                <w:rFonts w:cs="Times New Roman"/>
                <w:snapToGrid w:val="0"/>
                <w:color w:val="auto"/>
                <w:spacing w:val="16"/>
                <w:sz w:val="21"/>
                <w:szCs w:val="21"/>
                <w:highlight w:val="none"/>
                <w:vertAlign w:val="subscript"/>
              </w:rPr>
              <w:t>4</w:t>
            </w:r>
            <w:r>
              <w:rPr>
                <w:rFonts w:cs="Times New Roman"/>
                <w:snapToGrid w:val="0"/>
                <w:color w:val="auto"/>
                <w:spacing w:val="16"/>
                <w:sz w:val="21"/>
                <w:szCs w:val="21"/>
                <w:highlight w:val="none"/>
                <w:vertAlign w:val="superscript"/>
              </w:rPr>
              <w:t>2-</w:t>
            </w:r>
          </w:p>
        </w:tc>
        <w:tc>
          <w:tcPr>
            <w:tcW w:w="975" w:type="dxa"/>
            <w:vAlign w:val="center"/>
          </w:tcPr>
          <w:p w14:paraId="4CBA54F2">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总计</w:t>
            </w:r>
          </w:p>
        </w:tc>
        <w:tc>
          <w:tcPr>
            <w:tcW w:w="1554" w:type="dxa"/>
            <w:vAlign w:val="center"/>
          </w:tcPr>
          <w:p w14:paraId="3787BE44">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水化学类型</w:t>
            </w:r>
          </w:p>
        </w:tc>
      </w:tr>
      <w:tr w14:paraId="107720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restart"/>
            <w:vAlign w:val="center"/>
          </w:tcPr>
          <w:p w14:paraId="773E95EC">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1#</w:t>
            </w:r>
          </w:p>
        </w:tc>
        <w:tc>
          <w:tcPr>
            <w:tcW w:w="668" w:type="dxa"/>
            <w:vAlign w:val="center"/>
          </w:tcPr>
          <w:p w14:paraId="78EFDFB3">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mg/l</w:t>
            </w:r>
          </w:p>
        </w:tc>
        <w:tc>
          <w:tcPr>
            <w:tcW w:w="567" w:type="dxa"/>
            <w:vAlign w:val="center"/>
          </w:tcPr>
          <w:p w14:paraId="5473545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3.04</w:t>
            </w:r>
          </w:p>
        </w:tc>
        <w:tc>
          <w:tcPr>
            <w:tcW w:w="640" w:type="dxa"/>
            <w:vAlign w:val="center"/>
          </w:tcPr>
          <w:p w14:paraId="2F67DEBC">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46.0</w:t>
            </w:r>
          </w:p>
        </w:tc>
        <w:tc>
          <w:tcPr>
            <w:tcW w:w="644" w:type="dxa"/>
            <w:vAlign w:val="center"/>
          </w:tcPr>
          <w:p w14:paraId="2209052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76.4</w:t>
            </w:r>
          </w:p>
        </w:tc>
        <w:tc>
          <w:tcPr>
            <w:tcW w:w="669" w:type="dxa"/>
            <w:vAlign w:val="center"/>
          </w:tcPr>
          <w:p w14:paraId="50319204">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44.8</w:t>
            </w:r>
          </w:p>
        </w:tc>
        <w:tc>
          <w:tcPr>
            <w:tcW w:w="752" w:type="dxa"/>
            <w:vAlign w:val="center"/>
          </w:tcPr>
          <w:p w14:paraId="3E97F5FB">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170.24</w:t>
            </w:r>
          </w:p>
        </w:tc>
        <w:tc>
          <w:tcPr>
            <w:tcW w:w="705" w:type="dxa"/>
            <w:vAlign w:val="center"/>
          </w:tcPr>
          <w:p w14:paraId="5BC30B66">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55D0972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109</w:t>
            </w:r>
          </w:p>
        </w:tc>
        <w:tc>
          <w:tcPr>
            <w:tcW w:w="690" w:type="dxa"/>
            <w:vAlign w:val="center"/>
          </w:tcPr>
          <w:p w14:paraId="14898BD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191</w:t>
            </w:r>
          </w:p>
        </w:tc>
        <w:tc>
          <w:tcPr>
            <w:tcW w:w="690" w:type="dxa"/>
            <w:vAlign w:val="center"/>
          </w:tcPr>
          <w:p w14:paraId="7E80F3C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104</w:t>
            </w:r>
          </w:p>
        </w:tc>
        <w:tc>
          <w:tcPr>
            <w:tcW w:w="975" w:type="dxa"/>
            <w:vAlign w:val="center"/>
          </w:tcPr>
          <w:p w14:paraId="0FB1146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404</w:t>
            </w:r>
          </w:p>
        </w:tc>
        <w:tc>
          <w:tcPr>
            <w:tcW w:w="1554" w:type="dxa"/>
            <w:vMerge w:val="restart"/>
            <w:vAlign w:val="center"/>
          </w:tcPr>
          <w:p w14:paraId="123F05CB">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hint="eastAsia" w:cs="Times New Roman"/>
                <w:snapToGrid w:val="0"/>
                <w:color w:val="auto"/>
                <w:spacing w:val="16"/>
                <w:sz w:val="21"/>
                <w:szCs w:val="21"/>
                <w:highlight w:val="none"/>
                <w:lang w:val="en-US" w:eastAsia="zh-CN"/>
              </w:rPr>
              <w:t> </w:t>
            </w:r>
            <w:r>
              <w:rPr>
                <w:rFonts w:hint="default" w:cs="Times New Roman"/>
                <w:snapToGrid w:val="0"/>
                <w:color w:val="auto"/>
                <w:spacing w:val="16"/>
                <w:sz w:val="21"/>
                <w:szCs w:val="21"/>
                <w:highlight w:val="none"/>
                <w:lang w:val="en-US" w:eastAsia="zh-CN"/>
              </w:rPr>
              <w:t>Cl⁻—Ca²⁺</w:t>
            </w:r>
            <w:r>
              <w:rPr>
                <w:rFonts w:hint="eastAsia" w:cs="Times New Roman"/>
                <w:snapToGrid w:val="0"/>
                <w:color w:val="auto"/>
                <w:spacing w:val="16"/>
                <w:sz w:val="21"/>
                <w:szCs w:val="21"/>
                <w:highlight w:val="none"/>
                <w:lang w:val="en-US" w:eastAsia="zh-CN"/>
              </w:rPr>
              <w:t>、</w:t>
            </w:r>
            <w:r>
              <w:rPr>
                <w:rFonts w:hint="default" w:cs="Times New Roman"/>
                <w:snapToGrid w:val="0"/>
                <w:color w:val="auto"/>
                <w:spacing w:val="16"/>
                <w:sz w:val="21"/>
                <w:szCs w:val="21"/>
                <w:highlight w:val="none"/>
                <w:lang w:val="en-US" w:eastAsia="zh-CN"/>
              </w:rPr>
              <w:t>Mg²⁺</w:t>
            </w:r>
          </w:p>
        </w:tc>
      </w:tr>
      <w:tr w14:paraId="5E3CCB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continue"/>
            <w:vAlign w:val="center"/>
          </w:tcPr>
          <w:p w14:paraId="69597999">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c>
          <w:tcPr>
            <w:tcW w:w="668" w:type="dxa"/>
            <w:vAlign w:val="center"/>
          </w:tcPr>
          <w:p w14:paraId="1004FD6F">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meq/l</w:t>
            </w:r>
          </w:p>
        </w:tc>
        <w:tc>
          <w:tcPr>
            <w:tcW w:w="567" w:type="dxa"/>
            <w:vAlign w:val="center"/>
          </w:tcPr>
          <w:p w14:paraId="28923FA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0.08</w:t>
            </w:r>
          </w:p>
        </w:tc>
        <w:tc>
          <w:tcPr>
            <w:tcW w:w="640" w:type="dxa"/>
            <w:vAlign w:val="center"/>
          </w:tcPr>
          <w:p w14:paraId="20C7E44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2.00</w:t>
            </w:r>
          </w:p>
        </w:tc>
        <w:tc>
          <w:tcPr>
            <w:tcW w:w="644" w:type="dxa"/>
            <w:vAlign w:val="center"/>
          </w:tcPr>
          <w:p w14:paraId="07F4A14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3.82</w:t>
            </w:r>
          </w:p>
        </w:tc>
        <w:tc>
          <w:tcPr>
            <w:tcW w:w="669" w:type="dxa"/>
            <w:vAlign w:val="center"/>
          </w:tcPr>
          <w:p w14:paraId="62368068">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3.69</w:t>
            </w:r>
          </w:p>
        </w:tc>
        <w:tc>
          <w:tcPr>
            <w:tcW w:w="752" w:type="dxa"/>
            <w:vAlign w:val="center"/>
          </w:tcPr>
          <w:p w14:paraId="7CDA192C">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9.58</w:t>
            </w:r>
          </w:p>
        </w:tc>
        <w:tc>
          <w:tcPr>
            <w:tcW w:w="705" w:type="dxa"/>
            <w:vAlign w:val="center"/>
          </w:tcPr>
          <w:p w14:paraId="04DA46FF">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562B5D4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1.79</w:t>
            </w:r>
          </w:p>
        </w:tc>
        <w:tc>
          <w:tcPr>
            <w:tcW w:w="690" w:type="dxa"/>
            <w:vAlign w:val="center"/>
          </w:tcPr>
          <w:p w14:paraId="379EED55">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5.38</w:t>
            </w:r>
          </w:p>
        </w:tc>
        <w:tc>
          <w:tcPr>
            <w:tcW w:w="690" w:type="dxa"/>
            <w:vAlign w:val="center"/>
          </w:tcPr>
          <w:p w14:paraId="730F8DE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2.17</w:t>
            </w:r>
          </w:p>
        </w:tc>
        <w:tc>
          <w:tcPr>
            <w:tcW w:w="975" w:type="dxa"/>
            <w:vAlign w:val="center"/>
          </w:tcPr>
          <w:p w14:paraId="37104CF3">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9.33</w:t>
            </w:r>
          </w:p>
        </w:tc>
        <w:tc>
          <w:tcPr>
            <w:tcW w:w="1554" w:type="dxa"/>
            <w:vMerge w:val="continue"/>
            <w:vAlign w:val="center"/>
          </w:tcPr>
          <w:p w14:paraId="50C6E152">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r>
      <w:tr w14:paraId="6DC7C6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continue"/>
            <w:vAlign w:val="center"/>
          </w:tcPr>
          <w:p w14:paraId="27C114A6">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c>
          <w:tcPr>
            <w:tcW w:w="668" w:type="dxa"/>
            <w:vAlign w:val="center"/>
          </w:tcPr>
          <w:p w14:paraId="56E0C876">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meq%</w:t>
            </w:r>
          </w:p>
        </w:tc>
        <w:tc>
          <w:tcPr>
            <w:tcW w:w="567" w:type="dxa"/>
            <w:vAlign w:val="center"/>
          </w:tcPr>
          <w:p w14:paraId="6381F237">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0.81</w:t>
            </w:r>
          </w:p>
        </w:tc>
        <w:tc>
          <w:tcPr>
            <w:tcW w:w="640" w:type="dxa"/>
            <w:vAlign w:val="center"/>
          </w:tcPr>
          <w:p w14:paraId="1E656C4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20.86</w:t>
            </w:r>
          </w:p>
        </w:tc>
        <w:tc>
          <w:tcPr>
            <w:tcW w:w="644" w:type="dxa"/>
            <w:vAlign w:val="center"/>
          </w:tcPr>
          <w:p w14:paraId="10E4FEE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39.84</w:t>
            </w:r>
          </w:p>
        </w:tc>
        <w:tc>
          <w:tcPr>
            <w:tcW w:w="669" w:type="dxa"/>
            <w:vAlign w:val="center"/>
          </w:tcPr>
          <w:p w14:paraId="7F11E21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38.47</w:t>
            </w:r>
          </w:p>
        </w:tc>
        <w:tc>
          <w:tcPr>
            <w:tcW w:w="752" w:type="dxa"/>
            <w:vAlign w:val="center"/>
          </w:tcPr>
          <w:p w14:paraId="2B129D8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100.00</w:t>
            </w:r>
          </w:p>
        </w:tc>
        <w:tc>
          <w:tcPr>
            <w:tcW w:w="705" w:type="dxa"/>
            <w:vAlign w:val="center"/>
          </w:tcPr>
          <w:p w14:paraId="34814635">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1E433A57">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19.14</w:t>
            </w:r>
          </w:p>
        </w:tc>
        <w:tc>
          <w:tcPr>
            <w:tcW w:w="690" w:type="dxa"/>
            <w:vAlign w:val="center"/>
          </w:tcPr>
          <w:p w14:paraId="6E0B22C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57.64</w:t>
            </w:r>
          </w:p>
        </w:tc>
        <w:tc>
          <w:tcPr>
            <w:tcW w:w="690" w:type="dxa"/>
            <w:vAlign w:val="center"/>
          </w:tcPr>
          <w:p w14:paraId="373A30A7">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23.21</w:t>
            </w:r>
          </w:p>
        </w:tc>
        <w:tc>
          <w:tcPr>
            <w:tcW w:w="975" w:type="dxa"/>
            <w:vAlign w:val="center"/>
          </w:tcPr>
          <w:p w14:paraId="44EC5D95">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100.00</w:t>
            </w:r>
          </w:p>
        </w:tc>
        <w:tc>
          <w:tcPr>
            <w:tcW w:w="1554" w:type="dxa"/>
            <w:vMerge w:val="continue"/>
            <w:vAlign w:val="center"/>
          </w:tcPr>
          <w:p w14:paraId="4322DBA3">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r>
      <w:tr w14:paraId="170BF0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restart"/>
            <w:vAlign w:val="center"/>
          </w:tcPr>
          <w:p w14:paraId="2EAD6948">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2#</w:t>
            </w:r>
          </w:p>
        </w:tc>
        <w:tc>
          <w:tcPr>
            <w:tcW w:w="668" w:type="dxa"/>
            <w:vAlign w:val="center"/>
          </w:tcPr>
          <w:p w14:paraId="4C59114F">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mg/l</w:t>
            </w:r>
          </w:p>
        </w:tc>
        <w:tc>
          <w:tcPr>
            <w:tcW w:w="567" w:type="dxa"/>
            <w:vAlign w:val="center"/>
          </w:tcPr>
          <w:p w14:paraId="55B0E8E3">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2.76</w:t>
            </w:r>
          </w:p>
        </w:tc>
        <w:tc>
          <w:tcPr>
            <w:tcW w:w="640" w:type="dxa"/>
            <w:vAlign w:val="center"/>
          </w:tcPr>
          <w:p w14:paraId="012AE1B6">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36.33</w:t>
            </w:r>
          </w:p>
        </w:tc>
        <w:tc>
          <w:tcPr>
            <w:tcW w:w="644" w:type="dxa"/>
            <w:vAlign w:val="center"/>
          </w:tcPr>
          <w:p w14:paraId="2FEB4874">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68.0</w:t>
            </w:r>
          </w:p>
        </w:tc>
        <w:tc>
          <w:tcPr>
            <w:tcW w:w="669" w:type="dxa"/>
            <w:vAlign w:val="center"/>
          </w:tcPr>
          <w:p w14:paraId="2CFF6B9B">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32.6</w:t>
            </w:r>
          </w:p>
        </w:tc>
        <w:tc>
          <w:tcPr>
            <w:tcW w:w="752" w:type="dxa"/>
            <w:vAlign w:val="center"/>
          </w:tcPr>
          <w:p w14:paraId="3701C5D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139.69</w:t>
            </w:r>
          </w:p>
        </w:tc>
        <w:tc>
          <w:tcPr>
            <w:tcW w:w="705" w:type="dxa"/>
            <w:vAlign w:val="center"/>
          </w:tcPr>
          <w:p w14:paraId="40E7C3C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2BFADB75">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w:t>
            </w:r>
          </w:p>
        </w:tc>
        <w:tc>
          <w:tcPr>
            <w:tcW w:w="690" w:type="dxa"/>
            <w:vAlign w:val="center"/>
          </w:tcPr>
          <w:p w14:paraId="0089E6A7">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160</w:t>
            </w:r>
          </w:p>
        </w:tc>
        <w:tc>
          <w:tcPr>
            <w:tcW w:w="690" w:type="dxa"/>
            <w:vAlign w:val="center"/>
          </w:tcPr>
          <w:p w14:paraId="6A29986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92.3</w:t>
            </w:r>
          </w:p>
        </w:tc>
        <w:tc>
          <w:tcPr>
            <w:tcW w:w="975" w:type="dxa"/>
            <w:vAlign w:val="center"/>
          </w:tcPr>
          <w:p w14:paraId="0B411D1C">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352.3</w:t>
            </w:r>
          </w:p>
        </w:tc>
        <w:tc>
          <w:tcPr>
            <w:tcW w:w="1554" w:type="dxa"/>
            <w:vMerge w:val="restart"/>
            <w:vAlign w:val="center"/>
          </w:tcPr>
          <w:p w14:paraId="25D2237D">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hint="default" w:cs="Times New Roman"/>
                <w:snapToGrid w:val="0"/>
                <w:color w:val="auto"/>
                <w:spacing w:val="16"/>
                <w:sz w:val="21"/>
                <w:szCs w:val="21"/>
                <w:highlight w:val="none"/>
                <w:lang w:val="en-US" w:eastAsia="zh-CN"/>
              </w:rPr>
              <w:t>Cl⁻</w:t>
            </w:r>
            <w:r>
              <w:rPr>
                <w:rFonts w:cs="Times New Roman"/>
                <w:color w:val="auto"/>
                <w:kern w:val="0"/>
                <w:sz w:val="21"/>
                <w:szCs w:val="21"/>
                <w:highlight w:val="none"/>
              </w:rPr>
              <w:t>—</w:t>
            </w:r>
            <w:r>
              <w:rPr>
                <w:rFonts w:cs="Times New Roman"/>
                <w:color w:val="auto"/>
                <w:sz w:val="21"/>
                <w:szCs w:val="21"/>
                <w:highlight w:val="none"/>
              </w:rPr>
              <w:t>Ca</w:t>
            </w:r>
            <w:r>
              <w:rPr>
                <w:rFonts w:cs="Times New Roman"/>
                <w:color w:val="auto"/>
                <w:sz w:val="21"/>
                <w:szCs w:val="21"/>
                <w:highlight w:val="none"/>
                <w:vertAlign w:val="superscript"/>
              </w:rPr>
              <w:t>2+</w:t>
            </w:r>
            <w:r>
              <w:rPr>
                <w:rFonts w:cs="Times New Roman"/>
                <w:color w:val="auto"/>
                <w:sz w:val="21"/>
                <w:szCs w:val="21"/>
                <w:highlight w:val="none"/>
              </w:rPr>
              <w:t>、</w:t>
            </w:r>
            <w:r>
              <w:rPr>
                <w:rFonts w:cs="Times New Roman"/>
                <w:snapToGrid w:val="0"/>
                <w:color w:val="auto"/>
                <w:spacing w:val="16"/>
                <w:sz w:val="21"/>
                <w:szCs w:val="21"/>
                <w:highlight w:val="none"/>
              </w:rPr>
              <w:t>Mg</w:t>
            </w:r>
            <w:r>
              <w:rPr>
                <w:rFonts w:cs="Times New Roman"/>
                <w:snapToGrid w:val="0"/>
                <w:color w:val="auto"/>
                <w:spacing w:val="16"/>
                <w:sz w:val="21"/>
                <w:szCs w:val="21"/>
                <w:highlight w:val="none"/>
                <w:vertAlign w:val="superscript"/>
              </w:rPr>
              <w:t>2+</w:t>
            </w:r>
          </w:p>
        </w:tc>
      </w:tr>
      <w:tr w14:paraId="1A28F7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continue"/>
            <w:vAlign w:val="center"/>
          </w:tcPr>
          <w:p w14:paraId="4F9BB341">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c>
          <w:tcPr>
            <w:tcW w:w="668" w:type="dxa"/>
            <w:vAlign w:val="center"/>
          </w:tcPr>
          <w:p w14:paraId="3E22B346">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meq/l</w:t>
            </w:r>
          </w:p>
        </w:tc>
        <w:tc>
          <w:tcPr>
            <w:tcW w:w="567" w:type="dxa"/>
            <w:vAlign w:val="center"/>
          </w:tcPr>
          <w:p w14:paraId="6337261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0.07</w:t>
            </w:r>
          </w:p>
        </w:tc>
        <w:tc>
          <w:tcPr>
            <w:tcW w:w="640" w:type="dxa"/>
            <w:vAlign w:val="center"/>
          </w:tcPr>
          <w:p w14:paraId="11A21A3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1.58</w:t>
            </w:r>
          </w:p>
        </w:tc>
        <w:tc>
          <w:tcPr>
            <w:tcW w:w="644" w:type="dxa"/>
            <w:vAlign w:val="center"/>
          </w:tcPr>
          <w:p w14:paraId="30FA9AA9">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3.40</w:t>
            </w:r>
          </w:p>
        </w:tc>
        <w:tc>
          <w:tcPr>
            <w:tcW w:w="669" w:type="dxa"/>
            <w:vAlign w:val="center"/>
          </w:tcPr>
          <w:p w14:paraId="216F286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2.68</w:t>
            </w:r>
          </w:p>
        </w:tc>
        <w:tc>
          <w:tcPr>
            <w:tcW w:w="752" w:type="dxa"/>
            <w:vAlign w:val="center"/>
          </w:tcPr>
          <w:p w14:paraId="307948C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7.73</w:t>
            </w:r>
          </w:p>
        </w:tc>
        <w:tc>
          <w:tcPr>
            <w:tcW w:w="705" w:type="dxa"/>
            <w:vAlign w:val="center"/>
          </w:tcPr>
          <w:p w14:paraId="0F9CBA4B">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0890A95E">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1.64</w:t>
            </w:r>
          </w:p>
        </w:tc>
        <w:tc>
          <w:tcPr>
            <w:tcW w:w="690" w:type="dxa"/>
            <w:vAlign w:val="center"/>
          </w:tcPr>
          <w:p w14:paraId="7707C3F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4.51</w:t>
            </w:r>
          </w:p>
        </w:tc>
        <w:tc>
          <w:tcPr>
            <w:tcW w:w="690" w:type="dxa"/>
            <w:vAlign w:val="center"/>
          </w:tcPr>
          <w:p w14:paraId="472D1B47">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1.92</w:t>
            </w:r>
          </w:p>
        </w:tc>
        <w:tc>
          <w:tcPr>
            <w:tcW w:w="975" w:type="dxa"/>
            <w:vAlign w:val="center"/>
          </w:tcPr>
          <w:p w14:paraId="76C8BCAC">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8.07</w:t>
            </w:r>
          </w:p>
        </w:tc>
        <w:tc>
          <w:tcPr>
            <w:tcW w:w="1554" w:type="dxa"/>
            <w:vMerge w:val="continue"/>
            <w:vAlign w:val="center"/>
          </w:tcPr>
          <w:p w14:paraId="2CBD97F6">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r>
      <w:tr w14:paraId="6F914E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continue"/>
            <w:vAlign w:val="center"/>
          </w:tcPr>
          <w:p w14:paraId="3A901C4C">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c>
          <w:tcPr>
            <w:tcW w:w="668" w:type="dxa"/>
            <w:vAlign w:val="center"/>
          </w:tcPr>
          <w:p w14:paraId="2B390400">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meq%</w:t>
            </w:r>
          </w:p>
        </w:tc>
        <w:tc>
          <w:tcPr>
            <w:tcW w:w="567" w:type="dxa"/>
            <w:vAlign w:val="center"/>
          </w:tcPr>
          <w:p w14:paraId="1649C0DD">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0.91</w:t>
            </w:r>
          </w:p>
        </w:tc>
        <w:tc>
          <w:tcPr>
            <w:tcW w:w="640" w:type="dxa"/>
            <w:vAlign w:val="center"/>
          </w:tcPr>
          <w:p w14:paraId="31F8119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20.41</w:t>
            </w:r>
          </w:p>
        </w:tc>
        <w:tc>
          <w:tcPr>
            <w:tcW w:w="644" w:type="dxa"/>
            <w:vAlign w:val="center"/>
          </w:tcPr>
          <w:p w14:paraId="0F412CA9">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43.97</w:t>
            </w:r>
          </w:p>
        </w:tc>
        <w:tc>
          <w:tcPr>
            <w:tcW w:w="669" w:type="dxa"/>
            <w:vAlign w:val="center"/>
          </w:tcPr>
          <w:p w14:paraId="4A9BA339">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34.70</w:t>
            </w:r>
          </w:p>
        </w:tc>
        <w:tc>
          <w:tcPr>
            <w:tcW w:w="752" w:type="dxa"/>
            <w:vAlign w:val="center"/>
          </w:tcPr>
          <w:p w14:paraId="75FF85A4">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100.00</w:t>
            </w:r>
          </w:p>
        </w:tc>
        <w:tc>
          <w:tcPr>
            <w:tcW w:w="705" w:type="dxa"/>
            <w:vAlign w:val="center"/>
          </w:tcPr>
          <w:p w14:paraId="2E9FBFD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0E0B702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20.32</w:t>
            </w:r>
          </w:p>
        </w:tc>
        <w:tc>
          <w:tcPr>
            <w:tcW w:w="690" w:type="dxa"/>
            <w:vAlign w:val="center"/>
          </w:tcPr>
          <w:p w14:paraId="66A278EF">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55.86</w:t>
            </w:r>
          </w:p>
        </w:tc>
        <w:tc>
          <w:tcPr>
            <w:tcW w:w="690" w:type="dxa"/>
            <w:vAlign w:val="center"/>
          </w:tcPr>
          <w:p w14:paraId="6D36172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23.83</w:t>
            </w:r>
          </w:p>
        </w:tc>
        <w:tc>
          <w:tcPr>
            <w:tcW w:w="975" w:type="dxa"/>
            <w:vAlign w:val="center"/>
          </w:tcPr>
          <w:p w14:paraId="775DABE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100.00</w:t>
            </w:r>
          </w:p>
        </w:tc>
        <w:tc>
          <w:tcPr>
            <w:tcW w:w="1554" w:type="dxa"/>
            <w:vMerge w:val="continue"/>
            <w:vAlign w:val="center"/>
          </w:tcPr>
          <w:p w14:paraId="53922CDD">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r>
      <w:tr w14:paraId="1BEE60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restart"/>
            <w:vAlign w:val="center"/>
          </w:tcPr>
          <w:p w14:paraId="442E4A1B">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3#</w:t>
            </w:r>
          </w:p>
        </w:tc>
        <w:tc>
          <w:tcPr>
            <w:tcW w:w="668" w:type="dxa"/>
            <w:vAlign w:val="center"/>
          </w:tcPr>
          <w:p w14:paraId="6C064D4E">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mg/l</w:t>
            </w:r>
          </w:p>
        </w:tc>
        <w:tc>
          <w:tcPr>
            <w:tcW w:w="567" w:type="dxa"/>
            <w:vAlign w:val="center"/>
          </w:tcPr>
          <w:p w14:paraId="1021108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2.37</w:t>
            </w:r>
          </w:p>
        </w:tc>
        <w:tc>
          <w:tcPr>
            <w:tcW w:w="640" w:type="dxa"/>
            <w:vAlign w:val="center"/>
          </w:tcPr>
          <w:p w14:paraId="7A6C5B43">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36.3</w:t>
            </w:r>
          </w:p>
        </w:tc>
        <w:tc>
          <w:tcPr>
            <w:tcW w:w="644" w:type="dxa"/>
            <w:vAlign w:val="center"/>
          </w:tcPr>
          <w:p w14:paraId="130C5A54">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68.5</w:t>
            </w:r>
          </w:p>
        </w:tc>
        <w:tc>
          <w:tcPr>
            <w:tcW w:w="669" w:type="dxa"/>
            <w:vAlign w:val="center"/>
          </w:tcPr>
          <w:p w14:paraId="21B68106">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30.4</w:t>
            </w:r>
          </w:p>
        </w:tc>
        <w:tc>
          <w:tcPr>
            <w:tcW w:w="752" w:type="dxa"/>
            <w:vAlign w:val="center"/>
          </w:tcPr>
          <w:p w14:paraId="01797E69">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137.57</w:t>
            </w:r>
          </w:p>
        </w:tc>
        <w:tc>
          <w:tcPr>
            <w:tcW w:w="705" w:type="dxa"/>
            <w:vAlign w:val="center"/>
          </w:tcPr>
          <w:p w14:paraId="5E301E8C">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0629AB1D">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136</w:t>
            </w:r>
          </w:p>
        </w:tc>
        <w:tc>
          <w:tcPr>
            <w:tcW w:w="690" w:type="dxa"/>
            <w:vAlign w:val="center"/>
          </w:tcPr>
          <w:p w14:paraId="06957DB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133</w:t>
            </w:r>
          </w:p>
        </w:tc>
        <w:tc>
          <w:tcPr>
            <w:tcW w:w="690" w:type="dxa"/>
            <w:vAlign w:val="center"/>
          </w:tcPr>
          <w:p w14:paraId="6FA15D50">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84.5</w:t>
            </w:r>
          </w:p>
        </w:tc>
        <w:tc>
          <w:tcPr>
            <w:tcW w:w="975" w:type="dxa"/>
            <w:vAlign w:val="center"/>
          </w:tcPr>
          <w:p w14:paraId="40E11427">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353.5</w:t>
            </w:r>
          </w:p>
        </w:tc>
        <w:tc>
          <w:tcPr>
            <w:tcW w:w="1554" w:type="dxa"/>
            <w:vMerge w:val="restart"/>
            <w:vAlign w:val="center"/>
          </w:tcPr>
          <w:p w14:paraId="75433683">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hint="default" w:cs="Times New Roman"/>
                <w:color w:val="auto"/>
                <w:sz w:val="21"/>
                <w:szCs w:val="21"/>
                <w:highlight w:val="none"/>
              </w:rPr>
              <w:t>Cl⁻·HCO₃⁻—Ca²⁺</w:t>
            </w:r>
            <w:r>
              <w:rPr>
                <w:rFonts w:hint="eastAsia" w:cs="Times New Roman"/>
                <w:color w:val="auto"/>
                <w:sz w:val="21"/>
                <w:szCs w:val="21"/>
                <w:highlight w:val="none"/>
                <w:lang w:eastAsia="zh-CN"/>
              </w:rPr>
              <w:t>、</w:t>
            </w:r>
            <w:r>
              <w:rPr>
                <w:rFonts w:hint="default" w:cs="Times New Roman"/>
                <w:color w:val="auto"/>
                <w:sz w:val="21"/>
                <w:szCs w:val="21"/>
                <w:highlight w:val="none"/>
              </w:rPr>
              <w:t>Mg²⁺</w:t>
            </w:r>
          </w:p>
        </w:tc>
      </w:tr>
      <w:tr w14:paraId="49B9CE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00" w:hRule="atLeast"/>
          <w:jc w:val="center"/>
        </w:trPr>
        <w:tc>
          <w:tcPr>
            <w:tcW w:w="352" w:type="dxa"/>
            <w:vMerge w:val="continue"/>
            <w:vAlign w:val="center"/>
          </w:tcPr>
          <w:p w14:paraId="25CDBD05">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c>
          <w:tcPr>
            <w:tcW w:w="668" w:type="dxa"/>
            <w:vAlign w:val="center"/>
          </w:tcPr>
          <w:p w14:paraId="59E8A027">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meq/l</w:t>
            </w:r>
          </w:p>
        </w:tc>
        <w:tc>
          <w:tcPr>
            <w:tcW w:w="567" w:type="dxa"/>
            <w:vAlign w:val="center"/>
          </w:tcPr>
          <w:p w14:paraId="560EA15F">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0.06</w:t>
            </w:r>
          </w:p>
        </w:tc>
        <w:tc>
          <w:tcPr>
            <w:tcW w:w="640" w:type="dxa"/>
            <w:vAlign w:val="center"/>
          </w:tcPr>
          <w:p w14:paraId="019E225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1.58</w:t>
            </w:r>
          </w:p>
        </w:tc>
        <w:tc>
          <w:tcPr>
            <w:tcW w:w="644" w:type="dxa"/>
            <w:vAlign w:val="center"/>
          </w:tcPr>
          <w:p w14:paraId="70A3A1AD">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3.43</w:t>
            </w:r>
          </w:p>
        </w:tc>
        <w:tc>
          <w:tcPr>
            <w:tcW w:w="669" w:type="dxa"/>
            <w:vAlign w:val="center"/>
          </w:tcPr>
          <w:p w14:paraId="156C23C8">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2.50</w:t>
            </w:r>
          </w:p>
        </w:tc>
        <w:tc>
          <w:tcPr>
            <w:tcW w:w="752" w:type="dxa"/>
            <w:vAlign w:val="center"/>
          </w:tcPr>
          <w:p w14:paraId="1F241B0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7.57</w:t>
            </w:r>
          </w:p>
        </w:tc>
        <w:tc>
          <w:tcPr>
            <w:tcW w:w="705" w:type="dxa"/>
            <w:shd w:val="clear" w:color="auto" w:fill="auto"/>
            <w:vAlign w:val="center"/>
          </w:tcPr>
          <w:p w14:paraId="2DC26D5B">
            <w:pPr>
              <w:autoSpaceDE w:val="0"/>
              <w:autoSpaceDN w:val="0"/>
              <w:spacing w:line="360" w:lineRule="exact"/>
              <w:ind w:firstLine="0" w:firstLineChars="0"/>
              <w:jc w:val="center"/>
              <w:textAlignment w:val="bottom"/>
              <w:rPr>
                <w:rFonts w:hint="default" w:ascii="Times New Roman" w:hAnsi="Times New Roman" w:eastAsia="宋体" w:cs="Times New Roman"/>
                <w:snapToGrid w:val="0"/>
                <w:color w:val="auto"/>
                <w:spacing w:val="16"/>
                <w:kern w:val="2"/>
                <w:sz w:val="21"/>
                <w:szCs w:val="21"/>
                <w:highlight w:val="none"/>
                <w:lang w:val="en-US" w:eastAsia="zh-CN" w:bidi="ar-SA"/>
              </w:rPr>
            </w:pPr>
            <w:r>
              <w:rPr>
                <w:rFonts w:hint="eastAsia" w:cs="Times New Roman"/>
                <w:snapToGrid w:val="0"/>
                <w:color w:val="auto"/>
                <w:spacing w:val="16"/>
                <w:sz w:val="21"/>
                <w:szCs w:val="21"/>
                <w:highlight w:val="none"/>
                <w:lang w:val="en-US" w:eastAsia="zh-CN"/>
              </w:rPr>
              <w:t>0.00</w:t>
            </w:r>
          </w:p>
        </w:tc>
        <w:tc>
          <w:tcPr>
            <w:tcW w:w="750" w:type="dxa"/>
            <w:shd w:val="clear" w:color="auto" w:fill="auto"/>
            <w:vAlign w:val="center"/>
          </w:tcPr>
          <w:p w14:paraId="22A9E8B3">
            <w:pPr>
              <w:autoSpaceDE w:val="0"/>
              <w:autoSpaceDN w:val="0"/>
              <w:spacing w:line="360" w:lineRule="exact"/>
              <w:ind w:firstLine="0" w:firstLineChars="0"/>
              <w:jc w:val="center"/>
              <w:textAlignment w:val="bottom"/>
              <w:rPr>
                <w:rFonts w:hint="default" w:ascii="Times New Roman" w:hAnsi="Times New Roman" w:eastAsia="宋体" w:cs="Times New Roman"/>
                <w:snapToGrid w:val="0"/>
                <w:color w:val="auto"/>
                <w:spacing w:val="16"/>
                <w:kern w:val="2"/>
                <w:sz w:val="21"/>
                <w:szCs w:val="21"/>
                <w:highlight w:val="none"/>
                <w:lang w:val="en-US" w:eastAsia="zh-CN" w:bidi="ar-SA"/>
              </w:rPr>
            </w:pPr>
            <w:r>
              <w:rPr>
                <w:rFonts w:hint="eastAsia" w:cs="Times New Roman"/>
                <w:snapToGrid w:val="0"/>
                <w:color w:val="auto"/>
                <w:spacing w:val="16"/>
                <w:sz w:val="21"/>
                <w:szCs w:val="21"/>
                <w:highlight w:val="none"/>
                <w:lang w:val="en-US" w:eastAsia="zh-CN"/>
              </w:rPr>
              <w:t>2.23</w:t>
            </w:r>
          </w:p>
        </w:tc>
        <w:tc>
          <w:tcPr>
            <w:tcW w:w="690" w:type="dxa"/>
            <w:shd w:val="clear" w:color="auto" w:fill="auto"/>
            <w:vAlign w:val="center"/>
          </w:tcPr>
          <w:p w14:paraId="460E0584">
            <w:pPr>
              <w:autoSpaceDE w:val="0"/>
              <w:autoSpaceDN w:val="0"/>
              <w:spacing w:line="360" w:lineRule="exact"/>
              <w:ind w:firstLine="0" w:firstLineChars="0"/>
              <w:jc w:val="center"/>
              <w:textAlignment w:val="bottom"/>
              <w:rPr>
                <w:rFonts w:hint="default" w:ascii="Times New Roman" w:hAnsi="Times New Roman" w:eastAsia="宋体" w:cs="Times New Roman"/>
                <w:snapToGrid w:val="0"/>
                <w:color w:val="auto"/>
                <w:spacing w:val="16"/>
                <w:kern w:val="2"/>
                <w:sz w:val="21"/>
                <w:szCs w:val="21"/>
                <w:highlight w:val="none"/>
                <w:lang w:val="en-US" w:eastAsia="zh-CN" w:bidi="ar-SA"/>
              </w:rPr>
            </w:pPr>
            <w:r>
              <w:rPr>
                <w:rFonts w:hint="eastAsia" w:cs="Times New Roman"/>
                <w:snapToGrid w:val="0"/>
                <w:color w:val="auto"/>
                <w:spacing w:val="16"/>
                <w:sz w:val="21"/>
                <w:szCs w:val="21"/>
                <w:highlight w:val="none"/>
                <w:lang w:val="en-US" w:eastAsia="zh-CN"/>
              </w:rPr>
              <w:t>3.75</w:t>
            </w:r>
          </w:p>
        </w:tc>
        <w:tc>
          <w:tcPr>
            <w:tcW w:w="690" w:type="dxa"/>
            <w:shd w:val="clear" w:color="auto" w:fill="auto"/>
            <w:vAlign w:val="center"/>
          </w:tcPr>
          <w:p w14:paraId="2C37E003">
            <w:pPr>
              <w:autoSpaceDE w:val="0"/>
              <w:autoSpaceDN w:val="0"/>
              <w:spacing w:line="360" w:lineRule="exact"/>
              <w:ind w:firstLine="0" w:firstLineChars="0"/>
              <w:jc w:val="center"/>
              <w:textAlignment w:val="bottom"/>
              <w:rPr>
                <w:rFonts w:hint="default" w:ascii="Times New Roman" w:hAnsi="Times New Roman" w:eastAsia="宋体" w:cs="Times New Roman"/>
                <w:snapToGrid w:val="0"/>
                <w:color w:val="auto"/>
                <w:spacing w:val="16"/>
                <w:kern w:val="2"/>
                <w:sz w:val="21"/>
                <w:szCs w:val="21"/>
                <w:highlight w:val="none"/>
                <w:lang w:val="en-US" w:eastAsia="zh-CN" w:bidi="ar-SA"/>
              </w:rPr>
            </w:pPr>
            <w:r>
              <w:rPr>
                <w:rFonts w:hint="eastAsia" w:cs="Times New Roman"/>
                <w:snapToGrid w:val="0"/>
                <w:color w:val="auto"/>
                <w:spacing w:val="16"/>
                <w:sz w:val="21"/>
                <w:szCs w:val="21"/>
                <w:highlight w:val="none"/>
                <w:lang w:val="en-US" w:eastAsia="zh-CN"/>
              </w:rPr>
              <w:t>1.76</w:t>
            </w:r>
          </w:p>
        </w:tc>
        <w:tc>
          <w:tcPr>
            <w:tcW w:w="975" w:type="dxa"/>
            <w:vAlign w:val="center"/>
          </w:tcPr>
          <w:p w14:paraId="72F38538">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7.74</w:t>
            </w:r>
          </w:p>
        </w:tc>
        <w:tc>
          <w:tcPr>
            <w:tcW w:w="1554" w:type="dxa"/>
            <w:vMerge w:val="continue"/>
            <w:vAlign w:val="center"/>
          </w:tcPr>
          <w:p w14:paraId="7E9B4E56">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r>
      <w:tr w14:paraId="0949AF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683" w:hRule="atLeast"/>
          <w:jc w:val="center"/>
        </w:trPr>
        <w:tc>
          <w:tcPr>
            <w:tcW w:w="352" w:type="dxa"/>
            <w:vMerge w:val="continue"/>
            <w:vAlign w:val="center"/>
          </w:tcPr>
          <w:p w14:paraId="21313850">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c>
          <w:tcPr>
            <w:tcW w:w="668" w:type="dxa"/>
            <w:vAlign w:val="center"/>
          </w:tcPr>
          <w:p w14:paraId="1DB4CE35">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r>
              <w:rPr>
                <w:rFonts w:cs="Times New Roman"/>
                <w:snapToGrid w:val="0"/>
                <w:color w:val="auto"/>
                <w:spacing w:val="16"/>
                <w:sz w:val="21"/>
                <w:szCs w:val="21"/>
                <w:highlight w:val="none"/>
              </w:rPr>
              <w:t>meq%</w:t>
            </w:r>
          </w:p>
        </w:tc>
        <w:tc>
          <w:tcPr>
            <w:tcW w:w="567" w:type="dxa"/>
            <w:vAlign w:val="center"/>
          </w:tcPr>
          <w:p w14:paraId="02DB50F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0.80</w:t>
            </w:r>
          </w:p>
        </w:tc>
        <w:tc>
          <w:tcPr>
            <w:tcW w:w="640" w:type="dxa"/>
            <w:vAlign w:val="center"/>
          </w:tcPr>
          <w:p w14:paraId="05AC0ACF">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20.86</w:t>
            </w:r>
          </w:p>
        </w:tc>
        <w:tc>
          <w:tcPr>
            <w:tcW w:w="644" w:type="dxa"/>
            <w:vAlign w:val="center"/>
          </w:tcPr>
          <w:p w14:paraId="3E6B95C1">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45.26</w:t>
            </w:r>
          </w:p>
        </w:tc>
        <w:tc>
          <w:tcPr>
            <w:tcW w:w="669" w:type="dxa"/>
            <w:vAlign w:val="center"/>
          </w:tcPr>
          <w:p w14:paraId="11F6D618">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33.07</w:t>
            </w:r>
          </w:p>
        </w:tc>
        <w:tc>
          <w:tcPr>
            <w:tcW w:w="752" w:type="dxa"/>
            <w:vAlign w:val="center"/>
          </w:tcPr>
          <w:p w14:paraId="7037B77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100.00</w:t>
            </w:r>
          </w:p>
        </w:tc>
        <w:tc>
          <w:tcPr>
            <w:tcW w:w="705" w:type="dxa"/>
            <w:vAlign w:val="center"/>
          </w:tcPr>
          <w:p w14:paraId="7F98EA8B">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0.00</w:t>
            </w:r>
          </w:p>
        </w:tc>
        <w:tc>
          <w:tcPr>
            <w:tcW w:w="750" w:type="dxa"/>
            <w:vAlign w:val="center"/>
          </w:tcPr>
          <w:p w14:paraId="68708ED2">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28.82</w:t>
            </w:r>
          </w:p>
        </w:tc>
        <w:tc>
          <w:tcPr>
            <w:tcW w:w="690" w:type="dxa"/>
            <w:vAlign w:val="center"/>
          </w:tcPr>
          <w:p w14:paraId="1EB1DDCE">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48.43</w:t>
            </w:r>
          </w:p>
        </w:tc>
        <w:tc>
          <w:tcPr>
            <w:tcW w:w="690" w:type="dxa"/>
            <w:vAlign w:val="center"/>
          </w:tcPr>
          <w:p w14:paraId="42ECBBCA">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22.75</w:t>
            </w:r>
          </w:p>
        </w:tc>
        <w:tc>
          <w:tcPr>
            <w:tcW w:w="975" w:type="dxa"/>
            <w:vAlign w:val="center"/>
          </w:tcPr>
          <w:p w14:paraId="5D22140C">
            <w:pPr>
              <w:autoSpaceDE w:val="0"/>
              <w:autoSpaceDN w:val="0"/>
              <w:spacing w:line="360" w:lineRule="exact"/>
              <w:ind w:firstLine="0" w:firstLineChars="0"/>
              <w:jc w:val="center"/>
              <w:textAlignment w:val="bottom"/>
              <w:rPr>
                <w:rFonts w:hint="default" w:eastAsia="宋体" w:cs="Times New Roman"/>
                <w:snapToGrid w:val="0"/>
                <w:color w:val="auto"/>
                <w:spacing w:val="16"/>
                <w:sz w:val="21"/>
                <w:szCs w:val="21"/>
                <w:highlight w:val="none"/>
                <w:lang w:val="en-US" w:eastAsia="zh-CN"/>
              </w:rPr>
            </w:pPr>
            <w:r>
              <w:rPr>
                <w:rFonts w:hint="eastAsia" w:cs="Times New Roman"/>
                <w:snapToGrid w:val="0"/>
                <w:color w:val="auto"/>
                <w:spacing w:val="16"/>
                <w:sz w:val="21"/>
                <w:szCs w:val="21"/>
                <w:highlight w:val="none"/>
                <w:lang w:val="en-US" w:eastAsia="zh-CN"/>
              </w:rPr>
              <w:t>100.00</w:t>
            </w:r>
          </w:p>
        </w:tc>
        <w:tc>
          <w:tcPr>
            <w:tcW w:w="1554" w:type="dxa"/>
            <w:vMerge w:val="continue"/>
            <w:vAlign w:val="center"/>
          </w:tcPr>
          <w:p w14:paraId="3DF863CA">
            <w:pPr>
              <w:autoSpaceDE w:val="0"/>
              <w:autoSpaceDN w:val="0"/>
              <w:spacing w:line="360" w:lineRule="exact"/>
              <w:ind w:firstLine="0" w:firstLineChars="0"/>
              <w:jc w:val="center"/>
              <w:textAlignment w:val="bottom"/>
              <w:rPr>
                <w:rFonts w:cs="Times New Roman"/>
                <w:snapToGrid w:val="0"/>
                <w:color w:val="auto"/>
                <w:spacing w:val="16"/>
                <w:sz w:val="21"/>
                <w:szCs w:val="21"/>
                <w:highlight w:val="none"/>
              </w:rPr>
            </w:pPr>
          </w:p>
        </w:tc>
      </w:tr>
    </w:tbl>
    <w:p w14:paraId="5019DF47">
      <w:pPr>
        <w:rPr>
          <w:rFonts w:cs="Times New Roman"/>
          <w:color w:val="auto"/>
          <w:highlight w:val="none"/>
        </w:rPr>
      </w:pPr>
      <w:r>
        <w:rPr>
          <w:rFonts w:cs="Times New Roman"/>
          <w:color w:val="auto"/>
          <w:kern w:val="0"/>
          <w:highlight w:val="none"/>
          <w:lang w:val="zh-CN"/>
        </w:rPr>
        <w:t>按舒卡列夫分类，评价范围内地下水水化学类型为</w:t>
      </w:r>
      <w:r>
        <w:rPr>
          <w:rFonts w:cs="Times New Roman"/>
          <w:snapToGrid w:val="0"/>
          <w:color w:val="auto"/>
          <w:spacing w:val="16"/>
          <w:highlight w:val="none"/>
        </w:rPr>
        <w:t>HCO</w:t>
      </w:r>
      <w:r>
        <w:rPr>
          <w:rFonts w:cs="Times New Roman"/>
          <w:snapToGrid w:val="0"/>
          <w:color w:val="auto"/>
          <w:spacing w:val="16"/>
          <w:highlight w:val="none"/>
          <w:vertAlign w:val="subscript"/>
        </w:rPr>
        <w:t>3</w:t>
      </w:r>
      <w:r>
        <w:rPr>
          <w:rFonts w:cs="Times New Roman"/>
          <w:snapToGrid w:val="0"/>
          <w:color w:val="auto"/>
          <w:spacing w:val="16"/>
          <w:highlight w:val="none"/>
          <w:vertAlign w:val="superscript"/>
        </w:rPr>
        <w:t>-</w:t>
      </w:r>
      <w:r>
        <w:rPr>
          <w:rFonts w:cs="Times New Roman"/>
          <w:snapToGrid w:val="0"/>
          <w:color w:val="auto"/>
          <w:spacing w:val="16"/>
          <w:highlight w:val="none"/>
        </w:rPr>
        <w:t>—Ca</w:t>
      </w:r>
      <w:r>
        <w:rPr>
          <w:rFonts w:cs="Times New Roman"/>
          <w:snapToGrid w:val="0"/>
          <w:color w:val="auto"/>
          <w:spacing w:val="16"/>
          <w:highlight w:val="none"/>
          <w:vertAlign w:val="superscript"/>
        </w:rPr>
        <w:t>2+</w:t>
      </w:r>
      <w:r>
        <w:rPr>
          <w:rFonts w:cs="Times New Roman"/>
          <w:snapToGrid w:val="0"/>
          <w:color w:val="auto"/>
          <w:spacing w:val="16"/>
          <w:highlight w:val="none"/>
        </w:rPr>
        <w:t>、Mg</w:t>
      </w:r>
      <w:r>
        <w:rPr>
          <w:rFonts w:cs="Times New Roman"/>
          <w:snapToGrid w:val="0"/>
          <w:color w:val="auto"/>
          <w:spacing w:val="16"/>
          <w:highlight w:val="none"/>
          <w:vertAlign w:val="superscript"/>
        </w:rPr>
        <w:t>2+</w:t>
      </w:r>
      <w:r>
        <w:rPr>
          <w:rFonts w:cs="Times New Roman"/>
          <w:color w:val="auto"/>
          <w:kern w:val="0"/>
          <w:highlight w:val="none"/>
          <w:lang w:val="zh-CN"/>
        </w:rPr>
        <w:t>型水</w:t>
      </w:r>
      <w:r>
        <w:rPr>
          <w:rFonts w:hint="eastAsia" w:cs="Times New Roman"/>
          <w:color w:val="auto"/>
          <w:kern w:val="0"/>
          <w:sz w:val="24"/>
          <w:szCs w:val="24"/>
          <w:highlight w:val="none"/>
          <w:lang w:val="en-US" w:eastAsia="zh-CN"/>
        </w:rPr>
        <w:t>及</w:t>
      </w:r>
      <w:r>
        <w:rPr>
          <w:rFonts w:hint="default" w:cs="Times New Roman"/>
          <w:color w:val="auto"/>
          <w:sz w:val="24"/>
          <w:szCs w:val="24"/>
          <w:highlight w:val="none"/>
        </w:rPr>
        <w:t>Cl⁻·HCO₃⁻—Ca²⁺</w:t>
      </w:r>
      <w:r>
        <w:rPr>
          <w:rFonts w:hint="eastAsia" w:cs="Times New Roman"/>
          <w:color w:val="auto"/>
          <w:sz w:val="24"/>
          <w:szCs w:val="24"/>
          <w:highlight w:val="none"/>
          <w:lang w:eastAsia="zh-CN"/>
        </w:rPr>
        <w:t>、</w:t>
      </w:r>
      <w:r>
        <w:rPr>
          <w:rFonts w:hint="default" w:cs="Times New Roman"/>
          <w:color w:val="auto"/>
          <w:sz w:val="24"/>
          <w:szCs w:val="24"/>
          <w:highlight w:val="none"/>
        </w:rPr>
        <w:t>Mg²⁺</w:t>
      </w:r>
      <w:r>
        <w:rPr>
          <w:rFonts w:hint="eastAsia" w:cs="Times New Roman"/>
          <w:color w:val="auto"/>
          <w:sz w:val="24"/>
          <w:szCs w:val="24"/>
          <w:highlight w:val="none"/>
          <w:lang w:val="en-US" w:eastAsia="zh-CN"/>
        </w:rPr>
        <w:t>型水</w:t>
      </w:r>
      <w:r>
        <w:rPr>
          <w:rFonts w:cs="Times New Roman"/>
          <w:color w:val="auto"/>
          <w:kern w:val="0"/>
          <w:sz w:val="24"/>
          <w:szCs w:val="24"/>
          <w:highlight w:val="none"/>
          <w:lang w:val="zh-CN"/>
        </w:rPr>
        <w:t>。</w:t>
      </w:r>
    </w:p>
    <w:p w14:paraId="2953157A">
      <w:pPr>
        <w:rPr>
          <w:rFonts w:cs="Times New Roman"/>
          <w:color w:val="auto"/>
          <w:kern w:val="0"/>
          <w:highlight w:val="none"/>
          <w:lang w:val="zh-CN"/>
        </w:rPr>
      </w:pPr>
      <w:r>
        <w:rPr>
          <w:rFonts w:cs="Times New Roman"/>
          <w:color w:val="auto"/>
          <w:kern w:val="0"/>
          <w:highlight w:val="none"/>
        </w:rPr>
        <w:t>（5）</w:t>
      </w:r>
      <w:r>
        <w:rPr>
          <w:rFonts w:cs="Times New Roman"/>
          <w:color w:val="auto"/>
          <w:kern w:val="0"/>
          <w:highlight w:val="none"/>
          <w:lang w:val="zh-CN"/>
        </w:rPr>
        <w:t>地下水现状评价结论</w:t>
      </w:r>
    </w:p>
    <w:p w14:paraId="3639A826">
      <w:pPr>
        <w:rPr>
          <w:rFonts w:cs="Times New Roman"/>
          <w:color w:val="auto"/>
          <w:highlight w:val="none"/>
        </w:rPr>
      </w:pPr>
      <w:r>
        <w:rPr>
          <w:rFonts w:cs="Times New Roman"/>
          <w:color w:val="auto"/>
          <w:kern w:val="0"/>
          <w:highlight w:val="none"/>
          <w:lang w:val="zh-CN"/>
        </w:rPr>
        <w:t>评价范围内地下水水化学</w:t>
      </w:r>
      <w:r>
        <w:rPr>
          <w:rFonts w:cs="Times New Roman"/>
          <w:color w:val="auto"/>
          <w:kern w:val="0"/>
          <w:sz w:val="24"/>
          <w:szCs w:val="24"/>
          <w:highlight w:val="none"/>
          <w:lang w:val="zh-CN"/>
        </w:rPr>
        <w:t>类型为</w:t>
      </w:r>
      <w:r>
        <w:rPr>
          <w:rFonts w:hint="default" w:cs="Times New Roman"/>
          <w:snapToGrid w:val="0"/>
          <w:color w:val="auto"/>
          <w:spacing w:val="16"/>
          <w:sz w:val="24"/>
          <w:szCs w:val="24"/>
          <w:highlight w:val="none"/>
          <w:lang w:val="en-US" w:eastAsia="zh-CN"/>
        </w:rPr>
        <w:t>Cl⁻—Ca²⁺</w:t>
      </w:r>
      <w:r>
        <w:rPr>
          <w:rFonts w:hint="eastAsia" w:cs="Times New Roman"/>
          <w:snapToGrid w:val="0"/>
          <w:color w:val="auto"/>
          <w:spacing w:val="16"/>
          <w:sz w:val="24"/>
          <w:szCs w:val="24"/>
          <w:highlight w:val="none"/>
          <w:lang w:val="en-US" w:eastAsia="zh-CN"/>
        </w:rPr>
        <w:t>、</w:t>
      </w:r>
      <w:r>
        <w:rPr>
          <w:rFonts w:hint="default" w:cs="Times New Roman"/>
          <w:snapToGrid w:val="0"/>
          <w:color w:val="auto"/>
          <w:spacing w:val="16"/>
          <w:sz w:val="24"/>
          <w:szCs w:val="24"/>
          <w:highlight w:val="none"/>
          <w:lang w:val="en-US" w:eastAsia="zh-CN"/>
        </w:rPr>
        <w:t>Mg²⁺</w:t>
      </w:r>
      <w:r>
        <w:rPr>
          <w:rFonts w:cs="Times New Roman"/>
          <w:color w:val="auto"/>
          <w:kern w:val="0"/>
          <w:sz w:val="24"/>
          <w:szCs w:val="24"/>
          <w:highlight w:val="none"/>
          <w:lang w:val="zh-CN"/>
        </w:rPr>
        <w:t>型水</w:t>
      </w:r>
      <w:r>
        <w:rPr>
          <w:rFonts w:hint="eastAsia" w:cs="Times New Roman"/>
          <w:color w:val="auto"/>
          <w:kern w:val="0"/>
          <w:sz w:val="24"/>
          <w:szCs w:val="24"/>
          <w:highlight w:val="none"/>
          <w:lang w:val="en-US" w:eastAsia="zh-CN"/>
        </w:rPr>
        <w:t>及</w:t>
      </w:r>
      <w:r>
        <w:rPr>
          <w:rFonts w:hint="default" w:cs="Times New Roman"/>
          <w:color w:val="auto"/>
          <w:sz w:val="24"/>
          <w:szCs w:val="24"/>
          <w:highlight w:val="none"/>
        </w:rPr>
        <w:t>Cl⁻·HCO₃⁻—Ca²⁺</w:t>
      </w:r>
      <w:r>
        <w:rPr>
          <w:rFonts w:hint="eastAsia" w:cs="Times New Roman"/>
          <w:color w:val="auto"/>
          <w:sz w:val="24"/>
          <w:szCs w:val="24"/>
          <w:highlight w:val="none"/>
          <w:lang w:eastAsia="zh-CN"/>
        </w:rPr>
        <w:t>、</w:t>
      </w:r>
      <w:r>
        <w:rPr>
          <w:rFonts w:hint="default" w:cs="Times New Roman"/>
          <w:color w:val="auto"/>
          <w:sz w:val="24"/>
          <w:szCs w:val="24"/>
          <w:highlight w:val="none"/>
        </w:rPr>
        <w:t>Mg²⁺</w:t>
      </w:r>
      <w:r>
        <w:rPr>
          <w:rFonts w:hint="eastAsia" w:cs="Times New Roman"/>
          <w:color w:val="auto"/>
          <w:sz w:val="24"/>
          <w:szCs w:val="24"/>
          <w:highlight w:val="none"/>
          <w:lang w:val="en-US" w:eastAsia="zh-CN"/>
        </w:rPr>
        <w:t>型水</w:t>
      </w:r>
      <w:r>
        <w:rPr>
          <w:rFonts w:cs="Times New Roman"/>
          <w:color w:val="auto"/>
          <w:kern w:val="0"/>
          <w:sz w:val="24"/>
          <w:szCs w:val="24"/>
          <w:highlight w:val="none"/>
          <w:lang w:val="zh-CN"/>
        </w:rPr>
        <w:t>。</w:t>
      </w:r>
      <w:r>
        <w:rPr>
          <w:rFonts w:cs="Times New Roman"/>
          <w:color w:val="auto"/>
          <w:highlight w:val="none"/>
        </w:rPr>
        <w:t>由上表可知，</w:t>
      </w:r>
      <w:r>
        <w:rPr>
          <w:rFonts w:hint="eastAsia" w:cs="Times New Roman"/>
          <w:color w:val="auto"/>
          <w:highlight w:val="none"/>
          <w:lang w:val="en-US" w:eastAsia="zh-CN"/>
        </w:rPr>
        <w:t>地下水</w:t>
      </w:r>
      <w:r>
        <w:rPr>
          <w:rFonts w:hint="eastAsia"/>
          <w:color w:val="auto"/>
          <w:sz w:val="24"/>
          <w:highlight w:val="none"/>
        </w:rPr>
        <w:t>监测点水质整体较好，铁</w:t>
      </w:r>
      <w:r>
        <w:rPr>
          <w:rFonts w:hint="eastAsia"/>
          <w:color w:val="auto"/>
          <w:sz w:val="24"/>
          <w:highlight w:val="none"/>
          <w:lang w:eastAsia="zh-CN"/>
        </w:rPr>
        <w:t>、</w:t>
      </w:r>
      <w:r>
        <w:rPr>
          <w:rFonts w:hint="eastAsia"/>
          <w:color w:val="auto"/>
          <w:sz w:val="24"/>
          <w:highlight w:val="none"/>
        </w:rPr>
        <w:t>锰超标为天然本底值超标，该现象初步判断为区域原生地质环境导致的本底值偏高所致。本项目将针对该情况，制定严格的分区防渗措施，防止项目运营对地下水水质造成叠加影响。除铁</w:t>
      </w:r>
      <w:r>
        <w:rPr>
          <w:rFonts w:hint="eastAsia"/>
          <w:color w:val="auto"/>
          <w:sz w:val="24"/>
          <w:highlight w:val="none"/>
          <w:lang w:eastAsia="zh-CN"/>
        </w:rPr>
        <w:t>、</w:t>
      </w:r>
      <w:r>
        <w:rPr>
          <w:rFonts w:hint="eastAsia"/>
          <w:color w:val="auto"/>
          <w:sz w:val="24"/>
          <w:highlight w:val="none"/>
        </w:rPr>
        <w:t>锰外的</w:t>
      </w:r>
      <w:r>
        <w:rPr>
          <w:rFonts w:hint="eastAsia"/>
          <w:color w:val="auto"/>
          <w:sz w:val="24"/>
          <w:highlight w:val="none"/>
          <w:lang w:val="en-US" w:eastAsia="zh-CN"/>
        </w:rPr>
        <w:t>地下水</w:t>
      </w:r>
      <w:r>
        <w:rPr>
          <w:rFonts w:hint="eastAsia"/>
          <w:color w:val="auto"/>
          <w:sz w:val="24"/>
          <w:highlight w:val="none"/>
        </w:rPr>
        <w:t>监测因子均符合《地下水质量标准》（GB/T14848-</w:t>
      </w:r>
      <w:r>
        <w:rPr>
          <w:rFonts w:hint="eastAsia"/>
          <w:color w:val="auto"/>
          <w:sz w:val="24"/>
          <w:highlight w:val="none"/>
          <w:lang w:val="en-US" w:eastAsia="zh-CN"/>
        </w:rPr>
        <w:t>2017</w:t>
      </w:r>
      <w:r>
        <w:rPr>
          <w:rFonts w:hint="eastAsia"/>
          <w:color w:val="auto"/>
          <w:sz w:val="24"/>
          <w:highlight w:val="none"/>
        </w:rPr>
        <w:t>）中的Ⅲ类标准</w:t>
      </w:r>
      <w:r>
        <w:rPr>
          <w:rFonts w:hint="eastAsia"/>
          <w:color w:val="auto"/>
          <w:sz w:val="24"/>
          <w:highlight w:val="none"/>
          <w:lang w:eastAsia="zh-CN"/>
        </w:rPr>
        <w:t>。</w:t>
      </w:r>
      <w:r>
        <w:rPr>
          <w:rFonts w:hint="eastAsia"/>
          <w:color w:val="auto"/>
          <w:sz w:val="24"/>
          <w:highlight w:val="none"/>
          <w:lang w:val="en-US" w:eastAsia="zh-CN"/>
        </w:rPr>
        <w:t>其中本项目特征污染物生化需氧量、化学需氧量、总磷、石油类均未检出，</w:t>
      </w:r>
      <w:r>
        <w:rPr>
          <w:rFonts w:hint="eastAsia"/>
          <w:color w:val="auto"/>
          <w:sz w:val="24"/>
          <w:highlight w:val="none"/>
          <w:lang w:val="en-US" w:eastAsia="zh-CN"/>
        </w:rPr>
        <w:t>氨氮现状浓度在0.406mg/L~0.486mg/L之间，</w:t>
      </w:r>
      <w:r>
        <w:rPr>
          <w:rFonts w:hint="eastAsia"/>
          <w:color w:val="auto"/>
          <w:sz w:val="24"/>
          <w:highlight w:val="none"/>
          <w:lang w:val="en-US" w:eastAsia="zh-CN"/>
        </w:rPr>
        <w:t>总氮现状浓度在1.02mg/L~1.39mg/L之间，</w:t>
      </w:r>
      <w:r>
        <w:rPr>
          <w:rFonts w:hint="eastAsia" w:ascii="Times New Roman" w:hAnsi="Times New Roman" w:eastAsia="宋体"/>
          <w:color w:val="auto"/>
          <w:sz w:val="24"/>
          <w:highlight w:val="none"/>
          <w:lang w:val="en-US" w:eastAsia="zh-CN"/>
        </w:rPr>
        <w:t>可用作本</w:t>
      </w:r>
      <w:r>
        <w:rPr>
          <w:rFonts w:hint="eastAsia"/>
          <w:color w:val="auto"/>
          <w:sz w:val="24"/>
          <w:highlight w:val="none"/>
          <w:lang w:val="en-US" w:eastAsia="zh-CN"/>
        </w:rPr>
        <w:t>项目地下水本底值，日后与地下水例行监测数据对比，可判断本项目的运行对地下水是否产生污染。</w:t>
      </w:r>
    </w:p>
    <w:p w14:paraId="021828EC">
      <w:pPr>
        <w:pStyle w:val="4"/>
        <w:spacing w:after="163"/>
        <w:rPr>
          <w:rFonts w:cs="Times New Roman"/>
          <w:color w:val="auto"/>
          <w:highlight w:val="none"/>
          <w:lang w:val="zh-CN"/>
        </w:rPr>
      </w:pPr>
      <w:bookmarkStart w:id="269" w:name="_Toc28135"/>
      <w:r>
        <w:rPr>
          <w:rFonts w:cs="Times New Roman"/>
          <w:color w:val="auto"/>
          <w:highlight w:val="none"/>
          <w:lang w:val="zh-CN"/>
        </w:rPr>
        <w:t>4.2.</w:t>
      </w:r>
      <w:r>
        <w:rPr>
          <w:rFonts w:cs="Times New Roman"/>
          <w:color w:val="auto"/>
          <w:highlight w:val="none"/>
        </w:rPr>
        <w:t>4</w:t>
      </w:r>
      <w:r>
        <w:rPr>
          <w:rFonts w:cs="Times New Roman"/>
          <w:color w:val="auto"/>
          <w:highlight w:val="none"/>
          <w:lang w:val="zh-CN"/>
        </w:rPr>
        <w:t xml:space="preserve"> 声环境质量现状监测与评价</w:t>
      </w:r>
      <w:bookmarkEnd w:id="269"/>
    </w:p>
    <w:p w14:paraId="1F5980B2">
      <w:pPr>
        <w:rPr>
          <w:rFonts w:ascii="Times New Roman" w:hAnsi="Times New Roman" w:eastAsia="宋体" w:cs="Times New Roman"/>
          <w:color w:val="auto"/>
          <w:highlight w:val="none"/>
        </w:rPr>
      </w:pPr>
      <w:r>
        <w:rPr>
          <w:rFonts w:cs="Times New Roman"/>
          <w:color w:val="auto"/>
          <w:highlight w:val="none"/>
        </w:rPr>
        <w:t>本次环评声环境质量现状评</w:t>
      </w:r>
      <w:r>
        <w:rPr>
          <w:rFonts w:ascii="Times New Roman" w:hAnsi="Times New Roman" w:eastAsia="宋体" w:cs="Times New Roman"/>
          <w:color w:val="auto"/>
          <w:highlight w:val="none"/>
        </w:rPr>
        <w:t>价委托</w:t>
      </w:r>
      <w:r>
        <w:rPr>
          <w:rFonts w:hint="eastAsia" w:ascii="Times New Roman" w:hAnsi="Times New Roman" w:eastAsia="宋体" w:cs="Times New Roman"/>
          <w:color w:val="auto"/>
          <w:highlight w:val="none"/>
          <w:lang w:eastAsia="zh-CN"/>
        </w:rPr>
        <w:t>黑龙江汉风环境检测技术有限公司</w:t>
      </w:r>
      <w:r>
        <w:rPr>
          <w:rFonts w:ascii="Times New Roman" w:hAnsi="Times New Roman" w:eastAsia="宋体" w:cs="Times New Roman"/>
          <w:color w:val="auto"/>
          <w:highlight w:val="none"/>
        </w:rPr>
        <w:t>进行监测。</w:t>
      </w:r>
    </w:p>
    <w:p w14:paraId="169FC9DF">
      <w:pPr>
        <w:ind w:firstLine="482"/>
        <w:rPr>
          <w:rFonts w:cs="Times New Roman"/>
          <w:b/>
          <w:bCs/>
          <w:color w:val="auto"/>
          <w:highlight w:val="none"/>
        </w:rPr>
      </w:pPr>
      <w:r>
        <w:rPr>
          <w:rFonts w:cs="Times New Roman"/>
          <w:b/>
          <w:bCs/>
          <w:color w:val="auto"/>
          <w:highlight w:val="none"/>
        </w:rPr>
        <w:t>1、监测点位</w:t>
      </w:r>
    </w:p>
    <w:p w14:paraId="548EA683">
      <w:pPr>
        <w:rPr>
          <w:rFonts w:cs="Times New Roman"/>
          <w:color w:val="auto"/>
          <w:highlight w:val="none"/>
        </w:rPr>
      </w:pPr>
      <w:r>
        <w:rPr>
          <w:rFonts w:cs="Times New Roman"/>
          <w:color w:val="auto"/>
          <w:highlight w:val="none"/>
        </w:rPr>
        <w:t>根据本工程所处具体位置、厂区总平面布置、主要噪声源位置及周边环境状况，本次评价厂区围共布设</w:t>
      </w:r>
      <w:r>
        <w:rPr>
          <w:rFonts w:hint="eastAsia" w:cs="Times New Roman"/>
          <w:color w:val="auto"/>
          <w:highlight w:val="none"/>
          <w:lang w:val="en-US" w:eastAsia="zh-CN"/>
        </w:rPr>
        <w:t>5</w:t>
      </w:r>
      <w:r>
        <w:rPr>
          <w:rFonts w:cs="Times New Roman"/>
          <w:color w:val="auto"/>
          <w:highlight w:val="none"/>
        </w:rPr>
        <w:t>个监测点，具体位置见下表和图4</w:t>
      </w:r>
      <w:r>
        <w:rPr>
          <w:rFonts w:hint="eastAsia" w:cs="Times New Roman"/>
          <w:color w:val="auto"/>
          <w:highlight w:val="none"/>
          <w:lang w:val="en-US" w:eastAsia="zh-CN"/>
        </w:rPr>
        <w:t>.</w:t>
      </w:r>
      <w:r>
        <w:rPr>
          <w:rFonts w:cs="Times New Roman"/>
          <w:color w:val="auto"/>
          <w:highlight w:val="none"/>
        </w:rPr>
        <w:t>2-1。</w:t>
      </w:r>
    </w:p>
    <w:p w14:paraId="677200B6">
      <w:pPr>
        <w:adjustRightInd/>
        <w:snapToGrid/>
        <w:spacing w:line="240" w:lineRule="auto"/>
        <w:ind w:firstLine="0" w:firstLineChars="0"/>
        <w:jc w:val="both"/>
        <w:rPr>
          <w:rFonts w:cs="Times New Roman"/>
          <w:b/>
          <w:color w:val="auto"/>
          <w:szCs w:val="24"/>
          <w:highlight w:val="none"/>
        </w:rPr>
      </w:pPr>
    </w:p>
    <w:p w14:paraId="3560D298">
      <w:pPr>
        <w:adjustRightInd/>
        <w:snapToGrid/>
        <w:spacing w:line="240" w:lineRule="auto"/>
        <w:ind w:firstLine="0" w:firstLineChars="0"/>
        <w:jc w:val="center"/>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2-1</w:t>
      </w:r>
      <w:r>
        <w:rPr>
          <w:rFonts w:hint="eastAsia" w:cs="Times New Roman"/>
          <w:b/>
          <w:color w:val="auto"/>
          <w:szCs w:val="24"/>
          <w:highlight w:val="none"/>
          <w:lang w:val="en-US" w:eastAsia="zh-CN"/>
        </w:rPr>
        <w:t>3</w:t>
      </w:r>
      <w:r>
        <w:rPr>
          <w:rFonts w:cs="Times New Roman"/>
          <w:b/>
          <w:color w:val="auto"/>
          <w:szCs w:val="24"/>
          <w:highlight w:val="none"/>
        </w:rPr>
        <w:t xml:space="preserve">  噪声监测布点一览表</w:t>
      </w:r>
    </w:p>
    <w:tbl>
      <w:tblPr>
        <w:tblStyle w:val="47"/>
        <w:tblW w:w="867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50"/>
        <w:gridCol w:w="2902"/>
        <w:gridCol w:w="3626"/>
      </w:tblGrid>
      <w:tr w14:paraId="23D932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41" w:hRule="atLeast"/>
        </w:trPr>
        <w:tc>
          <w:tcPr>
            <w:tcW w:w="2150" w:type="dxa"/>
            <w:vAlign w:val="center"/>
          </w:tcPr>
          <w:p w14:paraId="277C7D4A">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测点编号</w:t>
            </w:r>
          </w:p>
        </w:tc>
        <w:tc>
          <w:tcPr>
            <w:tcW w:w="2902" w:type="dxa"/>
            <w:vAlign w:val="center"/>
          </w:tcPr>
          <w:p w14:paraId="332C41DB">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测点名称</w:t>
            </w:r>
          </w:p>
        </w:tc>
        <w:tc>
          <w:tcPr>
            <w:tcW w:w="3626" w:type="dxa"/>
            <w:vAlign w:val="center"/>
          </w:tcPr>
          <w:p w14:paraId="4BECAC1A">
            <w:pPr>
              <w:pStyle w:val="459"/>
              <w:autoSpaceDE w:val="0"/>
              <w:autoSpaceDN w:val="0"/>
              <w:adjustRightInd w:val="0"/>
              <w:snapToGrid w:val="0"/>
              <w:spacing w:line="360" w:lineRule="exact"/>
              <w:textAlignment w:val="bottom"/>
              <w:rPr>
                <w:rFonts w:ascii="Times New Roman" w:hAnsi="Times New Roman"/>
                <w:color w:val="auto"/>
                <w:kern w:val="2"/>
                <w:sz w:val="21"/>
                <w:szCs w:val="21"/>
                <w:highlight w:val="none"/>
              </w:rPr>
            </w:pPr>
            <w:r>
              <w:rPr>
                <w:rFonts w:ascii="Times New Roman" w:hAnsi="Times New Roman"/>
                <w:color w:val="auto"/>
                <w:kern w:val="2"/>
                <w:sz w:val="21"/>
                <w:szCs w:val="21"/>
                <w:highlight w:val="none"/>
              </w:rPr>
              <w:t>测点位置</w:t>
            </w:r>
          </w:p>
        </w:tc>
      </w:tr>
      <w:tr w14:paraId="31AD1C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2150" w:type="dxa"/>
            <w:vAlign w:val="center"/>
          </w:tcPr>
          <w:p w14:paraId="0983A7A0">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1#</w:t>
            </w:r>
          </w:p>
        </w:tc>
        <w:tc>
          <w:tcPr>
            <w:tcW w:w="2902" w:type="dxa"/>
            <w:vAlign w:val="center"/>
          </w:tcPr>
          <w:p w14:paraId="6F60FCFE">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北侧厂界</w:t>
            </w:r>
          </w:p>
        </w:tc>
        <w:tc>
          <w:tcPr>
            <w:tcW w:w="3626" w:type="dxa"/>
            <w:vAlign w:val="center"/>
          </w:tcPr>
          <w:p w14:paraId="16768DE4">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厂界外1m处</w:t>
            </w:r>
          </w:p>
        </w:tc>
      </w:tr>
      <w:tr w14:paraId="3563F8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2150" w:type="dxa"/>
            <w:vAlign w:val="center"/>
          </w:tcPr>
          <w:p w14:paraId="028EEC05">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2#</w:t>
            </w:r>
          </w:p>
        </w:tc>
        <w:tc>
          <w:tcPr>
            <w:tcW w:w="2902" w:type="dxa"/>
            <w:vAlign w:val="center"/>
          </w:tcPr>
          <w:p w14:paraId="29979471">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东侧厂界</w:t>
            </w:r>
          </w:p>
        </w:tc>
        <w:tc>
          <w:tcPr>
            <w:tcW w:w="3626" w:type="dxa"/>
            <w:vAlign w:val="center"/>
          </w:tcPr>
          <w:p w14:paraId="299577FC">
            <w:pPr>
              <w:pStyle w:val="459"/>
              <w:autoSpaceDE w:val="0"/>
              <w:autoSpaceDN w:val="0"/>
              <w:adjustRightInd w:val="0"/>
              <w:snapToGrid w:val="0"/>
              <w:spacing w:line="360" w:lineRule="exact"/>
              <w:textAlignment w:val="bottom"/>
              <w:rPr>
                <w:rFonts w:ascii="Times New Roman" w:hAnsi="Times New Roman"/>
                <w:color w:val="auto"/>
                <w:kern w:val="2"/>
                <w:sz w:val="21"/>
                <w:szCs w:val="21"/>
                <w:highlight w:val="none"/>
              </w:rPr>
            </w:pPr>
            <w:r>
              <w:rPr>
                <w:rFonts w:ascii="Times New Roman" w:hAnsi="Times New Roman"/>
                <w:color w:val="auto"/>
                <w:kern w:val="2"/>
                <w:sz w:val="21"/>
                <w:szCs w:val="21"/>
                <w:highlight w:val="none"/>
              </w:rPr>
              <w:t>厂界外1m处</w:t>
            </w:r>
          </w:p>
        </w:tc>
      </w:tr>
      <w:tr w14:paraId="3D292E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2150" w:type="dxa"/>
            <w:vAlign w:val="center"/>
          </w:tcPr>
          <w:p w14:paraId="43F7E8E8">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3#</w:t>
            </w:r>
          </w:p>
        </w:tc>
        <w:tc>
          <w:tcPr>
            <w:tcW w:w="2902" w:type="dxa"/>
            <w:vAlign w:val="center"/>
          </w:tcPr>
          <w:p w14:paraId="6063BF7D">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南侧厂界</w:t>
            </w:r>
          </w:p>
        </w:tc>
        <w:tc>
          <w:tcPr>
            <w:tcW w:w="3626" w:type="dxa"/>
            <w:vAlign w:val="center"/>
          </w:tcPr>
          <w:p w14:paraId="41C3F1E2">
            <w:pPr>
              <w:pStyle w:val="460"/>
              <w:autoSpaceDE w:val="0"/>
              <w:autoSpaceDN w:val="0"/>
              <w:spacing w:line="360" w:lineRule="exact"/>
              <w:textAlignment w:val="bottom"/>
              <w:rPr>
                <w:rFonts w:ascii="Times New Roman" w:hAnsi="Times New Roman" w:eastAsia="宋体"/>
                <w:color w:val="auto"/>
                <w:kern w:val="2"/>
                <w:sz w:val="21"/>
                <w:szCs w:val="21"/>
                <w:highlight w:val="none"/>
              </w:rPr>
            </w:pPr>
            <w:r>
              <w:rPr>
                <w:rFonts w:ascii="Times New Roman" w:hAnsi="Times New Roman" w:eastAsia="宋体"/>
                <w:color w:val="auto"/>
                <w:kern w:val="2"/>
                <w:sz w:val="21"/>
                <w:szCs w:val="21"/>
                <w:highlight w:val="none"/>
              </w:rPr>
              <w:t>厂界外1m处</w:t>
            </w:r>
          </w:p>
        </w:tc>
      </w:tr>
      <w:tr w14:paraId="4D21E9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2" w:hRule="atLeast"/>
        </w:trPr>
        <w:tc>
          <w:tcPr>
            <w:tcW w:w="2150" w:type="dxa"/>
            <w:vAlign w:val="center"/>
          </w:tcPr>
          <w:p w14:paraId="4A8A6DF3">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4#</w:t>
            </w:r>
          </w:p>
        </w:tc>
        <w:tc>
          <w:tcPr>
            <w:tcW w:w="2902" w:type="dxa"/>
            <w:vAlign w:val="center"/>
          </w:tcPr>
          <w:p w14:paraId="687C7580">
            <w:pPr>
              <w:autoSpaceDE w:val="0"/>
              <w:autoSpaceDN w:val="0"/>
              <w:spacing w:line="360" w:lineRule="exact"/>
              <w:ind w:firstLine="0" w:firstLineChars="0"/>
              <w:jc w:val="center"/>
              <w:textAlignment w:val="bottom"/>
              <w:rPr>
                <w:rFonts w:cs="Times New Roman"/>
                <w:color w:val="auto"/>
                <w:sz w:val="21"/>
                <w:szCs w:val="21"/>
                <w:highlight w:val="none"/>
              </w:rPr>
            </w:pPr>
            <w:r>
              <w:rPr>
                <w:rFonts w:cs="Times New Roman"/>
                <w:color w:val="auto"/>
                <w:sz w:val="21"/>
                <w:szCs w:val="21"/>
                <w:highlight w:val="none"/>
              </w:rPr>
              <w:t>西侧厂界</w:t>
            </w:r>
          </w:p>
        </w:tc>
        <w:tc>
          <w:tcPr>
            <w:tcW w:w="3626" w:type="dxa"/>
            <w:vAlign w:val="center"/>
          </w:tcPr>
          <w:p w14:paraId="64FBADBC">
            <w:pPr>
              <w:pStyle w:val="460"/>
              <w:autoSpaceDE w:val="0"/>
              <w:autoSpaceDN w:val="0"/>
              <w:spacing w:line="360" w:lineRule="exact"/>
              <w:textAlignment w:val="bottom"/>
              <w:rPr>
                <w:rFonts w:ascii="Times New Roman" w:hAnsi="Times New Roman" w:eastAsia="宋体"/>
                <w:color w:val="auto"/>
                <w:kern w:val="2"/>
                <w:sz w:val="21"/>
                <w:szCs w:val="21"/>
                <w:highlight w:val="none"/>
              </w:rPr>
            </w:pPr>
            <w:r>
              <w:rPr>
                <w:rFonts w:ascii="Times New Roman" w:hAnsi="Times New Roman" w:eastAsia="宋体"/>
                <w:color w:val="auto"/>
                <w:kern w:val="2"/>
                <w:sz w:val="21"/>
                <w:szCs w:val="21"/>
                <w:highlight w:val="none"/>
              </w:rPr>
              <w:t>厂界外1m处</w:t>
            </w:r>
          </w:p>
        </w:tc>
      </w:tr>
      <w:tr w14:paraId="317422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2" w:hRule="atLeast"/>
        </w:trPr>
        <w:tc>
          <w:tcPr>
            <w:tcW w:w="2150" w:type="dxa"/>
            <w:vAlign w:val="center"/>
          </w:tcPr>
          <w:p w14:paraId="557A53C7">
            <w:pPr>
              <w:autoSpaceDE w:val="0"/>
              <w:autoSpaceDN w:val="0"/>
              <w:spacing w:line="360" w:lineRule="exact"/>
              <w:ind w:firstLine="0" w:firstLineChars="0"/>
              <w:jc w:val="center"/>
              <w:textAlignment w:val="bottom"/>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2902" w:type="dxa"/>
            <w:vAlign w:val="center"/>
          </w:tcPr>
          <w:p w14:paraId="38032135">
            <w:pPr>
              <w:autoSpaceDE w:val="0"/>
              <w:autoSpaceDN w:val="0"/>
              <w:spacing w:line="360" w:lineRule="exact"/>
              <w:ind w:firstLine="0" w:firstLineChars="0"/>
              <w:jc w:val="center"/>
              <w:textAlignment w:val="bottom"/>
              <w:rPr>
                <w:rFonts w:cs="Times New Roman"/>
                <w:color w:val="auto"/>
                <w:sz w:val="21"/>
                <w:szCs w:val="21"/>
                <w:highlight w:val="none"/>
              </w:rPr>
            </w:pPr>
            <w:r>
              <w:rPr>
                <w:rFonts w:ascii="Times New Roman" w:hAnsi="Times New Roman" w:eastAsia="宋体" w:cs="Times New Roman"/>
                <w:color w:val="auto"/>
                <w:sz w:val="21"/>
                <w:szCs w:val="21"/>
                <w:highlight w:val="none"/>
              </w:rPr>
              <w:t>厂界</w:t>
            </w:r>
            <w:r>
              <w:rPr>
                <w:rFonts w:hint="eastAsia" w:ascii="Times New Roman" w:hAnsi="Times New Roman" w:eastAsia="宋体" w:cs="Times New Roman"/>
                <w:color w:val="auto"/>
                <w:sz w:val="21"/>
                <w:szCs w:val="21"/>
                <w:highlight w:val="none"/>
                <w:lang w:val="en-US" w:eastAsia="zh-CN"/>
              </w:rPr>
              <w:t>西侧居民</w:t>
            </w:r>
          </w:p>
        </w:tc>
        <w:tc>
          <w:tcPr>
            <w:tcW w:w="3626" w:type="dxa"/>
            <w:vAlign w:val="center"/>
          </w:tcPr>
          <w:p w14:paraId="1B685377">
            <w:pPr>
              <w:pStyle w:val="460"/>
              <w:autoSpaceDE w:val="0"/>
              <w:autoSpaceDN w:val="0"/>
              <w:spacing w:line="360" w:lineRule="exact"/>
              <w:textAlignment w:val="bottom"/>
              <w:rPr>
                <w:rFonts w:hint="default" w:ascii="Times New Roman" w:hAnsi="Times New Roman" w:eastAsia="宋体"/>
                <w:color w:val="auto"/>
                <w:kern w:val="2"/>
                <w:sz w:val="21"/>
                <w:szCs w:val="21"/>
                <w:highlight w:val="none"/>
                <w:lang w:val="en-US" w:eastAsia="zh-CN"/>
              </w:rPr>
            </w:pPr>
            <w:r>
              <w:rPr>
                <w:rFonts w:hint="eastAsia" w:ascii="Times New Roman" w:hAnsi="Times New Roman" w:eastAsia="宋体"/>
                <w:color w:val="auto"/>
                <w:kern w:val="2"/>
                <w:sz w:val="21"/>
                <w:szCs w:val="21"/>
                <w:highlight w:val="none"/>
                <w:lang w:val="en-US" w:eastAsia="zh-CN"/>
              </w:rPr>
              <w:t>居民区</w:t>
            </w:r>
          </w:p>
        </w:tc>
      </w:tr>
    </w:tbl>
    <w:p w14:paraId="7DD5E0CA">
      <w:pPr>
        <w:spacing w:before="163" w:beforeLines="50"/>
        <w:ind w:firstLine="482"/>
        <w:rPr>
          <w:rFonts w:cs="Times New Roman"/>
          <w:b/>
          <w:bCs/>
          <w:color w:val="auto"/>
          <w:kern w:val="0"/>
          <w:highlight w:val="none"/>
          <w:lang w:val="zh-CN"/>
        </w:rPr>
      </w:pPr>
      <w:r>
        <w:rPr>
          <w:rFonts w:cs="Times New Roman"/>
          <w:b/>
          <w:bCs/>
          <w:color w:val="auto"/>
          <w:highlight w:val="none"/>
        </w:rPr>
        <w:t>2、监测时间和频率</w:t>
      </w:r>
    </w:p>
    <w:p w14:paraId="21F0C5AD">
      <w:pPr>
        <w:rPr>
          <w:rFonts w:hint="eastAsia" w:eastAsia="宋体" w:cs="Times New Roman"/>
          <w:color w:val="auto"/>
          <w:kern w:val="0"/>
          <w:highlight w:val="none"/>
          <w:lang w:eastAsia="zh-CN"/>
        </w:rPr>
      </w:pPr>
      <w:r>
        <w:rPr>
          <w:rFonts w:cs="Times New Roman"/>
          <w:color w:val="auto"/>
          <w:highlight w:val="none"/>
        </w:rPr>
        <w:t>202</w:t>
      </w:r>
      <w:r>
        <w:rPr>
          <w:rFonts w:hint="eastAsia" w:cs="Times New Roman"/>
          <w:color w:val="auto"/>
          <w:highlight w:val="none"/>
          <w:lang w:val="en-US" w:eastAsia="zh-CN"/>
        </w:rPr>
        <w:t>5</w:t>
      </w:r>
      <w:r>
        <w:rPr>
          <w:rFonts w:cs="Times New Roman"/>
          <w:color w:val="auto"/>
          <w:highlight w:val="none"/>
        </w:rPr>
        <w:t>年</w:t>
      </w:r>
      <w:r>
        <w:rPr>
          <w:rFonts w:hint="eastAsia" w:cs="Times New Roman"/>
          <w:color w:val="auto"/>
          <w:highlight w:val="none"/>
          <w:lang w:val="en-US" w:eastAsia="zh-CN"/>
        </w:rPr>
        <w:t>8</w:t>
      </w:r>
      <w:r>
        <w:rPr>
          <w:rFonts w:cs="Times New Roman"/>
          <w:color w:val="auto"/>
          <w:highlight w:val="none"/>
        </w:rPr>
        <w:t>月</w:t>
      </w:r>
      <w:r>
        <w:rPr>
          <w:rFonts w:hint="eastAsia" w:cs="Times New Roman"/>
          <w:color w:val="auto"/>
          <w:highlight w:val="none"/>
          <w:lang w:val="en-US" w:eastAsia="zh-CN"/>
        </w:rPr>
        <w:t>16</w:t>
      </w:r>
      <w:r>
        <w:rPr>
          <w:rFonts w:cs="Times New Roman"/>
          <w:color w:val="auto"/>
          <w:highlight w:val="none"/>
        </w:rPr>
        <w:t>日~</w:t>
      </w:r>
      <w:r>
        <w:rPr>
          <w:rFonts w:hint="eastAsia" w:cs="Times New Roman"/>
          <w:color w:val="auto"/>
          <w:highlight w:val="none"/>
          <w:lang w:val="en-US" w:eastAsia="zh-CN"/>
        </w:rPr>
        <w:t>17</w:t>
      </w:r>
      <w:r>
        <w:rPr>
          <w:rFonts w:cs="Times New Roman"/>
          <w:color w:val="auto"/>
          <w:highlight w:val="none"/>
        </w:rPr>
        <w:t>日进行，连续监测2天，昼夜各</w:t>
      </w:r>
      <w:r>
        <w:rPr>
          <w:rFonts w:hint="eastAsia" w:cs="Times New Roman"/>
          <w:color w:val="auto"/>
          <w:highlight w:val="none"/>
          <w:lang w:val="en-US" w:eastAsia="zh-CN"/>
        </w:rPr>
        <w:t>1</w:t>
      </w:r>
      <w:r>
        <w:rPr>
          <w:rFonts w:cs="Times New Roman"/>
          <w:color w:val="auto"/>
          <w:highlight w:val="none"/>
        </w:rPr>
        <w:t>次</w:t>
      </w:r>
      <w:r>
        <w:rPr>
          <w:rFonts w:hint="eastAsia" w:cs="Times New Roman"/>
          <w:color w:val="auto"/>
          <w:highlight w:val="none"/>
          <w:lang w:eastAsia="zh-CN"/>
        </w:rPr>
        <w:t>。</w:t>
      </w:r>
    </w:p>
    <w:p w14:paraId="5980055F">
      <w:pPr>
        <w:ind w:firstLine="482"/>
        <w:rPr>
          <w:rFonts w:cs="Times New Roman"/>
          <w:b/>
          <w:bCs/>
          <w:color w:val="auto"/>
          <w:highlight w:val="none"/>
        </w:rPr>
      </w:pPr>
      <w:r>
        <w:rPr>
          <w:rFonts w:cs="Times New Roman"/>
          <w:b/>
          <w:bCs/>
          <w:color w:val="auto"/>
          <w:highlight w:val="none"/>
        </w:rPr>
        <w:t>3、监测结果及评价</w:t>
      </w:r>
    </w:p>
    <w:p w14:paraId="51098863">
      <w:pPr>
        <w:pStyle w:val="458"/>
        <w:keepNext w:val="0"/>
        <w:keepLines w:val="0"/>
        <w:pageBreakBefore w:val="0"/>
        <w:widowControl w:val="0"/>
        <w:kinsoku/>
        <w:wordWrap/>
        <w:overflowPunct/>
        <w:topLinePunct w:val="0"/>
        <w:autoSpaceDE/>
        <w:autoSpaceDN/>
        <w:bidi w:val="0"/>
        <w:spacing w:line="520" w:lineRule="atLeast"/>
        <w:textAlignment w:val="auto"/>
        <w:rPr>
          <w:rFonts w:cs="Times New Roman"/>
          <w:color w:val="auto"/>
          <w:highlight w:val="none"/>
        </w:rPr>
      </w:pPr>
      <w:r>
        <w:rPr>
          <w:rFonts w:cs="Times New Roman"/>
          <w:color w:val="auto"/>
          <w:highlight w:val="none"/>
        </w:rPr>
        <w:t>环境噪声监测结果见下表。</w:t>
      </w:r>
    </w:p>
    <w:p w14:paraId="153F648D">
      <w:pPr>
        <w:keepNext w:val="0"/>
        <w:keepLines w:val="0"/>
        <w:pageBreakBefore w:val="0"/>
        <w:widowControl w:val="0"/>
        <w:kinsoku/>
        <w:wordWrap/>
        <w:overflowPunct/>
        <w:topLinePunct w:val="0"/>
        <w:autoSpaceDE/>
        <w:autoSpaceDN/>
        <w:bidi w:val="0"/>
        <w:adjustRightInd/>
        <w:snapToGrid/>
        <w:spacing w:line="520" w:lineRule="atLeast"/>
        <w:ind w:firstLine="0" w:firstLineChars="0"/>
        <w:jc w:val="center"/>
        <w:textAlignment w:val="auto"/>
        <w:rPr>
          <w:rFonts w:cs="Times New Roman"/>
          <w:b/>
          <w:color w:val="auto"/>
          <w:szCs w:val="24"/>
          <w:highlight w:val="none"/>
        </w:rPr>
      </w:pPr>
      <w:r>
        <w:rPr>
          <w:rFonts w:cs="Times New Roman"/>
          <w:b/>
          <w:color w:val="auto"/>
          <w:szCs w:val="24"/>
          <w:highlight w:val="none"/>
        </w:rPr>
        <w:t>表4</w:t>
      </w:r>
      <w:r>
        <w:rPr>
          <w:rFonts w:hint="eastAsia" w:cs="Times New Roman"/>
          <w:b/>
          <w:color w:val="auto"/>
          <w:szCs w:val="24"/>
          <w:highlight w:val="none"/>
          <w:lang w:val="en-US" w:eastAsia="zh-CN"/>
        </w:rPr>
        <w:t>.</w:t>
      </w:r>
      <w:r>
        <w:rPr>
          <w:rFonts w:cs="Times New Roman"/>
          <w:b/>
          <w:color w:val="auto"/>
          <w:szCs w:val="24"/>
          <w:highlight w:val="none"/>
        </w:rPr>
        <w:t>2-1</w:t>
      </w:r>
      <w:r>
        <w:rPr>
          <w:rFonts w:hint="eastAsia" w:cs="Times New Roman"/>
          <w:b/>
          <w:color w:val="auto"/>
          <w:szCs w:val="24"/>
          <w:highlight w:val="none"/>
          <w:lang w:val="en-US" w:eastAsia="zh-CN"/>
        </w:rPr>
        <w:t>4</w:t>
      </w:r>
      <w:r>
        <w:rPr>
          <w:rFonts w:cs="Times New Roman"/>
          <w:b/>
          <w:color w:val="auto"/>
          <w:szCs w:val="24"/>
          <w:highlight w:val="none"/>
        </w:rPr>
        <w:t xml:space="preserve">  环境噪声现状监测结果表        单位：dB(A)</w:t>
      </w:r>
    </w:p>
    <w:tbl>
      <w:tblPr>
        <w:tblStyle w:val="4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24"/>
        <w:gridCol w:w="1780"/>
        <w:gridCol w:w="1479"/>
        <w:gridCol w:w="1480"/>
        <w:gridCol w:w="1482"/>
        <w:gridCol w:w="1480"/>
      </w:tblGrid>
      <w:tr w14:paraId="1A9000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83" w:type="pct"/>
            <w:vMerge w:val="restart"/>
            <w:tcBorders>
              <w:tl2br w:val="nil"/>
              <w:tr2bl w:val="nil"/>
            </w:tcBorders>
            <w:noWrap w:val="0"/>
            <w:vAlign w:val="center"/>
          </w:tcPr>
          <w:p w14:paraId="31651B0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序号</w:t>
            </w:r>
          </w:p>
        </w:tc>
        <w:tc>
          <w:tcPr>
            <w:tcW w:w="1044" w:type="pct"/>
            <w:vMerge w:val="restart"/>
            <w:tcBorders>
              <w:tl2br w:val="nil"/>
              <w:tr2bl w:val="nil"/>
            </w:tcBorders>
            <w:noWrap w:val="0"/>
            <w:vAlign w:val="center"/>
          </w:tcPr>
          <w:p w14:paraId="76F6ED95">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采样点位</w:t>
            </w:r>
          </w:p>
        </w:tc>
        <w:tc>
          <w:tcPr>
            <w:tcW w:w="1735" w:type="pct"/>
            <w:gridSpan w:val="2"/>
            <w:tcBorders>
              <w:tl2br w:val="nil"/>
              <w:tr2bl w:val="nil"/>
            </w:tcBorders>
            <w:noWrap w:val="0"/>
            <w:vAlign w:val="center"/>
          </w:tcPr>
          <w:p w14:paraId="139FECD3">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检测结果</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dB（A）</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2025.08.16</w:t>
            </w:r>
          </w:p>
        </w:tc>
        <w:tc>
          <w:tcPr>
            <w:tcW w:w="1737" w:type="pct"/>
            <w:gridSpan w:val="2"/>
            <w:tcBorders>
              <w:tl2br w:val="nil"/>
              <w:tr2bl w:val="nil"/>
            </w:tcBorders>
            <w:noWrap w:val="0"/>
            <w:vAlign w:val="center"/>
          </w:tcPr>
          <w:p w14:paraId="7E1FC579">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检测结果</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dB（A）</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2025.08.1</w:t>
            </w:r>
            <w:r>
              <w:rPr>
                <w:rFonts w:hint="eastAsia" w:ascii="Times New Roman" w:hAnsi="Times New Roman" w:eastAsia="宋体" w:cs="Times New Roman"/>
                <w:color w:val="auto"/>
                <w:sz w:val="21"/>
                <w:szCs w:val="21"/>
                <w:highlight w:val="none"/>
                <w:lang w:val="en-US" w:eastAsia="zh-CN"/>
              </w:rPr>
              <w:t>7</w:t>
            </w:r>
          </w:p>
        </w:tc>
      </w:tr>
      <w:tr w14:paraId="3A099E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83" w:type="pct"/>
            <w:vMerge w:val="continue"/>
            <w:tcBorders>
              <w:tl2br w:val="nil"/>
              <w:tr2bl w:val="nil"/>
            </w:tcBorders>
            <w:noWrap w:val="0"/>
            <w:vAlign w:val="center"/>
          </w:tcPr>
          <w:p w14:paraId="238FE81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rPr>
            </w:pPr>
          </w:p>
        </w:tc>
        <w:tc>
          <w:tcPr>
            <w:tcW w:w="1044" w:type="pct"/>
            <w:vMerge w:val="continue"/>
            <w:tcBorders>
              <w:tl2br w:val="nil"/>
              <w:tr2bl w:val="nil"/>
            </w:tcBorders>
            <w:noWrap w:val="0"/>
            <w:vAlign w:val="center"/>
          </w:tcPr>
          <w:p w14:paraId="4217507B">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eastAsia="zh-CN"/>
              </w:rPr>
            </w:pPr>
          </w:p>
        </w:tc>
        <w:tc>
          <w:tcPr>
            <w:tcW w:w="867" w:type="pct"/>
            <w:tcBorders>
              <w:tl2br w:val="nil"/>
              <w:tr2bl w:val="nil"/>
            </w:tcBorders>
            <w:noWrap w:val="0"/>
            <w:vAlign w:val="center"/>
          </w:tcPr>
          <w:p w14:paraId="2470C723">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昼间</w:t>
            </w:r>
          </w:p>
        </w:tc>
        <w:tc>
          <w:tcPr>
            <w:tcW w:w="867" w:type="pct"/>
            <w:tcBorders>
              <w:tl2br w:val="nil"/>
              <w:tr2bl w:val="nil"/>
            </w:tcBorders>
            <w:noWrap w:val="0"/>
            <w:vAlign w:val="center"/>
          </w:tcPr>
          <w:p w14:paraId="29C43F00">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夜间</w:t>
            </w:r>
          </w:p>
        </w:tc>
        <w:tc>
          <w:tcPr>
            <w:tcW w:w="869" w:type="pct"/>
            <w:tcBorders>
              <w:tl2br w:val="nil"/>
              <w:tr2bl w:val="nil"/>
            </w:tcBorders>
            <w:noWrap w:val="0"/>
            <w:vAlign w:val="center"/>
          </w:tcPr>
          <w:p w14:paraId="2A3FD2B1">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昼间</w:t>
            </w:r>
          </w:p>
        </w:tc>
        <w:tc>
          <w:tcPr>
            <w:tcW w:w="867" w:type="pct"/>
            <w:tcBorders>
              <w:tl2br w:val="nil"/>
              <w:tr2bl w:val="nil"/>
            </w:tcBorders>
            <w:noWrap w:val="0"/>
            <w:vAlign w:val="center"/>
          </w:tcPr>
          <w:p w14:paraId="75E01846">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夜间</w:t>
            </w:r>
          </w:p>
        </w:tc>
      </w:tr>
      <w:tr w14:paraId="14050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3" w:type="pct"/>
            <w:tcBorders>
              <w:tl2br w:val="nil"/>
              <w:tr2bl w:val="nil"/>
            </w:tcBorders>
            <w:noWrap w:val="0"/>
            <w:vAlign w:val="center"/>
          </w:tcPr>
          <w:p w14:paraId="083B4704">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val="en-US" w:eastAsia="zh-CN"/>
              </w:rPr>
              <w:t>#</w:t>
            </w:r>
          </w:p>
        </w:tc>
        <w:tc>
          <w:tcPr>
            <w:tcW w:w="1044" w:type="pct"/>
            <w:tcBorders>
              <w:tl2br w:val="nil"/>
              <w:tr2bl w:val="nil"/>
            </w:tcBorders>
            <w:noWrap w:val="0"/>
            <w:vAlign w:val="center"/>
          </w:tcPr>
          <w:p w14:paraId="1E3F92AD">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厂界</w:t>
            </w:r>
            <w:r>
              <w:rPr>
                <w:rFonts w:hint="eastAsia" w:ascii="Times New Roman" w:hAnsi="Times New Roman" w:eastAsia="宋体" w:cs="Times New Roman"/>
                <w:color w:val="auto"/>
                <w:sz w:val="21"/>
                <w:szCs w:val="21"/>
                <w:highlight w:val="none"/>
                <w:lang w:val="en-US" w:eastAsia="zh-CN"/>
              </w:rPr>
              <w:t>北侧</w:t>
            </w:r>
          </w:p>
        </w:tc>
        <w:tc>
          <w:tcPr>
            <w:tcW w:w="867" w:type="pct"/>
            <w:tcBorders>
              <w:tl2br w:val="nil"/>
              <w:tr2bl w:val="nil"/>
            </w:tcBorders>
            <w:noWrap w:val="0"/>
            <w:vAlign w:val="center"/>
          </w:tcPr>
          <w:p w14:paraId="40F91C61">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55</w:t>
            </w:r>
          </w:p>
        </w:tc>
        <w:tc>
          <w:tcPr>
            <w:tcW w:w="867" w:type="pct"/>
            <w:tcBorders>
              <w:tl2br w:val="nil"/>
              <w:tr2bl w:val="nil"/>
            </w:tcBorders>
            <w:noWrap w:val="0"/>
            <w:vAlign w:val="center"/>
          </w:tcPr>
          <w:p w14:paraId="062E0B2F">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46</w:t>
            </w:r>
          </w:p>
        </w:tc>
        <w:tc>
          <w:tcPr>
            <w:tcW w:w="869" w:type="pct"/>
            <w:tcBorders>
              <w:tl2br w:val="nil"/>
              <w:tr2bl w:val="nil"/>
            </w:tcBorders>
            <w:noWrap w:val="0"/>
            <w:vAlign w:val="center"/>
          </w:tcPr>
          <w:p w14:paraId="406E56C0">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56</w:t>
            </w:r>
          </w:p>
        </w:tc>
        <w:tc>
          <w:tcPr>
            <w:tcW w:w="867" w:type="pct"/>
            <w:tcBorders>
              <w:tl2br w:val="nil"/>
              <w:tr2bl w:val="nil"/>
            </w:tcBorders>
            <w:noWrap w:val="0"/>
            <w:vAlign w:val="center"/>
          </w:tcPr>
          <w:p w14:paraId="576B1489">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48</w:t>
            </w:r>
          </w:p>
        </w:tc>
      </w:tr>
      <w:tr w14:paraId="458DCC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3" w:type="pct"/>
            <w:tcBorders>
              <w:tl2br w:val="nil"/>
              <w:tr2bl w:val="nil"/>
            </w:tcBorders>
            <w:noWrap w:val="0"/>
            <w:vAlign w:val="center"/>
          </w:tcPr>
          <w:p w14:paraId="33AE1FAA">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2#</w:t>
            </w:r>
          </w:p>
        </w:tc>
        <w:tc>
          <w:tcPr>
            <w:tcW w:w="1044" w:type="pct"/>
            <w:tcBorders>
              <w:tl2br w:val="nil"/>
              <w:tr2bl w:val="nil"/>
            </w:tcBorders>
            <w:noWrap w:val="0"/>
            <w:vAlign w:val="center"/>
          </w:tcPr>
          <w:p w14:paraId="00595B9B">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厂界</w:t>
            </w:r>
            <w:r>
              <w:rPr>
                <w:rFonts w:hint="eastAsia" w:ascii="Times New Roman" w:hAnsi="Times New Roman" w:eastAsia="宋体" w:cs="Times New Roman"/>
                <w:color w:val="auto"/>
                <w:sz w:val="21"/>
                <w:szCs w:val="21"/>
                <w:highlight w:val="none"/>
                <w:lang w:val="en-US" w:eastAsia="zh-CN"/>
              </w:rPr>
              <w:t>东侧</w:t>
            </w:r>
          </w:p>
        </w:tc>
        <w:tc>
          <w:tcPr>
            <w:tcW w:w="867" w:type="pct"/>
            <w:tcBorders>
              <w:tl2br w:val="nil"/>
              <w:tr2bl w:val="nil"/>
            </w:tcBorders>
            <w:noWrap w:val="0"/>
            <w:vAlign w:val="center"/>
          </w:tcPr>
          <w:p w14:paraId="20AEBD34">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53</w:t>
            </w:r>
          </w:p>
        </w:tc>
        <w:tc>
          <w:tcPr>
            <w:tcW w:w="867" w:type="pct"/>
            <w:tcBorders>
              <w:tl2br w:val="nil"/>
              <w:tr2bl w:val="nil"/>
            </w:tcBorders>
            <w:noWrap w:val="0"/>
            <w:vAlign w:val="center"/>
          </w:tcPr>
          <w:p w14:paraId="542727D4">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46</w:t>
            </w:r>
          </w:p>
        </w:tc>
        <w:tc>
          <w:tcPr>
            <w:tcW w:w="869" w:type="pct"/>
            <w:tcBorders>
              <w:tl2br w:val="nil"/>
              <w:tr2bl w:val="nil"/>
            </w:tcBorders>
            <w:noWrap w:val="0"/>
            <w:vAlign w:val="center"/>
          </w:tcPr>
          <w:p w14:paraId="3D102B1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54</w:t>
            </w:r>
          </w:p>
        </w:tc>
        <w:tc>
          <w:tcPr>
            <w:tcW w:w="867" w:type="pct"/>
            <w:tcBorders>
              <w:tl2br w:val="nil"/>
              <w:tr2bl w:val="nil"/>
            </w:tcBorders>
            <w:noWrap w:val="0"/>
            <w:vAlign w:val="center"/>
          </w:tcPr>
          <w:p w14:paraId="3733BCFC">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45</w:t>
            </w:r>
          </w:p>
        </w:tc>
      </w:tr>
      <w:tr w14:paraId="32FCA7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3" w:type="pct"/>
            <w:tcBorders>
              <w:tl2br w:val="nil"/>
              <w:tr2bl w:val="nil"/>
            </w:tcBorders>
            <w:noWrap w:val="0"/>
            <w:vAlign w:val="center"/>
          </w:tcPr>
          <w:p w14:paraId="410F1E09">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3#</w:t>
            </w:r>
          </w:p>
        </w:tc>
        <w:tc>
          <w:tcPr>
            <w:tcW w:w="1044" w:type="pct"/>
            <w:tcBorders>
              <w:tl2br w:val="nil"/>
              <w:tr2bl w:val="nil"/>
            </w:tcBorders>
            <w:noWrap w:val="0"/>
            <w:vAlign w:val="center"/>
          </w:tcPr>
          <w:p w14:paraId="1F2090B6">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s="Times New Roman"/>
                <w:color w:val="auto"/>
                <w:sz w:val="21"/>
                <w:szCs w:val="21"/>
                <w:highlight w:val="none"/>
              </w:rPr>
              <w:t>厂界</w:t>
            </w:r>
            <w:r>
              <w:rPr>
                <w:rFonts w:hint="eastAsia" w:ascii="Times New Roman" w:hAnsi="Times New Roman" w:eastAsia="宋体" w:cs="Times New Roman"/>
                <w:color w:val="auto"/>
                <w:sz w:val="21"/>
                <w:szCs w:val="21"/>
                <w:highlight w:val="none"/>
                <w:lang w:val="en-US" w:eastAsia="zh-CN"/>
              </w:rPr>
              <w:t>南侧</w:t>
            </w:r>
          </w:p>
        </w:tc>
        <w:tc>
          <w:tcPr>
            <w:tcW w:w="867" w:type="pct"/>
            <w:tcBorders>
              <w:tl2br w:val="nil"/>
              <w:tr2bl w:val="nil"/>
            </w:tcBorders>
            <w:noWrap w:val="0"/>
            <w:vAlign w:val="center"/>
          </w:tcPr>
          <w:p w14:paraId="2F5EDBD1">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867" w:type="pct"/>
            <w:tcBorders>
              <w:tl2br w:val="nil"/>
              <w:tr2bl w:val="nil"/>
            </w:tcBorders>
            <w:noWrap w:val="0"/>
            <w:vAlign w:val="center"/>
          </w:tcPr>
          <w:p w14:paraId="7AA9F313">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44</w:t>
            </w:r>
          </w:p>
        </w:tc>
        <w:tc>
          <w:tcPr>
            <w:tcW w:w="869" w:type="pct"/>
            <w:tcBorders>
              <w:tl2br w:val="nil"/>
              <w:tr2bl w:val="nil"/>
            </w:tcBorders>
            <w:noWrap w:val="0"/>
            <w:vAlign w:val="center"/>
          </w:tcPr>
          <w:p w14:paraId="05C47CBD">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867" w:type="pct"/>
            <w:tcBorders>
              <w:tl2br w:val="nil"/>
              <w:tr2bl w:val="nil"/>
            </w:tcBorders>
            <w:noWrap w:val="0"/>
            <w:vAlign w:val="center"/>
          </w:tcPr>
          <w:p w14:paraId="2522DCC9">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45</w:t>
            </w:r>
          </w:p>
        </w:tc>
      </w:tr>
      <w:tr w14:paraId="3B515E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3" w:type="pct"/>
            <w:tcBorders>
              <w:tl2br w:val="nil"/>
              <w:tr2bl w:val="nil"/>
            </w:tcBorders>
            <w:noWrap w:val="0"/>
            <w:vAlign w:val="center"/>
          </w:tcPr>
          <w:p w14:paraId="587530D5">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4#</w:t>
            </w:r>
          </w:p>
        </w:tc>
        <w:tc>
          <w:tcPr>
            <w:tcW w:w="1044" w:type="pct"/>
            <w:tcBorders>
              <w:tl2br w:val="nil"/>
              <w:tr2bl w:val="nil"/>
            </w:tcBorders>
            <w:noWrap w:val="0"/>
            <w:vAlign w:val="center"/>
          </w:tcPr>
          <w:p w14:paraId="6145300C">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s="Times New Roman"/>
                <w:color w:val="auto"/>
                <w:sz w:val="21"/>
                <w:szCs w:val="21"/>
                <w:highlight w:val="none"/>
              </w:rPr>
              <w:t>厂界</w:t>
            </w:r>
            <w:r>
              <w:rPr>
                <w:rFonts w:hint="eastAsia" w:ascii="Times New Roman" w:hAnsi="Times New Roman" w:eastAsia="宋体" w:cs="Times New Roman"/>
                <w:color w:val="auto"/>
                <w:sz w:val="21"/>
                <w:szCs w:val="21"/>
                <w:highlight w:val="none"/>
                <w:lang w:val="en-US" w:eastAsia="zh-CN"/>
              </w:rPr>
              <w:t>西侧</w:t>
            </w:r>
          </w:p>
        </w:tc>
        <w:tc>
          <w:tcPr>
            <w:tcW w:w="867" w:type="pct"/>
            <w:tcBorders>
              <w:tl2br w:val="nil"/>
              <w:tr2bl w:val="nil"/>
            </w:tcBorders>
            <w:noWrap w:val="0"/>
            <w:vAlign w:val="center"/>
          </w:tcPr>
          <w:p w14:paraId="4EA2DDA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54</w:t>
            </w:r>
          </w:p>
        </w:tc>
        <w:tc>
          <w:tcPr>
            <w:tcW w:w="867" w:type="pct"/>
            <w:tcBorders>
              <w:tl2br w:val="nil"/>
              <w:tr2bl w:val="nil"/>
            </w:tcBorders>
            <w:noWrap w:val="0"/>
            <w:vAlign w:val="center"/>
          </w:tcPr>
          <w:p w14:paraId="0BB1DCB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47</w:t>
            </w:r>
          </w:p>
        </w:tc>
        <w:tc>
          <w:tcPr>
            <w:tcW w:w="869" w:type="pct"/>
            <w:tcBorders>
              <w:tl2br w:val="nil"/>
              <w:tr2bl w:val="nil"/>
            </w:tcBorders>
            <w:noWrap w:val="0"/>
            <w:vAlign w:val="center"/>
          </w:tcPr>
          <w:p w14:paraId="1FAAD2F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54</w:t>
            </w:r>
          </w:p>
        </w:tc>
        <w:tc>
          <w:tcPr>
            <w:tcW w:w="867" w:type="pct"/>
            <w:tcBorders>
              <w:tl2br w:val="nil"/>
              <w:tr2bl w:val="nil"/>
            </w:tcBorders>
            <w:noWrap w:val="0"/>
            <w:vAlign w:val="center"/>
          </w:tcPr>
          <w:p w14:paraId="5B2786CE">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47</w:t>
            </w:r>
          </w:p>
        </w:tc>
      </w:tr>
      <w:tr w14:paraId="411BC1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3" w:type="pct"/>
            <w:tcBorders>
              <w:tl2br w:val="nil"/>
              <w:tr2bl w:val="nil"/>
            </w:tcBorders>
            <w:noWrap w:val="0"/>
            <w:vAlign w:val="center"/>
          </w:tcPr>
          <w:p w14:paraId="39593E15">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5#</w:t>
            </w:r>
          </w:p>
        </w:tc>
        <w:tc>
          <w:tcPr>
            <w:tcW w:w="1044" w:type="pct"/>
            <w:tcBorders>
              <w:tl2br w:val="nil"/>
              <w:tr2bl w:val="nil"/>
            </w:tcBorders>
            <w:noWrap w:val="0"/>
            <w:vAlign w:val="center"/>
          </w:tcPr>
          <w:p w14:paraId="4CF9EB5F">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s="Times New Roman"/>
                <w:color w:val="auto"/>
                <w:sz w:val="21"/>
                <w:szCs w:val="21"/>
                <w:highlight w:val="none"/>
              </w:rPr>
              <w:t>厂界</w:t>
            </w:r>
            <w:r>
              <w:rPr>
                <w:rFonts w:hint="eastAsia" w:ascii="Times New Roman" w:hAnsi="Times New Roman" w:eastAsia="宋体" w:cs="Times New Roman"/>
                <w:color w:val="auto"/>
                <w:sz w:val="21"/>
                <w:szCs w:val="21"/>
                <w:highlight w:val="none"/>
                <w:lang w:val="en-US" w:eastAsia="zh-CN"/>
              </w:rPr>
              <w:t>西侧居民</w:t>
            </w:r>
          </w:p>
        </w:tc>
        <w:tc>
          <w:tcPr>
            <w:tcW w:w="867" w:type="pct"/>
            <w:tcBorders>
              <w:tl2br w:val="nil"/>
              <w:tr2bl w:val="nil"/>
            </w:tcBorders>
            <w:noWrap w:val="0"/>
            <w:vAlign w:val="center"/>
          </w:tcPr>
          <w:p w14:paraId="78B07A09">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867" w:type="pct"/>
            <w:tcBorders>
              <w:tl2br w:val="nil"/>
              <w:tr2bl w:val="nil"/>
            </w:tcBorders>
            <w:noWrap w:val="0"/>
            <w:vAlign w:val="center"/>
          </w:tcPr>
          <w:p w14:paraId="5AECB9F5">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44</w:t>
            </w:r>
          </w:p>
        </w:tc>
        <w:tc>
          <w:tcPr>
            <w:tcW w:w="869" w:type="pct"/>
            <w:tcBorders>
              <w:tl2br w:val="nil"/>
              <w:tr2bl w:val="nil"/>
            </w:tcBorders>
            <w:noWrap w:val="0"/>
            <w:vAlign w:val="center"/>
          </w:tcPr>
          <w:p w14:paraId="3BC9D187">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53</w:t>
            </w:r>
          </w:p>
        </w:tc>
        <w:tc>
          <w:tcPr>
            <w:tcW w:w="867" w:type="pct"/>
            <w:tcBorders>
              <w:tl2br w:val="nil"/>
              <w:tr2bl w:val="nil"/>
            </w:tcBorders>
            <w:noWrap w:val="0"/>
            <w:vAlign w:val="center"/>
          </w:tcPr>
          <w:p w14:paraId="6356C7E8">
            <w:pPr>
              <w:autoSpaceDE w:val="0"/>
              <w:autoSpaceDN w:val="0"/>
              <w:spacing w:line="360" w:lineRule="exact"/>
              <w:ind w:firstLine="0" w:firstLineChars="0"/>
              <w:jc w:val="center"/>
              <w:textAlignment w:val="bottom"/>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44</w:t>
            </w:r>
          </w:p>
        </w:tc>
      </w:tr>
    </w:tbl>
    <w:p w14:paraId="027640FE">
      <w:pPr>
        <w:keepNext w:val="0"/>
        <w:keepLines w:val="0"/>
        <w:pageBreakBefore w:val="0"/>
        <w:widowControl w:val="0"/>
        <w:kinsoku/>
        <w:wordWrap/>
        <w:overflowPunct/>
        <w:topLinePunct w:val="0"/>
        <w:autoSpaceDE/>
        <w:autoSpaceDN/>
        <w:bidi w:val="0"/>
        <w:adjustRightInd w:val="0"/>
        <w:snapToGrid w:val="0"/>
        <w:spacing w:before="164" w:beforeLines="50"/>
        <w:textAlignment w:val="auto"/>
        <w:rPr>
          <w:rFonts w:cs="Times New Roman"/>
          <w:color w:val="auto"/>
          <w:highlight w:val="none"/>
        </w:rPr>
      </w:pPr>
      <w:r>
        <w:rPr>
          <w:rFonts w:cs="Times New Roman"/>
          <w:color w:val="auto"/>
          <w:highlight w:val="none"/>
        </w:rPr>
        <w:t>由监测数据可知，</w:t>
      </w:r>
      <w:r>
        <w:rPr>
          <w:rFonts w:hint="eastAsia" w:cs="Times New Roman"/>
          <w:color w:val="auto"/>
          <w:highlight w:val="none"/>
          <w:lang w:val="en-US" w:eastAsia="zh-CN"/>
        </w:rPr>
        <w:t>项目</w:t>
      </w:r>
      <w:r>
        <w:rPr>
          <w:rFonts w:hint="eastAsia"/>
          <w:color w:val="auto"/>
          <w:highlight w:val="none"/>
          <w:lang w:val="en-US" w:eastAsia="zh-CN"/>
        </w:rPr>
        <w:t>厂界</w:t>
      </w:r>
      <w:r>
        <w:rPr>
          <w:rFonts w:cs="Times New Roman"/>
          <w:color w:val="auto"/>
          <w:highlight w:val="none"/>
        </w:rPr>
        <w:t>各监测点位昼夜噪声值均满足《声环境质量标准》（GB3096-2008）</w:t>
      </w:r>
      <w:r>
        <w:rPr>
          <w:rFonts w:hint="eastAsia" w:cs="Times New Roman"/>
          <w:color w:val="auto"/>
          <w:highlight w:val="none"/>
          <w:lang w:val="en-US" w:eastAsia="zh-CN"/>
        </w:rPr>
        <w:t>2</w:t>
      </w:r>
      <w:r>
        <w:rPr>
          <w:rFonts w:cs="Times New Roman"/>
          <w:color w:val="auto"/>
          <w:highlight w:val="none"/>
        </w:rPr>
        <w:t>类标准要求，</w:t>
      </w:r>
      <w:r>
        <w:rPr>
          <w:rFonts w:hint="eastAsia" w:cs="Times New Roman"/>
          <w:color w:val="auto"/>
          <w:highlight w:val="none"/>
          <w:lang w:val="en-US" w:eastAsia="zh-CN"/>
        </w:rPr>
        <w:t>本项目西侧居民区敏感点噪声昼夜噪声值均满足</w:t>
      </w:r>
      <w:r>
        <w:rPr>
          <w:rFonts w:cs="Times New Roman"/>
          <w:color w:val="auto"/>
          <w:highlight w:val="none"/>
        </w:rPr>
        <w:t>《声环境质量标准》（GB3096-2008）</w:t>
      </w:r>
      <w:r>
        <w:rPr>
          <w:rFonts w:hint="eastAsia" w:cs="Times New Roman"/>
          <w:color w:val="auto"/>
          <w:highlight w:val="none"/>
          <w:lang w:val="en-US" w:eastAsia="zh-CN"/>
        </w:rPr>
        <w:t>2</w:t>
      </w:r>
      <w:r>
        <w:rPr>
          <w:rFonts w:cs="Times New Roman"/>
          <w:color w:val="auto"/>
          <w:highlight w:val="none"/>
        </w:rPr>
        <w:t>类标准要求</w:t>
      </w:r>
      <w:r>
        <w:rPr>
          <w:rFonts w:hint="eastAsia" w:cs="Times New Roman"/>
          <w:color w:val="auto"/>
          <w:highlight w:val="none"/>
          <w:lang w:eastAsia="zh-CN"/>
        </w:rPr>
        <w:t>。</w:t>
      </w:r>
      <w:r>
        <w:rPr>
          <w:rFonts w:cs="Times New Roman"/>
          <w:color w:val="auto"/>
          <w:highlight w:val="none"/>
        </w:rPr>
        <w:t>项目所在地声环境质量良好。</w:t>
      </w:r>
    </w:p>
    <w:p w14:paraId="7BCC2D15">
      <w:pPr>
        <w:pStyle w:val="3"/>
        <w:spacing w:before="163" w:after="163"/>
        <w:rPr>
          <w:rFonts w:cs="Times New Roman"/>
          <w:color w:val="auto"/>
          <w:highlight w:val="none"/>
        </w:rPr>
      </w:pPr>
      <w:bookmarkStart w:id="270" w:name="_Toc57412932"/>
      <w:bookmarkStart w:id="271" w:name="_Toc9808"/>
      <w:r>
        <w:rPr>
          <w:rFonts w:cs="Times New Roman"/>
          <w:color w:val="auto"/>
          <w:highlight w:val="none"/>
        </w:rPr>
        <w:t>4.3环境保护目标调查</w:t>
      </w:r>
      <w:bookmarkEnd w:id="270"/>
      <w:bookmarkEnd w:id="271"/>
    </w:p>
    <w:p w14:paraId="7EF1E138">
      <w:pPr>
        <w:pStyle w:val="4"/>
        <w:spacing w:after="163"/>
        <w:rPr>
          <w:rFonts w:hint="eastAsia" w:cs="Times New Roman"/>
          <w:color w:val="auto"/>
          <w:highlight w:val="none"/>
          <w:lang w:val="en-US" w:eastAsia="zh-CN"/>
        </w:rPr>
      </w:pPr>
      <w:bookmarkStart w:id="272" w:name="_Toc141"/>
      <w:r>
        <w:rPr>
          <w:rFonts w:cs="Times New Roman"/>
          <w:color w:val="auto"/>
          <w:highlight w:val="none"/>
        </w:rPr>
        <w:t>4.</w:t>
      </w:r>
      <w:r>
        <w:rPr>
          <w:rFonts w:hint="eastAsia" w:cs="Times New Roman"/>
          <w:color w:val="auto"/>
          <w:highlight w:val="none"/>
          <w:lang w:val="en-US" w:eastAsia="zh-CN"/>
        </w:rPr>
        <w:t>3</w:t>
      </w:r>
      <w:r>
        <w:rPr>
          <w:rFonts w:cs="Times New Roman"/>
          <w:color w:val="auto"/>
          <w:highlight w:val="none"/>
        </w:rPr>
        <w:t>.1</w:t>
      </w:r>
      <w:r>
        <w:rPr>
          <w:rFonts w:hint="eastAsia" w:cs="Times New Roman"/>
          <w:color w:val="auto"/>
          <w:highlight w:val="none"/>
          <w:lang w:val="en-US" w:eastAsia="zh-CN"/>
        </w:rPr>
        <w:t>羊鼻山森林公园</w:t>
      </w:r>
      <w:bookmarkEnd w:id="272"/>
    </w:p>
    <w:p w14:paraId="3401420E">
      <w:pPr>
        <w:rPr>
          <w:rFonts w:hint="eastAsia" w:eastAsia="宋体" w:cs="Times New Roman"/>
          <w:color w:val="auto"/>
          <w:highlight w:val="none"/>
          <w:lang w:eastAsia="zh-CN"/>
        </w:rPr>
      </w:pPr>
      <w:r>
        <w:rPr>
          <w:rFonts w:cs="Times New Roman"/>
          <w:color w:val="auto"/>
          <w:highlight w:val="none"/>
        </w:rPr>
        <w:t>羊鼻山森林公园位于双鸭山市岭东区西南，距市中心15千米，总面积为101.69平方公里。2002年被列为市级天然次生森林自然保护区，现为省级森林公园，是双鸭山市最具有代表性、典型性、自然性的生态森林旅游区之一</w:t>
      </w:r>
      <w:r>
        <w:rPr>
          <w:rFonts w:hint="default" w:cs="Times New Roman"/>
          <w:color w:val="auto"/>
          <w:highlight w:val="none"/>
        </w:rPr>
        <w:t>。公园以大、小羊鼻山突兀地貌和美人湖、马蹄河等水域景观为特色，以天然次生林景观为主，形成崖险、峰翠、洞奇、石美的山岳景观</w:t>
      </w:r>
      <w:r>
        <w:rPr>
          <w:rFonts w:hint="eastAsia" w:cs="Times New Roman"/>
          <w:color w:val="auto"/>
          <w:highlight w:val="none"/>
          <w:lang w:eastAsia="zh-CN"/>
        </w:rPr>
        <w:t>。</w:t>
      </w:r>
    </w:p>
    <w:p w14:paraId="34236B1A">
      <w:pPr>
        <w:rPr>
          <w:rFonts w:hint="eastAsia" w:eastAsia="宋体" w:cs="Times New Roman"/>
          <w:color w:val="auto"/>
          <w:highlight w:val="none"/>
          <w:lang w:val="en-US" w:eastAsia="zh-CN"/>
        </w:rPr>
      </w:pPr>
      <w:r>
        <w:rPr>
          <w:rFonts w:cs="Times New Roman"/>
          <w:color w:val="auto"/>
          <w:highlight w:val="none"/>
        </w:rPr>
        <w:t>羊鼻山森林公园位于本项目</w:t>
      </w:r>
      <w:r>
        <w:rPr>
          <w:rFonts w:hint="eastAsia" w:cs="Times New Roman"/>
          <w:color w:val="auto"/>
          <w:highlight w:val="none"/>
          <w:lang w:val="en-US" w:eastAsia="zh-CN"/>
        </w:rPr>
        <w:t>西侧</w:t>
      </w:r>
      <w:r>
        <w:rPr>
          <w:rFonts w:cs="Times New Roman"/>
          <w:color w:val="auto"/>
          <w:highlight w:val="none"/>
        </w:rPr>
        <w:t>，距离本项目最近距离约</w:t>
      </w:r>
      <w:r>
        <w:rPr>
          <w:rFonts w:hint="eastAsia" w:cs="Times New Roman"/>
          <w:color w:val="auto"/>
          <w:highlight w:val="none"/>
          <w:lang w:val="en-US" w:eastAsia="zh-CN"/>
        </w:rPr>
        <w:t>6.268</w:t>
      </w:r>
      <w:r>
        <w:rPr>
          <w:rFonts w:cs="Times New Roman"/>
          <w:color w:val="auto"/>
          <w:highlight w:val="none"/>
        </w:rPr>
        <w:t>km。本项目与羊鼻山森林公园位置关系见图4</w:t>
      </w:r>
      <w:r>
        <w:rPr>
          <w:rFonts w:hint="eastAsia" w:cs="Times New Roman"/>
          <w:color w:val="auto"/>
          <w:highlight w:val="none"/>
          <w:lang w:val="en-US" w:eastAsia="zh-CN"/>
        </w:rPr>
        <w:t>.</w:t>
      </w:r>
      <w:r>
        <w:rPr>
          <w:rFonts w:cs="Times New Roman"/>
          <w:color w:val="auto"/>
          <w:highlight w:val="none"/>
        </w:rPr>
        <w:t>2-4。</w:t>
      </w:r>
      <w:r>
        <w:rPr>
          <w:rFonts w:hint="eastAsia" w:cs="Times New Roman"/>
          <w:color w:val="auto"/>
          <w:highlight w:val="none"/>
          <w:lang w:val="en-US" w:eastAsia="zh-CN"/>
        </w:rPr>
        <w:t xml:space="preserve"> </w:t>
      </w:r>
    </w:p>
    <w:p w14:paraId="02B01CF5">
      <w:pPr>
        <w:pStyle w:val="4"/>
        <w:spacing w:after="163"/>
        <w:rPr>
          <w:rFonts w:cs="Times New Roman"/>
          <w:color w:val="auto"/>
          <w:highlight w:val="none"/>
        </w:rPr>
      </w:pPr>
      <w:bookmarkStart w:id="273" w:name="_Toc16284"/>
      <w:r>
        <w:rPr>
          <w:rFonts w:cs="Times New Roman"/>
          <w:color w:val="auto"/>
          <w:highlight w:val="none"/>
        </w:rPr>
        <w:t>4.</w:t>
      </w:r>
      <w:r>
        <w:rPr>
          <w:rFonts w:hint="eastAsia" w:cs="Times New Roman"/>
          <w:color w:val="auto"/>
          <w:highlight w:val="none"/>
          <w:lang w:val="en-US" w:eastAsia="zh-CN"/>
        </w:rPr>
        <w:t>3</w:t>
      </w:r>
      <w:r>
        <w:rPr>
          <w:rFonts w:cs="Times New Roman"/>
          <w:color w:val="auto"/>
          <w:highlight w:val="none"/>
        </w:rPr>
        <w:t>.2青山国家森林公园</w:t>
      </w:r>
      <w:bookmarkEnd w:id="273"/>
    </w:p>
    <w:p w14:paraId="6C5703EF">
      <w:pPr>
        <w:rPr>
          <w:rFonts w:cs="Times New Roman"/>
          <w:color w:val="auto"/>
          <w:szCs w:val="24"/>
          <w:highlight w:val="none"/>
        </w:rPr>
      </w:pPr>
      <w:r>
        <w:rPr>
          <w:rFonts w:hint="default" w:cs="Times New Roman"/>
          <w:color w:val="auto"/>
          <w:szCs w:val="24"/>
          <w:highlight w:val="none"/>
          <w:lang w:val="en-US" w:eastAsia="zh-CN"/>
        </w:rPr>
        <w:t>黑龙江青山国家森林公园位于黑龙江省双鸭山市岭东区，地理坐标为东经130°56′13″-132°0′28″、北纬46°7′37″-46°35′2″，距市区18公里，总面积28485公顷。始建于1985年，2002年被评为国家森林公园，现为国家AAAA级旅游景区。公园划分为青山旅游区、鸭嘴石景区和安邦河红松母树林三大区域。</w:t>
      </w:r>
    </w:p>
    <w:p w14:paraId="0E7083B1">
      <w:pPr>
        <w:rPr>
          <w:rFonts w:hint="default" w:cs="Times New Roman"/>
          <w:color w:val="auto"/>
          <w:szCs w:val="24"/>
          <w:highlight w:val="none"/>
          <w:lang w:val="en-US" w:eastAsia="zh-CN"/>
        </w:rPr>
      </w:pPr>
      <w:r>
        <w:rPr>
          <w:rFonts w:hint="default" w:cs="Times New Roman"/>
          <w:color w:val="auto"/>
          <w:szCs w:val="24"/>
          <w:highlight w:val="none"/>
          <w:lang w:val="en-US" w:eastAsia="zh-CN"/>
        </w:rPr>
        <w:t>地处完达山脉北坡，最高峰石佛山海拔680米，森林覆盖率达82%。属温带大陆性季风气候，年平均气温4.4℃，年降水量400毫米。园内山峰错落，泉溪纵横，设有九峰禅寺、星月湖、万米阳光浴场等景观设施，并拥有红松原始林和针阔混交林植被。</w:t>
      </w:r>
    </w:p>
    <w:p w14:paraId="01E8889D">
      <w:pPr>
        <w:pStyle w:val="27"/>
        <w:rPr>
          <w:rFonts w:cs="Times New Roman"/>
          <w:color w:val="auto"/>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rFonts w:hint="default" w:cs="Times New Roman"/>
          <w:color w:val="auto"/>
          <w:szCs w:val="24"/>
          <w:highlight w:val="none"/>
          <w:lang w:val="en-US" w:eastAsia="zh-CN"/>
        </w:rPr>
        <w:t>青山国家森林公园</w:t>
      </w:r>
      <w:r>
        <w:rPr>
          <w:rFonts w:cs="Times New Roman"/>
          <w:color w:val="auto"/>
          <w:highlight w:val="none"/>
        </w:rPr>
        <w:t>位于本项目</w:t>
      </w:r>
      <w:r>
        <w:rPr>
          <w:rFonts w:hint="eastAsia" w:cs="Times New Roman"/>
          <w:color w:val="auto"/>
          <w:highlight w:val="none"/>
          <w:lang w:val="en-US" w:eastAsia="zh-CN"/>
        </w:rPr>
        <w:t>西南侧</w:t>
      </w:r>
      <w:r>
        <w:rPr>
          <w:rFonts w:cs="Times New Roman"/>
          <w:color w:val="auto"/>
          <w:highlight w:val="none"/>
        </w:rPr>
        <w:t>，距离本项目最近距离约</w:t>
      </w:r>
      <w:r>
        <w:rPr>
          <w:rFonts w:hint="eastAsia" w:cs="Times New Roman"/>
          <w:color w:val="auto"/>
          <w:highlight w:val="none"/>
          <w:lang w:val="en-US" w:eastAsia="zh-CN"/>
        </w:rPr>
        <w:t>2.3</w:t>
      </w:r>
      <w:r>
        <w:rPr>
          <w:rFonts w:cs="Times New Roman"/>
          <w:color w:val="auto"/>
          <w:highlight w:val="none"/>
        </w:rPr>
        <w:t>km。本项目与</w:t>
      </w:r>
      <w:r>
        <w:rPr>
          <w:rFonts w:hint="default" w:cs="Times New Roman"/>
          <w:color w:val="auto"/>
          <w:szCs w:val="24"/>
          <w:highlight w:val="none"/>
          <w:lang w:val="en-US" w:eastAsia="zh-CN"/>
        </w:rPr>
        <w:t>青山国家森林公园</w:t>
      </w:r>
      <w:r>
        <w:rPr>
          <w:rFonts w:cs="Times New Roman"/>
          <w:color w:val="auto"/>
          <w:highlight w:val="none"/>
        </w:rPr>
        <w:t>位置关系见图4</w:t>
      </w:r>
      <w:r>
        <w:rPr>
          <w:rFonts w:hint="eastAsia" w:cs="Times New Roman"/>
          <w:color w:val="auto"/>
          <w:highlight w:val="none"/>
          <w:lang w:val="en-US" w:eastAsia="zh-CN"/>
        </w:rPr>
        <w:t>.</w:t>
      </w:r>
      <w:r>
        <w:rPr>
          <w:rFonts w:cs="Times New Roman"/>
          <w:color w:val="auto"/>
          <w:highlight w:val="none"/>
        </w:rPr>
        <w:t>2-4。</w:t>
      </w:r>
    </w:p>
    <w:p w14:paraId="4968269C">
      <w:pPr>
        <w:rPr>
          <w:rFonts w:hint="default" w:cs="Times New Roman"/>
          <w:color w:val="auto"/>
          <w:szCs w:val="24"/>
          <w:highlight w:val="none"/>
          <w:lang w:val="en-US" w:eastAsia="zh-CN"/>
        </w:rPr>
      </w:pPr>
      <w:r>
        <w:rPr>
          <w:color w:val="auto"/>
          <w:highlight w:val="none"/>
        </w:rPr>
        <w:drawing>
          <wp:anchor distT="0" distB="0" distL="114300" distR="114300" simplePos="0" relativeHeight="251713536" behindDoc="1" locked="0" layoutInCell="1" allowOverlap="1">
            <wp:simplePos x="0" y="0"/>
            <wp:positionH relativeFrom="column">
              <wp:posOffset>-41275</wp:posOffset>
            </wp:positionH>
            <wp:positionV relativeFrom="paragraph">
              <wp:posOffset>113030</wp:posOffset>
            </wp:positionV>
            <wp:extent cx="9056370" cy="4501515"/>
            <wp:effectExtent l="0" t="0" r="11430" b="13335"/>
            <wp:wrapNone/>
            <wp:docPr id="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
                    <pic:cNvPicPr>
                      <a:picLocks noChangeAspect="1"/>
                    </pic:cNvPicPr>
                  </pic:nvPicPr>
                  <pic:blipFill>
                    <a:blip r:embed="rId46"/>
                    <a:stretch>
                      <a:fillRect/>
                    </a:stretch>
                  </pic:blipFill>
                  <pic:spPr>
                    <a:xfrm>
                      <a:off x="0" y="0"/>
                      <a:ext cx="9056370" cy="4501515"/>
                    </a:xfrm>
                    <a:prstGeom prst="rect">
                      <a:avLst/>
                    </a:prstGeom>
                    <a:noFill/>
                    <a:ln>
                      <a:noFill/>
                    </a:ln>
                  </pic:spPr>
                </pic:pic>
              </a:graphicData>
            </a:graphic>
          </wp:anchor>
        </w:drawing>
      </w:r>
      <w:r>
        <w:rPr>
          <w:color w:val="auto"/>
          <w:sz w:val="24"/>
          <w:highlight w:val="none"/>
        </w:rPr>
        <w:drawing>
          <wp:anchor distT="0" distB="0" distL="114300" distR="114300" simplePos="0" relativeHeight="251678720" behindDoc="0" locked="0" layoutInCell="1" allowOverlap="1">
            <wp:simplePos x="0" y="0"/>
            <wp:positionH relativeFrom="column">
              <wp:posOffset>8381365</wp:posOffset>
            </wp:positionH>
            <wp:positionV relativeFrom="paragraph">
              <wp:posOffset>147955</wp:posOffset>
            </wp:positionV>
            <wp:extent cx="628015" cy="635635"/>
            <wp:effectExtent l="0" t="0" r="635" b="12065"/>
            <wp:wrapNone/>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28"/>
                    <a:stretch>
                      <a:fillRect/>
                    </a:stretch>
                  </pic:blipFill>
                  <pic:spPr>
                    <a:xfrm>
                      <a:off x="5596255" y="4658360"/>
                      <a:ext cx="628015" cy="635635"/>
                    </a:xfrm>
                    <a:prstGeom prst="rect">
                      <a:avLst/>
                    </a:prstGeom>
                    <a:noFill/>
                    <a:ln>
                      <a:noFill/>
                    </a:ln>
                  </pic:spPr>
                </pic:pic>
              </a:graphicData>
            </a:graphic>
          </wp:anchor>
        </w:drawing>
      </w:r>
    </w:p>
    <w:p w14:paraId="5171B310">
      <w:pPr>
        <w:rPr>
          <w:rFonts w:hint="default" w:cs="Times New Roman"/>
          <w:color w:val="auto"/>
          <w:szCs w:val="24"/>
          <w:highlight w:val="none"/>
          <w:lang w:val="en-US" w:eastAsia="zh-CN"/>
        </w:rPr>
      </w:pPr>
    </w:p>
    <w:p w14:paraId="5D99D855">
      <w:pPr>
        <w:rPr>
          <w:rFonts w:hint="default" w:cs="Times New Roman"/>
          <w:color w:val="auto"/>
          <w:szCs w:val="24"/>
          <w:highlight w:val="none"/>
          <w:lang w:val="en-US" w:eastAsia="zh-CN"/>
        </w:rPr>
      </w:pPr>
    </w:p>
    <w:p w14:paraId="6E75B2FE">
      <w:pPr>
        <w:rPr>
          <w:rFonts w:hint="default" w:cs="Times New Roman"/>
          <w:color w:val="auto"/>
          <w:szCs w:val="24"/>
          <w:highlight w:val="none"/>
          <w:lang w:val="en-US" w:eastAsia="zh-CN"/>
        </w:rPr>
      </w:pPr>
    </w:p>
    <w:p w14:paraId="24B49F79">
      <w:pPr>
        <w:rPr>
          <w:rFonts w:hint="default" w:cs="Times New Roman"/>
          <w:color w:val="auto"/>
          <w:szCs w:val="24"/>
          <w:highlight w:val="none"/>
          <w:lang w:val="en-US" w:eastAsia="zh-CN"/>
        </w:rPr>
      </w:pPr>
    </w:p>
    <w:p w14:paraId="31378F47">
      <w:pPr>
        <w:rPr>
          <w:rFonts w:hint="default" w:cs="Times New Roman"/>
          <w:color w:val="auto"/>
          <w:szCs w:val="24"/>
          <w:highlight w:val="none"/>
          <w:lang w:val="en-US" w:eastAsia="zh-CN"/>
        </w:rPr>
      </w:pPr>
    </w:p>
    <w:p w14:paraId="015CE7C3">
      <w:pPr>
        <w:rPr>
          <w:rFonts w:hint="default" w:cs="Times New Roman"/>
          <w:color w:val="auto"/>
          <w:szCs w:val="24"/>
          <w:highlight w:val="none"/>
          <w:lang w:val="en-US" w:eastAsia="zh-CN"/>
        </w:rPr>
      </w:pPr>
      <w:r>
        <w:rPr>
          <w:color w:val="auto"/>
          <w:sz w:val="24"/>
          <w:highlight w:val="none"/>
        </w:rPr>
        <mc:AlternateContent>
          <mc:Choice Requires="wps">
            <w:drawing>
              <wp:anchor distT="0" distB="0" distL="114300" distR="114300" simplePos="0" relativeHeight="251712512" behindDoc="0" locked="0" layoutInCell="1" allowOverlap="1">
                <wp:simplePos x="0" y="0"/>
                <wp:positionH relativeFrom="column">
                  <wp:posOffset>6462395</wp:posOffset>
                </wp:positionH>
                <wp:positionV relativeFrom="paragraph">
                  <wp:posOffset>314960</wp:posOffset>
                </wp:positionV>
                <wp:extent cx="233680" cy="208280"/>
                <wp:effectExtent l="4445" t="4445" r="9525" b="15875"/>
                <wp:wrapNone/>
                <wp:docPr id="96" name="五角星 96"/>
                <wp:cNvGraphicFramePr/>
                <a:graphic xmlns:a="http://schemas.openxmlformats.org/drawingml/2006/main">
                  <a:graphicData uri="http://schemas.microsoft.com/office/word/2010/wordprocessingShape">
                    <wps:wsp>
                      <wps:cNvSpPr/>
                      <wps:spPr>
                        <a:xfrm>
                          <a:off x="7420610" y="3430270"/>
                          <a:ext cx="233680" cy="208280"/>
                        </a:xfrm>
                        <a:prstGeom prst="star5">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08.85pt;margin-top:24.8pt;height:16.4pt;width:18.4pt;z-index:251712512;v-text-anchor:middle;mso-width-relative:page;mso-height-relative:page;" fillcolor="#FF0000" filled="t" stroked="t" coordsize="233680,208280" o:gfxdata="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KP1Gg2AAAAAsBAAAPAAAAAAAAAAEAIAAAACIAAABkcnMvZG93&#10;bnJldi54bWxQSwECFAAUAAAACACHTuJAC4ODknICAADtBAAADgAAAAAAAAABACAAAAAnAQAAZHJz&#10;L2Uyb0RvYy54bWxQSwUGAAAAAAYABgBZAQAACwYAAAAA&#10;" path="m0,79555l89258,79556,116840,0,144421,79556,233679,79555,161468,128723,189050,208279,116840,159110,44629,208279,72211,128723xe">
                <v:path o:connectlocs="116840,0;0,79555;44629,208279;189050,208279;233679,79555" o:connectangles="247,164,82,82,0"/>
                <v:fill on="t" focussize="0,0"/>
                <v:stroke weight="0.25pt" color="#FF0000 [3204]" joinstyle="round"/>
                <v:imagedata o:title=""/>
                <o:lock v:ext="edit" aspectratio="f"/>
              </v:shape>
            </w:pict>
          </mc:Fallback>
        </mc:AlternateContent>
      </w:r>
    </w:p>
    <w:p w14:paraId="3F9FFFC7">
      <w:pPr>
        <w:rPr>
          <w:rFonts w:hint="default" w:cs="Times New Roman"/>
          <w:color w:val="auto"/>
          <w:szCs w:val="24"/>
          <w:highlight w:val="none"/>
          <w:lang w:val="en-US" w:eastAsia="zh-CN"/>
        </w:rPr>
      </w:pPr>
    </w:p>
    <w:p w14:paraId="7A43C1CA">
      <w:pPr>
        <w:rPr>
          <w:rFonts w:hint="default" w:cs="Times New Roman"/>
          <w:color w:val="auto"/>
          <w:szCs w:val="24"/>
          <w:highlight w:val="none"/>
          <w:lang w:val="en-US" w:eastAsia="zh-CN"/>
        </w:rPr>
      </w:pPr>
      <w:r>
        <w:rPr>
          <w:color w:val="auto"/>
          <w:sz w:val="24"/>
          <w:highlight w:val="none"/>
        </w:rPr>
        <mc:AlternateContent>
          <mc:Choice Requires="wps">
            <w:drawing>
              <wp:anchor distT="0" distB="0" distL="114300" distR="114300" simplePos="0" relativeHeight="251714560" behindDoc="0" locked="0" layoutInCell="1" allowOverlap="1">
                <wp:simplePos x="0" y="0"/>
                <wp:positionH relativeFrom="column">
                  <wp:posOffset>7363460</wp:posOffset>
                </wp:positionH>
                <wp:positionV relativeFrom="paragraph">
                  <wp:posOffset>295275</wp:posOffset>
                </wp:positionV>
                <wp:extent cx="1654175" cy="1774825"/>
                <wp:effectExtent l="4445" t="4445" r="17780" b="11430"/>
                <wp:wrapNone/>
                <wp:docPr id="110" name="文本框 110"/>
                <wp:cNvGraphicFramePr/>
                <a:graphic xmlns:a="http://schemas.openxmlformats.org/drawingml/2006/main">
                  <a:graphicData uri="http://schemas.microsoft.com/office/word/2010/wordprocessingShape">
                    <wps:wsp>
                      <wps:cNvSpPr txBox="1"/>
                      <wps:spPr>
                        <a:xfrm>
                          <a:off x="8277860" y="3976370"/>
                          <a:ext cx="1654175" cy="17748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11BA92D">
                            <w:pPr>
                              <w:ind w:left="0" w:leftChars="0" w:firstLine="0" w:firstLineChars="0"/>
                              <w:jc w:val="center"/>
                              <w:rPr>
                                <w:rFonts w:hint="eastAsia"/>
                                <w:sz w:val="21"/>
                                <w:szCs w:val="20"/>
                                <w:lang w:val="en-US" w:eastAsia="zh-CN"/>
                              </w:rPr>
                            </w:pPr>
                            <w:r>
                              <w:rPr>
                                <w:rFonts w:hint="eastAsia"/>
                                <w:sz w:val="21"/>
                                <w:szCs w:val="20"/>
                                <w:lang w:val="en-US" w:eastAsia="zh-CN"/>
                              </w:rPr>
                              <w:t>图例</w:t>
                            </w:r>
                          </w:p>
                          <w:p w14:paraId="7BE179EA">
                            <w:pPr>
                              <w:ind w:left="0" w:leftChars="0" w:firstLine="0" w:firstLineChars="0"/>
                              <w:jc w:val="both"/>
                              <w:rPr>
                                <w:rFonts w:hint="eastAsia"/>
                                <w:sz w:val="21"/>
                                <w:szCs w:val="20"/>
                                <w:lang w:val="en-US" w:eastAsia="zh-CN"/>
                              </w:rPr>
                            </w:pPr>
                            <w:r>
                              <w:rPr>
                                <w:rFonts w:hint="eastAsia"/>
                                <w:sz w:val="21"/>
                                <w:szCs w:val="20"/>
                                <w:lang w:val="en-US" w:eastAsia="zh-CN"/>
                              </w:rPr>
                              <w:t xml:space="preserve">   ：本项目</w:t>
                            </w:r>
                          </w:p>
                          <w:p w14:paraId="07C0BD59">
                            <w:pPr>
                              <w:ind w:left="0" w:leftChars="0" w:firstLine="0" w:firstLineChars="0"/>
                              <w:jc w:val="both"/>
                              <w:rPr>
                                <w:rFonts w:hint="default"/>
                                <w:sz w:val="21"/>
                                <w:szCs w:val="20"/>
                                <w:lang w:val="en-US" w:eastAsia="zh-CN"/>
                              </w:rPr>
                            </w:pPr>
                            <w:r>
                              <w:rPr>
                                <w:rFonts w:hint="eastAsia"/>
                                <w:sz w:val="21"/>
                                <w:szCs w:val="20"/>
                                <w:lang w:val="en-US" w:eastAsia="zh-CN"/>
                              </w:rPr>
                              <w:t xml:space="preserve">   ：</w:t>
                            </w:r>
                            <w:r>
                              <w:rPr>
                                <w:rFonts w:hint="default"/>
                                <w:sz w:val="21"/>
                                <w:szCs w:val="20"/>
                                <w:lang w:val="en-US" w:eastAsia="zh-CN"/>
                              </w:rPr>
                              <w:t>青山国家森林公园</w:t>
                            </w:r>
                          </w:p>
                          <w:p w14:paraId="3B417848">
                            <w:pPr>
                              <w:ind w:left="0" w:leftChars="0" w:firstLine="0" w:firstLineChars="0"/>
                              <w:jc w:val="both"/>
                              <w:rPr>
                                <w:rFonts w:hint="default"/>
                                <w:sz w:val="21"/>
                                <w:szCs w:val="20"/>
                                <w:lang w:val="en-US" w:eastAsia="zh-CN"/>
                              </w:rPr>
                            </w:pPr>
                            <w:r>
                              <w:rPr>
                                <w:rFonts w:hint="eastAsia"/>
                                <w:sz w:val="21"/>
                                <w:szCs w:val="20"/>
                                <w:lang w:val="en-US" w:eastAsia="zh-CN"/>
                              </w:rPr>
                              <w:t xml:space="preserve">   ：</w:t>
                            </w:r>
                            <w:r>
                              <w:rPr>
                                <w:rFonts w:hint="default"/>
                                <w:sz w:val="21"/>
                                <w:szCs w:val="20"/>
                                <w:lang w:val="en-US" w:eastAsia="zh-CN"/>
                              </w:rPr>
                              <w:t>羊鼻山森林公园</w:t>
                            </w:r>
                          </w:p>
                          <w:p w14:paraId="630562CB">
                            <w:pPr>
                              <w:ind w:left="0" w:leftChars="0" w:firstLine="0" w:firstLineChars="0"/>
                              <w:jc w:val="both"/>
                              <w:rPr>
                                <w:rFonts w:hint="default"/>
                                <w:sz w:val="21"/>
                                <w:szCs w:val="2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9.8pt;margin-top:23.25pt;height:139.75pt;width:130.25pt;z-index:251714560;mso-width-relative:page;mso-height-relative:page;" fillcolor="#FFFFFF [3201]" filled="t" stroked="t" coordsize="21600,21600" o:gfxdata="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kboiFNcAAAAMAQAADwAAAAAAAAABACAAAAAiAAAAZHJzL2Rvd25yZXYueG1sUEsBAhQA&#10;FAAAAAgAh07iQH02vodlAgAAyAQAAA4AAAAAAAAAAQAgAAAAJgEAAGRycy9lMm9Eb2MueG1sUEsF&#10;BgAAAAAGAAYAWQEAAP0FAAAAAA==&#10;">
                <v:fill on="t" focussize="0,0"/>
                <v:stroke weight="0.5pt" color="#000000 [3204]" joinstyle="round"/>
                <v:imagedata o:title=""/>
                <o:lock v:ext="edit" aspectratio="f"/>
                <v:textbox>
                  <w:txbxContent>
                    <w:p w14:paraId="511BA92D">
                      <w:pPr>
                        <w:ind w:left="0" w:leftChars="0" w:firstLine="0" w:firstLineChars="0"/>
                        <w:jc w:val="center"/>
                        <w:rPr>
                          <w:rFonts w:hint="eastAsia"/>
                          <w:sz w:val="21"/>
                          <w:szCs w:val="20"/>
                          <w:lang w:val="en-US" w:eastAsia="zh-CN"/>
                        </w:rPr>
                      </w:pPr>
                      <w:r>
                        <w:rPr>
                          <w:rFonts w:hint="eastAsia"/>
                          <w:sz w:val="21"/>
                          <w:szCs w:val="20"/>
                          <w:lang w:val="en-US" w:eastAsia="zh-CN"/>
                        </w:rPr>
                        <w:t>图例</w:t>
                      </w:r>
                    </w:p>
                    <w:p w14:paraId="7BE179EA">
                      <w:pPr>
                        <w:ind w:left="0" w:leftChars="0" w:firstLine="0" w:firstLineChars="0"/>
                        <w:jc w:val="both"/>
                        <w:rPr>
                          <w:rFonts w:hint="eastAsia"/>
                          <w:sz w:val="21"/>
                          <w:szCs w:val="20"/>
                          <w:lang w:val="en-US" w:eastAsia="zh-CN"/>
                        </w:rPr>
                      </w:pPr>
                      <w:r>
                        <w:rPr>
                          <w:rFonts w:hint="eastAsia"/>
                          <w:sz w:val="21"/>
                          <w:szCs w:val="20"/>
                          <w:lang w:val="en-US" w:eastAsia="zh-CN"/>
                        </w:rPr>
                        <w:t xml:space="preserve">   ：本项目</w:t>
                      </w:r>
                    </w:p>
                    <w:p w14:paraId="07C0BD59">
                      <w:pPr>
                        <w:ind w:left="0" w:leftChars="0" w:firstLine="0" w:firstLineChars="0"/>
                        <w:jc w:val="both"/>
                        <w:rPr>
                          <w:rFonts w:hint="default"/>
                          <w:sz w:val="21"/>
                          <w:szCs w:val="20"/>
                          <w:lang w:val="en-US" w:eastAsia="zh-CN"/>
                        </w:rPr>
                      </w:pPr>
                      <w:r>
                        <w:rPr>
                          <w:rFonts w:hint="eastAsia"/>
                          <w:sz w:val="21"/>
                          <w:szCs w:val="20"/>
                          <w:lang w:val="en-US" w:eastAsia="zh-CN"/>
                        </w:rPr>
                        <w:t xml:space="preserve">   ：</w:t>
                      </w:r>
                      <w:r>
                        <w:rPr>
                          <w:rFonts w:hint="default"/>
                          <w:sz w:val="21"/>
                          <w:szCs w:val="20"/>
                          <w:lang w:val="en-US" w:eastAsia="zh-CN"/>
                        </w:rPr>
                        <w:t>青山国家森林公园</w:t>
                      </w:r>
                    </w:p>
                    <w:p w14:paraId="3B417848">
                      <w:pPr>
                        <w:ind w:left="0" w:leftChars="0" w:firstLine="0" w:firstLineChars="0"/>
                        <w:jc w:val="both"/>
                        <w:rPr>
                          <w:rFonts w:hint="default"/>
                          <w:sz w:val="21"/>
                          <w:szCs w:val="20"/>
                          <w:lang w:val="en-US" w:eastAsia="zh-CN"/>
                        </w:rPr>
                      </w:pPr>
                      <w:r>
                        <w:rPr>
                          <w:rFonts w:hint="eastAsia"/>
                          <w:sz w:val="21"/>
                          <w:szCs w:val="20"/>
                          <w:lang w:val="en-US" w:eastAsia="zh-CN"/>
                        </w:rPr>
                        <w:t xml:space="preserve">   ：</w:t>
                      </w:r>
                      <w:r>
                        <w:rPr>
                          <w:rFonts w:hint="default"/>
                          <w:sz w:val="21"/>
                          <w:szCs w:val="20"/>
                          <w:lang w:val="en-US" w:eastAsia="zh-CN"/>
                        </w:rPr>
                        <w:t>羊鼻山森林公园</w:t>
                      </w:r>
                    </w:p>
                    <w:p w14:paraId="630562CB">
                      <w:pPr>
                        <w:ind w:left="0" w:leftChars="0" w:firstLine="0" w:firstLineChars="0"/>
                        <w:jc w:val="both"/>
                        <w:rPr>
                          <w:rFonts w:hint="default"/>
                          <w:sz w:val="21"/>
                          <w:szCs w:val="20"/>
                          <w:lang w:val="en-US" w:eastAsia="zh-CN"/>
                        </w:rPr>
                      </w:pPr>
                    </w:p>
                  </w:txbxContent>
                </v:textbox>
              </v:shape>
            </w:pict>
          </mc:Fallback>
        </mc:AlternateContent>
      </w:r>
    </w:p>
    <w:p w14:paraId="5D010BB3">
      <w:pPr>
        <w:rPr>
          <w:rFonts w:hint="default" w:cs="Times New Roman"/>
          <w:color w:val="auto"/>
          <w:szCs w:val="24"/>
          <w:highlight w:val="none"/>
          <w:lang w:val="en-US" w:eastAsia="zh-CN"/>
        </w:rPr>
      </w:pPr>
    </w:p>
    <w:p w14:paraId="3B183877">
      <w:pPr>
        <w:rPr>
          <w:color w:val="auto"/>
          <w:sz w:val="24"/>
          <w:highlight w:val="none"/>
        </w:rPr>
      </w:pPr>
      <w:r>
        <w:rPr>
          <w:color w:val="auto"/>
          <w:sz w:val="24"/>
          <w:highlight w:val="none"/>
        </w:rPr>
        <mc:AlternateContent>
          <mc:Choice Requires="wps">
            <w:drawing>
              <wp:anchor distT="0" distB="0" distL="114300" distR="114300" simplePos="0" relativeHeight="251717632" behindDoc="0" locked="0" layoutInCell="1" allowOverlap="1">
                <wp:simplePos x="0" y="0"/>
                <wp:positionH relativeFrom="column">
                  <wp:posOffset>7428865</wp:posOffset>
                </wp:positionH>
                <wp:positionV relativeFrom="paragraph">
                  <wp:posOffset>760730</wp:posOffset>
                </wp:positionV>
                <wp:extent cx="207645" cy="190500"/>
                <wp:effectExtent l="4445" t="4445" r="16510" b="14605"/>
                <wp:wrapNone/>
                <wp:docPr id="124" name="矩形 124"/>
                <wp:cNvGraphicFramePr/>
                <a:graphic xmlns:a="http://schemas.openxmlformats.org/drawingml/2006/main">
                  <a:graphicData uri="http://schemas.microsoft.com/office/word/2010/wordprocessingShape">
                    <wps:wsp>
                      <wps:cNvSpPr/>
                      <wps:spPr>
                        <a:xfrm>
                          <a:off x="0" y="0"/>
                          <a:ext cx="207645" cy="190500"/>
                        </a:xfrm>
                        <a:prstGeom prst="rect">
                          <a:avLst/>
                        </a:prstGeom>
                        <a:solidFill>
                          <a:srgbClr val="78BA73"/>
                        </a:solidFill>
                        <a:ln w="3175">
                          <a:solidFill>
                            <a:srgbClr val="78BA7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84.95pt;margin-top:59.9pt;height:15pt;width:16.35pt;z-index:251717632;v-text-anchor:middle;mso-width-relative:page;mso-height-relative:page;" fillcolor="#78BA73" filled="t" stroked="t" coordsize="21600,21600" o:gfxdata="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nzYhptkAAAANAQAADwAAAAAAAAABACAAAAAiAAAAZHJzL2Rvd25yZXYueG1sUEsBAhQA&#10;FAAAAAgAh07iQLZ/fy1jAgAA3wQAAA4AAAAAAAAAAQAgAAAAKAEAAGRycy9lMm9Eb2MueG1sUEsF&#10;BgAAAAAGAAYAWQEAAP0FAAAAAA==&#10;">
                <v:fill on="t" focussize="0,0"/>
                <v:stroke weight="0.25pt" color="#78BA73 [3204]" joinstyle="round"/>
                <v:imagedata o:title=""/>
                <o:lock v:ext="edit" aspectratio="f"/>
              </v:rect>
            </w:pict>
          </mc:Fallback>
        </mc:AlternateContent>
      </w:r>
      <w:r>
        <w:rPr>
          <w:color w:val="auto"/>
          <w:sz w:val="24"/>
          <w:highlight w:val="none"/>
        </w:rPr>
        <mc:AlternateContent>
          <mc:Choice Requires="wps">
            <w:drawing>
              <wp:anchor distT="0" distB="0" distL="114300" distR="114300" simplePos="0" relativeHeight="251716608" behindDoc="0" locked="0" layoutInCell="1" allowOverlap="1">
                <wp:simplePos x="0" y="0"/>
                <wp:positionH relativeFrom="column">
                  <wp:posOffset>7423785</wp:posOffset>
                </wp:positionH>
                <wp:positionV relativeFrom="paragraph">
                  <wp:posOffset>444500</wp:posOffset>
                </wp:positionV>
                <wp:extent cx="207645" cy="190500"/>
                <wp:effectExtent l="4445" t="4445" r="16510" b="14605"/>
                <wp:wrapNone/>
                <wp:docPr id="123" name="矩形 123"/>
                <wp:cNvGraphicFramePr/>
                <a:graphic xmlns:a="http://schemas.openxmlformats.org/drawingml/2006/main">
                  <a:graphicData uri="http://schemas.microsoft.com/office/word/2010/wordprocessingShape">
                    <wps:wsp>
                      <wps:cNvSpPr/>
                      <wps:spPr>
                        <a:xfrm>
                          <a:off x="8355965" y="4794885"/>
                          <a:ext cx="207645" cy="190500"/>
                        </a:xfrm>
                        <a:prstGeom prst="rect">
                          <a:avLst/>
                        </a:prstGeom>
                        <a:solidFill>
                          <a:srgbClr val="18674C"/>
                        </a:solidFill>
                        <a:ln w="3175">
                          <a:solidFill>
                            <a:srgbClr val="18674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84.55pt;margin-top:35pt;height:15pt;width:16.35pt;z-index:251716608;v-text-anchor:middle;mso-width-relative:page;mso-height-relative:page;" fillcolor="#18674C" filled="t" stroked="t" coordsize="21600,21600" o:gfxdata="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HAq5T1wAAAAwBAAAPAAAAAAAAAAEAIAAAACIAAABkcnMvZG93bnJl&#10;di54bWxQSwECFAAUAAAACACHTuJAoSRPVXACAADrBAAADgAAAAAAAAABACAAAAAmAQAAZHJzL2Uy&#10;b0RvYy54bWxQSwUGAAAAAAYABgBZAQAACAYAAAAA&#10;">
                <v:fill on="t" focussize="0,0"/>
                <v:stroke weight="0.25pt" color="#18674C [3204]" joinstyle="round"/>
                <v:imagedata o:title=""/>
                <o:lock v:ext="edit" aspectratio="f"/>
              </v:rect>
            </w:pict>
          </mc:Fallback>
        </mc:AlternateContent>
      </w:r>
      <w:r>
        <w:rPr>
          <w:color w:val="auto"/>
          <w:sz w:val="24"/>
          <w:highlight w:val="none"/>
        </w:rPr>
        <mc:AlternateContent>
          <mc:Choice Requires="wps">
            <w:drawing>
              <wp:anchor distT="0" distB="0" distL="114300" distR="114300" simplePos="0" relativeHeight="251715584" behindDoc="0" locked="0" layoutInCell="1" allowOverlap="1">
                <wp:simplePos x="0" y="0"/>
                <wp:positionH relativeFrom="column">
                  <wp:posOffset>7411085</wp:posOffset>
                </wp:positionH>
                <wp:positionV relativeFrom="paragraph">
                  <wp:posOffset>115570</wp:posOffset>
                </wp:positionV>
                <wp:extent cx="233680" cy="208280"/>
                <wp:effectExtent l="4445" t="4445" r="9525" b="15875"/>
                <wp:wrapNone/>
                <wp:docPr id="112" name="五角星 112"/>
                <wp:cNvGraphicFramePr/>
                <a:graphic xmlns:a="http://schemas.openxmlformats.org/drawingml/2006/main">
                  <a:graphicData uri="http://schemas.microsoft.com/office/word/2010/wordprocessingShape">
                    <wps:wsp>
                      <wps:cNvSpPr/>
                      <wps:spPr>
                        <a:xfrm>
                          <a:off x="0" y="0"/>
                          <a:ext cx="233680" cy="208280"/>
                        </a:xfrm>
                        <a:prstGeom prst="star5">
                          <a:avLst/>
                        </a:prstGeom>
                        <a:solidFill>
                          <a:srgbClr val="FF0000"/>
                        </a:solid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83.55pt;margin-top:9.1pt;height:16.4pt;width:18.4pt;z-index:251715584;v-text-anchor:middle;mso-width-relative:page;mso-height-relative:page;" fillcolor="#FF0000" filled="t" stroked="t" coordsize="233680,208280" o:gfxdata="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VtHW7WAAAACwEAAA8AAAAAAAAAAQAgAAAAIgAAAGRycy9kb3ducmV2LnhtbFBLAQIU&#10;ABQAAAAIAIdO4kDzQ0JXZwIAAOMEAAAOAAAAAAAAAAEAIAAAACUBAABkcnMvZTJvRG9jLnhtbFBL&#10;BQYAAAAABgAGAFkBAAD+BQAAAAA=&#10;" path="m0,79555l89258,79556,116840,0,144421,79556,233679,79555,161468,128723,189050,208279,116840,159110,44629,208279,72211,128723xe">
                <v:path o:connectlocs="116840,0;0,79555;44629,208279;189050,208279;233679,79555" o:connectangles="247,164,82,82,0"/>
                <v:fill on="t" focussize="0,0"/>
                <v:stroke weight="0.25pt" color="#FF0000 [3204]" joinstyle="round"/>
                <v:imagedata o:title=""/>
                <o:lock v:ext="edit" aspectratio="f"/>
              </v:shape>
            </w:pict>
          </mc:Fallback>
        </mc:AlternateContent>
      </w:r>
    </w:p>
    <w:p w14:paraId="4AF569A5">
      <w:pPr>
        <w:bidi w:val="0"/>
        <w:rPr>
          <w:rFonts w:hint="default" w:ascii="Times New Roman" w:hAnsi="Times New Roman" w:eastAsia="宋体" w:cstheme="minorBidi"/>
          <w:color w:val="auto"/>
          <w:kern w:val="2"/>
          <w:sz w:val="24"/>
          <w:szCs w:val="22"/>
          <w:highlight w:val="none"/>
          <w:lang w:val="en-US" w:eastAsia="zh-CN" w:bidi="ar-SA"/>
        </w:rPr>
      </w:pPr>
    </w:p>
    <w:p w14:paraId="4F5A96D3">
      <w:pPr>
        <w:bidi w:val="0"/>
        <w:rPr>
          <w:rFonts w:hint="default"/>
          <w:color w:val="auto"/>
          <w:highlight w:val="none"/>
          <w:lang w:val="en-US" w:eastAsia="zh-CN"/>
        </w:rPr>
      </w:pPr>
    </w:p>
    <w:p w14:paraId="0704F6C7">
      <w:pPr>
        <w:bidi w:val="0"/>
        <w:rPr>
          <w:rFonts w:hint="default"/>
          <w:color w:val="auto"/>
          <w:highlight w:val="none"/>
          <w:lang w:val="en-US" w:eastAsia="zh-CN"/>
        </w:rPr>
      </w:pPr>
    </w:p>
    <w:p w14:paraId="064EC069">
      <w:pPr>
        <w:bidi w:val="0"/>
        <w:rPr>
          <w:rFonts w:hint="default"/>
          <w:color w:val="auto"/>
          <w:highlight w:val="none"/>
          <w:lang w:val="en-US" w:eastAsia="zh-CN"/>
        </w:rPr>
      </w:pPr>
    </w:p>
    <w:p w14:paraId="33116B1E">
      <w:pPr>
        <w:tabs>
          <w:tab w:val="left" w:pos="3442"/>
        </w:tabs>
        <w:bidi w:val="0"/>
        <w:ind w:left="0" w:leftChars="0" w:firstLine="0" w:firstLineChars="0"/>
        <w:jc w:val="center"/>
        <w:rPr>
          <w:rFonts w:hint="default" w:eastAsia="宋体"/>
          <w:b/>
          <w:bCs/>
          <w:color w:val="auto"/>
          <w:highlight w:val="none"/>
          <w:lang w:val="en-US"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rFonts w:hint="eastAsia"/>
          <w:b/>
          <w:bCs/>
          <w:color w:val="auto"/>
          <w:highlight w:val="none"/>
          <w:lang w:val="en-US" w:eastAsia="zh-CN"/>
        </w:rPr>
        <w:t>图4.2-4</w:t>
      </w:r>
      <w:r>
        <w:rPr>
          <w:rFonts w:cs="Times New Roman"/>
          <w:b/>
          <w:bCs/>
          <w:color w:val="auto"/>
          <w:highlight w:val="none"/>
        </w:rPr>
        <w:t>环境保护目标</w:t>
      </w:r>
      <w:r>
        <w:rPr>
          <w:rFonts w:hint="eastAsia" w:cs="Times New Roman"/>
          <w:b/>
          <w:bCs/>
          <w:color w:val="auto"/>
          <w:highlight w:val="none"/>
          <w:lang w:val="en-US" w:eastAsia="zh-CN"/>
        </w:rPr>
        <w:t>与本项目位置关系图</w:t>
      </w:r>
    </w:p>
    <w:p w14:paraId="2A19C19D">
      <w:pPr>
        <w:keepNext/>
        <w:keepLines/>
        <w:ind w:firstLine="0" w:firstLineChars="0"/>
        <w:jc w:val="left"/>
        <w:outlineLvl w:val="1"/>
        <w:rPr>
          <w:rFonts w:eastAsia="黑体" w:cs="Times New Roman"/>
          <w:bCs/>
          <w:snapToGrid w:val="0"/>
          <w:color w:val="auto"/>
          <w:kern w:val="0"/>
          <w:sz w:val="28"/>
          <w:szCs w:val="32"/>
          <w:highlight w:val="none"/>
        </w:rPr>
      </w:pPr>
      <w:bookmarkStart w:id="274" w:name="_Toc20616"/>
      <w:r>
        <w:rPr>
          <w:rFonts w:eastAsia="黑体" w:cs="Times New Roman"/>
          <w:bCs/>
          <w:snapToGrid w:val="0"/>
          <w:color w:val="auto"/>
          <w:kern w:val="0"/>
          <w:sz w:val="28"/>
          <w:szCs w:val="32"/>
          <w:highlight w:val="none"/>
        </w:rPr>
        <w:t>4.4区域污染源调查内容</w:t>
      </w:r>
      <w:bookmarkEnd w:id="274"/>
    </w:p>
    <w:p w14:paraId="1514326A">
      <w:pPr>
        <w:rPr>
          <w:rFonts w:cs="Times New Roman"/>
          <w:color w:val="auto"/>
          <w:szCs w:val="24"/>
          <w:highlight w:val="none"/>
        </w:rPr>
      </w:pPr>
      <w:r>
        <w:rPr>
          <w:rFonts w:cs="Times New Roman"/>
          <w:color w:val="auto"/>
          <w:szCs w:val="24"/>
          <w:highlight w:val="none"/>
        </w:rPr>
        <w:t>本项目</w:t>
      </w:r>
      <w:r>
        <w:rPr>
          <w:rFonts w:ascii="Times New Roman" w:hAnsi="Times New Roman" w:cs="Times New Roman"/>
          <w:snapToGrid w:val="0"/>
          <w:color w:val="auto"/>
          <w:kern w:val="0"/>
          <w:szCs w:val="24"/>
          <w:highlight w:val="none"/>
        </w:rPr>
        <w:t>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ascii="Times New Roman" w:hAnsi="Times New Roman" w:cs="Times New Roman"/>
          <w:snapToGrid w:val="0"/>
          <w:color w:val="auto"/>
          <w:kern w:val="0"/>
          <w:szCs w:val="24"/>
          <w:highlight w:val="none"/>
        </w:rPr>
        <w:t>，项目东</w:t>
      </w:r>
      <w:r>
        <w:rPr>
          <w:rFonts w:hint="eastAsia" w:ascii="Times New Roman" w:hAnsi="Times New Roman" w:cs="Times New Roman"/>
          <w:snapToGrid w:val="0"/>
          <w:color w:val="auto"/>
          <w:kern w:val="0"/>
          <w:szCs w:val="24"/>
          <w:highlight w:val="none"/>
          <w:lang w:val="en-US" w:eastAsia="zh-CN"/>
        </w:rPr>
        <w:t>侧、南侧均为空地，北侧隔路为废弃平房</w:t>
      </w:r>
      <w:r>
        <w:rPr>
          <w:rFonts w:ascii="Times New Roman" w:hAnsi="Times New Roman" w:cs="Times New Roman"/>
          <w:snapToGrid w:val="0"/>
          <w:color w:val="auto"/>
          <w:kern w:val="0"/>
          <w:szCs w:val="24"/>
          <w:highlight w:val="none"/>
        </w:rPr>
        <w:t>，西侧</w:t>
      </w:r>
      <w:r>
        <w:rPr>
          <w:rFonts w:hint="eastAsia" w:ascii="Times New Roman" w:hAnsi="Times New Roman" w:cs="Times New Roman"/>
          <w:snapToGrid w:val="0"/>
          <w:color w:val="auto"/>
          <w:kern w:val="0"/>
          <w:szCs w:val="24"/>
          <w:highlight w:val="none"/>
          <w:lang w:val="en-US" w:eastAsia="zh-CN"/>
        </w:rPr>
        <w:t>隔路为金诺恒业机械制造有限公司</w:t>
      </w:r>
      <w:r>
        <w:rPr>
          <w:rFonts w:cs="Times New Roman"/>
          <w:color w:val="auto"/>
          <w:szCs w:val="24"/>
          <w:highlight w:val="none"/>
        </w:rPr>
        <w:t>。</w:t>
      </w:r>
    </w:p>
    <w:p w14:paraId="1FD9266E">
      <w:pPr>
        <w:pStyle w:val="4"/>
        <w:spacing w:after="163"/>
        <w:rPr>
          <w:rFonts w:cs="Times New Roman"/>
          <w:color w:val="auto"/>
          <w:highlight w:val="none"/>
        </w:rPr>
      </w:pPr>
      <w:bookmarkStart w:id="275" w:name="_Toc19748"/>
      <w:r>
        <w:rPr>
          <w:rFonts w:cs="Times New Roman"/>
          <w:color w:val="auto"/>
          <w:highlight w:val="none"/>
        </w:rPr>
        <w:t>4.4.1大气污染源调查</w:t>
      </w:r>
      <w:bookmarkEnd w:id="275"/>
    </w:p>
    <w:p w14:paraId="36A90756">
      <w:pPr>
        <w:rPr>
          <w:rFonts w:cs="Times New Roman"/>
          <w:color w:val="auto"/>
          <w:highlight w:val="none"/>
        </w:rPr>
      </w:pPr>
      <w:r>
        <w:rPr>
          <w:rFonts w:hint="eastAsia" w:cs="Times New Roman"/>
          <w:color w:val="auto"/>
          <w:highlight w:val="none"/>
          <w:lang w:val="en-US" w:eastAsia="zh-CN"/>
        </w:rPr>
        <w:t>经调查，本项目与西侧金诺恒业机械制造有限公司直线距离50m，该企业</w:t>
      </w:r>
      <w:r>
        <w:rPr>
          <w:rFonts w:cs="Times New Roman"/>
          <w:color w:val="auto"/>
          <w:highlight w:val="none"/>
        </w:rPr>
        <w:t>经营范围包括机械制造、机械修理；带式输送机、工业自动控制系统装置制造、设计、销售、安装；矿用机电设备及配件</w:t>
      </w:r>
      <w:r>
        <w:rPr>
          <w:rFonts w:hint="eastAsia" w:cs="Times New Roman"/>
          <w:color w:val="auto"/>
          <w:highlight w:val="none"/>
          <w:lang w:val="en-US" w:eastAsia="zh-CN"/>
        </w:rPr>
        <w:t>等，主要污染物为TSP，不涉及本项目排放的特征因子，无需叠加污染物浓度。</w:t>
      </w:r>
      <w:r>
        <w:rPr>
          <w:rFonts w:cs="Times New Roman"/>
          <w:color w:val="auto"/>
          <w:highlight w:val="none"/>
        </w:rPr>
        <w:t>根据大气评价等级判定结果，本项目为二级评价项目，根据《环境影响评价技术导则 大气环境》（HJ 2.2-2018）中“7污染源调查7.1.2二级评价项目，参照7.1.1.1和7.1.1.2调查本项目现有及新增污染源和拟被替代的污染源”，本项目为新建项目，且无拟被替代的污染源，因此本项目需要调查本项目新增污染源，详见3.4工程污染源强分析小节。</w:t>
      </w:r>
    </w:p>
    <w:p w14:paraId="53572295">
      <w:pPr>
        <w:pStyle w:val="4"/>
        <w:spacing w:after="163"/>
        <w:rPr>
          <w:rFonts w:cs="Times New Roman"/>
          <w:color w:val="auto"/>
          <w:highlight w:val="none"/>
        </w:rPr>
      </w:pPr>
      <w:bookmarkStart w:id="276" w:name="_Toc15393"/>
      <w:r>
        <w:rPr>
          <w:rFonts w:cs="Times New Roman"/>
          <w:color w:val="auto"/>
          <w:highlight w:val="none"/>
        </w:rPr>
        <w:t>4.4.2地表水污染源调查</w:t>
      </w:r>
      <w:bookmarkEnd w:id="276"/>
    </w:p>
    <w:p w14:paraId="0791FAED">
      <w:pPr>
        <w:ind w:firstLine="528"/>
        <w:rPr>
          <w:rFonts w:hint="eastAsia" w:cs="Times New Roman"/>
          <w:snapToGrid w:val="0"/>
          <w:color w:val="auto"/>
          <w:highlight w:val="none"/>
          <w:lang w:eastAsia="zh-CN"/>
        </w:rPr>
      </w:pPr>
      <w:r>
        <w:rPr>
          <w:rFonts w:cs="Times New Roman"/>
          <w:color w:val="auto"/>
          <w:spacing w:val="12"/>
          <w:szCs w:val="24"/>
          <w:highlight w:val="none"/>
        </w:rPr>
        <w:t>根据《环境影响评价技术导则 地表水环境》（HJ 2.3-2018）“6.6.2区域水污染源调查d）水污染影响型三级B评价，可不开展区域污染源调查，主要调查依托污水处理站的日处理能力、处理工艺、设计进水水质、处理后的废水稳定达标排放情况，同时应调查依托污水处理站执行的排放标准是否涵盖建设项目排放的有毒有害的特征水污染物”。</w:t>
      </w:r>
      <w:r>
        <w:rPr>
          <w:rFonts w:hint="eastAsia" w:cs="Times New Roman"/>
          <w:snapToGrid w:val="0"/>
          <w:color w:val="auto"/>
          <w:highlight w:val="none"/>
          <w:lang w:eastAsia="zh-CN"/>
        </w:rPr>
        <w:t>项目区地表水为居民生活污水。</w:t>
      </w:r>
    </w:p>
    <w:p w14:paraId="168A4163">
      <w:pPr>
        <w:ind w:firstLine="528"/>
        <w:rPr>
          <w:rFonts w:cs="Times New Roman"/>
          <w:color w:val="auto"/>
          <w:highlight w:val="none"/>
        </w:rPr>
      </w:pPr>
      <w:r>
        <w:rPr>
          <w:rFonts w:hint="eastAsia" w:cs="Times New Roman"/>
          <w:snapToGrid w:val="0"/>
          <w:color w:val="auto"/>
          <w:highlight w:val="none"/>
          <w:lang w:eastAsia="zh-CN"/>
        </w:rPr>
        <w:t>本项目废水主要为生活污水、屠宰废水、车辆冲洗废水，屠宰废水、车辆冲洗废水经污水处理站处理后满足</w:t>
      </w:r>
      <w:r>
        <w:rPr>
          <w:rFonts w:cs="Times New Roman"/>
          <w:snapToGrid w:val="0"/>
          <w:color w:val="auto"/>
          <w:highlight w:val="none"/>
          <w:lang w:val="en-GB"/>
        </w:rPr>
        <w:t>《肉类加工工业水污染物排放标准》（GB13457-92）中畜类屠宰加工三级标准</w:t>
      </w:r>
      <w:r>
        <w:rPr>
          <w:rFonts w:cs="Times New Roman"/>
          <w:snapToGrid w:val="0"/>
          <w:color w:val="auto"/>
          <w:highlight w:val="none"/>
          <w:lang w:val="en-US"/>
        </w:rPr>
        <w:t>后与生活污水一同排入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w:t>
      </w:r>
      <w:r>
        <w:rPr>
          <w:rFonts w:hint="eastAsia" w:cs="Times New Roman"/>
          <w:snapToGrid w:val="0"/>
          <w:color w:val="auto"/>
          <w:highlight w:val="none"/>
          <w:lang w:val="en-US" w:eastAsia="zh-CN"/>
        </w:rPr>
        <w:t>该公司现污水处理量约30000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w:t>
      </w:r>
      <w:r>
        <w:rPr>
          <w:rFonts w:cs="Times New Roman"/>
          <w:snapToGrid w:val="0"/>
          <w:color w:val="auto"/>
          <w:highlight w:val="none"/>
          <w:lang w:val="en-US"/>
        </w:rPr>
        <w:t>。</w:t>
      </w:r>
      <w:r>
        <w:rPr>
          <w:rFonts w:hint="eastAsia" w:cs="Times New Roman"/>
          <w:snapToGrid w:val="0"/>
          <w:color w:val="auto"/>
          <w:highlight w:val="none"/>
          <w:lang w:val="en-US" w:eastAsia="zh-CN"/>
        </w:rPr>
        <w:t>尚有20000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/d的余量，本项目</w:t>
      </w:r>
      <w:r>
        <w:rPr>
          <w:rFonts w:cs="Times New Roman"/>
          <w:snapToGrid w:val="0"/>
          <w:color w:val="auto"/>
          <w:highlight w:val="none"/>
          <w:lang w:val="en-US"/>
        </w:rPr>
        <w:t>排放量为</w:t>
      </w:r>
      <w:r>
        <w:rPr>
          <w:rFonts w:hint="eastAsia" w:cs="Times New Roman"/>
          <w:snapToGrid w:val="0"/>
          <w:color w:val="auto"/>
          <w:highlight w:val="none"/>
          <w:lang w:val="en-US" w:eastAsia="zh-CN"/>
        </w:rPr>
        <w:t>235</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w:t>
      </w:r>
      <w:r>
        <w:rPr>
          <w:rFonts w:cs="Times New Roman"/>
          <w:snapToGrid w:val="0"/>
          <w:color w:val="auto"/>
          <w:highlight w:val="none"/>
          <w:lang w:val="en-US"/>
        </w:rPr>
        <w:t>。</w:t>
      </w:r>
      <w:r>
        <w:rPr>
          <w:rFonts w:hint="eastAsia" w:cs="Times New Roman"/>
          <w:snapToGrid w:val="0"/>
          <w:color w:val="auto"/>
          <w:highlight w:val="none"/>
          <w:lang w:val="en-US" w:eastAsia="zh-CN"/>
        </w:rPr>
        <w:t>所占比例较小，</w:t>
      </w:r>
      <w:r>
        <w:rPr>
          <w:rFonts w:cs="Times New Roman"/>
          <w:snapToGrid w:val="0"/>
          <w:color w:val="auto"/>
          <w:highlight w:val="none"/>
        </w:rPr>
        <w:t>因此，项目所排废水从水质和水量角度分析均能够达到</w:t>
      </w:r>
      <w:r>
        <w:rPr>
          <w:rFonts w:hint="eastAsia" w:cs="Times New Roman"/>
          <w:snapToGrid w:val="0"/>
          <w:color w:val="auto"/>
          <w:highlight w:val="none"/>
          <w:lang w:val="en-GB" w:eastAsia="zh-CN"/>
        </w:rPr>
        <w:t>双鸭山市畅源排水有限公司</w:t>
      </w:r>
      <w:r>
        <w:rPr>
          <w:rFonts w:cs="Times New Roman"/>
          <w:snapToGrid w:val="0"/>
          <w:color w:val="auto"/>
          <w:highlight w:val="none"/>
        </w:rPr>
        <w:t>接收条件，依托可行</w:t>
      </w:r>
      <w:r>
        <w:rPr>
          <w:rFonts w:hint="eastAsia" w:cs="Times New Roman"/>
          <w:snapToGrid w:val="0"/>
          <w:color w:val="auto"/>
          <w:highlight w:val="none"/>
          <w:lang w:eastAsia="zh-CN"/>
        </w:rPr>
        <w:t>。</w:t>
      </w:r>
    </w:p>
    <w:p w14:paraId="485A2916">
      <w:pPr>
        <w:pStyle w:val="4"/>
        <w:spacing w:after="163"/>
        <w:rPr>
          <w:rFonts w:cs="Times New Roman"/>
          <w:color w:val="auto"/>
          <w:highlight w:val="none"/>
        </w:rPr>
      </w:pPr>
      <w:bookmarkStart w:id="277" w:name="_Toc10220"/>
      <w:r>
        <w:rPr>
          <w:rFonts w:cs="Times New Roman"/>
          <w:color w:val="auto"/>
          <w:highlight w:val="none"/>
        </w:rPr>
        <w:t>4.4.3地下水污染源调查</w:t>
      </w:r>
      <w:bookmarkEnd w:id="277"/>
    </w:p>
    <w:p w14:paraId="0F71A2BD">
      <w:pPr>
        <w:rPr>
          <w:rFonts w:cs="Times New Roman"/>
          <w:snapToGrid w:val="0"/>
          <w:color w:val="auto"/>
          <w:highlight w:val="none"/>
        </w:rPr>
      </w:pPr>
      <w:r>
        <w:rPr>
          <w:rFonts w:cs="Times New Roman"/>
          <w:snapToGrid w:val="0"/>
          <w:color w:val="auto"/>
          <w:highlight w:val="none"/>
        </w:rPr>
        <w:t>本项目地下水特征污染因子为COD、氨氮，评价区域内主要污染源为区域内居民生活污水。</w:t>
      </w:r>
    </w:p>
    <w:p w14:paraId="2592B3B0">
      <w:pPr>
        <w:pStyle w:val="4"/>
        <w:spacing w:after="163"/>
        <w:rPr>
          <w:rFonts w:cs="Times New Roman"/>
          <w:color w:val="auto"/>
          <w:highlight w:val="none"/>
        </w:rPr>
      </w:pPr>
      <w:bookmarkStart w:id="278" w:name="_Toc17594"/>
      <w:r>
        <w:rPr>
          <w:rFonts w:cs="Times New Roman"/>
          <w:color w:val="auto"/>
          <w:highlight w:val="none"/>
        </w:rPr>
        <w:t>4.4.4噪声污染源调查</w:t>
      </w:r>
      <w:bookmarkEnd w:id="278"/>
    </w:p>
    <w:p w14:paraId="7AFC9192">
      <w:pPr>
        <w:rPr>
          <w:rFonts w:cs="Times New Roman"/>
          <w:color w:val="auto"/>
          <w:highlight w:val="none"/>
        </w:rPr>
      </w:pPr>
      <w:r>
        <w:rPr>
          <w:rFonts w:cs="Times New Roman"/>
          <w:color w:val="auto"/>
          <w:highlight w:val="none"/>
        </w:rPr>
        <w:t>本项目</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szCs w:val="24"/>
          <w:highlight w:val="none"/>
        </w:rPr>
        <w:t>，声环境评价范围内</w:t>
      </w:r>
      <w:r>
        <w:rPr>
          <w:rFonts w:cs="Times New Roman"/>
          <w:color w:val="auto"/>
          <w:highlight w:val="none"/>
        </w:rPr>
        <w:t>主要污染源为</w:t>
      </w:r>
      <w:r>
        <w:rPr>
          <w:rFonts w:cs="Times New Roman"/>
          <w:color w:val="auto"/>
          <w:szCs w:val="24"/>
          <w:highlight w:val="none"/>
        </w:rPr>
        <w:t>牛、羊嚎叫以及设备产生的噪声</w:t>
      </w:r>
      <w:r>
        <w:rPr>
          <w:rFonts w:cs="Times New Roman"/>
          <w:color w:val="auto"/>
          <w:highlight w:val="none"/>
        </w:rPr>
        <w:t>。</w:t>
      </w:r>
    </w:p>
    <w:p w14:paraId="3D41B293">
      <w:pPr>
        <w:pStyle w:val="117"/>
        <w:rPr>
          <w:rFonts w:cs="Times New Roman"/>
          <w:color w:val="auto"/>
          <w:highlight w:val="none"/>
        </w:rPr>
      </w:pPr>
    </w:p>
    <w:p w14:paraId="1B13673B">
      <w:pPr>
        <w:adjustRightInd/>
        <w:snapToGrid/>
        <w:spacing w:line="500" w:lineRule="exact"/>
        <w:rPr>
          <w:rFonts w:cs="Times New Roman"/>
          <w:snapToGrid w:val="0"/>
          <w:color w:val="auto"/>
          <w:kern w:val="0"/>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02FA690A">
      <w:pPr>
        <w:adjustRightInd/>
        <w:snapToGrid/>
        <w:spacing w:line="500" w:lineRule="exact"/>
        <w:ind w:firstLine="0" w:firstLineChars="0"/>
        <w:jc w:val="left"/>
        <w:outlineLvl w:val="0"/>
        <w:rPr>
          <w:rFonts w:eastAsia="黑体" w:cs="Times New Roman"/>
          <w:snapToGrid w:val="0"/>
          <w:color w:val="auto"/>
          <w:kern w:val="0"/>
          <w:sz w:val="32"/>
          <w:highlight w:val="none"/>
        </w:rPr>
      </w:pPr>
      <w:bookmarkStart w:id="279" w:name="_Toc28272"/>
      <w:bookmarkStart w:id="280" w:name="_Toc480447669"/>
      <w:bookmarkStart w:id="281" w:name="_Toc75075806"/>
      <w:bookmarkStart w:id="282" w:name="_Toc415146701"/>
      <w:bookmarkStart w:id="283" w:name="_Toc75075744"/>
      <w:bookmarkStart w:id="284" w:name="_Toc371751574"/>
      <w:bookmarkStart w:id="285" w:name="_Toc45678581"/>
      <w:r>
        <w:rPr>
          <w:rFonts w:eastAsia="黑体" w:cs="Times New Roman"/>
          <w:snapToGrid w:val="0"/>
          <w:color w:val="auto"/>
          <w:kern w:val="0"/>
          <w:sz w:val="32"/>
          <w:highlight w:val="none"/>
        </w:rPr>
        <w:t>5环境影响预测评价</w:t>
      </w:r>
      <w:bookmarkEnd w:id="279"/>
      <w:bookmarkEnd w:id="280"/>
      <w:bookmarkEnd w:id="281"/>
      <w:bookmarkEnd w:id="282"/>
      <w:bookmarkEnd w:id="283"/>
      <w:bookmarkEnd w:id="284"/>
      <w:bookmarkEnd w:id="285"/>
    </w:p>
    <w:p w14:paraId="1B3383DE">
      <w:pPr>
        <w:keepNext/>
        <w:keepLines/>
        <w:spacing w:line="500" w:lineRule="exact"/>
        <w:ind w:firstLine="0" w:firstLineChars="0"/>
        <w:jc w:val="left"/>
        <w:outlineLvl w:val="1"/>
        <w:rPr>
          <w:rFonts w:eastAsia="黑体" w:cs="Times New Roman"/>
          <w:bCs/>
          <w:snapToGrid w:val="0"/>
          <w:color w:val="auto"/>
          <w:kern w:val="0"/>
          <w:sz w:val="28"/>
          <w:szCs w:val="32"/>
          <w:highlight w:val="none"/>
        </w:rPr>
      </w:pPr>
      <w:bookmarkStart w:id="286" w:name="_Toc415146702"/>
      <w:bookmarkStart w:id="287" w:name="_Toc480447670"/>
      <w:bookmarkStart w:id="288" w:name="_Toc20194"/>
      <w:r>
        <w:rPr>
          <w:rFonts w:eastAsia="黑体" w:cs="Times New Roman"/>
          <w:bCs/>
          <w:snapToGrid w:val="0"/>
          <w:color w:val="auto"/>
          <w:kern w:val="0"/>
          <w:sz w:val="28"/>
          <w:szCs w:val="32"/>
          <w:highlight w:val="none"/>
        </w:rPr>
        <w:t>5.1施工期环境影响</w:t>
      </w:r>
      <w:bookmarkEnd w:id="286"/>
      <w:r>
        <w:rPr>
          <w:rFonts w:eastAsia="黑体" w:cs="Times New Roman"/>
          <w:bCs/>
          <w:snapToGrid w:val="0"/>
          <w:color w:val="auto"/>
          <w:kern w:val="0"/>
          <w:sz w:val="28"/>
          <w:szCs w:val="32"/>
          <w:highlight w:val="none"/>
        </w:rPr>
        <w:t>分析</w:t>
      </w:r>
      <w:bookmarkEnd w:id="287"/>
      <w:bookmarkEnd w:id="288"/>
    </w:p>
    <w:p w14:paraId="12C10F8C">
      <w:pPr>
        <w:pStyle w:val="4"/>
        <w:spacing w:after="0" w:afterLines="0"/>
        <w:rPr>
          <w:rFonts w:cs="Times New Roman"/>
          <w:color w:val="auto"/>
          <w:highlight w:val="none"/>
        </w:rPr>
      </w:pPr>
      <w:bookmarkStart w:id="289" w:name="_Toc15104"/>
      <w:r>
        <w:rPr>
          <w:rFonts w:cs="Times New Roman"/>
          <w:color w:val="auto"/>
          <w:highlight w:val="none"/>
        </w:rPr>
        <w:t>5.1.1施工期大气环境影响分析</w:t>
      </w:r>
      <w:bookmarkEnd w:id="289"/>
    </w:p>
    <w:p w14:paraId="0002116E">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建设施工过程中，燃油动力机械和运输车辆排放的废气，挖土、运土、填土、夯实和汽车运输过程的扬尘，都会给周围环境空气带来污染。污染大气的主要因子是NO</w:t>
      </w:r>
      <w:r>
        <w:rPr>
          <w:rFonts w:cs="Times New Roman"/>
          <w:snapToGrid w:val="0"/>
          <w:color w:val="auto"/>
          <w:kern w:val="0"/>
          <w:highlight w:val="none"/>
          <w:vertAlign w:val="subscript"/>
        </w:rPr>
        <w:t>2</w:t>
      </w:r>
      <w:r>
        <w:rPr>
          <w:rFonts w:cs="Times New Roman"/>
          <w:snapToGrid w:val="0"/>
          <w:color w:val="auto"/>
          <w:kern w:val="0"/>
          <w:highlight w:val="none"/>
        </w:rPr>
        <w:t>、CO、SO</w:t>
      </w:r>
      <w:r>
        <w:rPr>
          <w:rFonts w:cs="Times New Roman"/>
          <w:snapToGrid w:val="0"/>
          <w:color w:val="auto"/>
          <w:kern w:val="0"/>
          <w:highlight w:val="none"/>
          <w:vertAlign w:val="subscript"/>
        </w:rPr>
        <w:t>2</w:t>
      </w:r>
      <w:r>
        <w:rPr>
          <w:rFonts w:cs="Times New Roman"/>
          <w:snapToGrid w:val="0"/>
          <w:color w:val="auto"/>
          <w:kern w:val="0"/>
          <w:highlight w:val="none"/>
        </w:rPr>
        <w:t>和扬尘，尤其扬尘污染最为严重。</w:t>
      </w:r>
    </w:p>
    <w:p w14:paraId="0F73DEFF">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施工过程扬尘污染的危害不容忽视。在施工现场的作业人员，如长时间吸入大量微细尘埃，不但会引起各种呼吸道疾病，而且，扬尘会夹带大量的病源菌，还会传染其它各种疾病，严重威胁施工人员的身体健康。此外，扬尘飘落在各种建筑物和绿叶植被上，将会影响景观。</w:t>
      </w:r>
    </w:p>
    <w:p w14:paraId="2FBA023F">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对整个施工期而言，施工产生的扬尘主要集中在污水处理站建设阶段。按起尘的原因可分为风力起尘和动力起尘，其中风力起尘主要是由于露天堆放的建材(如沙土、水泥等)及裸露的施工区表层浮尘因天气干燥及大风，产生风尘扬尘；而动力起尘，主要是在建材的装卸、搅拌过程中，由于外力而产生的尘粒再悬浮而造成，其中施工及装卸车辆造成的扬尘最为严重。据有关文献资料介绍，车辆行驶产生的扬尘占总扬尘的60%上。不同车速和地面清洁程度的汽车扬尘产生情况见表5</w:t>
      </w:r>
      <w:r>
        <w:rPr>
          <w:rFonts w:hint="eastAsia" w:cs="Times New Roman"/>
          <w:snapToGrid w:val="0"/>
          <w:color w:val="auto"/>
          <w:kern w:val="0"/>
          <w:highlight w:val="none"/>
          <w:lang w:val="en-US" w:eastAsia="zh-CN"/>
        </w:rPr>
        <w:t>.</w:t>
      </w:r>
      <w:r>
        <w:rPr>
          <w:rFonts w:cs="Times New Roman"/>
          <w:snapToGrid w:val="0"/>
          <w:color w:val="auto"/>
          <w:kern w:val="0"/>
          <w:highlight w:val="none"/>
        </w:rPr>
        <w:t>1-1。</w:t>
      </w:r>
    </w:p>
    <w:p w14:paraId="62BBBC46">
      <w:pPr>
        <w:spacing w:line="500" w:lineRule="exact"/>
        <w:ind w:firstLine="0" w:firstLineChars="0"/>
        <w:jc w:val="right"/>
        <w:rPr>
          <w:rFonts w:cs="Times New Roman"/>
          <w:b/>
          <w:bCs/>
          <w:snapToGrid w:val="0"/>
          <w:color w:val="auto"/>
          <w:kern w:val="0"/>
          <w:szCs w:val="24"/>
          <w:highlight w:val="none"/>
          <w:lang w:val="zh-CN"/>
        </w:rPr>
      </w:pPr>
      <w:r>
        <w:rPr>
          <w:rFonts w:cs="Times New Roman"/>
          <w:b/>
          <w:bCs/>
          <w:snapToGrid w:val="0"/>
          <w:color w:val="auto"/>
          <w:kern w:val="0"/>
          <w:szCs w:val="24"/>
          <w:highlight w:val="none"/>
          <w:lang w:val="zh-CN"/>
        </w:rPr>
        <w:t>表5</w:t>
      </w:r>
      <w:r>
        <w:rPr>
          <w:rFonts w:hint="eastAsia" w:cs="Times New Roman"/>
          <w:b/>
          <w:bCs/>
          <w:snapToGrid w:val="0"/>
          <w:color w:val="auto"/>
          <w:kern w:val="0"/>
          <w:szCs w:val="24"/>
          <w:highlight w:val="none"/>
          <w:lang w:val="en-US" w:eastAsia="zh-CN"/>
        </w:rPr>
        <w:t>.</w:t>
      </w:r>
      <w:r>
        <w:rPr>
          <w:rFonts w:cs="Times New Roman"/>
          <w:b/>
          <w:bCs/>
          <w:snapToGrid w:val="0"/>
          <w:color w:val="auto"/>
          <w:kern w:val="0"/>
          <w:szCs w:val="24"/>
          <w:highlight w:val="none"/>
          <w:lang w:val="zh-CN"/>
        </w:rPr>
        <w:t>1-1</w:t>
      </w:r>
      <w:r>
        <w:rPr>
          <w:rFonts w:cs="Times New Roman"/>
          <w:b/>
          <w:bCs/>
          <w:snapToGrid w:val="0"/>
          <w:color w:val="auto"/>
          <w:kern w:val="0"/>
          <w:szCs w:val="24"/>
          <w:highlight w:val="none"/>
        </w:rPr>
        <w:t xml:space="preserve">  </w:t>
      </w:r>
      <w:r>
        <w:rPr>
          <w:rFonts w:cs="Times New Roman"/>
          <w:b/>
          <w:bCs/>
          <w:snapToGrid w:val="0"/>
          <w:color w:val="auto"/>
          <w:kern w:val="0"/>
          <w:szCs w:val="24"/>
          <w:highlight w:val="none"/>
          <w:lang w:val="zh-CN"/>
        </w:rPr>
        <w:t>不同车速和地面清洁程度的汽车扬尘      单位：kg/辆·km</w:t>
      </w:r>
    </w:p>
    <w:tbl>
      <w:tblPr>
        <w:tblStyle w:val="39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1183"/>
        <w:gridCol w:w="1183"/>
        <w:gridCol w:w="1183"/>
        <w:gridCol w:w="1183"/>
        <w:gridCol w:w="1183"/>
        <w:gridCol w:w="1183"/>
      </w:tblGrid>
      <w:tr w14:paraId="137373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855" w:hRule="atLeast"/>
        </w:trPr>
        <w:tc>
          <w:tcPr>
            <w:tcW w:w="1218" w:type="dxa"/>
            <w:vAlign w:val="center"/>
          </w:tcPr>
          <w:p w14:paraId="169C2F6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P(kg/m</w:t>
            </w:r>
            <w:r>
              <w:rPr>
                <w:rFonts w:cs="Times New Roman"/>
                <w:snapToGrid w:val="0"/>
                <w:color w:val="auto"/>
                <w:kern w:val="0"/>
                <w:sz w:val="21"/>
                <w:highlight w:val="none"/>
                <w:vertAlign w:val="superscript"/>
                <w:lang w:val="zh-CN"/>
              </w:rPr>
              <w:t>2</w:t>
            </w:r>
            <w:r>
              <w:rPr>
                <w:rFonts w:cs="Times New Roman"/>
                <w:snapToGrid w:val="0"/>
                <w:color w:val="auto"/>
                <w:kern w:val="0"/>
                <w:sz w:val="21"/>
                <w:highlight w:val="none"/>
                <w:lang w:val="zh-CN"/>
              </w:rPr>
              <w:t>)</w:t>
            </w:r>
          </w:p>
          <w:p w14:paraId="04AC07C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车速</w:t>
            </w:r>
          </w:p>
        </w:tc>
        <w:tc>
          <w:tcPr>
            <w:tcW w:w="1183" w:type="dxa"/>
            <w:vAlign w:val="center"/>
          </w:tcPr>
          <w:p w14:paraId="3DCA58D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w:t>
            </w:r>
          </w:p>
        </w:tc>
        <w:tc>
          <w:tcPr>
            <w:tcW w:w="1183" w:type="dxa"/>
            <w:vAlign w:val="center"/>
          </w:tcPr>
          <w:p w14:paraId="74018A8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0.2</w:t>
            </w:r>
          </w:p>
        </w:tc>
        <w:tc>
          <w:tcPr>
            <w:tcW w:w="1183" w:type="dxa"/>
            <w:vAlign w:val="center"/>
          </w:tcPr>
          <w:p w14:paraId="7264A67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0.3</w:t>
            </w:r>
          </w:p>
        </w:tc>
        <w:tc>
          <w:tcPr>
            <w:tcW w:w="1183" w:type="dxa"/>
            <w:vAlign w:val="center"/>
          </w:tcPr>
          <w:p w14:paraId="27D623D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0.4</w:t>
            </w:r>
          </w:p>
        </w:tc>
        <w:tc>
          <w:tcPr>
            <w:tcW w:w="1183" w:type="dxa"/>
            <w:vAlign w:val="center"/>
          </w:tcPr>
          <w:p w14:paraId="740AFB4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0.5</w:t>
            </w:r>
          </w:p>
        </w:tc>
        <w:tc>
          <w:tcPr>
            <w:tcW w:w="1183" w:type="dxa"/>
            <w:vAlign w:val="center"/>
          </w:tcPr>
          <w:p w14:paraId="37A6642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w:t>
            </w:r>
          </w:p>
        </w:tc>
      </w:tr>
      <w:tr w14:paraId="61D1BE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218" w:type="dxa"/>
            <w:vAlign w:val="center"/>
          </w:tcPr>
          <w:p w14:paraId="4F2880A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5(km/hr)</w:t>
            </w:r>
          </w:p>
        </w:tc>
        <w:tc>
          <w:tcPr>
            <w:tcW w:w="1183" w:type="dxa"/>
            <w:vAlign w:val="center"/>
          </w:tcPr>
          <w:p w14:paraId="327A8C31">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0.052806</w:t>
            </w:r>
          </w:p>
        </w:tc>
        <w:tc>
          <w:tcPr>
            <w:tcW w:w="1183" w:type="dxa"/>
            <w:vAlign w:val="center"/>
          </w:tcPr>
          <w:p w14:paraId="5040F55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0.0261665</w:t>
            </w:r>
          </w:p>
        </w:tc>
        <w:tc>
          <w:tcPr>
            <w:tcW w:w="1183" w:type="dxa"/>
            <w:vAlign w:val="center"/>
          </w:tcPr>
          <w:p w14:paraId="6C33439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0.116382</w:t>
            </w:r>
          </w:p>
        </w:tc>
        <w:tc>
          <w:tcPr>
            <w:tcW w:w="1183" w:type="dxa"/>
            <w:vAlign w:val="center"/>
          </w:tcPr>
          <w:p w14:paraId="64AE204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0.144408</w:t>
            </w:r>
          </w:p>
        </w:tc>
        <w:tc>
          <w:tcPr>
            <w:tcW w:w="1183" w:type="dxa"/>
            <w:vAlign w:val="center"/>
          </w:tcPr>
          <w:p w14:paraId="42EB202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0.170715</w:t>
            </w:r>
          </w:p>
        </w:tc>
        <w:tc>
          <w:tcPr>
            <w:tcW w:w="1183" w:type="dxa"/>
            <w:vAlign w:val="center"/>
          </w:tcPr>
          <w:p w14:paraId="0598C89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0.287108</w:t>
            </w:r>
          </w:p>
        </w:tc>
      </w:tr>
      <w:tr w14:paraId="048BF6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218" w:type="dxa"/>
            <w:vAlign w:val="center"/>
          </w:tcPr>
          <w:p w14:paraId="393F7933">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10(km/hr)</w:t>
            </w:r>
          </w:p>
        </w:tc>
        <w:tc>
          <w:tcPr>
            <w:tcW w:w="1183" w:type="dxa"/>
            <w:vAlign w:val="center"/>
          </w:tcPr>
          <w:p w14:paraId="66A1FBA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0.102112</w:t>
            </w:r>
          </w:p>
        </w:tc>
        <w:tc>
          <w:tcPr>
            <w:tcW w:w="1183" w:type="dxa"/>
            <w:vAlign w:val="center"/>
          </w:tcPr>
          <w:p w14:paraId="6B9C1A4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0.171731</w:t>
            </w:r>
          </w:p>
        </w:tc>
        <w:tc>
          <w:tcPr>
            <w:tcW w:w="1183" w:type="dxa"/>
            <w:vAlign w:val="center"/>
          </w:tcPr>
          <w:p w14:paraId="3865972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0.232764</w:t>
            </w:r>
          </w:p>
        </w:tc>
        <w:tc>
          <w:tcPr>
            <w:tcW w:w="1183" w:type="dxa"/>
            <w:vAlign w:val="center"/>
          </w:tcPr>
          <w:p w14:paraId="2356F84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0.288815</w:t>
            </w:r>
          </w:p>
        </w:tc>
        <w:tc>
          <w:tcPr>
            <w:tcW w:w="1183" w:type="dxa"/>
            <w:vAlign w:val="center"/>
          </w:tcPr>
          <w:p w14:paraId="6EC14BE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0.341431</w:t>
            </w:r>
          </w:p>
        </w:tc>
        <w:tc>
          <w:tcPr>
            <w:tcW w:w="1183" w:type="dxa"/>
            <w:vAlign w:val="center"/>
          </w:tcPr>
          <w:p w14:paraId="068C438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0.574216</w:t>
            </w:r>
          </w:p>
        </w:tc>
      </w:tr>
      <w:tr w14:paraId="29CB8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218" w:type="dxa"/>
            <w:vAlign w:val="center"/>
          </w:tcPr>
          <w:p w14:paraId="2D5DB70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15(km/hr)</w:t>
            </w:r>
          </w:p>
        </w:tc>
        <w:tc>
          <w:tcPr>
            <w:tcW w:w="1183" w:type="dxa"/>
            <w:vAlign w:val="center"/>
          </w:tcPr>
          <w:p w14:paraId="6407B80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0.153167</w:t>
            </w:r>
          </w:p>
        </w:tc>
        <w:tc>
          <w:tcPr>
            <w:tcW w:w="1183" w:type="dxa"/>
            <w:vAlign w:val="center"/>
          </w:tcPr>
          <w:p w14:paraId="55EFC2D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0.257596</w:t>
            </w:r>
          </w:p>
        </w:tc>
        <w:tc>
          <w:tcPr>
            <w:tcW w:w="1183" w:type="dxa"/>
            <w:vAlign w:val="center"/>
          </w:tcPr>
          <w:p w14:paraId="17E4268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0.349146</w:t>
            </w:r>
          </w:p>
        </w:tc>
        <w:tc>
          <w:tcPr>
            <w:tcW w:w="1183" w:type="dxa"/>
            <w:vAlign w:val="center"/>
          </w:tcPr>
          <w:p w14:paraId="458537B1">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0.433223</w:t>
            </w:r>
          </w:p>
        </w:tc>
        <w:tc>
          <w:tcPr>
            <w:tcW w:w="1183" w:type="dxa"/>
            <w:vAlign w:val="center"/>
          </w:tcPr>
          <w:p w14:paraId="6623DB4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0.512146</w:t>
            </w:r>
          </w:p>
        </w:tc>
        <w:tc>
          <w:tcPr>
            <w:tcW w:w="1183" w:type="dxa"/>
            <w:vAlign w:val="center"/>
          </w:tcPr>
          <w:p w14:paraId="3C84763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0.861323</w:t>
            </w:r>
          </w:p>
        </w:tc>
      </w:tr>
      <w:tr w14:paraId="5B418F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218" w:type="dxa"/>
            <w:vAlign w:val="center"/>
          </w:tcPr>
          <w:p w14:paraId="0E3C16E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25(km/hr)</w:t>
            </w:r>
          </w:p>
        </w:tc>
        <w:tc>
          <w:tcPr>
            <w:tcW w:w="1183" w:type="dxa"/>
            <w:vAlign w:val="center"/>
          </w:tcPr>
          <w:p w14:paraId="02017E9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w:t>
            </w:r>
            <w:r>
              <w:rPr>
                <w:rFonts w:cs="Times New Roman"/>
                <w:snapToGrid w:val="0"/>
                <w:color w:val="auto"/>
                <w:kern w:val="0"/>
                <w:sz w:val="21"/>
                <w:highlight w:val="none"/>
              </w:rPr>
              <w:t>255</w:t>
            </w:r>
            <w:r>
              <w:rPr>
                <w:rFonts w:cs="Times New Roman"/>
                <w:snapToGrid w:val="0"/>
                <w:color w:val="auto"/>
                <w:kern w:val="0"/>
                <w:sz w:val="21"/>
                <w:highlight w:val="none"/>
                <w:lang w:val="zh-CN"/>
              </w:rPr>
              <w:t>79</w:t>
            </w:r>
          </w:p>
        </w:tc>
        <w:tc>
          <w:tcPr>
            <w:tcW w:w="1183" w:type="dxa"/>
            <w:vAlign w:val="center"/>
          </w:tcPr>
          <w:p w14:paraId="129ECC1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0.429326</w:t>
            </w:r>
          </w:p>
        </w:tc>
        <w:tc>
          <w:tcPr>
            <w:tcW w:w="1183" w:type="dxa"/>
            <w:vAlign w:val="center"/>
          </w:tcPr>
          <w:p w14:paraId="049967F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0.58191</w:t>
            </w:r>
          </w:p>
        </w:tc>
        <w:tc>
          <w:tcPr>
            <w:tcW w:w="1183" w:type="dxa"/>
            <w:vAlign w:val="center"/>
          </w:tcPr>
          <w:p w14:paraId="5A54C6B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0.722038</w:t>
            </w:r>
          </w:p>
        </w:tc>
        <w:tc>
          <w:tcPr>
            <w:tcW w:w="1183" w:type="dxa"/>
            <w:vAlign w:val="center"/>
          </w:tcPr>
          <w:p w14:paraId="6F7878A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0.853577</w:t>
            </w:r>
          </w:p>
        </w:tc>
        <w:tc>
          <w:tcPr>
            <w:tcW w:w="1183" w:type="dxa"/>
            <w:vAlign w:val="center"/>
          </w:tcPr>
          <w:p w14:paraId="65E034D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1.435539</w:t>
            </w:r>
          </w:p>
        </w:tc>
      </w:tr>
    </w:tbl>
    <w:p w14:paraId="61129FCC">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施工期扬尘的另一个主要原因是露天堆场和裸露场地的风力扬尘。由于施工的需要，一些建材需露天堆放；一些施工点表层土壤需人工开挖、堆放，在气候干燥又有风的情况下，会产生扬尘。不同粒径尘粒的沉降速度见表5</w:t>
      </w:r>
      <w:r>
        <w:rPr>
          <w:rFonts w:hint="eastAsia" w:cs="Times New Roman"/>
          <w:snapToGrid w:val="0"/>
          <w:color w:val="auto"/>
          <w:kern w:val="0"/>
          <w:highlight w:val="none"/>
          <w:lang w:val="en-US" w:eastAsia="zh-CN"/>
        </w:rPr>
        <w:t>.</w:t>
      </w:r>
      <w:r>
        <w:rPr>
          <w:rFonts w:cs="Times New Roman"/>
          <w:snapToGrid w:val="0"/>
          <w:color w:val="auto"/>
          <w:kern w:val="0"/>
          <w:highlight w:val="none"/>
        </w:rPr>
        <w:t>1-2。</w:t>
      </w:r>
    </w:p>
    <w:p w14:paraId="47843126">
      <w:pPr>
        <w:spacing w:line="500" w:lineRule="exact"/>
        <w:ind w:firstLine="0" w:firstLineChars="0"/>
        <w:rPr>
          <w:rFonts w:eastAsia="黑体" w:cs="Times New Roman"/>
          <w:snapToGrid w:val="0"/>
          <w:color w:val="auto"/>
          <w:kern w:val="0"/>
          <w:highlight w:val="none"/>
          <w:lang w:val="zh-CN"/>
        </w:rPr>
      </w:pPr>
    </w:p>
    <w:p w14:paraId="7ECC8E6A">
      <w:pPr>
        <w:spacing w:line="500" w:lineRule="exact"/>
        <w:ind w:firstLine="0" w:firstLineChars="0"/>
        <w:jc w:val="center"/>
        <w:rPr>
          <w:rFonts w:cs="Times New Roman"/>
          <w:b/>
          <w:bCs/>
          <w:snapToGrid w:val="0"/>
          <w:color w:val="auto"/>
          <w:kern w:val="0"/>
          <w:szCs w:val="24"/>
          <w:highlight w:val="none"/>
          <w:lang w:val="zh-CN"/>
        </w:rPr>
      </w:pPr>
      <w:r>
        <w:rPr>
          <w:rFonts w:cs="Times New Roman"/>
          <w:b/>
          <w:bCs/>
          <w:snapToGrid w:val="0"/>
          <w:color w:val="auto"/>
          <w:kern w:val="0"/>
          <w:szCs w:val="24"/>
          <w:highlight w:val="none"/>
          <w:lang w:val="zh-CN"/>
        </w:rPr>
        <w:t>表5</w:t>
      </w:r>
      <w:r>
        <w:rPr>
          <w:rFonts w:hint="eastAsia" w:cs="Times New Roman"/>
          <w:b/>
          <w:bCs/>
          <w:snapToGrid w:val="0"/>
          <w:color w:val="auto"/>
          <w:kern w:val="0"/>
          <w:szCs w:val="24"/>
          <w:highlight w:val="none"/>
          <w:lang w:val="en-US" w:eastAsia="zh-CN"/>
        </w:rPr>
        <w:t>.</w:t>
      </w:r>
      <w:r>
        <w:rPr>
          <w:rFonts w:cs="Times New Roman"/>
          <w:b/>
          <w:bCs/>
          <w:snapToGrid w:val="0"/>
          <w:color w:val="auto"/>
          <w:kern w:val="0"/>
          <w:szCs w:val="24"/>
          <w:highlight w:val="none"/>
          <w:lang w:val="zh-CN"/>
        </w:rPr>
        <w:t>1-2  不同粒径尘粒的沉降速度</w:t>
      </w:r>
    </w:p>
    <w:tbl>
      <w:tblPr>
        <w:tblStyle w:val="398"/>
        <w:tblW w:w="827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20"/>
        <w:gridCol w:w="922"/>
        <w:gridCol w:w="922"/>
        <w:gridCol w:w="922"/>
        <w:gridCol w:w="922"/>
        <w:gridCol w:w="922"/>
        <w:gridCol w:w="922"/>
        <w:gridCol w:w="924"/>
      </w:tblGrid>
      <w:tr w14:paraId="2D2ACD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1820" w:type="dxa"/>
            <w:vAlign w:val="center"/>
          </w:tcPr>
          <w:p w14:paraId="3ABB91D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粒径（μm）</w:t>
            </w:r>
          </w:p>
        </w:tc>
        <w:tc>
          <w:tcPr>
            <w:tcW w:w="922" w:type="dxa"/>
            <w:vAlign w:val="center"/>
          </w:tcPr>
          <w:p w14:paraId="2AA9F313">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w:t>
            </w:r>
          </w:p>
        </w:tc>
        <w:tc>
          <w:tcPr>
            <w:tcW w:w="922" w:type="dxa"/>
            <w:vAlign w:val="center"/>
          </w:tcPr>
          <w:p w14:paraId="672E83E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20</w:t>
            </w:r>
          </w:p>
        </w:tc>
        <w:tc>
          <w:tcPr>
            <w:tcW w:w="922" w:type="dxa"/>
            <w:vAlign w:val="center"/>
          </w:tcPr>
          <w:p w14:paraId="2AB3A4E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30</w:t>
            </w:r>
          </w:p>
        </w:tc>
        <w:tc>
          <w:tcPr>
            <w:tcW w:w="922" w:type="dxa"/>
            <w:vAlign w:val="center"/>
          </w:tcPr>
          <w:p w14:paraId="2B73174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40</w:t>
            </w:r>
          </w:p>
        </w:tc>
        <w:tc>
          <w:tcPr>
            <w:tcW w:w="922" w:type="dxa"/>
            <w:vAlign w:val="center"/>
          </w:tcPr>
          <w:p w14:paraId="5160621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50</w:t>
            </w:r>
          </w:p>
        </w:tc>
        <w:tc>
          <w:tcPr>
            <w:tcW w:w="922" w:type="dxa"/>
            <w:vAlign w:val="center"/>
          </w:tcPr>
          <w:p w14:paraId="2B79A59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60</w:t>
            </w:r>
          </w:p>
        </w:tc>
        <w:tc>
          <w:tcPr>
            <w:tcW w:w="924" w:type="dxa"/>
            <w:vAlign w:val="center"/>
          </w:tcPr>
          <w:p w14:paraId="0060FB1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70</w:t>
            </w:r>
          </w:p>
        </w:tc>
      </w:tr>
      <w:tr w14:paraId="4A96D8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1820" w:type="dxa"/>
            <w:vAlign w:val="center"/>
          </w:tcPr>
          <w:p w14:paraId="5598FFD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沉降速度（m/s）</w:t>
            </w:r>
          </w:p>
        </w:tc>
        <w:tc>
          <w:tcPr>
            <w:tcW w:w="922" w:type="dxa"/>
            <w:vAlign w:val="center"/>
          </w:tcPr>
          <w:p w14:paraId="67FD53E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0.003</w:t>
            </w:r>
          </w:p>
        </w:tc>
        <w:tc>
          <w:tcPr>
            <w:tcW w:w="922" w:type="dxa"/>
            <w:vAlign w:val="center"/>
          </w:tcPr>
          <w:p w14:paraId="3161CD9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0.012</w:t>
            </w:r>
          </w:p>
        </w:tc>
        <w:tc>
          <w:tcPr>
            <w:tcW w:w="922" w:type="dxa"/>
            <w:vAlign w:val="center"/>
          </w:tcPr>
          <w:p w14:paraId="47F0873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0.027</w:t>
            </w:r>
          </w:p>
        </w:tc>
        <w:tc>
          <w:tcPr>
            <w:tcW w:w="922" w:type="dxa"/>
            <w:vAlign w:val="center"/>
          </w:tcPr>
          <w:p w14:paraId="4044791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0.048</w:t>
            </w:r>
          </w:p>
        </w:tc>
        <w:tc>
          <w:tcPr>
            <w:tcW w:w="922" w:type="dxa"/>
            <w:vAlign w:val="center"/>
          </w:tcPr>
          <w:p w14:paraId="4D35B85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0.075</w:t>
            </w:r>
          </w:p>
        </w:tc>
        <w:tc>
          <w:tcPr>
            <w:tcW w:w="922" w:type="dxa"/>
            <w:vAlign w:val="center"/>
          </w:tcPr>
          <w:p w14:paraId="33533C4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0.108</w:t>
            </w:r>
          </w:p>
        </w:tc>
        <w:tc>
          <w:tcPr>
            <w:tcW w:w="924" w:type="dxa"/>
            <w:vAlign w:val="center"/>
          </w:tcPr>
          <w:p w14:paraId="5070BD11">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0.147</w:t>
            </w:r>
          </w:p>
        </w:tc>
      </w:tr>
      <w:tr w14:paraId="08D653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1820" w:type="dxa"/>
            <w:vAlign w:val="center"/>
          </w:tcPr>
          <w:p w14:paraId="0AE7F79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粒径（μm）</w:t>
            </w:r>
          </w:p>
        </w:tc>
        <w:tc>
          <w:tcPr>
            <w:tcW w:w="922" w:type="dxa"/>
            <w:vAlign w:val="center"/>
          </w:tcPr>
          <w:p w14:paraId="03C2C9E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80</w:t>
            </w:r>
          </w:p>
        </w:tc>
        <w:tc>
          <w:tcPr>
            <w:tcW w:w="922" w:type="dxa"/>
            <w:vAlign w:val="center"/>
          </w:tcPr>
          <w:p w14:paraId="680B1F6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90</w:t>
            </w:r>
          </w:p>
        </w:tc>
        <w:tc>
          <w:tcPr>
            <w:tcW w:w="922" w:type="dxa"/>
            <w:vAlign w:val="center"/>
          </w:tcPr>
          <w:p w14:paraId="10CBF84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100</w:t>
            </w:r>
          </w:p>
        </w:tc>
        <w:tc>
          <w:tcPr>
            <w:tcW w:w="922" w:type="dxa"/>
            <w:vAlign w:val="center"/>
          </w:tcPr>
          <w:p w14:paraId="474EFA8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150</w:t>
            </w:r>
          </w:p>
        </w:tc>
        <w:tc>
          <w:tcPr>
            <w:tcW w:w="922" w:type="dxa"/>
            <w:vAlign w:val="center"/>
          </w:tcPr>
          <w:p w14:paraId="7BB7F47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200</w:t>
            </w:r>
          </w:p>
        </w:tc>
        <w:tc>
          <w:tcPr>
            <w:tcW w:w="922" w:type="dxa"/>
            <w:vAlign w:val="center"/>
          </w:tcPr>
          <w:p w14:paraId="1347BAC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250</w:t>
            </w:r>
          </w:p>
        </w:tc>
        <w:tc>
          <w:tcPr>
            <w:tcW w:w="924" w:type="dxa"/>
            <w:vAlign w:val="center"/>
          </w:tcPr>
          <w:p w14:paraId="6F5443A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350</w:t>
            </w:r>
          </w:p>
        </w:tc>
      </w:tr>
      <w:tr w14:paraId="499972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1820" w:type="dxa"/>
            <w:vAlign w:val="center"/>
          </w:tcPr>
          <w:p w14:paraId="67D80CA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沉降速度（m/s）</w:t>
            </w:r>
          </w:p>
        </w:tc>
        <w:tc>
          <w:tcPr>
            <w:tcW w:w="922" w:type="dxa"/>
            <w:vAlign w:val="center"/>
          </w:tcPr>
          <w:p w14:paraId="6475529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0.158</w:t>
            </w:r>
          </w:p>
        </w:tc>
        <w:tc>
          <w:tcPr>
            <w:tcW w:w="922" w:type="dxa"/>
            <w:vAlign w:val="center"/>
          </w:tcPr>
          <w:p w14:paraId="57C8180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0.170</w:t>
            </w:r>
          </w:p>
        </w:tc>
        <w:tc>
          <w:tcPr>
            <w:tcW w:w="922" w:type="dxa"/>
            <w:vAlign w:val="center"/>
          </w:tcPr>
          <w:p w14:paraId="3914D21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0.182</w:t>
            </w:r>
          </w:p>
        </w:tc>
        <w:tc>
          <w:tcPr>
            <w:tcW w:w="922" w:type="dxa"/>
            <w:vAlign w:val="center"/>
          </w:tcPr>
          <w:p w14:paraId="4C23173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0.239</w:t>
            </w:r>
          </w:p>
        </w:tc>
        <w:tc>
          <w:tcPr>
            <w:tcW w:w="922" w:type="dxa"/>
            <w:vAlign w:val="center"/>
          </w:tcPr>
          <w:p w14:paraId="20CC198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0.804</w:t>
            </w:r>
          </w:p>
        </w:tc>
        <w:tc>
          <w:tcPr>
            <w:tcW w:w="922" w:type="dxa"/>
            <w:vAlign w:val="center"/>
          </w:tcPr>
          <w:p w14:paraId="56A5BA3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1.005</w:t>
            </w:r>
          </w:p>
        </w:tc>
        <w:tc>
          <w:tcPr>
            <w:tcW w:w="924" w:type="dxa"/>
            <w:vAlign w:val="center"/>
          </w:tcPr>
          <w:p w14:paraId="3834C7B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1.829</w:t>
            </w:r>
          </w:p>
        </w:tc>
      </w:tr>
      <w:tr w14:paraId="3E2CE2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1820" w:type="dxa"/>
            <w:vAlign w:val="center"/>
          </w:tcPr>
          <w:p w14:paraId="2AB0FCC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粒径（μm）</w:t>
            </w:r>
          </w:p>
        </w:tc>
        <w:tc>
          <w:tcPr>
            <w:tcW w:w="922" w:type="dxa"/>
            <w:vAlign w:val="center"/>
          </w:tcPr>
          <w:p w14:paraId="5201744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450</w:t>
            </w:r>
          </w:p>
        </w:tc>
        <w:tc>
          <w:tcPr>
            <w:tcW w:w="922" w:type="dxa"/>
            <w:vAlign w:val="center"/>
          </w:tcPr>
          <w:p w14:paraId="520E0541">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550</w:t>
            </w:r>
          </w:p>
        </w:tc>
        <w:tc>
          <w:tcPr>
            <w:tcW w:w="922" w:type="dxa"/>
            <w:vAlign w:val="center"/>
          </w:tcPr>
          <w:p w14:paraId="5EE6D39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650</w:t>
            </w:r>
          </w:p>
        </w:tc>
        <w:tc>
          <w:tcPr>
            <w:tcW w:w="922" w:type="dxa"/>
            <w:vAlign w:val="center"/>
          </w:tcPr>
          <w:p w14:paraId="6BD8742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750</w:t>
            </w:r>
          </w:p>
        </w:tc>
        <w:tc>
          <w:tcPr>
            <w:tcW w:w="922" w:type="dxa"/>
            <w:vAlign w:val="center"/>
          </w:tcPr>
          <w:p w14:paraId="4EB2380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850</w:t>
            </w:r>
          </w:p>
        </w:tc>
        <w:tc>
          <w:tcPr>
            <w:tcW w:w="922" w:type="dxa"/>
            <w:vAlign w:val="center"/>
          </w:tcPr>
          <w:p w14:paraId="0DBE3DF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950</w:t>
            </w:r>
          </w:p>
        </w:tc>
        <w:tc>
          <w:tcPr>
            <w:tcW w:w="924" w:type="dxa"/>
            <w:vAlign w:val="center"/>
          </w:tcPr>
          <w:p w14:paraId="7A3A651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2800</w:t>
            </w:r>
          </w:p>
        </w:tc>
      </w:tr>
      <w:tr w14:paraId="5D8F3E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1820" w:type="dxa"/>
            <w:vAlign w:val="center"/>
          </w:tcPr>
          <w:p w14:paraId="5849F05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沉降速度（m/s）</w:t>
            </w:r>
          </w:p>
        </w:tc>
        <w:tc>
          <w:tcPr>
            <w:tcW w:w="922" w:type="dxa"/>
            <w:vAlign w:val="center"/>
          </w:tcPr>
          <w:p w14:paraId="3EE1CCB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2.211</w:t>
            </w:r>
          </w:p>
        </w:tc>
        <w:tc>
          <w:tcPr>
            <w:tcW w:w="922" w:type="dxa"/>
            <w:vAlign w:val="center"/>
          </w:tcPr>
          <w:p w14:paraId="1A737C8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2.614</w:t>
            </w:r>
          </w:p>
        </w:tc>
        <w:tc>
          <w:tcPr>
            <w:tcW w:w="922" w:type="dxa"/>
            <w:vAlign w:val="center"/>
          </w:tcPr>
          <w:p w14:paraId="389F472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3.016</w:t>
            </w:r>
          </w:p>
        </w:tc>
        <w:tc>
          <w:tcPr>
            <w:tcW w:w="922" w:type="dxa"/>
            <w:vAlign w:val="center"/>
          </w:tcPr>
          <w:p w14:paraId="2218C103">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3.418</w:t>
            </w:r>
          </w:p>
        </w:tc>
        <w:tc>
          <w:tcPr>
            <w:tcW w:w="922" w:type="dxa"/>
            <w:vAlign w:val="center"/>
          </w:tcPr>
          <w:p w14:paraId="10EAA6A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3.820</w:t>
            </w:r>
          </w:p>
        </w:tc>
        <w:tc>
          <w:tcPr>
            <w:tcW w:w="922" w:type="dxa"/>
            <w:vAlign w:val="center"/>
          </w:tcPr>
          <w:p w14:paraId="012E1F0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4.222</w:t>
            </w:r>
          </w:p>
        </w:tc>
        <w:tc>
          <w:tcPr>
            <w:tcW w:w="924" w:type="dxa"/>
            <w:vAlign w:val="center"/>
          </w:tcPr>
          <w:p w14:paraId="41A4B1D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4.624</w:t>
            </w:r>
          </w:p>
        </w:tc>
      </w:tr>
    </w:tbl>
    <w:p w14:paraId="0C29EBAB">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从上表可以看出，尘粒的沉降速度随粒径的增大而迅速增大。当粒径为250μm时，沉降速度为1.005m/s，因此可以认为当尘粒大于250μm时，主要影响范围在扬尘点下风向近距离范围内，而真正对外环境产生影响的是一些微小尘粒。在有风的情况下，施工扬尘会对该区域造成一定的影响。由起尘计算公式可知，V</w:t>
      </w:r>
      <w:r>
        <w:rPr>
          <w:rFonts w:cs="Times New Roman"/>
          <w:snapToGrid w:val="0"/>
          <w:color w:val="auto"/>
          <w:kern w:val="0"/>
          <w:highlight w:val="none"/>
          <w:vertAlign w:val="subscript"/>
        </w:rPr>
        <w:t>0</w:t>
      </w:r>
      <w:r>
        <w:rPr>
          <w:rFonts w:cs="Times New Roman"/>
          <w:snapToGrid w:val="0"/>
          <w:color w:val="auto"/>
          <w:kern w:val="0"/>
          <w:highlight w:val="none"/>
        </w:rPr>
        <w:t>与粒径和含水率有关，因此，通过采取减少露天堆放和保证一定的含水率及减少裸露地面等措施后，风力起尘对环境的影响较小。</w:t>
      </w:r>
    </w:p>
    <w:p w14:paraId="589BAE27">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总之，只要加强管理、切实落实好这些措施，施工场地扬尘对环境的影响将会大大降低，同时其对环境的影响也将随施工的结束而消失。</w:t>
      </w:r>
    </w:p>
    <w:p w14:paraId="75103278">
      <w:pPr>
        <w:pStyle w:val="4"/>
        <w:spacing w:after="0" w:afterLines="0"/>
        <w:rPr>
          <w:rFonts w:cs="Times New Roman"/>
          <w:color w:val="auto"/>
          <w:highlight w:val="none"/>
        </w:rPr>
      </w:pPr>
      <w:bookmarkStart w:id="290" w:name="_Toc7096"/>
      <w:r>
        <w:rPr>
          <w:rFonts w:cs="Times New Roman"/>
          <w:color w:val="auto"/>
          <w:highlight w:val="none"/>
        </w:rPr>
        <w:t>5.1.2施工期水环境影响分析</w:t>
      </w:r>
      <w:bookmarkEnd w:id="290"/>
    </w:p>
    <w:p w14:paraId="2A08AB91">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项目施工期产生的废水主要为生活污水及施工废水。</w:t>
      </w:r>
    </w:p>
    <w:p w14:paraId="70F2D827">
      <w:pPr>
        <w:adjustRightInd/>
        <w:snapToGrid/>
        <w:spacing w:line="500" w:lineRule="exact"/>
        <w:rPr>
          <w:rFonts w:cs="Times New Roman"/>
          <w:snapToGrid w:val="0"/>
          <w:color w:val="auto"/>
          <w:kern w:val="0"/>
          <w:highlight w:val="none"/>
        </w:rPr>
      </w:pPr>
      <w:r>
        <w:rPr>
          <w:rFonts w:cs="Times New Roman"/>
          <w:snapToGrid w:val="0"/>
          <w:color w:val="auto"/>
          <w:kern w:val="0"/>
          <w:highlight w:val="none"/>
        </w:rPr>
        <w:t>生活污水排入防渗旱厕；</w:t>
      </w:r>
      <w:r>
        <w:rPr>
          <w:rFonts w:cs="Times New Roman"/>
          <w:color w:val="auto"/>
          <w:szCs w:val="24"/>
          <w:highlight w:val="none"/>
        </w:rPr>
        <w:t>工地施工废水为场地清洁水等，含有大量的泥沙、灰浆的物质等，以悬浮物含量高、有机负荷低为特点，因此，应设置废水沉淀池处理，沉淀池处理后用于洒水降尘和施工回用水。采取上述措施后，项目施工期间基本无废水排放，因此，不会对水体造成影响。</w:t>
      </w:r>
    </w:p>
    <w:p w14:paraId="1D479217">
      <w:pPr>
        <w:pStyle w:val="4"/>
        <w:spacing w:after="163"/>
        <w:rPr>
          <w:rFonts w:cs="Times New Roman"/>
          <w:color w:val="auto"/>
          <w:highlight w:val="none"/>
        </w:rPr>
      </w:pPr>
      <w:bookmarkStart w:id="291" w:name="_Toc25096"/>
      <w:r>
        <w:rPr>
          <w:rFonts w:cs="Times New Roman"/>
          <w:color w:val="auto"/>
          <w:highlight w:val="none"/>
        </w:rPr>
        <w:t>5.1.3施工期噪声影响分析</w:t>
      </w:r>
      <w:bookmarkEnd w:id="291"/>
    </w:p>
    <w:p w14:paraId="2533B673">
      <w:pPr>
        <w:ind w:firstLine="482"/>
        <w:rPr>
          <w:rFonts w:cs="Times New Roman"/>
          <w:b/>
          <w:bCs/>
          <w:color w:val="auto"/>
          <w:szCs w:val="24"/>
          <w:highlight w:val="none"/>
        </w:rPr>
      </w:pPr>
      <w:bookmarkStart w:id="292" w:name="_Toc207159674"/>
      <w:r>
        <w:rPr>
          <w:rFonts w:cs="Times New Roman"/>
          <w:b/>
          <w:bCs/>
          <w:color w:val="auto"/>
          <w:szCs w:val="24"/>
          <w:highlight w:val="none"/>
        </w:rPr>
        <w:t>1、施工期噪声影响</w:t>
      </w:r>
    </w:p>
    <w:p w14:paraId="7D6F2097">
      <w:pPr>
        <w:rPr>
          <w:rFonts w:cs="Times New Roman"/>
          <w:color w:val="auto"/>
          <w:szCs w:val="24"/>
          <w:highlight w:val="none"/>
        </w:rPr>
      </w:pPr>
      <w:r>
        <w:rPr>
          <w:rFonts w:cs="Times New Roman"/>
          <w:color w:val="auto"/>
          <w:szCs w:val="24"/>
          <w:highlight w:val="none"/>
        </w:rPr>
        <w:t>施工机械噪声是项目施工建设中主要污染因子。建筑施工的机械作业噪声传播距离远，影响范围大，是重要的临时性声源。其设备噪声级为71～101dB（A）。</w:t>
      </w:r>
    </w:p>
    <w:p w14:paraId="6C956297">
      <w:pPr>
        <w:rPr>
          <w:rFonts w:cs="Times New Roman"/>
          <w:color w:val="auto"/>
          <w:szCs w:val="24"/>
          <w:highlight w:val="none"/>
        </w:rPr>
      </w:pPr>
      <w:r>
        <w:rPr>
          <w:rFonts w:cs="Times New Roman"/>
          <w:color w:val="auto"/>
          <w:szCs w:val="24"/>
          <w:highlight w:val="none"/>
        </w:rPr>
        <w:t>采用衰减模式预测噪声影响值，预测模式如下：</w:t>
      </w:r>
    </w:p>
    <w:p w14:paraId="67CE9120">
      <w:pPr>
        <w:ind w:firstLine="0" w:firstLineChars="0"/>
        <w:jc w:val="center"/>
        <w:rPr>
          <w:rFonts w:cs="Times New Roman"/>
          <w:color w:val="auto"/>
          <w:szCs w:val="24"/>
          <w:highlight w:val="none"/>
        </w:rPr>
      </w:pPr>
      <w:r>
        <w:rPr>
          <w:rFonts w:cs="Times New Roman"/>
          <w:color w:val="auto"/>
          <w:szCs w:val="24"/>
          <w:highlight w:val="none"/>
        </w:rPr>
        <w:t>L=L</w:t>
      </w:r>
      <w:r>
        <w:rPr>
          <w:rFonts w:cs="Times New Roman"/>
          <w:color w:val="auto"/>
          <w:szCs w:val="24"/>
          <w:highlight w:val="none"/>
          <w:vertAlign w:val="subscript"/>
        </w:rPr>
        <w:t>1</w:t>
      </w:r>
      <w:r>
        <w:rPr>
          <w:rFonts w:cs="Times New Roman"/>
          <w:color w:val="auto"/>
          <w:szCs w:val="24"/>
          <w:highlight w:val="none"/>
        </w:rPr>
        <w:t>-20lgr</w:t>
      </w:r>
      <w:r>
        <w:rPr>
          <w:rFonts w:cs="Times New Roman"/>
          <w:color w:val="auto"/>
          <w:szCs w:val="24"/>
          <w:highlight w:val="none"/>
          <w:vertAlign w:val="subscript"/>
        </w:rPr>
        <w:t>2</w:t>
      </w:r>
      <w:r>
        <w:rPr>
          <w:rFonts w:cs="Times New Roman"/>
          <w:color w:val="auto"/>
          <w:szCs w:val="24"/>
          <w:highlight w:val="none"/>
        </w:rPr>
        <w:t>/r</w:t>
      </w:r>
      <w:r>
        <w:rPr>
          <w:rFonts w:cs="Times New Roman"/>
          <w:color w:val="auto"/>
          <w:szCs w:val="24"/>
          <w:highlight w:val="none"/>
          <w:vertAlign w:val="subscript"/>
        </w:rPr>
        <w:t>1</w:t>
      </w:r>
    </w:p>
    <w:p w14:paraId="258A0F19">
      <w:pPr>
        <w:rPr>
          <w:rFonts w:cs="Times New Roman"/>
          <w:color w:val="auto"/>
          <w:szCs w:val="24"/>
          <w:highlight w:val="none"/>
        </w:rPr>
      </w:pPr>
      <w:r>
        <w:rPr>
          <w:rFonts w:cs="Times New Roman"/>
          <w:color w:val="auto"/>
          <w:szCs w:val="24"/>
          <w:highlight w:val="none"/>
        </w:rPr>
        <w:t>式中：L</w:t>
      </w:r>
      <w:r>
        <w:rPr>
          <w:rFonts w:cs="Times New Roman"/>
          <w:color w:val="auto"/>
          <w:szCs w:val="24"/>
          <w:highlight w:val="none"/>
          <w:vertAlign w:val="subscript"/>
        </w:rPr>
        <w:t>2</w:t>
      </w:r>
      <w:r>
        <w:rPr>
          <w:rFonts w:cs="Times New Roman"/>
          <w:color w:val="auto"/>
          <w:szCs w:val="24"/>
          <w:highlight w:val="none"/>
        </w:rPr>
        <w:t>——距声源r</w:t>
      </w:r>
      <w:r>
        <w:rPr>
          <w:rFonts w:cs="Times New Roman"/>
          <w:color w:val="auto"/>
          <w:szCs w:val="24"/>
          <w:highlight w:val="none"/>
          <w:vertAlign w:val="subscript"/>
        </w:rPr>
        <w:t>2</w:t>
      </w:r>
      <w:r>
        <w:rPr>
          <w:rFonts w:cs="Times New Roman"/>
          <w:color w:val="auto"/>
          <w:szCs w:val="24"/>
          <w:highlight w:val="none"/>
        </w:rPr>
        <w:t>处声源值[dB（A）]；</w:t>
      </w:r>
    </w:p>
    <w:p w14:paraId="62A09205">
      <w:pPr>
        <w:rPr>
          <w:rFonts w:cs="Times New Roman"/>
          <w:color w:val="auto"/>
          <w:szCs w:val="24"/>
          <w:highlight w:val="none"/>
        </w:rPr>
      </w:pPr>
      <w:r>
        <w:rPr>
          <w:rFonts w:cs="Times New Roman"/>
          <w:color w:val="auto"/>
          <w:szCs w:val="24"/>
          <w:highlight w:val="none"/>
        </w:rPr>
        <w:t xml:space="preserve">      L</w:t>
      </w:r>
      <w:r>
        <w:rPr>
          <w:rFonts w:cs="Times New Roman"/>
          <w:color w:val="auto"/>
          <w:szCs w:val="24"/>
          <w:highlight w:val="none"/>
          <w:vertAlign w:val="subscript"/>
        </w:rPr>
        <w:t>1</w:t>
      </w:r>
      <w:r>
        <w:rPr>
          <w:rFonts w:cs="Times New Roman"/>
          <w:color w:val="auto"/>
          <w:szCs w:val="24"/>
          <w:highlight w:val="none"/>
        </w:rPr>
        <w:t>——距声源r</w:t>
      </w:r>
      <w:r>
        <w:rPr>
          <w:rFonts w:cs="Times New Roman"/>
          <w:color w:val="auto"/>
          <w:szCs w:val="24"/>
          <w:highlight w:val="none"/>
          <w:vertAlign w:val="subscript"/>
        </w:rPr>
        <w:t>1</w:t>
      </w:r>
      <w:r>
        <w:rPr>
          <w:rFonts w:cs="Times New Roman"/>
          <w:color w:val="auto"/>
          <w:szCs w:val="24"/>
          <w:highlight w:val="none"/>
        </w:rPr>
        <w:t>处声源值[dB（A）]；</w:t>
      </w:r>
    </w:p>
    <w:p w14:paraId="2C62255C">
      <w:pPr>
        <w:rPr>
          <w:rFonts w:cs="Times New Roman"/>
          <w:color w:val="auto"/>
          <w:szCs w:val="24"/>
          <w:highlight w:val="none"/>
        </w:rPr>
      </w:pPr>
      <w:r>
        <w:rPr>
          <w:rFonts w:cs="Times New Roman"/>
          <w:color w:val="auto"/>
          <w:szCs w:val="24"/>
          <w:highlight w:val="none"/>
        </w:rPr>
        <w:t xml:space="preserve">      r</w:t>
      </w:r>
      <w:r>
        <w:rPr>
          <w:rFonts w:cs="Times New Roman"/>
          <w:color w:val="auto"/>
          <w:szCs w:val="24"/>
          <w:highlight w:val="none"/>
          <w:vertAlign w:val="subscript"/>
        </w:rPr>
        <w:t>2</w:t>
      </w:r>
      <w:r>
        <w:rPr>
          <w:rFonts w:cs="Times New Roman"/>
          <w:color w:val="auto"/>
          <w:szCs w:val="24"/>
          <w:highlight w:val="none"/>
        </w:rPr>
        <w:t>、r</w:t>
      </w:r>
      <w:r>
        <w:rPr>
          <w:rFonts w:cs="Times New Roman"/>
          <w:color w:val="auto"/>
          <w:szCs w:val="24"/>
          <w:highlight w:val="none"/>
          <w:vertAlign w:val="subscript"/>
        </w:rPr>
        <w:t>1</w:t>
      </w:r>
      <w:r>
        <w:rPr>
          <w:rFonts w:cs="Times New Roman"/>
          <w:color w:val="auto"/>
          <w:szCs w:val="24"/>
          <w:highlight w:val="none"/>
        </w:rPr>
        <w:t>——与声源的距离（m）。</w:t>
      </w:r>
    </w:p>
    <w:p w14:paraId="1484BFFF">
      <w:pPr>
        <w:rPr>
          <w:rFonts w:cs="Times New Roman"/>
          <w:color w:val="auto"/>
          <w:szCs w:val="24"/>
          <w:highlight w:val="none"/>
        </w:rPr>
      </w:pPr>
      <w:r>
        <w:rPr>
          <w:rFonts w:cs="Times New Roman"/>
          <w:color w:val="auto"/>
          <w:szCs w:val="24"/>
          <w:highlight w:val="none"/>
        </w:rPr>
        <w:t>根据噪声衰减公式对各设备声源在不同距离的衰减量计算，施工期噪声源强详见表</w:t>
      </w:r>
      <w:r>
        <w:rPr>
          <w:rFonts w:cs="Times New Roman"/>
          <w:color w:val="auto"/>
          <w:szCs w:val="24"/>
          <w:highlight w:val="none"/>
          <w:lang w:val="zh-CN"/>
        </w:rPr>
        <w:t>3</w:t>
      </w:r>
      <w:r>
        <w:rPr>
          <w:rFonts w:hint="eastAsia" w:cs="Times New Roman"/>
          <w:color w:val="auto"/>
          <w:szCs w:val="24"/>
          <w:highlight w:val="none"/>
          <w:lang w:val="en-US" w:eastAsia="zh-CN"/>
        </w:rPr>
        <w:t>.</w:t>
      </w:r>
      <w:r>
        <w:rPr>
          <w:rFonts w:cs="Times New Roman"/>
          <w:color w:val="auto"/>
          <w:szCs w:val="24"/>
          <w:highlight w:val="none"/>
          <w:lang w:val="zh-CN"/>
        </w:rPr>
        <w:t>4-</w:t>
      </w:r>
      <w:r>
        <w:rPr>
          <w:rFonts w:cs="Times New Roman"/>
          <w:color w:val="auto"/>
          <w:szCs w:val="24"/>
          <w:highlight w:val="none"/>
        </w:rPr>
        <w:t>2，衰减贡献值详见表5</w:t>
      </w:r>
      <w:r>
        <w:rPr>
          <w:rFonts w:hint="eastAsia" w:cs="Times New Roman"/>
          <w:color w:val="auto"/>
          <w:szCs w:val="24"/>
          <w:highlight w:val="none"/>
          <w:lang w:val="en-US" w:eastAsia="zh-CN"/>
        </w:rPr>
        <w:t>.</w:t>
      </w:r>
      <w:r>
        <w:rPr>
          <w:rFonts w:cs="Times New Roman"/>
          <w:color w:val="auto"/>
          <w:szCs w:val="24"/>
          <w:highlight w:val="none"/>
        </w:rPr>
        <w:t>1-3。</w:t>
      </w:r>
    </w:p>
    <w:p w14:paraId="7645E72B">
      <w:pPr>
        <w:spacing w:line="240" w:lineRule="auto"/>
        <w:ind w:firstLine="0" w:firstLineChars="0"/>
        <w:jc w:val="center"/>
        <w:rPr>
          <w:rFonts w:cs="Times New Roman"/>
          <w:b/>
          <w:color w:val="auto"/>
          <w:szCs w:val="24"/>
          <w:highlight w:val="none"/>
        </w:rPr>
      </w:pPr>
      <w:r>
        <w:rPr>
          <w:rFonts w:cs="Times New Roman"/>
          <w:b/>
          <w:color w:val="auto"/>
          <w:szCs w:val="24"/>
          <w:highlight w:val="none"/>
        </w:rPr>
        <w:t>表5</w:t>
      </w:r>
      <w:r>
        <w:rPr>
          <w:rFonts w:hint="eastAsia" w:cs="Times New Roman"/>
          <w:b/>
          <w:color w:val="auto"/>
          <w:szCs w:val="24"/>
          <w:highlight w:val="none"/>
          <w:lang w:val="en-US" w:eastAsia="zh-CN"/>
        </w:rPr>
        <w:t>.</w:t>
      </w:r>
      <w:r>
        <w:rPr>
          <w:rFonts w:cs="Times New Roman"/>
          <w:b/>
          <w:color w:val="auto"/>
          <w:szCs w:val="24"/>
          <w:highlight w:val="none"/>
        </w:rPr>
        <w:t>1-3  施工期噪声设备在不同距离的噪声衰减及贡献值</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1874"/>
        <w:gridCol w:w="678"/>
        <w:gridCol w:w="681"/>
        <w:gridCol w:w="678"/>
        <w:gridCol w:w="679"/>
        <w:gridCol w:w="678"/>
        <w:gridCol w:w="681"/>
        <w:gridCol w:w="678"/>
        <w:gridCol w:w="679"/>
      </w:tblGrid>
      <w:tr w14:paraId="0DFEEC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063" w:type="dxa"/>
            <w:gridSpan w:val="2"/>
            <w:vAlign w:val="center"/>
          </w:tcPr>
          <w:p w14:paraId="6FE4D8B3">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距声源距离（r）：m</w:t>
            </w:r>
          </w:p>
        </w:tc>
        <w:tc>
          <w:tcPr>
            <w:tcW w:w="678" w:type="dxa"/>
            <w:vAlign w:val="center"/>
          </w:tcPr>
          <w:p w14:paraId="7B7FF17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w:t>
            </w:r>
          </w:p>
        </w:tc>
        <w:tc>
          <w:tcPr>
            <w:tcW w:w="681" w:type="dxa"/>
            <w:vAlign w:val="center"/>
          </w:tcPr>
          <w:p w14:paraId="159E02F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w:t>
            </w:r>
          </w:p>
        </w:tc>
        <w:tc>
          <w:tcPr>
            <w:tcW w:w="678" w:type="dxa"/>
            <w:vAlign w:val="center"/>
          </w:tcPr>
          <w:p w14:paraId="4B1D780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20</w:t>
            </w:r>
          </w:p>
        </w:tc>
        <w:tc>
          <w:tcPr>
            <w:tcW w:w="679" w:type="dxa"/>
            <w:vAlign w:val="center"/>
          </w:tcPr>
          <w:p w14:paraId="644FE39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30</w:t>
            </w:r>
          </w:p>
        </w:tc>
        <w:tc>
          <w:tcPr>
            <w:tcW w:w="678" w:type="dxa"/>
            <w:vAlign w:val="center"/>
          </w:tcPr>
          <w:p w14:paraId="0F2183A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50</w:t>
            </w:r>
          </w:p>
        </w:tc>
        <w:tc>
          <w:tcPr>
            <w:tcW w:w="681" w:type="dxa"/>
            <w:vAlign w:val="center"/>
          </w:tcPr>
          <w:p w14:paraId="719CF8D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100</w:t>
            </w:r>
          </w:p>
        </w:tc>
        <w:tc>
          <w:tcPr>
            <w:tcW w:w="678" w:type="dxa"/>
            <w:vAlign w:val="center"/>
          </w:tcPr>
          <w:p w14:paraId="0A103A4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150</w:t>
            </w:r>
          </w:p>
        </w:tc>
        <w:tc>
          <w:tcPr>
            <w:tcW w:w="679" w:type="dxa"/>
            <w:vAlign w:val="center"/>
          </w:tcPr>
          <w:p w14:paraId="0CAEB1B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200</w:t>
            </w:r>
          </w:p>
        </w:tc>
      </w:tr>
      <w:tr w14:paraId="18A1BC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3063" w:type="dxa"/>
            <w:gridSpan w:val="2"/>
            <w:vAlign w:val="center"/>
          </w:tcPr>
          <w:p w14:paraId="0591839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噪声衰减值：dB（A）</w:t>
            </w:r>
          </w:p>
        </w:tc>
        <w:tc>
          <w:tcPr>
            <w:tcW w:w="678" w:type="dxa"/>
            <w:vAlign w:val="center"/>
          </w:tcPr>
          <w:p w14:paraId="6B2DB11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0</w:t>
            </w:r>
          </w:p>
        </w:tc>
        <w:tc>
          <w:tcPr>
            <w:tcW w:w="681" w:type="dxa"/>
            <w:vAlign w:val="center"/>
          </w:tcPr>
          <w:p w14:paraId="09F07A8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20</w:t>
            </w:r>
          </w:p>
        </w:tc>
        <w:tc>
          <w:tcPr>
            <w:tcW w:w="678" w:type="dxa"/>
            <w:vAlign w:val="center"/>
          </w:tcPr>
          <w:p w14:paraId="238ED1F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26</w:t>
            </w:r>
          </w:p>
        </w:tc>
        <w:tc>
          <w:tcPr>
            <w:tcW w:w="679" w:type="dxa"/>
            <w:vAlign w:val="center"/>
          </w:tcPr>
          <w:p w14:paraId="51F29D7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29.5</w:t>
            </w:r>
          </w:p>
        </w:tc>
        <w:tc>
          <w:tcPr>
            <w:tcW w:w="678" w:type="dxa"/>
            <w:vAlign w:val="center"/>
          </w:tcPr>
          <w:p w14:paraId="1C030A51">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34</w:t>
            </w:r>
          </w:p>
        </w:tc>
        <w:tc>
          <w:tcPr>
            <w:tcW w:w="681" w:type="dxa"/>
            <w:vAlign w:val="center"/>
          </w:tcPr>
          <w:p w14:paraId="40B0FED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40</w:t>
            </w:r>
          </w:p>
        </w:tc>
        <w:tc>
          <w:tcPr>
            <w:tcW w:w="678" w:type="dxa"/>
            <w:vAlign w:val="center"/>
          </w:tcPr>
          <w:p w14:paraId="4B2AB29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43.5</w:t>
            </w:r>
          </w:p>
        </w:tc>
        <w:tc>
          <w:tcPr>
            <w:tcW w:w="679" w:type="dxa"/>
            <w:vAlign w:val="center"/>
          </w:tcPr>
          <w:p w14:paraId="290A60C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46</w:t>
            </w:r>
          </w:p>
        </w:tc>
      </w:tr>
      <w:tr w14:paraId="1257CF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189" w:type="dxa"/>
            <w:vMerge w:val="restart"/>
            <w:vAlign w:val="center"/>
          </w:tcPr>
          <w:p w14:paraId="54E8A4E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各距声离源贡不献同值dB（A）</w:t>
            </w:r>
          </w:p>
        </w:tc>
        <w:tc>
          <w:tcPr>
            <w:tcW w:w="1874" w:type="dxa"/>
            <w:vAlign w:val="center"/>
          </w:tcPr>
          <w:p w14:paraId="6EC2446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装载机</w:t>
            </w:r>
          </w:p>
        </w:tc>
        <w:tc>
          <w:tcPr>
            <w:tcW w:w="678" w:type="dxa"/>
            <w:vAlign w:val="center"/>
          </w:tcPr>
          <w:p w14:paraId="5C84A57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86</w:t>
            </w:r>
          </w:p>
        </w:tc>
        <w:tc>
          <w:tcPr>
            <w:tcW w:w="681" w:type="dxa"/>
            <w:vAlign w:val="center"/>
          </w:tcPr>
          <w:p w14:paraId="383B60BF">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66</w:t>
            </w:r>
          </w:p>
        </w:tc>
        <w:tc>
          <w:tcPr>
            <w:tcW w:w="678" w:type="dxa"/>
            <w:vAlign w:val="center"/>
          </w:tcPr>
          <w:p w14:paraId="169DC113">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60</w:t>
            </w:r>
          </w:p>
        </w:tc>
        <w:tc>
          <w:tcPr>
            <w:tcW w:w="679" w:type="dxa"/>
            <w:vAlign w:val="center"/>
          </w:tcPr>
          <w:p w14:paraId="10CB5E2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59.5</w:t>
            </w:r>
          </w:p>
        </w:tc>
        <w:tc>
          <w:tcPr>
            <w:tcW w:w="678" w:type="dxa"/>
            <w:vAlign w:val="center"/>
          </w:tcPr>
          <w:p w14:paraId="6EA1158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52</w:t>
            </w:r>
          </w:p>
        </w:tc>
        <w:tc>
          <w:tcPr>
            <w:tcW w:w="681" w:type="dxa"/>
            <w:vAlign w:val="center"/>
          </w:tcPr>
          <w:p w14:paraId="6AD99CD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46</w:t>
            </w:r>
          </w:p>
        </w:tc>
        <w:tc>
          <w:tcPr>
            <w:tcW w:w="678" w:type="dxa"/>
            <w:vAlign w:val="center"/>
          </w:tcPr>
          <w:p w14:paraId="5A8C89D2">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c>
          <w:tcPr>
            <w:tcW w:w="679" w:type="dxa"/>
            <w:vAlign w:val="center"/>
          </w:tcPr>
          <w:p w14:paraId="5661EDF4">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r>
      <w:tr w14:paraId="783462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189" w:type="dxa"/>
            <w:vMerge w:val="continue"/>
            <w:vAlign w:val="center"/>
          </w:tcPr>
          <w:p w14:paraId="4D241492">
            <w:pPr>
              <w:adjustRightInd/>
              <w:snapToGrid/>
              <w:spacing w:line="360" w:lineRule="exact"/>
              <w:ind w:firstLine="0" w:firstLineChars="0"/>
              <w:jc w:val="center"/>
              <w:rPr>
                <w:rFonts w:cs="Times New Roman"/>
                <w:snapToGrid w:val="0"/>
                <w:color w:val="auto"/>
                <w:kern w:val="0"/>
                <w:sz w:val="21"/>
                <w:highlight w:val="none"/>
                <w:lang w:val="zh-CN"/>
              </w:rPr>
            </w:pPr>
          </w:p>
        </w:tc>
        <w:tc>
          <w:tcPr>
            <w:tcW w:w="1874" w:type="dxa"/>
            <w:vAlign w:val="center"/>
          </w:tcPr>
          <w:p w14:paraId="793FF46B">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起重机</w:t>
            </w:r>
          </w:p>
        </w:tc>
        <w:tc>
          <w:tcPr>
            <w:tcW w:w="678" w:type="dxa"/>
            <w:vAlign w:val="center"/>
          </w:tcPr>
          <w:p w14:paraId="6238186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92</w:t>
            </w:r>
          </w:p>
        </w:tc>
        <w:tc>
          <w:tcPr>
            <w:tcW w:w="681" w:type="dxa"/>
            <w:vAlign w:val="center"/>
          </w:tcPr>
          <w:p w14:paraId="103CA6C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72</w:t>
            </w:r>
          </w:p>
        </w:tc>
        <w:tc>
          <w:tcPr>
            <w:tcW w:w="678" w:type="dxa"/>
            <w:vAlign w:val="center"/>
          </w:tcPr>
          <w:p w14:paraId="43FF480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66</w:t>
            </w:r>
          </w:p>
        </w:tc>
        <w:tc>
          <w:tcPr>
            <w:tcW w:w="679" w:type="dxa"/>
            <w:vAlign w:val="center"/>
          </w:tcPr>
          <w:p w14:paraId="1024BF11">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62.5</w:t>
            </w:r>
          </w:p>
        </w:tc>
        <w:tc>
          <w:tcPr>
            <w:tcW w:w="678" w:type="dxa"/>
            <w:vAlign w:val="center"/>
          </w:tcPr>
          <w:p w14:paraId="01D8E0E5">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58</w:t>
            </w:r>
          </w:p>
        </w:tc>
        <w:tc>
          <w:tcPr>
            <w:tcW w:w="681" w:type="dxa"/>
            <w:vAlign w:val="center"/>
          </w:tcPr>
          <w:p w14:paraId="01C8566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52</w:t>
            </w:r>
          </w:p>
        </w:tc>
        <w:tc>
          <w:tcPr>
            <w:tcW w:w="678" w:type="dxa"/>
            <w:vAlign w:val="center"/>
          </w:tcPr>
          <w:p w14:paraId="5B61906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48.5</w:t>
            </w:r>
          </w:p>
        </w:tc>
        <w:tc>
          <w:tcPr>
            <w:tcW w:w="679" w:type="dxa"/>
            <w:vAlign w:val="center"/>
          </w:tcPr>
          <w:p w14:paraId="2EFE7260">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r>
      <w:tr w14:paraId="4BE735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189" w:type="dxa"/>
            <w:vMerge w:val="continue"/>
            <w:vAlign w:val="center"/>
          </w:tcPr>
          <w:p w14:paraId="2D1A5865">
            <w:pPr>
              <w:adjustRightInd/>
              <w:snapToGrid/>
              <w:spacing w:line="360" w:lineRule="exact"/>
              <w:ind w:firstLine="0" w:firstLineChars="0"/>
              <w:jc w:val="center"/>
              <w:rPr>
                <w:rFonts w:cs="Times New Roman"/>
                <w:snapToGrid w:val="0"/>
                <w:color w:val="auto"/>
                <w:kern w:val="0"/>
                <w:sz w:val="21"/>
                <w:highlight w:val="none"/>
                <w:lang w:val="zh-CN"/>
              </w:rPr>
            </w:pPr>
          </w:p>
        </w:tc>
        <w:tc>
          <w:tcPr>
            <w:tcW w:w="1874" w:type="dxa"/>
            <w:vAlign w:val="center"/>
          </w:tcPr>
          <w:p w14:paraId="4BCF740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挖掘机</w:t>
            </w:r>
          </w:p>
        </w:tc>
        <w:tc>
          <w:tcPr>
            <w:tcW w:w="678" w:type="dxa"/>
            <w:vAlign w:val="center"/>
          </w:tcPr>
          <w:p w14:paraId="1BEEEE1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101</w:t>
            </w:r>
          </w:p>
        </w:tc>
        <w:tc>
          <w:tcPr>
            <w:tcW w:w="681" w:type="dxa"/>
            <w:vAlign w:val="center"/>
          </w:tcPr>
          <w:p w14:paraId="3B0804C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81</w:t>
            </w:r>
          </w:p>
        </w:tc>
        <w:tc>
          <w:tcPr>
            <w:tcW w:w="678" w:type="dxa"/>
            <w:vAlign w:val="center"/>
          </w:tcPr>
          <w:p w14:paraId="3F3AEEC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75</w:t>
            </w:r>
          </w:p>
        </w:tc>
        <w:tc>
          <w:tcPr>
            <w:tcW w:w="679" w:type="dxa"/>
            <w:vAlign w:val="center"/>
          </w:tcPr>
          <w:p w14:paraId="18D4A4CD">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71.5</w:t>
            </w:r>
          </w:p>
        </w:tc>
        <w:tc>
          <w:tcPr>
            <w:tcW w:w="678" w:type="dxa"/>
            <w:vAlign w:val="center"/>
          </w:tcPr>
          <w:p w14:paraId="58309B7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67</w:t>
            </w:r>
          </w:p>
        </w:tc>
        <w:tc>
          <w:tcPr>
            <w:tcW w:w="681" w:type="dxa"/>
            <w:vAlign w:val="center"/>
          </w:tcPr>
          <w:p w14:paraId="05BDCF4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61</w:t>
            </w:r>
          </w:p>
        </w:tc>
        <w:tc>
          <w:tcPr>
            <w:tcW w:w="678" w:type="dxa"/>
            <w:vAlign w:val="center"/>
          </w:tcPr>
          <w:p w14:paraId="5CD6E6DE">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57.5</w:t>
            </w:r>
          </w:p>
        </w:tc>
        <w:tc>
          <w:tcPr>
            <w:tcW w:w="679" w:type="dxa"/>
            <w:vAlign w:val="center"/>
          </w:tcPr>
          <w:p w14:paraId="4AACE7C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55</w:t>
            </w:r>
          </w:p>
        </w:tc>
      </w:tr>
      <w:tr w14:paraId="1A1BE4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189" w:type="dxa"/>
            <w:vMerge w:val="continue"/>
            <w:vAlign w:val="center"/>
          </w:tcPr>
          <w:p w14:paraId="118B1A28">
            <w:pPr>
              <w:adjustRightInd/>
              <w:snapToGrid/>
              <w:spacing w:line="360" w:lineRule="exact"/>
              <w:ind w:firstLine="0" w:firstLineChars="0"/>
              <w:jc w:val="center"/>
              <w:rPr>
                <w:rFonts w:cs="Times New Roman"/>
                <w:snapToGrid w:val="0"/>
                <w:color w:val="auto"/>
                <w:kern w:val="0"/>
                <w:sz w:val="21"/>
                <w:highlight w:val="none"/>
                <w:lang w:val="zh-CN"/>
              </w:rPr>
            </w:pPr>
          </w:p>
        </w:tc>
        <w:tc>
          <w:tcPr>
            <w:tcW w:w="1874" w:type="dxa"/>
            <w:vAlign w:val="center"/>
          </w:tcPr>
          <w:p w14:paraId="063FFD7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运输平台</w:t>
            </w:r>
          </w:p>
        </w:tc>
        <w:tc>
          <w:tcPr>
            <w:tcW w:w="678" w:type="dxa"/>
            <w:vAlign w:val="center"/>
          </w:tcPr>
          <w:p w14:paraId="79E408B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78</w:t>
            </w:r>
          </w:p>
        </w:tc>
        <w:tc>
          <w:tcPr>
            <w:tcW w:w="681" w:type="dxa"/>
            <w:vAlign w:val="center"/>
          </w:tcPr>
          <w:p w14:paraId="672662E9">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58</w:t>
            </w:r>
          </w:p>
        </w:tc>
        <w:tc>
          <w:tcPr>
            <w:tcW w:w="678" w:type="dxa"/>
            <w:vAlign w:val="center"/>
          </w:tcPr>
          <w:p w14:paraId="5E470F36">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52</w:t>
            </w:r>
          </w:p>
        </w:tc>
        <w:tc>
          <w:tcPr>
            <w:tcW w:w="679" w:type="dxa"/>
            <w:vAlign w:val="center"/>
          </w:tcPr>
          <w:p w14:paraId="4ED9E65C">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48.5</w:t>
            </w:r>
          </w:p>
        </w:tc>
        <w:tc>
          <w:tcPr>
            <w:tcW w:w="678" w:type="dxa"/>
            <w:vAlign w:val="center"/>
          </w:tcPr>
          <w:p w14:paraId="75D09E34">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44</w:t>
            </w:r>
          </w:p>
        </w:tc>
        <w:tc>
          <w:tcPr>
            <w:tcW w:w="681" w:type="dxa"/>
            <w:vAlign w:val="center"/>
          </w:tcPr>
          <w:p w14:paraId="7C6EA251">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c>
          <w:tcPr>
            <w:tcW w:w="678" w:type="dxa"/>
            <w:vAlign w:val="center"/>
          </w:tcPr>
          <w:p w14:paraId="4CC85EEB">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c>
          <w:tcPr>
            <w:tcW w:w="679" w:type="dxa"/>
            <w:vAlign w:val="center"/>
          </w:tcPr>
          <w:p w14:paraId="14BFF778">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r>
      <w:tr w14:paraId="1DE516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36" w:hRule="atLeast"/>
          <w:jc w:val="center"/>
        </w:trPr>
        <w:tc>
          <w:tcPr>
            <w:tcW w:w="1189" w:type="dxa"/>
            <w:vMerge w:val="continue"/>
            <w:vAlign w:val="center"/>
          </w:tcPr>
          <w:p w14:paraId="532FB04B">
            <w:pPr>
              <w:adjustRightInd/>
              <w:snapToGrid/>
              <w:spacing w:line="360" w:lineRule="exact"/>
              <w:ind w:firstLine="0" w:firstLineChars="0"/>
              <w:jc w:val="center"/>
              <w:rPr>
                <w:rFonts w:cs="Times New Roman"/>
                <w:snapToGrid w:val="0"/>
                <w:color w:val="auto"/>
                <w:kern w:val="0"/>
                <w:sz w:val="21"/>
                <w:highlight w:val="none"/>
                <w:lang w:val="zh-CN"/>
              </w:rPr>
            </w:pPr>
          </w:p>
        </w:tc>
        <w:tc>
          <w:tcPr>
            <w:tcW w:w="1874" w:type="dxa"/>
            <w:vAlign w:val="center"/>
          </w:tcPr>
          <w:p w14:paraId="036BCF47">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轻、中型载重汽车</w:t>
            </w:r>
          </w:p>
        </w:tc>
        <w:tc>
          <w:tcPr>
            <w:tcW w:w="678" w:type="dxa"/>
            <w:vAlign w:val="center"/>
          </w:tcPr>
          <w:p w14:paraId="02C76720">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85</w:t>
            </w:r>
          </w:p>
        </w:tc>
        <w:tc>
          <w:tcPr>
            <w:tcW w:w="681" w:type="dxa"/>
            <w:vAlign w:val="center"/>
          </w:tcPr>
          <w:p w14:paraId="26B33C13">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65</w:t>
            </w:r>
          </w:p>
        </w:tc>
        <w:tc>
          <w:tcPr>
            <w:tcW w:w="678" w:type="dxa"/>
            <w:vAlign w:val="center"/>
          </w:tcPr>
          <w:p w14:paraId="06BD1232">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59</w:t>
            </w:r>
          </w:p>
        </w:tc>
        <w:tc>
          <w:tcPr>
            <w:tcW w:w="679" w:type="dxa"/>
            <w:vAlign w:val="center"/>
          </w:tcPr>
          <w:p w14:paraId="33B6694A">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55.5</w:t>
            </w:r>
          </w:p>
        </w:tc>
        <w:tc>
          <w:tcPr>
            <w:tcW w:w="678" w:type="dxa"/>
            <w:vAlign w:val="center"/>
          </w:tcPr>
          <w:p w14:paraId="645EFA6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51</w:t>
            </w:r>
          </w:p>
        </w:tc>
        <w:tc>
          <w:tcPr>
            <w:tcW w:w="681" w:type="dxa"/>
            <w:vAlign w:val="center"/>
          </w:tcPr>
          <w:p w14:paraId="353B1598">
            <w:pPr>
              <w:adjustRightInd/>
              <w:snapToGrid/>
              <w:spacing w:line="360" w:lineRule="exact"/>
              <w:ind w:firstLine="0" w:firstLineChars="0"/>
              <w:jc w:val="center"/>
              <w:rPr>
                <w:rFonts w:cs="Times New Roman"/>
                <w:snapToGrid w:val="0"/>
                <w:color w:val="auto"/>
                <w:kern w:val="0"/>
                <w:sz w:val="21"/>
                <w:highlight w:val="none"/>
                <w:lang w:val="zh-CN"/>
              </w:rPr>
            </w:pPr>
            <w:r>
              <w:rPr>
                <w:rFonts w:cs="Times New Roman"/>
                <w:snapToGrid w:val="0"/>
                <w:color w:val="auto"/>
                <w:kern w:val="0"/>
                <w:sz w:val="21"/>
                <w:highlight w:val="none"/>
                <w:lang w:val="zh-CN"/>
              </w:rPr>
              <w:t>45</w:t>
            </w:r>
          </w:p>
        </w:tc>
        <w:tc>
          <w:tcPr>
            <w:tcW w:w="678" w:type="dxa"/>
            <w:vAlign w:val="center"/>
          </w:tcPr>
          <w:p w14:paraId="75BBE38F">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c>
          <w:tcPr>
            <w:tcW w:w="679" w:type="dxa"/>
            <w:vAlign w:val="center"/>
          </w:tcPr>
          <w:p w14:paraId="165BE000">
            <w:pPr>
              <w:adjustRightInd/>
              <w:snapToGrid/>
              <w:spacing w:line="360" w:lineRule="exact"/>
              <w:ind w:firstLine="0" w:firstLineChars="0"/>
              <w:jc w:val="center"/>
              <w:rPr>
                <w:rFonts w:cs="Times New Roman"/>
                <w:snapToGrid w:val="0"/>
                <w:color w:val="auto"/>
                <w:kern w:val="0"/>
                <w:sz w:val="21"/>
                <w:highlight w:val="none"/>
              </w:rPr>
            </w:pPr>
            <w:r>
              <w:rPr>
                <w:rFonts w:cs="Times New Roman"/>
                <w:snapToGrid w:val="0"/>
                <w:color w:val="auto"/>
                <w:kern w:val="0"/>
                <w:sz w:val="21"/>
                <w:highlight w:val="none"/>
              </w:rPr>
              <w:t>/</w:t>
            </w:r>
          </w:p>
        </w:tc>
      </w:tr>
    </w:tbl>
    <w:p w14:paraId="7CB95F3D">
      <w:pPr>
        <w:rPr>
          <w:rFonts w:cs="Times New Roman"/>
          <w:color w:val="auto"/>
          <w:szCs w:val="24"/>
          <w:highlight w:val="none"/>
        </w:rPr>
      </w:pPr>
      <w:r>
        <w:rPr>
          <w:rFonts w:cs="Times New Roman"/>
          <w:color w:val="auto"/>
          <w:szCs w:val="24"/>
          <w:highlight w:val="none"/>
        </w:rPr>
        <w:t>从表中可看出，施工机械噪声在昼间影响较小，一般在距离噪声设备50m范围外，其设备噪声贡献值（44～67dB（A））就可低于建筑施工场界昼间噪声限值（70～85dB（A））。夜间要求较严，噪声级低于85dB（A）的机械设备在距离噪声距离50m以外，其设备噪声贡献值就低于或接近建筑施工场界夜间噪声限值[55dB（A）]，仅高噪设备对周围环境影响较大，须在200m处才能达到夜间施工限值。</w:t>
      </w:r>
    </w:p>
    <w:bookmarkEnd w:id="292"/>
    <w:p w14:paraId="7B94CEA6">
      <w:pPr>
        <w:ind w:firstLine="482"/>
        <w:rPr>
          <w:rFonts w:cs="Times New Roman"/>
          <w:b/>
          <w:bCs/>
          <w:color w:val="auto"/>
          <w:szCs w:val="24"/>
          <w:highlight w:val="none"/>
        </w:rPr>
      </w:pPr>
      <w:r>
        <w:rPr>
          <w:rFonts w:cs="Times New Roman"/>
          <w:b/>
          <w:bCs/>
          <w:color w:val="auto"/>
          <w:szCs w:val="24"/>
          <w:highlight w:val="none"/>
        </w:rPr>
        <w:t>2、施工期噪声防治措施</w:t>
      </w:r>
    </w:p>
    <w:p w14:paraId="598B6C02">
      <w:pPr>
        <w:rPr>
          <w:rFonts w:cs="Times New Roman"/>
          <w:color w:val="auto"/>
          <w:szCs w:val="24"/>
          <w:highlight w:val="none"/>
        </w:rPr>
      </w:pPr>
      <w:r>
        <w:rPr>
          <w:rFonts w:cs="Times New Roman"/>
          <w:color w:val="auto"/>
          <w:szCs w:val="24"/>
          <w:highlight w:val="none"/>
        </w:rPr>
        <w:t>为降低施工噪声对周围声环境的影响，应采取如下防治措施：</w:t>
      </w:r>
    </w:p>
    <w:p w14:paraId="6A92458B">
      <w:pPr>
        <w:rPr>
          <w:rFonts w:cs="Times New Roman"/>
          <w:color w:val="auto"/>
          <w:szCs w:val="24"/>
          <w:highlight w:val="none"/>
        </w:rPr>
      </w:pPr>
      <w:r>
        <w:rPr>
          <w:rFonts w:cs="Times New Roman"/>
          <w:color w:val="auto"/>
          <w:szCs w:val="24"/>
          <w:highlight w:val="none"/>
        </w:rPr>
        <w:t>（1）设备噪声污染防治措施</w:t>
      </w:r>
    </w:p>
    <w:p w14:paraId="5CD917D4">
      <w:pPr>
        <w:rPr>
          <w:rFonts w:cs="Times New Roman"/>
          <w:color w:val="auto"/>
          <w:szCs w:val="24"/>
          <w:highlight w:val="none"/>
        </w:rPr>
      </w:pPr>
      <w:r>
        <w:rPr>
          <w:rFonts w:cs="Times New Roman"/>
          <w:color w:val="auto"/>
          <w:szCs w:val="24"/>
          <w:highlight w:val="none"/>
        </w:rPr>
        <w:t>尽量选用低噪声设备，并加强它们的检修与维护，使之始终处于良好的工作状态。挖掘机、装卸车辆等进出场地应限速、禁鸣。</w:t>
      </w:r>
    </w:p>
    <w:p w14:paraId="46A3B70B">
      <w:pPr>
        <w:rPr>
          <w:rFonts w:cs="Times New Roman"/>
          <w:color w:val="auto"/>
          <w:szCs w:val="24"/>
          <w:highlight w:val="none"/>
        </w:rPr>
      </w:pPr>
      <w:r>
        <w:rPr>
          <w:rFonts w:cs="Times New Roman"/>
          <w:color w:val="auto"/>
          <w:szCs w:val="24"/>
          <w:highlight w:val="none"/>
        </w:rPr>
        <w:t>建设单位应通过合理安排施工运输路线，运输车辆路线尽量避开人群集聚地区。</w:t>
      </w:r>
    </w:p>
    <w:p w14:paraId="0A7742F7">
      <w:pPr>
        <w:rPr>
          <w:rFonts w:cs="Times New Roman"/>
          <w:color w:val="auto"/>
          <w:szCs w:val="24"/>
          <w:highlight w:val="none"/>
        </w:rPr>
      </w:pPr>
      <w:r>
        <w:rPr>
          <w:rFonts w:cs="Times New Roman"/>
          <w:color w:val="auto"/>
          <w:szCs w:val="24"/>
          <w:highlight w:val="none"/>
        </w:rPr>
        <w:t>（2）合理安排施工时间</w:t>
      </w:r>
    </w:p>
    <w:p w14:paraId="31CB5658">
      <w:pPr>
        <w:rPr>
          <w:rFonts w:cs="Times New Roman"/>
          <w:color w:val="auto"/>
          <w:szCs w:val="24"/>
          <w:highlight w:val="none"/>
        </w:rPr>
      </w:pPr>
      <w:r>
        <w:rPr>
          <w:rFonts w:cs="Times New Roman"/>
          <w:color w:val="auto"/>
          <w:szCs w:val="24"/>
          <w:highlight w:val="none"/>
        </w:rPr>
        <w:t>合理安排施工时间，避免强噪声设备同时施工、持续作业；夜间（22:00以后）禁止进行高噪设备施工作业，把对周围环境的影响降到最低。</w:t>
      </w:r>
    </w:p>
    <w:p w14:paraId="1649DF8B">
      <w:pPr>
        <w:rPr>
          <w:rFonts w:cs="Times New Roman"/>
          <w:color w:val="auto"/>
          <w:szCs w:val="24"/>
          <w:highlight w:val="none"/>
        </w:rPr>
      </w:pPr>
      <w:r>
        <w:rPr>
          <w:rFonts w:cs="Times New Roman"/>
          <w:color w:val="auto"/>
          <w:szCs w:val="24"/>
          <w:highlight w:val="none"/>
        </w:rPr>
        <w:t>（3）降低人为噪声</w:t>
      </w:r>
    </w:p>
    <w:p w14:paraId="21FB0397">
      <w:pPr>
        <w:rPr>
          <w:rFonts w:cs="Times New Roman"/>
          <w:color w:val="auto"/>
          <w:szCs w:val="24"/>
          <w:highlight w:val="none"/>
        </w:rPr>
      </w:pPr>
      <w:r>
        <w:rPr>
          <w:rFonts w:cs="Times New Roman"/>
          <w:color w:val="auto"/>
          <w:szCs w:val="24"/>
          <w:highlight w:val="none"/>
        </w:rPr>
        <w:t>机械设备等在装卸过程中，应尽量避免碰撞，以减少噪声的产生；尽量少用哨子指挥作业。</w:t>
      </w:r>
    </w:p>
    <w:p w14:paraId="6878B6AC">
      <w:pPr>
        <w:ind w:firstLine="528"/>
        <w:rPr>
          <w:rFonts w:cs="Times New Roman"/>
          <w:color w:val="auto"/>
          <w:szCs w:val="24"/>
          <w:highlight w:val="none"/>
        </w:rPr>
      </w:pPr>
      <w:r>
        <w:rPr>
          <w:rFonts w:cs="Times New Roman"/>
          <w:color w:val="auto"/>
          <w:spacing w:val="12"/>
          <w:szCs w:val="24"/>
          <w:highlight w:val="none"/>
        </w:rPr>
        <w:t>采取上述噪声控制措施后，场界噪声满足《建筑施工场界环境噪声排放标准》(GB12523-2011)要求，对周围环境影响较小。施工期是短暂行为，随着施工期的结束，对周围环境的影响也随之消失</w:t>
      </w:r>
      <w:r>
        <w:rPr>
          <w:rFonts w:cs="Times New Roman"/>
          <w:color w:val="auto"/>
          <w:szCs w:val="24"/>
          <w:highlight w:val="none"/>
        </w:rPr>
        <w:t>。</w:t>
      </w:r>
    </w:p>
    <w:p w14:paraId="3DA34E23">
      <w:pPr>
        <w:pStyle w:val="4"/>
        <w:spacing w:after="163"/>
        <w:rPr>
          <w:rFonts w:cs="Times New Roman"/>
          <w:color w:val="auto"/>
          <w:highlight w:val="none"/>
        </w:rPr>
      </w:pPr>
      <w:bookmarkStart w:id="293" w:name="_Toc3740"/>
      <w:r>
        <w:rPr>
          <w:rFonts w:cs="Times New Roman"/>
          <w:color w:val="auto"/>
          <w:highlight w:val="none"/>
        </w:rPr>
        <w:t>5.1.4施工期固体废物影响分析</w:t>
      </w:r>
      <w:bookmarkEnd w:id="293"/>
    </w:p>
    <w:p w14:paraId="5DE7F300">
      <w:pPr>
        <w:pStyle w:val="117"/>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项目施工期间产生的废弃物主要是废弃的建筑材料、生活垃圾和弃土。对建筑材料应进行回收或分类收集，剩余建筑垃圾要及时清运至环境保护管理部门指定的地点进行填埋；施工人员产生的生活垃圾不要和建筑垃圾混放，定时清运到当地的垃圾处理站集中处理；本项目产生的土方主要为土地平整及挖地基时产生的少许土方，进行回填和平整场地；项目占地范围内表土须按照《黑龙江省黑土地保护利用条例》与《建设占用耕地耕作层土壤剥离利用技术规范》（DB23-T2913-2021）的要求进行表土的剥离与利用。综上，施工期固废对周围环境影响较小。</w:t>
      </w:r>
    </w:p>
    <w:p w14:paraId="685A9CCB">
      <w:pPr>
        <w:rPr>
          <w:rFonts w:cs="Times New Roman"/>
          <w:snapToGrid w:val="0"/>
          <w:color w:val="auto"/>
          <w:kern w:val="0"/>
          <w:highlight w:val="none"/>
        </w:rPr>
      </w:pPr>
      <w:r>
        <w:rPr>
          <w:rFonts w:cs="Times New Roman"/>
          <w:color w:val="auto"/>
          <w:szCs w:val="24"/>
          <w:highlight w:val="none"/>
        </w:rPr>
        <w:t>通过各项固体废物处置措施，项目施工产生的固体废物都将得到妥善处理，对环境影响较小。</w:t>
      </w:r>
    </w:p>
    <w:p w14:paraId="4BED1E3E">
      <w:pPr>
        <w:pStyle w:val="4"/>
        <w:spacing w:after="163"/>
        <w:rPr>
          <w:rFonts w:cs="Times New Roman"/>
          <w:color w:val="auto"/>
          <w:highlight w:val="none"/>
        </w:rPr>
      </w:pPr>
      <w:bookmarkStart w:id="294" w:name="_Toc8071"/>
      <w:r>
        <w:rPr>
          <w:rFonts w:cs="Times New Roman"/>
          <w:color w:val="auto"/>
          <w:highlight w:val="none"/>
        </w:rPr>
        <w:t>5.1.5施工期生态环境影响分析</w:t>
      </w:r>
      <w:bookmarkEnd w:id="294"/>
      <w:bookmarkStart w:id="295" w:name="_Toc480447671"/>
      <w:bookmarkStart w:id="296" w:name="_Toc415146703"/>
    </w:p>
    <w:p w14:paraId="565CE839">
      <w:pPr>
        <w:widowControl/>
        <w:jc w:val="left"/>
        <w:rPr>
          <w:rFonts w:cs="Times New Roman"/>
          <w:color w:val="auto"/>
          <w:highlight w:val="none"/>
        </w:rPr>
      </w:pPr>
      <w:r>
        <w:rPr>
          <w:rFonts w:cs="Times New Roman"/>
          <w:color w:val="auto"/>
          <w:kern w:val="0"/>
          <w:szCs w:val="24"/>
          <w:highlight w:val="none"/>
          <w:lang w:bidi="ar"/>
        </w:rPr>
        <w:t>施工前期主要任务是平整土地，清理地表植被及杂物，地表植被被破坏，破坏景观。植被破坏后，土壤无植被覆盖，土壤必将受到外界的干扰，使表层土壤瘠薄，土体构型、理化性质地发生变化。</w:t>
      </w:r>
    </w:p>
    <w:p w14:paraId="6891BB72">
      <w:pPr>
        <w:widowControl/>
        <w:rPr>
          <w:rFonts w:cs="Times New Roman"/>
          <w:color w:val="auto"/>
          <w:highlight w:val="none"/>
        </w:rPr>
      </w:pPr>
      <w:r>
        <w:rPr>
          <w:rFonts w:cs="Times New Roman"/>
          <w:color w:val="auto"/>
          <w:highlight w:val="none"/>
        </w:rPr>
        <w:t>施工过程水土流失的危害主要表现在：</w:t>
      </w:r>
    </w:p>
    <w:p w14:paraId="44DCA66B">
      <w:pPr>
        <w:widowControl/>
        <w:rPr>
          <w:rFonts w:cs="Times New Roman"/>
          <w:color w:val="auto"/>
          <w:highlight w:val="none"/>
        </w:rPr>
      </w:pPr>
      <w:r>
        <w:rPr>
          <w:rFonts w:cs="Times New Roman"/>
          <w:color w:val="auto"/>
          <w:highlight w:val="none"/>
        </w:rPr>
        <w:t>表土流失，破坏土体构型。正常的自然土壤具有 A、B 和 C 层等发生层次，土壤侵蚀致使土壤流失，土层变薄，土镶发生层次缺失，破坏了土体结构。</w:t>
      </w:r>
    </w:p>
    <w:p w14:paraId="743A8490">
      <w:pPr>
        <w:widowControl/>
        <w:rPr>
          <w:rFonts w:cs="Times New Roman"/>
          <w:color w:val="auto"/>
          <w:highlight w:val="none"/>
        </w:rPr>
      </w:pPr>
      <w:r>
        <w:rPr>
          <w:rFonts w:cs="Times New Roman"/>
          <w:color w:val="auto"/>
          <w:highlight w:val="none"/>
        </w:rPr>
        <w:t>土壤养分流失，降低土壤肥力。土壤无论受到何种形式干扰，首先破坏肥力最高、养分最多、结构最好的表层土攘，土壤有机质、全氮、全磷含量随着土壤侵蚀强度的加剧而降低。</w:t>
      </w:r>
    </w:p>
    <w:p w14:paraId="5FC51E71">
      <w:pPr>
        <w:widowControl/>
        <w:rPr>
          <w:rFonts w:cs="Times New Roman"/>
          <w:color w:val="auto"/>
          <w:highlight w:val="none"/>
        </w:rPr>
      </w:pPr>
      <w:r>
        <w:rPr>
          <w:rFonts w:cs="Times New Roman"/>
          <w:color w:val="auto"/>
          <w:highlight w:val="none"/>
        </w:rPr>
        <w:t>拟建项目建设过程中，由于地表清理，土地平整，使用地范围植被破坏，建筑机械和运输车辆所产生的噪声、扬尘，建材处理和使用过程中产生的废弃物，使该地区生物多样性等生态因子受到影响。建设需进行挖方、填方等，施工扰动用地导致地表裸露，容易引起水土流失。</w:t>
      </w:r>
    </w:p>
    <w:p w14:paraId="58385D7F">
      <w:pPr>
        <w:widowControl/>
        <w:rPr>
          <w:rFonts w:cs="Times New Roman"/>
          <w:color w:val="auto"/>
          <w:highlight w:val="none"/>
        </w:rPr>
      </w:pPr>
      <w:r>
        <w:rPr>
          <w:rFonts w:hint="eastAsia" w:cs="Times New Roman"/>
          <w:color w:val="auto"/>
          <w:highlight w:val="none"/>
        </w:rPr>
        <w:t>项目施工前应对工程占用区域可利用的表土进行剥离，单独堆存，加强表土堆存防护及管理，确保有效回用。</w:t>
      </w:r>
      <w:r>
        <w:rPr>
          <w:rFonts w:cs="Times New Roman"/>
          <w:color w:val="auto"/>
          <w:highlight w:val="none"/>
        </w:rPr>
        <w:t>在施工作业前，编制施工进度表，合理施工，采取边挖边布设，边回填恢复的方法，不得在施工现场长时间堆施物料。施工期应严格将活动范围控制在本项目用地范围内，不占用其它土地，避免破坏周边植被；尽量减少在雨季施工，防止水土流失；对于产生临时堆弃的土方，要采取临时拦挡措施，以防止造成水土流失。通过采取上述措施可将本项目施工期对土地的扰动降到最低。随着工程的竣工投产和土地固化，水土流失现象将逐渐消失。</w:t>
      </w:r>
    </w:p>
    <w:p w14:paraId="2902ACB4">
      <w:pPr>
        <w:widowControl/>
        <w:rPr>
          <w:rFonts w:cs="Times New Roman"/>
          <w:color w:val="auto"/>
          <w:highlight w:val="none"/>
        </w:rPr>
      </w:pPr>
      <w:r>
        <w:rPr>
          <w:rFonts w:cs="Times New Roman"/>
          <w:color w:val="auto"/>
          <w:highlight w:val="none"/>
        </w:rPr>
        <w:t>通过严格的施工管理，对施工期间产生的水土流失进行控制，则项目施工期不会对周围生态环境产生明显影响。</w:t>
      </w:r>
    </w:p>
    <w:p w14:paraId="119D5A15">
      <w:pPr>
        <w:keepNext/>
        <w:keepLines/>
        <w:ind w:firstLine="0" w:firstLineChars="0"/>
        <w:jc w:val="left"/>
        <w:outlineLvl w:val="1"/>
        <w:rPr>
          <w:rFonts w:eastAsia="黑体" w:cs="Times New Roman"/>
          <w:bCs/>
          <w:snapToGrid w:val="0"/>
          <w:color w:val="auto"/>
          <w:kern w:val="0"/>
          <w:sz w:val="28"/>
          <w:szCs w:val="32"/>
          <w:highlight w:val="none"/>
        </w:rPr>
      </w:pPr>
      <w:bookmarkStart w:id="297" w:name="_Toc10565"/>
      <w:r>
        <w:rPr>
          <w:rFonts w:eastAsia="黑体" w:cs="Times New Roman"/>
          <w:bCs/>
          <w:snapToGrid w:val="0"/>
          <w:color w:val="auto"/>
          <w:kern w:val="0"/>
          <w:sz w:val="28"/>
          <w:szCs w:val="32"/>
          <w:highlight w:val="none"/>
        </w:rPr>
        <w:t>5.2运营期环境影响</w:t>
      </w:r>
      <w:bookmarkEnd w:id="295"/>
      <w:bookmarkEnd w:id="296"/>
      <w:r>
        <w:rPr>
          <w:rFonts w:eastAsia="黑体" w:cs="Times New Roman"/>
          <w:bCs/>
          <w:snapToGrid w:val="0"/>
          <w:color w:val="auto"/>
          <w:kern w:val="0"/>
          <w:sz w:val="28"/>
          <w:szCs w:val="32"/>
          <w:highlight w:val="none"/>
        </w:rPr>
        <w:t>分析</w:t>
      </w:r>
      <w:bookmarkEnd w:id="297"/>
    </w:p>
    <w:p w14:paraId="52EFC3D5">
      <w:pPr>
        <w:pStyle w:val="4"/>
        <w:spacing w:after="163"/>
        <w:rPr>
          <w:rFonts w:cs="Times New Roman"/>
          <w:color w:val="auto"/>
          <w:highlight w:val="none"/>
        </w:rPr>
      </w:pPr>
      <w:bookmarkStart w:id="298" w:name="_Toc5436"/>
      <w:r>
        <w:rPr>
          <w:rFonts w:cs="Times New Roman"/>
          <w:color w:val="auto"/>
          <w:highlight w:val="none"/>
        </w:rPr>
        <w:t>5.2.1大气环境影响预测评价</w:t>
      </w:r>
      <w:bookmarkEnd w:id="298"/>
    </w:p>
    <w:p w14:paraId="7465268B">
      <w:pPr>
        <w:rPr>
          <w:rFonts w:cs="Times New Roman"/>
          <w:color w:val="auto"/>
          <w:highlight w:val="none"/>
          <w:lang w:val="zh-CN"/>
        </w:rPr>
      </w:pPr>
      <w:r>
        <w:rPr>
          <w:rFonts w:cs="Times New Roman"/>
          <w:color w:val="auto"/>
          <w:highlight w:val="none"/>
          <w:lang w:val="zh-CN"/>
        </w:rPr>
        <w:t>本项目运营期产生的废气主要包括</w:t>
      </w:r>
      <w:r>
        <w:rPr>
          <w:rFonts w:hint="eastAsia" w:cs="Times New Roman"/>
          <w:color w:val="auto"/>
          <w:highlight w:val="none"/>
          <w:lang w:val="zh-CN"/>
        </w:rPr>
        <w:t>待宰圈</w:t>
      </w:r>
      <w:r>
        <w:rPr>
          <w:rFonts w:cs="Times New Roman"/>
          <w:color w:val="auto"/>
          <w:highlight w:val="none"/>
          <w:lang w:val="zh-CN"/>
        </w:rPr>
        <w:t>、屠宰车间、污水处理站、</w:t>
      </w:r>
      <w:r>
        <w:rPr>
          <w:rFonts w:hint="eastAsia" w:cs="Times New Roman"/>
          <w:color w:val="auto"/>
          <w:highlight w:val="none"/>
          <w:lang w:val="en-US" w:eastAsia="zh-CN"/>
        </w:rPr>
        <w:t>急宰间、</w:t>
      </w:r>
      <w:r>
        <w:rPr>
          <w:rFonts w:cs="Times New Roman"/>
          <w:color w:val="auto"/>
          <w:highlight w:val="none"/>
          <w:lang w:val="zh-CN"/>
        </w:rPr>
        <w:t>隔离圈、固废暂存间产生的恶臭废气。</w:t>
      </w:r>
    </w:p>
    <w:p w14:paraId="4A8CCC5B">
      <w:pPr>
        <w:rPr>
          <w:rFonts w:cs="Times New Roman"/>
          <w:color w:val="auto"/>
          <w:highlight w:val="none"/>
        </w:rPr>
      </w:pPr>
      <w:bookmarkStart w:id="299" w:name="_Hlk483940499"/>
      <w:r>
        <w:rPr>
          <w:rFonts w:cs="Times New Roman"/>
          <w:color w:val="auto"/>
          <w:highlight w:val="none"/>
        </w:rPr>
        <w:t>通过估算模式预测可知，本项目大气评价等级为二级，根据《环境影响评价技术导则-大气环境》（HJ2.2-2018），二级评价项目仅对污染物排放量进行汇总，无需进行环境影响预测。</w:t>
      </w:r>
    </w:p>
    <w:p w14:paraId="16650AFA">
      <w:pPr>
        <w:rPr>
          <w:rFonts w:ascii="Times New Roman" w:hAnsi="Times New Roman" w:eastAsia="宋体" w:cs="Times New Roman"/>
          <w:color w:val="auto"/>
          <w:highlight w:val="none"/>
        </w:rPr>
      </w:pPr>
      <w:r>
        <w:rPr>
          <w:rFonts w:ascii="Times New Roman" w:hAnsi="Times New Roman" w:eastAsia="宋体" w:cs="Times New Roman"/>
          <w:color w:val="auto"/>
          <w:highlight w:val="none"/>
        </w:rPr>
        <w:t>根据《固定污染源排污许可分类管理名录（2019年版）》、《排污许可证申请与核发技术规范 农副食品加工工业—屠宰及肉类加工工业</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HJ 860.3—2018</w:t>
      </w:r>
      <w:r>
        <w:rPr>
          <w:rFonts w:hint="eastAsia" w:ascii="Times New Roman" w:hAnsi="Times New Roman" w:eastAsia="宋体" w:cs="Times New Roman"/>
          <w:color w:val="auto"/>
          <w:highlight w:val="none"/>
          <w:lang w:eastAsia="zh-CN"/>
        </w:rPr>
        <w:t>）</w:t>
      </w:r>
      <w:r>
        <w:rPr>
          <w:rFonts w:ascii="Times New Roman" w:hAnsi="Times New Roman" w:eastAsia="宋体" w:cs="Times New Roman"/>
          <w:color w:val="auto"/>
          <w:highlight w:val="none"/>
        </w:rPr>
        <w:t>》，本项目排放口为一般排放口。</w:t>
      </w:r>
    </w:p>
    <w:p w14:paraId="3CAC7A13">
      <w:pPr>
        <w:ind w:firstLine="482"/>
        <w:rPr>
          <w:rFonts w:cs="Times New Roman"/>
          <w:b/>
          <w:bCs/>
          <w:color w:val="auto"/>
          <w:highlight w:val="none"/>
        </w:rPr>
      </w:pPr>
      <w:r>
        <w:rPr>
          <w:rFonts w:cs="Times New Roman"/>
          <w:b/>
          <w:bCs/>
          <w:color w:val="auto"/>
          <w:szCs w:val="24"/>
          <w:highlight w:val="none"/>
        </w:rPr>
        <w:t>1、污染物排放量核算</w:t>
      </w:r>
    </w:p>
    <w:p w14:paraId="02645DB6">
      <w:pPr>
        <w:rPr>
          <w:rFonts w:cs="Times New Roman"/>
          <w:color w:val="auto"/>
          <w:highlight w:val="none"/>
        </w:rPr>
      </w:pPr>
      <w:r>
        <w:rPr>
          <w:rFonts w:cs="Times New Roman"/>
          <w:color w:val="auto"/>
          <w:szCs w:val="24"/>
          <w:highlight w:val="none"/>
        </w:rPr>
        <w:t>根据源强核算章节，项目有组织排放量核算表见表5-2-1，无组织排放量核算见表5-2-2，年核算量见表5-2-3。</w:t>
      </w:r>
    </w:p>
    <w:p w14:paraId="3F6A0473">
      <w:pPr>
        <w:pStyle w:val="66"/>
        <w:spacing w:line="240" w:lineRule="auto"/>
        <w:rPr>
          <w:rFonts w:eastAsia="宋体" w:cs="Times New Roman"/>
          <w:b/>
          <w:bCs/>
          <w:snapToGrid w:val="0"/>
          <w:color w:val="auto"/>
          <w:szCs w:val="24"/>
          <w:highlight w:val="none"/>
        </w:rPr>
      </w:pPr>
    </w:p>
    <w:p w14:paraId="1284EB0E">
      <w:pPr>
        <w:pStyle w:val="66"/>
        <w:spacing w:line="240" w:lineRule="auto"/>
        <w:rPr>
          <w:rFonts w:eastAsia="宋体" w:cs="Times New Roman"/>
          <w:b/>
          <w:bCs/>
          <w:snapToGrid w:val="0"/>
          <w:color w:val="auto"/>
          <w:szCs w:val="24"/>
          <w:highlight w:val="none"/>
        </w:rPr>
      </w:pPr>
    </w:p>
    <w:p w14:paraId="440E8A08">
      <w:pPr>
        <w:pStyle w:val="66"/>
        <w:spacing w:line="240" w:lineRule="auto"/>
        <w:rPr>
          <w:rFonts w:eastAsia="宋体" w:cs="Times New Roman"/>
          <w:b/>
          <w:bCs/>
          <w:snapToGrid w:val="0"/>
          <w:color w:val="auto"/>
          <w:szCs w:val="24"/>
          <w:highlight w:val="none"/>
        </w:rPr>
      </w:pPr>
      <w:r>
        <w:rPr>
          <w:rFonts w:eastAsia="宋体" w:cs="Times New Roman"/>
          <w:b/>
          <w:bCs/>
          <w:snapToGrid w:val="0"/>
          <w:color w:val="auto"/>
          <w:szCs w:val="24"/>
          <w:highlight w:val="none"/>
        </w:rPr>
        <w:t>表5</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rPr>
        <w:t>2-</w:t>
      </w:r>
      <w:r>
        <w:rPr>
          <w:rFonts w:eastAsia="宋体" w:cs="Times New Roman"/>
          <w:b/>
          <w:bCs/>
          <w:snapToGrid w:val="0"/>
          <w:color w:val="auto"/>
          <w:szCs w:val="24"/>
          <w:highlight w:val="none"/>
          <w:lang w:val="en-US"/>
        </w:rPr>
        <w:t>1</w:t>
      </w:r>
      <w:r>
        <w:rPr>
          <w:rFonts w:eastAsia="宋体" w:cs="Times New Roman"/>
          <w:b/>
          <w:bCs/>
          <w:snapToGrid w:val="0"/>
          <w:color w:val="auto"/>
          <w:szCs w:val="24"/>
          <w:highlight w:val="none"/>
        </w:rPr>
        <w:t xml:space="preserve">  大气污染物有组织排放量核算表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Layout w:type="fixed"/>
        <w:tblCellMar>
          <w:top w:w="0" w:type="dxa"/>
          <w:left w:w="108" w:type="dxa"/>
          <w:bottom w:w="0" w:type="dxa"/>
          <w:right w:w="108" w:type="dxa"/>
        </w:tblCellMar>
      </w:tblPr>
      <w:tblGrid>
        <w:gridCol w:w="1341"/>
        <w:gridCol w:w="1314"/>
        <w:gridCol w:w="1407"/>
        <w:gridCol w:w="1384"/>
        <w:gridCol w:w="1433"/>
        <w:gridCol w:w="1438"/>
      </w:tblGrid>
      <w:tr w14:paraId="4305FEEE">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680" w:hRule="atLeast"/>
          <w:jc w:val="center"/>
        </w:trPr>
        <w:tc>
          <w:tcPr>
            <w:tcW w:w="1341" w:type="dxa"/>
            <w:tcBorders>
              <w:tl2br w:val="nil"/>
              <w:tr2bl w:val="nil"/>
            </w:tcBorders>
            <w:vAlign w:val="center"/>
          </w:tcPr>
          <w:p w14:paraId="4E516F6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1314" w:type="dxa"/>
            <w:tcBorders>
              <w:tl2br w:val="nil"/>
              <w:tr2bl w:val="nil"/>
            </w:tcBorders>
            <w:vAlign w:val="center"/>
          </w:tcPr>
          <w:p w14:paraId="799949D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排放口</w:t>
            </w:r>
          </w:p>
        </w:tc>
        <w:tc>
          <w:tcPr>
            <w:tcW w:w="1407" w:type="dxa"/>
            <w:tcBorders>
              <w:tl2br w:val="nil"/>
              <w:tr2bl w:val="nil"/>
            </w:tcBorders>
            <w:vAlign w:val="center"/>
          </w:tcPr>
          <w:p w14:paraId="7A82786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1384" w:type="dxa"/>
            <w:tcBorders>
              <w:tl2br w:val="nil"/>
              <w:tr2bl w:val="nil"/>
            </w:tcBorders>
            <w:vAlign w:val="center"/>
          </w:tcPr>
          <w:p w14:paraId="37AAFD1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排放浓度</w:t>
            </w:r>
          </w:p>
          <w:p w14:paraId="3F54D5D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mg/m</w:t>
            </w:r>
            <w:r>
              <w:rPr>
                <w:rFonts w:cs="Times New Roman"/>
                <w:color w:val="auto"/>
                <w:sz w:val="21"/>
                <w:szCs w:val="21"/>
                <w:highlight w:val="none"/>
                <w:vertAlign w:val="superscript"/>
              </w:rPr>
              <w:t>3</w:t>
            </w:r>
          </w:p>
        </w:tc>
        <w:tc>
          <w:tcPr>
            <w:tcW w:w="1433" w:type="dxa"/>
            <w:tcBorders>
              <w:tl2br w:val="nil"/>
              <w:tr2bl w:val="nil"/>
            </w:tcBorders>
            <w:vAlign w:val="center"/>
          </w:tcPr>
          <w:p w14:paraId="4342E8F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排放速率kg/h</w:t>
            </w:r>
          </w:p>
        </w:tc>
        <w:tc>
          <w:tcPr>
            <w:tcW w:w="1438" w:type="dxa"/>
            <w:tcBorders>
              <w:tl2br w:val="nil"/>
              <w:tr2bl w:val="nil"/>
            </w:tcBorders>
            <w:vAlign w:val="center"/>
          </w:tcPr>
          <w:p w14:paraId="5978C51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年排放量</w:t>
            </w:r>
          </w:p>
          <w:p w14:paraId="443CC05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t/a</w:t>
            </w:r>
          </w:p>
        </w:tc>
      </w:tr>
      <w:tr w14:paraId="0E0DD7D8">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45" w:hRule="atLeast"/>
          <w:jc w:val="center"/>
        </w:trPr>
        <w:tc>
          <w:tcPr>
            <w:tcW w:w="8317" w:type="dxa"/>
            <w:gridSpan w:val="6"/>
            <w:tcBorders>
              <w:tl2br w:val="nil"/>
              <w:tr2bl w:val="nil"/>
            </w:tcBorders>
            <w:vAlign w:val="center"/>
          </w:tcPr>
          <w:p w14:paraId="434E71C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一般排放口</w:t>
            </w:r>
          </w:p>
        </w:tc>
      </w:tr>
      <w:tr w14:paraId="340FD646">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61" w:hRule="atLeast"/>
          <w:jc w:val="center"/>
        </w:trPr>
        <w:tc>
          <w:tcPr>
            <w:tcW w:w="1341" w:type="dxa"/>
            <w:vMerge w:val="restart"/>
            <w:tcBorders>
              <w:tl2br w:val="nil"/>
              <w:tr2bl w:val="nil"/>
            </w:tcBorders>
            <w:vAlign w:val="center"/>
          </w:tcPr>
          <w:p w14:paraId="120E06E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1314" w:type="dxa"/>
            <w:vMerge w:val="restart"/>
            <w:tcBorders>
              <w:tl2br w:val="nil"/>
              <w:tr2bl w:val="nil"/>
            </w:tcBorders>
            <w:vAlign w:val="center"/>
          </w:tcPr>
          <w:p w14:paraId="037FE6F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DA001</w:t>
            </w:r>
          </w:p>
        </w:tc>
        <w:tc>
          <w:tcPr>
            <w:tcW w:w="1407" w:type="dxa"/>
            <w:tcBorders>
              <w:tl2br w:val="nil"/>
              <w:tr2bl w:val="nil"/>
            </w:tcBorders>
            <w:vAlign w:val="center"/>
          </w:tcPr>
          <w:p w14:paraId="229B09D4">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384" w:type="dxa"/>
            <w:tcBorders>
              <w:tl2br w:val="nil"/>
              <w:tr2bl w:val="nil"/>
            </w:tcBorders>
            <w:shd w:val="clear" w:color="auto" w:fill="auto"/>
            <w:vAlign w:val="center"/>
          </w:tcPr>
          <w:p w14:paraId="11B6CFC1">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4.4</w:t>
            </w:r>
          </w:p>
        </w:tc>
        <w:tc>
          <w:tcPr>
            <w:tcW w:w="1433" w:type="dxa"/>
            <w:tcBorders>
              <w:tl2br w:val="nil"/>
              <w:tr2bl w:val="nil"/>
            </w:tcBorders>
            <w:shd w:val="clear" w:color="auto" w:fill="auto"/>
            <w:vAlign w:val="center"/>
          </w:tcPr>
          <w:p w14:paraId="152572F1">
            <w:pPr>
              <w:adjustRightInd/>
              <w:snapToGrid/>
              <w:spacing w:line="360" w:lineRule="exact"/>
              <w:ind w:firstLine="0" w:firstLineChars="0"/>
              <w:jc w:val="center"/>
              <w:rPr>
                <w:rFonts w:hint="default"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9.1</w:t>
            </w:r>
            <w:r>
              <w:rPr>
                <w:rFonts w:hint="eastAsia" w:cs="Times New Roman"/>
                <w:color w:val="auto"/>
                <w:sz w:val="21"/>
                <w:szCs w:val="21"/>
                <w:highlight w:val="none"/>
                <w:lang w:val="en-US" w:eastAsia="zh-CN"/>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3</w:t>
            </w:r>
          </w:p>
        </w:tc>
        <w:tc>
          <w:tcPr>
            <w:tcW w:w="1438" w:type="dxa"/>
            <w:tcBorders>
              <w:tl2br w:val="nil"/>
              <w:tr2bl w:val="nil"/>
            </w:tcBorders>
            <w:vAlign w:val="center"/>
          </w:tcPr>
          <w:p w14:paraId="08DF4777">
            <w:pPr>
              <w:spacing w:line="360" w:lineRule="exact"/>
              <w:ind w:firstLine="0" w:firstLineChars="0"/>
              <w:jc w:val="center"/>
              <w:rPr>
                <w:rFonts w:hint="default"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0.068</w:t>
            </w:r>
          </w:p>
        </w:tc>
      </w:tr>
      <w:tr w14:paraId="622C4CDC">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61" w:hRule="atLeast"/>
          <w:jc w:val="center"/>
        </w:trPr>
        <w:tc>
          <w:tcPr>
            <w:tcW w:w="1341" w:type="dxa"/>
            <w:vMerge w:val="continue"/>
            <w:tcBorders>
              <w:tl2br w:val="nil"/>
              <w:tr2bl w:val="nil"/>
            </w:tcBorders>
            <w:vAlign w:val="center"/>
          </w:tcPr>
          <w:p w14:paraId="5F92B4A1">
            <w:pPr>
              <w:spacing w:line="360" w:lineRule="exact"/>
              <w:ind w:firstLine="0" w:firstLineChars="0"/>
              <w:jc w:val="center"/>
              <w:rPr>
                <w:rFonts w:cs="Times New Roman"/>
                <w:color w:val="auto"/>
                <w:sz w:val="21"/>
                <w:szCs w:val="21"/>
                <w:highlight w:val="none"/>
              </w:rPr>
            </w:pPr>
          </w:p>
        </w:tc>
        <w:tc>
          <w:tcPr>
            <w:tcW w:w="1314" w:type="dxa"/>
            <w:vMerge w:val="continue"/>
            <w:tcBorders>
              <w:tl2br w:val="nil"/>
              <w:tr2bl w:val="nil"/>
            </w:tcBorders>
            <w:vAlign w:val="center"/>
          </w:tcPr>
          <w:p w14:paraId="4D79B809">
            <w:pPr>
              <w:spacing w:line="360" w:lineRule="exact"/>
              <w:ind w:firstLine="0" w:firstLineChars="0"/>
              <w:jc w:val="center"/>
              <w:rPr>
                <w:rFonts w:cs="Times New Roman"/>
                <w:color w:val="auto"/>
                <w:sz w:val="21"/>
                <w:szCs w:val="21"/>
                <w:highlight w:val="none"/>
              </w:rPr>
            </w:pPr>
          </w:p>
        </w:tc>
        <w:tc>
          <w:tcPr>
            <w:tcW w:w="1407" w:type="dxa"/>
            <w:tcBorders>
              <w:tl2br w:val="nil"/>
              <w:tr2bl w:val="nil"/>
            </w:tcBorders>
            <w:vAlign w:val="center"/>
          </w:tcPr>
          <w:p w14:paraId="19F7254B">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384" w:type="dxa"/>
            <w:tcBorders>
              <w:tl2br w:val="nil"/>
              <w:tr2bl w:val="nil"/>
            </w:tcBorders>
            <w:shd w:val="clear" w:color="auto" w:fill="auto"/>
            <w:vAlign w:val="center"/>
          </w:tcPr>
          <w:p w14:paraId="2C59C860">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0.055</w:t>
            </w:r>
          </w:p>
        </w:tc>
        <w:tc>
          <w:tcPr>
            <w:tcW w:w="1433" w:type="dxa"/>
            <w:tcBorders>
              <w:tl2br w:val="nil"/>
              <w:tr2bl w:val="nil"/>
            </w:tcBorders>
            <w:shd w:val="clear" w:color="auto" w:fill="auto"/>
            <w:vAlign w:val="center"/>
          </w:tcPr>
          <w:p w14:paraId="569BD568">
            <w:pPr>
              <w:adjustRightInd/>
              <w:snapToGrid/>
              <w:spacing w:line="360" w:lineRule="exact"/>
              <w:ind w:firstLine="0" w:firstLineChars="0"/>
              <w:jc w:val="center"/>
              <w:rPr>
                <w:rFonts w:hint="eastAsia" w:ascii="Times New Roman" w:hAnsi="Times New Roman" w:eastAsia="宋体" w:cs="Times New Roman"/>
                <w:snapToGrid w:val="0"/>
                <w:color w:val="auto"/>
                <w:kern w:val="0"/>
                <w:sz w:val="21"/>
                <w:szCs w:val="22"/>
                <w:highlight w:val="none"/>
                <w:lang w:val="en-US" w:eastAsia="zh-CN" w:bidi="ar-SA"/>
              </w:rPr>
            </w:pPr>
            <w:r>
              <w:rPr>
                <w:rFonts w:hint="eastAsia" w:ascii="Times New Roman" w:hAnsi="Times New Roman" w:eastAsia="宋体" w:cs="Times New Roman"/>
                <w:snapToGrid w:val="0"/>
                <w:color w:val="auto"/>
                <w:kern w:val="0"/>
                <w:sz w:val="21"/>
                <w:szCs w:val="22"/>
                <w:highlight w:val="none"/>
                <w:lang w:val="en-US" w:eastAsia="zh-CN" w:bidi="ar-SA"/>
              </w:rPr>
              <w:t>1.1</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1438" w:type="dxa"/>
            <w:tcBorders>
              <w:tl2br w:val="nil"/>
              <w:tr2bl w:val="nil"/>
            </w:tcBorders>
            <w:vAlign w:val="center"/>
          </w:tcPr>
          <w:p w14:paraId="41345C08">
            <w:pPr>
              <w:spacing w:line="360" w:lineRule="exact"/>
              <w:ind w:firstLine="0" w:firstLineChars="0"/>
              <w:jc w:val="center"/>
              <w:rPr>
                <w:rFonts w:hint="default" w:eastAsia="宋体" w:cs="Times New Roman"/>
                <w:color w:val="auto"/>
                <w:kern w:val="0"/>
                <w:sz w:val="21"/>
                <w:szCs w:val="21"/>
                <w:highlight w:val="none"/>
                <w:vertAlign w:val="superscript"/>
                <w:lang w:val="en-US" w:eastAsia="zh-CN"/>
              </w:rPr>
            </w:pPr>
            <w:r>
              <w:rPr>
                <w:rFonts w:hint="eastAsia" w:cs="Times New Roman"/>
                <w:color w:val="auto"/>
                <w:kern w:val="0"/>
                <w:sz w:val="21"/>
                <w:szCs w:val="21"/>
                <w:highlight w:val="none"/>
                <w:vertAlign w:val="baseline"/>
                <w:lang w:val="en-US" w:eastAsia="zh-CN"/>
              </w:rPr>
              <w:t>8.2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r>
      <w:tr w14:paraId="483185C1">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61" w:hRule="atLeast"/>
          <w:jc w:val="center"/>
        </w:trPr>
        <w:tc>
          <w:tcPr>
            <w:tcW w:w="1341" w:type="dxa"/>
            <w:vMerge w:val="restart"/>
            <w:tcBorders>
              <w:tl2br w:val="nil"/>
              <w:tr2bl w:val="nil"/>
            </w:tcBorders>
            <w:vAlign w:val="center"/>
          </w:tcPr>
          <w:p w14:paraId="097FD4A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1314" w:type="dxa"/>
            <w:vMerge w:val="restart"/>
            <w:tcBorders>
              <w:tl2br w:val="nil"/>
              <w:tr2bl w:val="nil"/>
            </w:tcBorders>
            <w:vAlign w:val="center"/>
          </w:tcPr>
          <w:p w14:paraId="174F4DC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DA002</w:t>
            </w:r>
          </w:p>
        </w:tc>
        <w:tc>
          <w:tcPr>
            <w:tcW w:w="1407" w:type="dxa"/>
            <w:tcBorders>
              <w:tl2br w:val="nil"/>
              <w:tr2bl w:val="nil"/>
            </w:tcBorders>
            <w:vAlign w:val="center"/>
          </w:tcPr>
          <w:p w14:paraId="6ED827C4">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384" w:type="dxa"/>
            <w:tcBorders>
              <w:tl2br w:val="nil"/>
              <w:tr2bl w:val="nil"/>
            </w:tcBorders>
            <w:shd w:val="clear" w:color="auto" w:fill="auto"/>
            <w:vAlign w:val="center"/>
          </w:tcPr>
          <w:p w14:paraId="78968D9D">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2.7</w:t>
            </w:r>
          </w:p>
        </w:tc>
        <w:tc>
          <w:tcPr>
            <w:tcW w:w="1433" w:type="dxa"/>
            <w:tcBorders>
              <w:tl2br w:val="nil"/>
              <w:tr2bl w:val="nil"/>
            </w:tcBorders>
            <w:shd w:val="clear" w:color="auto" w:fill="auto"/>
            <w:vAlign w:val="center"/>
          </w:tcPr>
          <w:p w14:paraId="362D1A31">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snapToGrid w:val="0"/>
                <w:color w:val="auto"/>
                <w:sz w:val="21"/>
                <w:szCs w:val="21"/>
                <w:highlight w:val="none"/>
                <w:lang w:val="en-US" w:eastAsia="zh-CN"/>
              </w:rPr>
              <w:t>5.4</w:t>
            </w:r>
            <w:r>
              <w:rPr>
                <w:rFonts w:cs="Times New Roman"/>
                <w:snapToGrid w:val="0"/>
                <w:color w:val="auto"/>
                <w:sz w:val="21"/>
                <w:szCs w:val="21"/>
                <w:highlight w:val="none"/>
                <w:lang w:val="zh-CN"/>
              </w:rPr>
              <w:t>×</w:t>
            </w:r>
            <w:r>
              <w:rPr>
                <w:rFonts w:hint="eastAsia" w:cs="Times New Roman"/>
                <w:snapToGrid w:val="0"/>
                <w:color w:val="auto"/>
                <w:sz w:val="21"/>
                <w:szCs w:val="21"/>
                <w:highlight w:val="none"/>
                <w:lang w:eastAsia="zh-CN"/>
              </w:rPr>
              <w:t>10</w:t>
            </w:r>
            <w:r>
              <w:rPr>
                <w:rFonts w:cs="Times New Roman"/>
                <w:snapToGrid w:val="0"/>
                <w:color w:val="auto"/>
                <w:sz w:val="21"/>
                <w:szCs w:val="21"/>
                <w:highlight w:val="none"/>
                <w:vertAlign w:val="superscript"/>
                <w:lang w:val="zh-CN"/>
              </w:rPr>
              <w:t>-</w:t>
            </w:r>
            <w:r>
              <w:rPr>
                <w:rFonts w:hint="eastAsia" w:cs="Times New Roman"/>
                <w:snapToGrid w:val="0"/>
                <w:color w:val="auto"/>
                <w:sz w:val="21"/>
                <w:szCs w:val="21"/>
                <w:highlight w:val="none"/>
                <w:vertAlign w:val="superscript"/>
                <w:lang w:val="en-US" w:eastAsia="zh-CN"/>
              </w:rPr>
              <w:t>3</w:t>
            </w:r>
          </w:p>
        </w:tc>
        <w:tc>
          <w:tcPr>
            <w:tcW w:w="1438" w:type="dxa"/>
            <w:tcBorders>
              <w:tl2br w:val="nil"/>
              <w:tr2bl w:val="nil"/>
            </w:tcBorders>
            <w:vAlign w:val="center"/>
          </w:tcPr>
          <w:p w14:paraId="367F983D">
            <w:pPr>
              <w:spacing w:line="360" w:lineRule="exact"/>
              <w:ind w:firstLine="0" w:firstLineChars="0"/>
              <w:jc w:val="center"/>
              <w:rPr>
                <w:rFonts w:hint="default" w:eastAsia="宋体" w:cs="Times New Roman"/>
                <w:color w:val="auto"/>
                <w:kern w:val="0"/>
                <w:sz w:val="21"/>
                <w:szCs w:val="21"/>
                <w:highlight w:val="none"/>
                <w:vertAlign w:val="baseline"/>
                <w:lang w:val="en-US" w:eastAsia="zh-CN"/>
              </w:rPr>
            </w:pPr>
            <w:r>
              <w:rPr>
                <w:rFonts w:hint="eastAsia" w:cs="Times New Roman"/>
                <w:color w:val="auto"/>
                <w:kern w:val="0"/>
                <w:sz w:val="21"/>
                <w:szCs w:val="21"/>
                <w:highlight w:val="none"/>
                <w:vertAlign w:val="baseline"/>
                <w:lang w:val="en-US" w:eastAsia="zh-CN"/>
              </w:rPr>
              <w:t>0.040</w:t>
            </w:r>
          </w:p>
        </w:tc>
      </w:tr>
      <w:tr w14:paraId="5AC53F41">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61" w:hRule="atLeast"/>
          <w:jc w:val="center"/>
        </w:trPr>
        <w:tc>
          <w:tcPr>
            <w:tcW w:w="1341" w:type="dxa"/>
            <w:vMerge w:val="continue"/>
            <w:tcBorders>
              <w:tl2br w:val="nil"/>
              <w:tr2bl w:val="nil"/>
            </w:tcBorders>
            <w:vAlign w:val="center"/>
          </w:tcPr>
          <w:p w14:paraId="26B0AB4C">
            <w:pPr>
              <w:spacing w:line="360" w:lineRule="exact"/>
              <w:ind w:firstLine="0" w:firstLineChars="0"/>
              <w:jc w:val="center"/>
              <w:rPr>
                <w:rFonts w:cs="Times New Roman"/>
                <w:color w:val="auto"/>
                <w:sz w:val="21"/>
                <w:szCs w:val="21"/>
                <w:highlight w:val="none"/>
              </w:rPr>
            </w:pPr>
          </w:p>
        </w:tc>
        <w:tc>
          <w:tcPr>
            <w:tcW w:w="1314" w:type="dxa"/>
            <w:vMerge w:val="continue"/>
            <w:tcBorders>
              <w:tl2br w:val="nil"/>
              <w:tr2bl w:val="nil"/>
            </w:tcBorders>
            <w:vAlign w:val="center"/>
          </w:tcPr>
          <w:p w14:paraId="4DC01553">
            <w:pPr>
              <w:spacing w:line="360" w:lineRule="exact"/>
              <w:ind w:firstLine="0" w:firstLineChars="0"/>
              <w:jc w:val="center"/>
              <w:rPr>
                <w:rFonts w:cs="Times New Roman"/>
                <w:color w:val="auto"/>
                <w:sz w:val="21"/>
                <w:szCs w:val="21"/>
                <w:highlight w:val="none"/>
              </w:rPr>
            </w:pPr>
          </w:p>
        </w:tc>
        <w:tc>
          <w:tcPr>
            <w:tcW w:w="1407" w:type="dxa"/>
            <w:tcBorders>
              <w:tl2br w:val="nil"/>
              <w:tr2bl w:val="nil"/>
            </w:tcBorders>
            <w:vAlign w:val="center"/>
          </w:tcPr>
          <w:p w14:paraId="0137CF42">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384" w:type="dxa"/>
            <w:tcBorders>
              <w:tl2br w:val="nil"/>
              <w:tr2bl w:val="nil"/>
            </w:tcBorders>
            <w:shd w:val="clear" w:color="auto" w:fill="auto"/>
            <w:vAlign w:val="center"/>
          </w:tcPr>
          <w:p w14:paraId="24331AEF">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0.1</w:t>
            </w:r>
          </w:p>
        </w:tc>
        <w:tc>
          <w:tcPr>
            <w:tcW w:w="1433" w:type="dxa"/>
            <w:tcBorders>
              <w:tl2br w:val="nil"/>
              <w:tr2bl w:val="nil"/>
            </w:tcBorders>
            <w:shd w:val="clear" w:color="auto" w:fill="auto"/>
            <w:vAlign w:val="center"/>
          </w:tcPr>
          <w:p w14:paraId="112D9456">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snapToGrid w:val="0"/>
                <w:color w:val="auto"/>
                <w:sz w:val="21"/>
                <w:szCs w:val="21"/>
                <w:highlight w:val="none"/>
                <w:lang w:val="en-US" w:eastAsia="zh-CN"/>
              </w:rPr>
              <w:t>2.0</w:t>
            </w:r>
            <w:r>
              <w:rPr>
                <w:rFonts w:cs="Times New Roman"/>
                <w:snapToGrid w:val="0"/>
                <w:color w:val="auto"/>
                <w:sz w:val="21"/>
                <w:szCs w:val="21"/>
                <w:highlight w:val="none"/>
                <w:lang w:val="zh-CN"/>
              </w:rPr>
              <w:t>×</w:t>
            </w:r>
            <w:r>
              <w:rPr>
                <w:rFonts w:hint="eastAsia" w:cs="Times New Roman"/>
                <w:snapToGrid w:val="0"/>
                <w:color w:val="auto"/>
                <w:sz w:val="21"/>
                <w:szCs w:val="21"/>
                <w:highlight w:val="none"/>
                <w:lang w:eastAsia="zh-CN"/>
              </w:rPr>
              <w:t>10</w:t>
            </w:r>
            <w:r>
              <w:rPr>
                <w:rFonts w:cs="Times New Roman"/>
                <w:snapToGrid w:val="0"/>
                <w:color w:val="auto"/>
                <w:sz w:val="21"/>
                <w:szCs w:val="21"/>
                <w:highlight w:val="none"/>
                <w:vertAlign w:val="superscript"/>
                <w:lang w:val="zh-CN"/>
              </w:rPr>
              <w:t>-</w:t>
            </w:r>
            <w:r>
              <w:rPr>
                <w:rFonts w:hint="eastAsia" w:cs="Times New Roman"/>
                <w:snapToGrid w:val="0"/>
                <w:color w:val="auto"/>
                <w:sz w:val="21"/>
                <w:szCs w:val="21"/>
                <w:highlight w:val="none"/>
                <w:vertAlign w:val="superscript"/>
                <w:lang w:val="en-US" w:eastAsia="zh-CN"/>
              </w:rPr>
              <w:t>4</w:t>
            </w:r>
          </w:p>
        </w:tc>
        <w:tc>
          <w:tcPr>
            <w:tcW w:w="1438" w:type="dxa"/>
            <w:tcBorders>
              <w:tl2br w:val="nil"/>
              <w:tr2bl w:val="nil"/>
            </w:tcBorders>
            <w:vAlign w:val="center"/>
          </w:tcPr>
          <w:p w14:paraId="02A710DF">
            <w:pPr>
              <w:spacing w:line="360" w:lineRule="exact"/>
              <w:ind w:firstLine="0" w:firstLineChars="0"/>
              <w:jc w:val="center"/>
              <w:rPr>
                <w:rFonts w:hint="default" w:eastAsia="宋体" w:cs="Times New Roman"/>
                <w:color w:val="auto"/>
                <w:kern w:val="0"/>
                <w:sz w:val="21"/>
                <w:szCs w:val="21"/>
                <w:highlight w:val="none"/>
                <w:vertAlign w:val="baseline"/>
                <w:lang w:val="en-US" w:eastAsia="zh-CN"/>
              </w:rPr>
            </w:pPr>
            <w:r>
              <w:rPr>
                <w:rFonts w:hint="eastAsia" w:cs="Times New Roman"/>
                <w:color w:val="auto"/>
                <w:kern w:val="0"/>
                <w:sz w:val="21"/>
                <w:szCs w:val="21"/>
                <w:highlight w:val="none"/>
                <w:vertAlign w:val="baseline"/>
                <w:lang w:val="en-US" w:eastAsia="zh-CN"/>
              </w:rPr>
              <w:t>1.5</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w:t>
            </w:r>
            <w:r>
              <w:rPr>
                <w:rFonts w:hint="eastAsia" w:cs="Times New Roman"/>
                <w:snapToGrid w:val="0"/>
                <w:color w:val="auto"/>
                <w:kern w:val="0"/>
                <w:sz w:val="21"/>
                <w:highlight w:val="none"/>
                <w:vertAlign w:val="superscript"/>
                <w:lang w:val="en-US" w:eastAsia="zh-CN"/>
              </w:rPr>
              <w:t>3</w:t>
            </w:r>
          </w:p>
        </w:tc>
      </w:tr>
      <w:tr w14:paraId="08AC21B4">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61" w:hRule="atLeast"/>
          <w:jc w:val="center"/>
        </w:trPr>
        <w:tc>
          <w:tcPr>
            <w:tcW w:w="2655" w:type="dxa"/>
            <w:gridSpan w:val="2"/>
            <w:vMerge w:val="restart"/>
            <w:tcBorders>
              <w:tl2br w:val="nil"/>
              <w:tr2bl w:val="nil"/>
            </w:tcBorders>
            <w:vAlign w:val="center"/>
          </w:tcPr>
          <w:p w14:paraId="6C7769B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一般排放口合计</w:t>
            </w:r>
          </w:p>
        </w:tc>
        <w:tc>
          <w:tcPr>
            <w:tcW w:w="4224" w:type="dxa"/>
            <w:gridSpan w:val="3"/>
            <w:tcBorders>
              <w:tl2br w:val="nil"/>
              <w:tr2bl w:val="nil"/>
            </w:tcBorders>
            <w:vAlign w:val="center"/>
          </w:tcPr>
          <w:p w14:paraId="357E7D4F">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438" w:type="dxa"/>
            <w:tcBorders>
              <w:tl2br w:val="nil"/>
              <w:tr2bl w:val="nil"/>
            </w:tcBorders>
            <w:vAlign w:val="center"/>
          </w:tcPr>
          <w:p w14:paraId="691D2605">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0.108</w:t>
            </w:r>
          </w:p>
        </w:tc>
      </w:tr>
      <w:tr w14:paraId="6D20C41B">
        <w:tblPrEx>
          <w:tblBorders>
            <w:top w:val="single" w:color="auto" w:sz="12" w:space="0"/>
            <w:left w:val="none" w:color="auto" w:sz="0" w:space="0"/>
            <w:bottom w:val="single" w:color="auto" w:sz="12" w:space="0"/>
            <w:right w:val="none" w:color="auto" w:sz="0" w:space="0"/>
            <w:insideH w:val="single" w:color="auto" w:sz="8" w:space="0"/>
            <w:insideV w:val="single" w:color="auto" w:sz="4" w:space="0"/>
          </w:tblBorders>
          <w:tblCellMar>
            <w:top w:w="0" w:type="dxa"/>
            <w:left w:w="108" w:type="dxa"/>
            <w:bottom w:w="0" w:type="dxa"/>
            <w:right w:w="108" w:type="dxa"/>
          </w:tblCellMar>
        </w:tblPrEx>
        <w:trPr>
          <w:trHeight w:val="361" w:hRule="atLeast"/>
          <w:jc w:val="center"/>
        </w:trPr>
        <w:tc>
          <w:tcPr>
            <w:tcW w:w="2655" w:type="dxa"/>
            <w:gridSpan w:val="2"/>
            <w:vMerge w:val="continue"/>
            <w:tcBorders>
              <w:tl2br w:val="nil"/>
              <w:tr2bl w:val="nil"/>
            </w:tcBorders>
            <w:vAlign w:val="center"/>
          </w:tcPr>
          <w:p w14:paraId="6AA87BCD">
            <w:pPr>
              <w:spacing w:line="360" w:lineRule="exact"/>
              <w:ind w:firstLine="0" w:firstLineChars="0"/>
              <w:jc w:val="center"/>
              <w:rPr>
                <w:rFonts w:cs="Times New Roman"/>
                <w:color w:val="auto"/>
                <w:sz w:val="21"/>
                <w:szCs w:val="21"/>
                <w:highlight w:val="none"/>
              </w:rPr>
            </w:pPr>
          </w:p>
        </w:tc>
        <w:tc>
          <w:tcPr>
            <w:tcW w:w="4224" w:type="dxa"/>
            <w:gridSpan w:val="3"/>
            <w:tcBorders>
              <w:tl2br w:val="nil"/>
              <w:tr2bl w:val="nil"/>
            </w:tcBorders>
            <w:vAlign w:val="center"/>
          </w:tcPr>
          <w:p w14:paraId="359BE6D6">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438" w:type="dxa"/>
            <w:tcBorders>
              <w:tl2br w:val="nil"/>
              <w:tr2bl w:val="nil"/>
            </w:tcBorders>
            <w:vAlign w:val="center"/>
          </w:tcPr>
          <w:p w14:paraId="50DF21D9">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2.3</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w:t>
            </w:r>
            <w:r>
              <w:rPr>
                <w:rFonts w:hint="eastAsia" w:cs="Times New Roman"/>
                <w:snapToGrid w:val="0"/>
                <w:color w:val="auto"/>
                <w:kern w:val="0"/>
                <w:sz w:val="21"/>
                <w:highlight w:val="none"/>
                <w:vertAlign w:val="superscript"/>
                <w:lang w:val="en-US" w:eastAsia="zh-CN"/>
              </w:rPr>
              <w:t>3</w:t>
            </w:r>
          </w:p>
        </w:tc>
      </w:tr>
    </w:tbl>
    <w:p w14:paraId="06DA5567">
      <w:pPr>
        <w:pStyle w:val="66"/>
        <w:spacing w:before="163" w:beforeLines="50" w:line="240" w:lineRule="auto"/>
        <w:rPr>
          <w:rFonts w:eastAsia="宋体" w:cs="Times New Roman"/>
          <w:b/>
          <w:bCs/>
          <w:snapToGrid w:val="0"/>
          <w:color w:val="auto"/>
          <w:szCs w:val="24"/>
          <w:highlight w:val="none"/>
        </w:rPr>
      </w:pPr>
      <w:r>
        <w:rPr>
          <w:rFonts w:eastAsia="宋体" w:cs="Times New Roman"/>
          <w:b/>
          <w:bCs/>
          <w:snapToGrid w:val="0"/>
          <w:color w:val="auto"/>
          <w:szCs w:val="24"/>
          <w:highlight w:val="none"/>
        </w:rPr>
        <w:t>表5-2-</w:t>
      </w:r>
      <w:r>
        <w:rPr>
          <w:rFonts w:eastAsia="宋体" w:cs="Times New Roman"/>
          <w:b/>
          <w:bCs/>
          <w:snapToGrid w:val="0"/>
          <w:color w:val="auto"/>
          <w:szCs w:val="24"/>
          <w:highlight w:val="none"/>
          <w:lang w:val="en-US"/>
        </w:rPr>
        <w:t>2</w:t>
      </w:r>
      <w:r>
        <w:rPr>
          <w:rFonts w:eastAsia="宋体" w:cs="Times New Roman"/>
          <w:b/>
          <w:bCs/>
          <w:snapToGrid w:val="0"/>
          <w:color w:val="auto"/>
          <w:szCs w:val="24"/>
          <w:highlight w:val="none"/>
        </w:rPr>
        <w:t xml:space="preserve">  大气污染物无组织排放量核算表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104"/>
        <w:gridCol w:w="1236"/>
        <w:gridCol w:w="1966"/>
        <w:gridCol w:w="1135"/>
        <w:gridCol w:w="1136"/>
        <w:gridCol w:w="1361"/>
      </w:tblGrid>
      <w:tr w14:paraId="3D0FB0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27" w:hRule="atLeast"/>
          <w:jc w:val="center"/>
        </w:trPr>
        <w:tc>
          <w:tcPr>
            <w:tcW w:w="567" w:type="dxa"/>
            <w:vAlign w:val="center"/>
          </w:tcPr>
          <w:p w14:paraId="0C7D27D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1104" w:type="dxa"/>
            <w:vAlign w:val="center"/>
          </w:tcPr>
          <w:p w14:paraId="4EA095A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产污环节</w:t>
            </w:r>
          </w:p>
        </w:tc>
        <w:tc>
          <w:tcPr>
            <w:tcW w:w="1236" w:type="dxa"/>
            <w:vAlign w:val="center"/>
          </w:tcPr>
          <w:p w14:paraId="26E3A9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1966" w:type="dxa"/>
            <w:vAlign w:val="center"/>
          </w:tcPr>
          <w:p w14:paraId="7F84AE6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防治措施</w:t>
            </w:r>
          </w:p>
        </w:tc>
        <w:tc>
          <w:tcPr>
            <w:tcW w:w="1135" w:type="dxa"/>
            <w:vAlign w:val="center"/>
          </w:tcPr>
          <w:p w14:paraId="18AD78F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标准名称</w:t>
            </w:r>
          </w:p>
        </w:tc>
        <w:tc>
          <w:tcPr>
            <w:tcW w:w="1136" w:type="dxa"/>
            <w:vAlign w:val="center"/>
          </w:tcPr>
          <w:p w14:paraId="2556B66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浓度限值mg/m</w:t>
            </w:r>
            <w:r>
              <w:rPr>
                <w:rFonts w:cs="Times New Roman"/>
                <w:color w:val="auto"/>
                <w:sz w:val="21"/>
                <w:szCs w:val="21"/>
                <w:highlight w:val="none"/>
                <w:vertAlign w:val="superscript"/>
              </w:rPr>
              <w:t>3</w:t>
            </w:r>
          </w:p>
        </w:tc>
        <w:tc>
          <w:tcPr>
            <w:tcW w:w="1361" w:type="dxa"/>
            <w:vAlign w:val="center"/>
          </w:tcPr>
          <w:p w14:paraId="036C53C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年排放量t/a</w:t>
            </w:r>
          </w:p>
        </w:tc>
      </w:tr>
      <w:tr w14:paraId="16C740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7" w:type="dxa"/>
            <w:vMerge w:val="restart"/>
            <w:vAlign w:val="center"/>
          </w:tcPr>
          <w:p w14:paraId="65F9763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1104" w:type="dxa"/>
            <w:vMerge w:val="restart"/>
            <w:vAlign w:val="center"/>
          </w:tcPr>
          <w:p w14:paraId="022D726D">
            <w:pPr>
              <w:widowControl/>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待宰圈</w:t>
            </w:r>
          </w:p>
        </w:tc>
        <w:tc>
          <w:tcPr>
            <w:tcW w:w="1236" w:type="dxa"/>
            <w:vAlign w:val="center"/>
          </w:tcPr>
          <w:p w14:paraId="2D9BE5E7">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966" w:type="dxa"/>
            <w:vMerge w:val="restart"/>
            <w:vAlign w:val="center"/>
          </w:tcPr>
          <w:p w14:paraId="75B9B71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及时清运粪便，喷洒除臭剂</w:t>
            </w:r>
          </w:p>
        </w:tc>
        <w:tc>
          <w:tcPr>
            <w:tcW w:w="1135" w:type="dxa"/>
            <w:vMerge w:val="restart"/>
            <w:vAlign w:val="center"/>
          </w:tcPr>
          <w:p w14:paraId="37F900D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《恶臭污染物排放标准》（GB14554-93）</w:t>
            </w:r>
          </w:p>
        </w:tc>
        <w:tc>
          <w:tcPr>
            <w:tcW w:w="1136" w:type="dxa"/>
            <w:vAlign w:val="center"/>
          </w:tcPr>
          <w:p w14:paraId="0968BE9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1.5</w:t>
            </w:r>
          </w:p>
        </w:tc>
        <w:tc>
          <w:tcPr>
            <w:tcW w:w="1361" w:type="dxa"/>
            <w:vAlign w:val="center"/>
          </w:tcPr>
          <w:p w14:paraId="030949DF">
            <w:pPr>
              <w:spacing w:line="360" w:lineRule="exact"/>
              <w:ind w:firstLine="0" w:firstLineChars="0"/>
              <w:jc w:val="center"/>
              <w:rPr>
                <w:rFonts w:hint="eastAsia" w:cs="Times New Roman"/>
                <w:color w:val="auto"/>
                <w:sz w:val="21"/>
                <w:szCs w:val="21"/>
                <w:highlight w:val="none"/>
                <w:vertAlign w:val="superscript"/>
                <w:lang w:val="en-US" w:eastAsia="zh-CN"/>
              </w:rPr>
            </w:pPr>
            <w:r>
              <w:rPr>
                <w:rFonts w:hint="eastAsia" w:cs="Times New Roman"/>
                <w:color w:val="auto"/>
                <w:sz w:val="21"/>
                <w:szCs w:val="21"/>
                <w:highlight w:val="none"/>
                <w:lang w:val="en-US" w:eastAsia="zh-CN"/>
              </w:rPr>
              <w:t>1.9</w:t>
            </w:r>
            <w:r>
              <w:rPr>
                <w:rFonts w:cs="Times New Roman"/>
                <w:color w:val="auto"/>
                <w:sz w:val="21"/>
                <w:szCs w:val="21"/>
                <w:highlight w:val="none"/>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3</w:t>
            </w:r>
          </w:p>
        </w:tc>
      </w:tr>
      <w:tr w14:paraId="5C54E3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7" w:type="dxa"/>
            <w:vMerge w:val="continue"/>
            <w:vAlign w:val="center"/>
          </w:tcPr>
          <w:p w14:paraId="65748306">
            <w:pPr>
              <w:spacing w:line="360" w:lineRule="exact"/>
              <w:ind w:firstLine="0" w:firstLineChars="0"/>
              <w:jc w:val="center"/>
              <w:rPr>
                <w:rFonts w:cs="Times New Roman"/>
                <w:color w:val="auto"/>
                <w:sz w:val="21"/>
                <w:szCs w:val="21"/>
                <w:highlight w:val="none"/>
              </w:rPr>
            </w:pPr>
          </w:p>
        </w:tc>
        <w:tc>
          <w:tcPr>
            <w:tcW w:w="1104" w:type="dxa"/>
            <w:vMerge w:val="continue"/>
            <w:vAlign w:val="center"/>
          </w:tcPr>
          <w:p w14:paraId="6D493C61">
            <w:pPr>
              <w:widowControl/>
              <w:spacing w:line="360" w:lineRule="exact"/>
              <w:ind w:firstLine="0" w:firstLineChars="0"/>
              <w:jc w:val="center"/>
              <w:rPr>
                <w:rFonts w:cs="Times New Roman"/>
                <w:color w:val="auto"/>
                <w:sz w:val="21"/>
                <w:szCs w:val="21"/>
                <w:highlight w:val="none"/>
              </w:rPr>
            </w:pPr>
          </w:p>
        </w:tc>
        <w:tc>
          <w:tcPr>
            <w:tcW w:w="1236" w:type="dxa"/>
            <w:tcBorders>
              <w:bottom w:val="single" w:color="auto" w:sz="4" w:space="0"/>
            </w:tcBorders>
            <w:vAlign w:val="center"/>
          </w:tcPr>
          <w:p w14:paraId="4F4BD538">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966" w:type="dxa"/>
            <w:vMerge w:val="continue"/>
            <w:tcBorders>
              <w:bottom w:val="single" w:color="auto" w:sz="4" w:space="0"/>
            </w:tcBorders>
            <w:vAlign w:val="center"/>
          </w:tcPr>
          <w:p w14:paraId="6900E973">
            <w:pPr>
              <w:spacing w:line="360" w:lineRule="exact"/>
              <w:ind w:firstLine="0" w:firstLineChars="0"/>
              <w:jc w:val="center"/>
              <w:rPr>
                <w:rFonts w:cs="Times New Roman"/>
                <w:color w:val="auto"/>
                <w:sz w:val="21"/>
                <w:szCs w:val="21"/>
                <w:highlight w:val="none"/>
              </w:rPr>
            </w:pPr>
          </w:p>
        </w:tc>
        <w:tc>
          <w:tcPr>
            <w:tcW w:w="1135" w:type="dxa"/>
            <w:vMerge w:val="continue"/>
            <w:vAlign w:val="center"/>
          </w:tcPr>
          <w:p w14:paraId="4C3858F8">
            <w:pPr>
              <w:spacing w:line="360" w:lineRule="exact"/>
              <w:ind w:firstLine="0" w:firstLineChars="0"/>
              <w:jc w:val="center"/>
              <w:rPr>
                <w:rFonts w:cs="Times New Roman"/>
                <w:color w:val="auto"/>
                <w:sz w:val="21"/>
                <w:szCs w:val="21"/>
                <w:highlight w:val="none"/>
              </w:rPr>
            </w:pPr>
          </w:p>
        </w:tc>
        <w:tc>
          <w:tcPr>
            <w:tcW w:w="1136" w:type="dxa"/>
            <w:vAlign w:val="center"/>
          </w:tcPr>
          <w:p w14:paraId="5F735C7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0.06</w:t>
            </w:r>
          </w:p>
        </w:tc>
        <w:tc>
          <w:tcPr>
            <w:tcW w:w="1361" w:type="dxa"/>
            <w:vAlign w:val="center"/>
          </w:tcPr>
          <w:p w14:paraId="44F0E8D6">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2.8</w:t>
            </w:r>
            <w:r>
              <w:rPr>
                <w:rFonts w:cs="Times New Roman"/>
                <w:color w:val="auto"/>
                <w:sz w:val="21"/>
                <w:szCs w:val="21"/>
                <w:highlight w:val="none"/>
                <w:lang w:val="zh-CN"/>
              </w:rPr>
              <w:t>×10</w:t>
            </w:r>
            <w:r>
              <w:rPr>
                <w:rFonts w:cs="Times New Roman"/>
                <w:color w:val="auto"/>
                <w:sz w:val="21"/>
                <w:szCs w:val="21"/>
                <w:highlight w:val="none"/>
                <w:vertAlign w:val="superscript"/>
                <w:lang w:val="zh-CN"/>
              </w:rPr>
              <w:t>-</w:t>
            </w:r>
            <w:r>
              <w:rPr>
                <w:rFonts w:hint="eastAsia" w:cs="Times New Roman"/>
                <w:color w:val="auto"/>
                <w:sz w:val="21"/>
                <w:szCs w:val="21"/>
                <w:highlight w:val="none"/>
                <w:vertAlign w:val="superscript"/>
                <w:lang w:val="en-US" w:eastAsia="zh-CN"/>
              </w:rPr>
              <w:t>4</w:t>
            </w:r>
          </w:p>
        </w:tc>
      </w:tr>
      <w:tr w14:paraId="07E470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6" w:hRule="atLeast"/>
          <w:jc w:val="center"/>
        </w:trPr>
        <w:tc>
          <w:tcPr>
            <w:tcW w:w="567" w:type="dxa"/>
            <w:vMerge w:val="restart"/>
            <w:vAlign w:val="center"/>
          </w:tcPr>
          <w:p w14:paraId="5C972B3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1104" w:type="dxa"/>
            <w:vMerge w:val="restart"/>
            <w:vAlign w:val="center"/>
          </w:tcPr>
          <w:p w14:paraId="218EBBA2">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w:t>
            </w:r>
          </w:p>
        </w:tc>
        <w:tc>
          <w:tcPr>
            <w:tcW w:w="1236" w:type="dxa"/>
            <w:tcBorders>
              <w:top w:val="single" w:color="auto" w:sz="4" w:space="0"/>
            </w:tcBorders>
            <w:vAlign w:val="center"/>
          </w:tcPr>
          <w:p w14:paraId="6B890670">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966" w:type="dxa"/>
            <w:vMerge w:val="restart"/>
            <w:tcBorders>
              <w:top w:val="single" w:color="auto" w:sz="4" w:space="0"/>
            </w:tcBorders>
            <w:vAlign w:val="center"/>
          </w:tcPr>
          <w:p w14:paraId="6531C31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增加清洗车间地面频次，喷洒除臭剂</w:t>
            </w:r>
          </w:p>
        </w:tc>
        <w:tc>
          <w:tcPr>
            <w:tcW w:w="1135" w:type="dxa"/>
            <w:vMerge w:val="continue"/>
            <w:vAlign w:val="center"/>
          </w:tcPr>
          <w:p w14:paraId="6200012F">
            <w:pPr>
              <w:spacing w:line="360" w:lineRule="exact"/>
              <w:ind w:firstLine="0" w:firstLineChars="0"/>
              <w:jc w:val="center"/>
              <w:rPr>
                <w:rFonts w:cs="Times New Roman"/>
                <w:color w:val="auto"/>
                <w:sz w:val="21"/>
                <w:szCs w:val="21"/>
                <w:highlight w:val="none"/>
              </w:rPr>
            </w:pPr>
          </w:p>
        </w:tc>
        <w:tc>
          <w:tcPr>
            <w:tcW w:w="1136" w:type="dxa"/>
            <w:vAlign w:val="center"/>
          </w:tcPr>
          <w:p w14:paraId="37375B5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1.5</w:t>
            </w:r>
          </w:p>
        </w:tc>
        <w:tc>
          <w:tcPr>
            <w:tcW w:w="1361" w:type="dxa"/>
            <w:shd w:val="clear" w:color="auto" w:fill="auto"/>
            <w:vAlign w:val="center"/>
          </w:tcPr>
          <w:p w14:paraId="0FEB7DCA">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7.4</w:t>
            </w:r>
            <w:r>
              <w:rPr>
                <w:rFonts w:cs="Times New Roman"/>
                <w:color w:val="auto"/>
                <w:kern w:val="0"/>
                <w:sz w:val="21"/>
                <w:szCs w:val="21"/>
                <w:highlight w:val="none"/>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3</w:t>
            </w:r>
          </w:p>
        </w:tc>
      </w:tr>
      <w:tr w14:paraId="570768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7" w:type="dxa"/>
            <w:vMerge w:val="continue"/>
            <w:vAlign w:val="center"/>
          </w:tcPr>
          <w:p w14:paraId="471735F2">
            <w:pPr>
              <w:spacing w:line="360" w:lineRule="exact"/>
              <w:ind w:firstLine="0" w:firstLineChars="0"/>
              <w:jc w:val="center"/>
              <w:rPr>
                <w:rFonts w:cs="Times New Roman"/>
                <w:color w:val="auto"/>
                <w:sz w:val="21"/>
                <w:szCs w:val="21"/>
                <w:highlight w:val="none"/>
              </w:rPr>
            </w:pPr>
          </w:p>
        </w:tc>
        <w:tc>
          <w:tcPr>
            <w:tcW w:w="1104" w:type="dxa"/>
            <w:vMerge w:val="continue"/>
            <w:vAlign w:val="center"/>
          </w:tcPr>
          <w:p w14:paraId="777343F9">
            <w:pPr>
              <w:widowControl/>
              <w:spacing w:line="360" w:lineRule="exact"/>
              <w:ind w:firstLine="0" w:firstLineChars="0"/>
              <w:jc w:val="center"/>
              <w:rPr>
                <w:rFonts w:cs="Times New Roman"/>
                <w:color w:val="auto"/>
                <w:sz w:val="21"/>
                <w:szCs w:val="21"/>
                <w:highlight w:val="none"/>
              </w:rPr>
            </w:pPr>
          </w:p>
        </w:tc>
        <w:tc>
          <w:tcPr>
            <w:tcW w:w="1236" w:type="dxa"/>
            <w:tcBorders>
              <w:bottom w:val="single" w:color="auto" w:sz="4" w:space="0"/>
            </w:tcBorders>
            <w:vAlign w:val="center"/>
          </w:tcPr>
          <w:p w14:paraId="7794B664">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966" w:type="dxa"/>
            <w:vMerge w:val="continue"/>
            <w:tcBorders>
              <w:bottom w:val="single" w:color="auto" w:sz="4" w:space="0"/>
            </w:tcBorders>
            <w:vAlign w:val="center"/>
          </w:tcPr>
          <w:p w14:paraId="0FF44E60">
            <w:pPr>
              <w:spacing w:line="360" w:lineRule="exact"/>
              <w:ind w:firstLine="0" w:firstLineChars="0"/>
              <w:jc w:val="center"/>
              <w:rPr>
                <w:rFonts w:cs="Times New Roman"/>
                <w:color w:val="auto"/>
                <w:sz w:val="21"/>
                <w:szCs w:val="21"/>
                <w:highlight w:val="none"/>
              </w:rPr>
            </w:pPr>
          </w:p>
        </w:tc>
        <w:tc>
          <w:tcPr>
            <w:tcW w:w="1135" w:type="dxa"/>
            <w:vMerge w:val="continue"/>
            <w:vAlign w:val="center"/>
          </w:tcPr>
          <w:p w14:paraId="1D23D768">
            <w:pPr>
              <w:spacing w:line="360" w:lineRule="exact"/>
              <w:ind w:firstLine="0" w:firstLineChars="0"/>
              <w:jc w:val="center"/>
              <w:rPr>
                <w:rFonts w:cs="Times New Roman"/>
                <w:color w:val="auto"/>
                <w:sz w:val="21"/>
                <w:szCs w:val="21"/>
                <w:highlight w:val="none"/>
              </w:rPr>
            </w:pPr>
          </w:p>
        </w:tc>
        <w:tc>
          <w:tcPr>
            <w:tcW w:w="1136" w:type="dxa"/>
            <w:vAlign w:val="center"/>
          </w:tcPr>
          <w:p w14:paraId="1EEA5B3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0.06</w:t>
            </w:r>
          </w:p>
        </w:tc>
        <w:tc>
          <w:tcPr>
            <w:tcW w:w="1361" w:type="dxa"/>
            <w:shd w:val="clear" w:color="auto" w:fill="auto"/>
            <w:vAlign w:val="center"/>
          </w:tcPr>
          <w:p w14:paraId="3A93B19C">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8.9</w:t>
            </w:r>
            <w:r>
              <w:rPr>
                <w:rFonts w:cs="Times New Roman"/>
                <w:color w:val="auto"/>
                <w:kern w:val="0"/>
                <w:sz w:val="21"/>
                <w:szCs w:val="21"/>
                <w:highlight w:val="none"/>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5</w:t>
            </w:r>
          </w:p>
        </w:tc>
      </w:tr>
      <w:tr w14:paraId="765AC7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7" w:type="dxa"/>
            <w:vMerge w:val="restart"/>
            <w:vAlign w:val="center"/>
          </w:tcPr>
          <w:p w14:paraId="6B38936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w:t>
            </w:r>
          </w:p>
        </w:tc>
        <w:tc>
          <w:tcPr>
            <w:tcW w:w="1104" w:type="dxa"/>
            <w:vMerge w:val="restart"/>
            <w:vAlign w:val="center"/>
          </w:tcPr>
          <w:p w14:paraId="5589B429">
            <w:pPr>
              <w:spacing w:line="360" w:lineRule="exact"/>
              <w:ind w:firstLine="0" w:firstLineChars="0"/>
              <w:jc w:val="center"/>
              <w:rPr>
                <w:rFonts w:hint="eastAsia" w:eastAsia="宋体" w:cs="Times New Roman"/>
                <w:color w:val="auto"/>
                <w:sz w:val="21"/>
                <w:szCs w:val="21"/>
                <w:highlight w:val="none"/>
                <w:lang w:val="en-US" w:eastAsia="zh-CN"/>
              </w:rPr>
            </w:pPr>
            <w:r>
              <w:rPr>
                <w:rFonts w:cs="Times New Roman"/>
                <w:color w:val="auto"/>
                <w:sz w:val="21"/>
                <w:szCs w:val="21"/>
                <w:highlight w:val="none"/>
              </w:rPr>
              <w:t>污水处理</w:t>
            </w:r>
            <w:r>
              <w:rPr>
                <w:rFonts w:hint="eastAsia" w:cs="Times New Roman"/>
                <w:color w:val="auto"/>
                <w:sz w:val="21"/>
                <w:szCs w:val="21"/>
                <w:highlight w:val="none"/>
                <w:lang w:val="en-US" w:eastAsia="zh-CN"/>
              </w:rPr>
              <w:t>站</w:t>
            </w:r>
          </w:p>
        </w:tc>
        <w:tc>
          <w:tcPr>
            <w:tcW w:w="1236" w:type="dxa"/>
            <w:tcBorders>
              <w:top w:val="single" w:color="auto" w:sz="4" w:space="0"/>
            </w:tcBorders>
            <w:vAlign w:val="center"/>
          </w:tcPr>
          <w:p w14:paraId="561B6F45">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966" w:type="dxa"/>
            <w:vMerge w:val="restart"/>
            <w:tcBorders>
              <w:top w:val="single" w:color="auto" w:sz="4" w:space="0"/>
            </w:tcBorders>
            <w:vAlign w:val="center"/>
          </w:tcPr>
          <w:p w14:paraId="23A3474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产生恶臭区域加盖，喷洒除臭剂</w:t>
            </w:r>
          </w:p>
        </w:tc>
        <w:tc>
          <w:tcPr>
            <w:tcW w:w="1135" w:type="dxa"/>
            <w:vMerge w:val="continue"/>
            <w:vAlign w:val="center"/>
          </w:tcPr>
          <w:p w14:paraId="79425DA2">
            <w:pPr>
              <w:spacing w:line="360" w:lineRule="exact"/>
              <w:ind w:firstLine="0" w:firstLineChars="0"/>
              <w:jc w:val="center"/>
              <w:rPr>
                <w:rFonts w:cs="Times New Roman"/>
                <w:color w:val="auto"/>
                <w:sz w:val="21"/>
                <w:szCs w:val="21"/>
                <w:highlight w:val="none"/>
              </w:rPr>
            </w:pPr>
          </w:p>
        </w:tc>
        <w:tc>
          <w:tcPr>
            <w:tcW w:w="1136" w:type="dxa"/>
            <w:vAlign w:val="center"/>
          </w:tcPr>
          <w:p w14:paraId="0E35390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1.5</w:t>
            </w:r>
          </w:p>
        </w:tc>
        <w:tc>
          <w:tcPr>
            <w:tcW w:w="1361" w:type="dxa"/>
            <w:shd w:val="clear" w:color="auto" w:fill="auto"/>
            <w:vAlign w:val="center"/>
          </w:tcPr>
          <w:p w14:paraId="299A96FE">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0.022</w:t>
            </w:r>
          </w:p>
        </w:tc>
      </w:tr>
      <w:tr w14:paraId="51AA5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7" w:type="dxa"/>
            <w:vMerge w:val="continue"/>
            <w:vAlign w:val="center"/>
          </w:tcPr>
          <w:p w14:paraId="4635C5B8">
            <w:pPr>
              <w:spacing w:line="360" w:lineRule="exact"/>
              <w:ind w:firstLine="0" w:firstLineChars="0"/>
              <w:jc w:val="center"/>
              <w:rPr>
                <w:rFonts w:cs="Times New Roman"/>
                <w:color w:val="auto"/>
                <w:sz w:val="21"/>
                <w:szCs w:val="21"/>
                <w:highlight w:val="none"/>
              </w:rPr>
            </w:pPr>
          </w:p>
        </w:tc>
        <w:tc>
          <w:tcPr>
            <w:tcW w:w="1104" w:type="dxa"/>
            <w:vMerge w:val="continue"/>
            <w:vAlign w:val="center"/>
          </w:tcPr>
          <w:p w14:paraId="1CE52BCE">
            <w:pPr>
              <w:widowControl/>
              <w:spacing w:line="360" w:lineRule="exact"/>
              <w:ind w:firstLine="0" w:firstLineChars="0"/>
              <w:jc w:val="center"/>
              <w:rPr>
                <w:rFonts w:cs="Times New Roman"/>
                <w:color w:val="auto"/>
                <w:sz w:val="21"/>
                <w:szCs w:val="21"/>
                <w:highlight w:val="none"/>
              </w:rPr>
            </w:pPr>
          </w:p>
        </w:tc>
        <w:tc>
          <w:tcPr>
            <w:tcW w:w="1236" w:type="dxa"/>
            <w:vAlign w:val="center"/>
          </w:tcPr>
          <w:p w14:paraId="36398D1F">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966" w:type="dxa"/>
            <w:vMerge w:val="continue"/>
            <w:vAlign w:val="center"/>
          </w:tcPr>
          <w:p w14:paraId="0516223E">
            <w:pPr>
              <w:widowControl/>
              <w:spacing w:line="360" w:lineRule="exact"/>
              <w:ind w:firstLine="0" w:firstLineChars="0"/>
              <w:jc w:val="center"/>
              <w:rPr>
                <w:rFonts w:cs="Times New Roman"/>
                <w:color w:val="auto"/>
                <w:sz w:val="21"/>
                <w:szCs w:val="21"/>
                <w:highlight w:val="none"/>
              </w:rPr>
            </w:pPr>
          </w:p>
        </w:tc>
        <w:tc>
          <w:tcPr>
            <w:tcW w:w="1135" w:type="dxa"/>
            <w:vMerge w:val="continue"/>
            <w:vAlign w:val="center"/>
          </w:tcPr>
          <w:p w14:paraId="19B8ABB6">
            <w:pPr>
              <w:widowControl/>
              <w:spacing w:line="360" w:lineRule="exact"/>
              <w:ind w:firstLine="0" w:firstLineChars="0"/>
              <w:jc w:val="center"/>
              <w:rPr>
                <w:rFonts w:cs="Times New Roman"/>
                <w:color w:val="auto"/>
                <w:sz w:val="21"/>
                <w:szCs w:val="21"/>
                <w:highlight w:val="none"/>
              </w:rPr>
            </w:pPr>
          </w:p>
        </w:tc>
        <w:tc>
          <w:tcPr>
            <w:tcW w:w="1136" w:type="dxa"/>
            <w:vAlign w:val="center"/>
          </w:tcPr>
          <w:p w14:paraId="07CB82D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0.06</w:t>
            </w:r>
          </w:p>
        </w:tc>
        <w:tc>
          <w:tcPr>
            <w:tcW w:w="1361" w:type="dxa"/>
            <w:shd w:val="clear" w:color="auto" w:fill="auto"/>
            <w:vAlign w:val="center"/>
          </w:tcPr>
          <w:p w14:paraId="40535696">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8.2</w:t>
            </w:r>
            <w:r>
              <w:rPr>
                <w:rFonts w:hint="eastAsia" w:cs="Times New Roman"/>
                <w:color w:val="auto"/>
                <w:sz w:val="21"/>
                <w:szCs w:val="21"/>
                <w:highlight w:val="none"/>
                <w:lang w:eastAsia="zh-CN"/>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4</w:t>
            </w:r>
          </w:p>
        </w:tc>
      </w:tr>
      <w:tr w14:paraId="536FE3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505" w:type="dxa"/>
            <w:gridSpan w:val="7"/>
            <w:vAlign w:val="center"/>
          </w:tcPr>
          <w:p w14:paraId="5A721E7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无组织排放总计</w:t>
            </w:r>
          </w:p>
        </w:tc>
      </w:tr>
      <w:tr w14:paraId="2F22A2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2907" w:type="dxa"/>
            <w:gridSpan w:val="3"/>
            <w:vMerge w:val="restart"/>
            <w:vAlign w:val="center"/>
          </w:tcPr>
          <w:p w14:paraId="1C5ECE7E">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无组织排放汇总</w:t>
            </w:r>
          </w:p>
        </w:tc>
        <w:tc>
          <w:tcPr>
            <w:tcW w:w="4237" w:type="dxa"/>
            <w:gridSpan w:val="3"/>
            <w:vAlign w:val="center"/>
          </w:tcPr>
          <w:p w14:paraId="22850CA5">
            <w:pPr>
              <w:pStyle w:val="73"/>
              <w:adjustRightInd w:val="0"/>
              <w:snapToGrid w:val="0"/>
              <w:rPr>
                <w:rFonts w:cs="Times New Roman"/>
                <w:color w:val="auto"/>
                <w:szCs w:val="21"/>
                <w:highlight w:val="none"/>
              </w:rPr>
            </w:pPr>
            <w:r>
              <w:rPr>
                <w:rFonts w:cs="Times New Roman"/>
                <w:snapToGrid w:val="0"/>
                <w:color w:val="auto"/>
                <w:szCs w:val="21"/>
                <w:highlight w:val="none"/>
                <w:lang w:val="en-US"/>
              </w:rPr>
              <w:t>NH</w:t>
            </w:r>
            <w:r>
              <w:rPr>
                <w:rFonts w:cs="Times New Roman"/>
                <w:snapToGrid w:val="0"/>
                <w:color w:val="auto"/>
                <w:szCs w:val="21"/>
                <w:highlight w:val="none"/>
                <w:vertAlign w:val="subscript"/>
                <w:lang w:val="en-US"/>
              </w:rPr>
              <w:t>3</w:t>
            </w:r>
          </w:p>
        </w:tc>
        <w:tc>
          <w:tcPr>
            <w:tcW w:w="1361" w:type="dxa"/>
            <w:vAlign w:val="center"/>
          </w:tcPr>
          <w:p w14:paraId="383C5D47">
            <w:pPr>
              <w:spacing w:line="360" w:lineRule="exact"/>
              <w:ind w:firstLine="0" w:firstLineChars="0"/>
              <w:jc w:val="center"/>
              <w:rPr>
                <w:rFonts w:hint="default" w:cs="Times New Roman"/>
                <w:color w:val="auto"/>
                <w:sz w:val="21"/>
                <w:szCs w:val="21"/>
                <w:highlight w:val="none"/>
                <w:lang w:val="en-US"/>
              </w:rPr>
            </w:pPr>
            <w:r>
              <w:rPr>
                <w:rFonts w:hint="eastAsia" w:cs="Times New Roman"/>
                <w:color w:val="auto"/>
                <w:kern w:val="0"/>
                <w:sz w:val="21"/>
                <w:szCs w:val="21"/>
                <w:highlight w:val="none"/>
                <w:lang w:val="en-US" w:eastAsia="zh-CN"/>
              </w:rPr>
              <w:t>0.031</w:t>
            </w:r>
          </w:p>
        </w:tc>
      </w:tr>
      <w:tr w14:paraId="47229C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2907" w:type="dxa"/>
            <w:gridSpan w:val="3"/>
            <w:vMerge w:val="continue"/>
            <w:vAlign w:val="center"/>
          </w:tcPr>
          <w:p w14:paraId="1C11C2A6">
            <w:pPr>
              <w:widowControl/>
              <w:spacing w:line="360" w:lineRule="exact"/>
              <w:ind w:firstLine="0" w:firstLineChars="0"/>
              <w:jc w:val="center"/>
              <w:rPr>
                <w:rFonts w:cs="Times New Roman"/>
                <w:color w:val="auto"/>
                <w:sz w:val="21"/>
                <w:szCs w:val="21"/>
                <w:highlight w:val="none"/>
              </w:rPr>
            </w:pPr>
          </w:p>
        </w:tc>
        <w:tc>
          <w:tcPr>
            <w:tcW w:w="4237" w:type="dxa"/>
            <w:gridSpan w:val="3"/>
            <w:vAlign w:val="center"/>
          </w:tcPr>
          <w:p w14:paraId="1CF28DAF">
            <w:pPr>
              <w:pStyle w:val="73"/>
              <w:adjustRightInd w:val="0"/>
              <w:snapToGrid w:val="0"/>
              <w:rPr>
                <w:rFonts w:cs="Times New Roman"/>
                <w:color w:val="auto"/>
                <w:szCs w:val="21"/>
                <w:highlight w:val="none"/>
              </w:rPr>
            </w:pPr>
            <w:r>
              <w:rPr>
                <w:rFonts w:cs="Times New Roman"/>
                <w:snapToGrid w:val="0"/>
                <w:color w:val="auto"/>
                <w:szCs w:val="21"/>
                <w:highlight w:val="none"/>
                <w:lang w:val="en-US"/>
              </w:rPr>
              <w:t>H</w:t>
            </w:r>
            <w:r>
              <w:rPr>
                <w:rFonts w:cs="Times New Roman"/>
                <w:snapToGrid w:val="0"/>
                <w:color w:val="auto"/>
                <w:szCs w:val="21"/>
                <w:highlight w:val="none"/>
                <w:vertAlign w:val="subscript"/>
                <w:lang w:val="en-US"/>
              </w:rPr>
              <w:t>2</w:t>
            </w:r>
            <w:r>
              <w:rPr>
                <w:rFonts w:cs="Times New Roman"/>
                <w:snapToGrid w:val="0"/>
                <w:color w:val="auto"/>
                <w:szCs w:val="21"/>
                <w:highlight w:val="none"/>
                <w:lang w:val="en-US"/>
              </w:rPr>
              <w:t>S</w:t>
            </w:r>
          </w:p>
        </w:tc>
        <w:tc>
          <w:tcPr>
            <w:tcW w:w="1361" w:type="dxa"/>
            <w:vAlign w:val="center"/>
          </w:tcPr>
          <w:p w14:paraId="0B0102B7">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kern w:val="0"/>
                <w:sz w:val="21"/>
                <w:szCs w:val="21"/>
                <w:highlight w:val="none"/>
                <w:lang w:val="en-US" w:eastAsia="zh-CN"/>
              </w:rPr>
              <w:t>1.2</w:t>
            </w:r>
            <w:r>
              <w:rPr>
                <w:rFonts w:cs="Times New Roman"/>
                <w:color w:val="auto"/>
                <w:sz w:val="21"/>
                <w:szCs w:val="21"/>
                <w:highlight w:val="none"/>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3</w:t>
            </w:r>
          </w:p>
        </w:tc>
      </w:tr>
    </w:tbl>
    <w:p w14:paraId="0317900E">
      <w:pPr>
        <w:pStyle w:val="66"/>
        <w:spacing w:before="163" w:beforeLines="50" w:line="240" w:lineRule="auto"/>
        <w:rPr>
          <w:rFonts w:eastAsia="宋体" w:cs="Times New Roman"/>
          <w:b/>
          <w:bCs/>
          <w:snapToGrid w:val="0"/>
          <w:color w:val="auto"/>
          <w:szCs w:val="24"/>
          <w:highlight w:val="none"/>
          <w:lang w:val="en-US"/>
        </w:rPr>
      </w:pPr>
      <w:r>
        <w:rPr>
          <w:rFonts w:eastAsia="宋体" w:cs="Times New Roman"/>
          <w:b/>
          <w:bCs/>
          <w:snapToGrid w:val="0"/>
          <w:color w:val="auto"/>
          <w:szCs w:val="24"/>
          <w:highlight w:val="none"/>
        </w:rPr>
        <w:t>表</w:t>
      </w:r>
      <w:r>
        <w:rPr>
          <w:rFonts w:eastAsia="宋体" w:cs="Times New Roman"/>
          <w:b/>
          <w:bCs/>
          <w:snapToGrid w:val="0"/>
          <w:color w:val="auto"/>
          <w:szCs w:val="24"/>
          <w:highlight w:val="none"/>
          <w:lang w:val="en-US"/>
        </w:rPr>
        <w:t xml:space="preserve">5-2-3  </w:t>
      </w:r>
      <w:r>
        <w:rPr>
          <w:rFonts w:eastAsia="宋体" w:cs="Times New Roman"/>
          <w:b/>
          <w:bCs/>
          <w:snapToGrid w:val="0"/>
          <w:color w:val="auto"/>
          <w:szCs w:val="24"/>
          <w:highlight w:val="none"/>
        </w:rPr>
        <w:t>大气污染物年排放量核算表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03"/>
        <w:gridCol w:w="3368"/>
        <w:gridCol w:w="3748"/>
      </w:tblGrid>
      <w:tr w14:paraId="5AE36C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303" w:type="dxa"/>
            <w:tcBorders>
              <w:top w:val="single" w:color="auto" w:sz="12" w:space="0"/>
              <w:left w:val="nil"/>
              <w:bottom w:val="single" w:color="auto" w:sz="4" w:space="0"/>
              <w:right w:val="single" w:color="auto" w:sz="4" w:space="0"/>
            </w:tcBorders>
            <w:vAlign w:val="center"/>
          </w:tcPr>
          <w:p w14:paraId="035E97BE">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3368" w:type="dxa"/>
            <w:tcBorders>
              <w:top w:val="single" w:color="auto" w:sz="12" w:space="0"/>
              <w:left w:val="single" w:color="auto" w:sz="4" w:space="0"/>
              <w:bottom w:val="single" w:color="auto" w:sz="4" w:space="0"/>
              <w:right w:val="single" w:color="auto" w:sz="4" w:space="0"/>
            </w:tcBorders>
            <w:vAlign w:val="center"/>
          </w:tcPr>
          <w:p w14:paraId="5E684269">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3748" w:type="dxa"/>
            <w:tcBorders>
              <w:top w:val="single" w:color="auto" w:sz="12" w:space="0"/>
              <w:left w:val="single" w:color="auto" w:sz="4" w:space="0"/>
              <w:bottom w:val="single" w:color="auto" w:sz="4" w:space="0"/>
              <w:right w:val="nil"/>
            </w:tcBorders>
            <w:vAlign w:val="center"/>
          </w:tcPr>
          <w:p w14:paraId="49F5477D">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年排放量（t/a）</w:t>
            </w:r>
          </w:p>
        </w:tc>
      </w:tr>
      <w:tr w14:paraId="08B413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303" w:type="dxa"/>
            <w:tcBorders>
              <w:top w:val="single" w:color="auto" w:sz="4" w:space="0"/>
              <w:left w:val="nil"/>
              <w:bottom w:val="single" w:color="auto" w:sz="4" w:space="0"/>
              <w:right w:val="single" w:color="auto" w:sz="4" w:space="0"/>
            </w:tcBorders>
            <w:vAlign w:val="center"/>
          </w:tcPr>
          <w:p w14:paraId="3F683CDA">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3368" w:type="dxa"/>
            <w:tcBorders>
              <w:top w:val="single" w:color="auto" w:sz="4" w:space="0"/>
              <w:left w:val="single" w:color="auto" w:sz="4" w:space="0"/>
              <w:bottom w:val="single" w:color="auto" w:sz="4" w:space="0"/>
              <w:right w:val="single" w:color="auto" w:sz="4" w:space="0"/>
            </w:tcBorders>
            <w:vAlign w:val="center"/>
          </w:tcPr>
          <w:p w14:paraId="45560193">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3748" w:type="dxa"/>
            <w:tcBorders>
              <w:top w:val="single" w:color="auto" w:sz="4" w:space="0"/>
              <w:left w:val="single" w:color="auto" w:sz="4" w:space="0"/>
              <w:bottom w:val="single" w:color="auto" w:sz="4" w:space="0"/>
              <w:right w:val="nil"/>
            </w:tcBorders>
            <w:vAlign w:val="center"/>
          </w:tcPr>
          <w:p w14:paraId="72726703">
            <w:pPr>
              <w:spacing w:line="360" w:lineRule="exact"/>
              <w:ind w:firstLine="0" w:firstLineChars="0"/>
              <w:jc w:val="center"/>
              <w:rPr>
                <w:rFonts w:hint="default" w:cs="Times New Roman"/>
                <w:color w:val="auto"/>
                <w:sz w:val="21"/>
                <w:szCs w:val="21"/>
                <w:highlight w:val="none"/>
                <w:lang w:val="en-US"/>
              </w:rPr>
            </w:pPr>
            <w:r>
              <w:rPr>
                <w:rFonts w:hint="eastAsia" w:cs="Times New Roman"/>
                <w:color w:val="auto"/>
                <w:kern w:val="0"/>
                <w:sz w:val="21"/>
                <w:szCs w:val="21"/>
                <w:highlight w:val="none"/>
                <w:lang w:val="en-US" w:eastAsia="zh-CN"/>
              </w:rPr>
              <w:t>0.139</w:t>
            </w:r>
          </w:p>
        </w:tc>
      </w:tr>
      <w:tr w14:paraId="6B1F6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303" w:type="dxa"/>
            <w:tcBorders>
              <w:top w:val="single" w:color="auto" w:sz="4" w:space="0"/>
              <w:left w:val="nil"/>
              <w:bottom w:val="single" w:color="auto" w:sz="4" w:space="0"/>
              <w:right w:val="single" w:color="auto" w:sz="4" w:space="0"/>
            </w:tcBorders>
            <w:vAlign w:val="center"/>
          </w:tcPr>
          <w:p w14:paraId="38BB0F43">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3368" w:type="dxa"/>
            <w:tcBorders>
              <w:top w:val="single" w:color="auto" w:sz="4" w:space="0"/>
              <w:left w:val="single" w:color="auto" w:sz="4" w:space="0"/>
              <w:bottom w:val="single" w:color="auto" w:sz="4" w:space="0"/>
              <w:right w:val="single" w:color="auto" w:sz="4" w:space="0"/>
            </w:tcBorders>
            <w:vAlign w:val="center"/>
          </w:tcPr>
          <w:p w14:paraId="31D4FACB">
            <w:pPr>
              <w:spacing w:line="280" w:lineRule="atLeas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3748" w:type="dxa"/>
            <w:tcBorders>
              <w:top w:val="single" w:color="auto" w:sz="4" w:space="0"/>
              <w:left w:val="single" w:color="auto" w:sz="4" w:space="0"/>
              <w:bottom w:val="single" w:color="auto" w:sz="4" w:space="0"/>
              <w:right w:val="nil"/>
            </w:tcBorders>
            <w:vAlign w:val="center"/>
          </w:tcPr>
          <w:p w14:paraId="62E7A728">
            <w:pPr>
              <w:spacing w:line="360" w:lineRule="exact"/>
              <w:ind w:firstLine="0" w:firstLineChars="0"/>
              <w:jc w:val="center"/>
              <w:rPr>
                <w:rFonts w:hint="default" w:cs="Times New Roman"/>
                <w:color w:val="auto"/>
                <w:sz w:val="21"/>
                <w:szCs w:val="21"/>
                <w:highlight w:val="none"/>
                <w:lang w:val="en-US"/>
              </w:rPr>
            </w:pPr>
            <w:r>
              <w:rPr>
                <w:rFonts w:hint="eastAsia" w:cs="Times New Roman"/>
                <w:color w:val="auto"/>
                <w:kern w:val="0"/>
                <w:sz w:val="21"/>
                <w:szCs w:val="21"/>
                <w:highlight w:val="none"/>
                <w:lang w:val="en-US" w:eastAsia="zh-CN"/>
              </w:rPr>
              <w:t>0.0035</w:t>
            </w:r>
          </w:p>
        </w:tc>
      </w:tr>
    </w:tbl>
    <w:p w14:paraId="1B0DD077">
      <w:pPr>
        <w:numPr>
          <w:ilvl w:val="0"/>
          <w:numId w:val="0"/>
        </w:numPr>
        <w:spacing w:line="500" w:lineRule="exact"/>
        <w:ind w:leftChars="200"/>
        <w:rPr>
          <w:rFonts w:hint="eastAsia" w:cs="Times New Roman"/>
          <w:b/>
          <w:color w:val="auto"/>
          <w:szCs w:val="24"/>
          <w:highlight w:val="none"/>
          <w:lang w:val="en-US" w:eastAsia="zh-CN"/>
        </w:rPr>
      </w:pPr>
      <w:r>
        <w:rPr>
          <w:rFonts w:hint="eastAsia" w:cs="Times New Roman"/>
          <w:b/>
          <w:color w:val="auto"/>
          <w:szCs w:val="24"/>
          <w:highlight w:val="none"/>
          <w:lang w:val="en-US" w:eastAsia="zh-CN"/>
        </w:rPr>
        <w:t>2、环境影响分析结论</w:t>
      </w:r>
    </w:p>
    <w:p w14:paraId="689F51D5">
      <w:pPr>
        <w:widowControl/>
        <w:rPr>
          <w:rFonts w:cs="Times New Roman"/>
          <w:color w:val="auto"/>
          <w:szCs w:val="24"/>
          <w:highlight w:val="none"/>
        </w:rPr>
      </w:pPr>
      <w:r>
        <w:rPr>
          <w:rFonts w:hint="eastAsia" w:cs="Times New Roman"/>
          <w:color w:val="auto"/>
          <w:highlight w:val="none"/>
          <w:lang w:eastAsia="zh-CN"/>
        </w:rPr>
        <w:t>屠宰车间废气采用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color w:val="auto"/>
          <w:highlight w:val="none"/>
          <w:lang w:eastAsia="zh-CN"/>
        </w:rPr>
        <w:t>集中收集后</w:t>
      </w:r>
      <w:r>
        <w:rPr>
          <w:rFonts w:cs="Times New Roman"/>
          <w:color w:val="auto"/>
          <w:highlight w:val="none"/>
        </w:rPr>
        <w:t>（收集率约90%左右），通过一套</w:t>
      </w:r>
      <w:r>
        <w:rPr>
          <w:rFonts w:hint="eastAsia" w:cs="Times New Roman"/>
          <w:color w:val="auto"/>
          <w:highlight w:val="none"/>
          <w:lang w:val="en-US" w:eastAsia="zh-CN"/>
        </w:rPr>
        <w:t>冷凝除湿器+</w:t>
      </w:r>
      <w:r>
        <w:rPr>
          <w:rFonts w:cs="Times New Roman"/>
          <w:color w:val="auto"/>
          <w:highlight w:val="none"/>
        </w:rPr>
        <w:t>活性炭净化装置（</w:t>
      </w:r>
      <w:r>
        <w:rPr>
          <w:rFonts w:hint="eastAsia" w:cs="Times New Roman"/>
          <w:color w:val="auto"/>
          <w:highlight w:val="none"/>
          <w:lang w:eastAsia="zh-CN"/>
        </w:rPr>
        <w:t>净化效率80%</w:t>
      </w:r>
      <w:r>
        <w:rPr>
          <w:rFonts w:cs="Times New Roman"/>
          <w:color w:val="auto"/>
          <w:highlight w:val="none"/>
        </w:rPr>
        <w:t>），净化后的废气通过15m排气筒DA001排放；</w:t>
      </w:r>
      <w:r>
        <w:rPr>
          <w:rFonts w:hint="eastAsia" w:cs="Times New Roman"/>
          <w:color w:val="auto"/>
          <w:highlight w:val="none"/>
          <w:lang w:val="en-US" w:eastAsia="zh-CN"/>
        </w:rPr>
        <w:t>急宰间、隔离间及固体废物暂存间</w:t>
      </w:r>
      <w:r>
        <w:rPr>
          <w:rFonts w:cs="Times New Roman"/>
          <w:color w:val="auto"/>
          <w:highlight w:val="none"/>
        </w:rPr>
        <w:t>产生的废气产生的废气</w:t>
      </w:r>
      <w:r>
        <w:rPr>
          <w:rFonts w:hint="eastAsia" w:cs="Times New Roman"/>
          <w:color w:val="auto"/>
          <w:highlight w:val="none"/>
          <w:lang w:eastAsia="zh-CN"/>
        </w:rPr>
        <w:t>采用微负压集中收集后</w:t>
      </w:r>
      <w:r>
        <w:rPr>
          <w:rFonts w:cs="Times New Roman"/>
          <w:color w:val="auto"/>
          <w:highlight w:val="none"/>
        </w:rPr>
        <w:t>（收集率约90%左右），通过活性炭净化装置（</w:t>
      </w:r>
      <w:r>
        <w:rPr>
          <w:rFonts w:hint="eastAsia" w:cs="Times New Roman"/>
          <w:color w:val="auto"/>
          <w:highlight w:val="none"/>
          <w:lang w:eastAsia="zh-CN"/>
        </w:rPr>
        <w:t>净化效率80%</w:t>
      </w:r>
      <w:r>
        <w:rPr>
          <w:rFonts w:cs="Times New Roman"/>
          <w:color w:val="auto"/>
          <w:highlight w:val="none"/>
        </w:rPr>
        <w:t>）处理后，经15m高的排气筒DA00</w:t>
      </w:r>
      <w:r>
        <w:rPr>
          <w:rFonts w:hint="eastAsia" w:cs="Times New Roman"/>
          <w:color w:val="auto"/>
          <w:highlight w:val="none"/>
          <w:lang w:val="en-US" w:eastAsia="zh-CN"/>
        </w:rPr>
        <w:t>1</w:t>
      </w:r>
      <w:r>
        <w:rPr>
          <w:rFonts w:cs="Times New Roman"/>
          <w:color w:val="auto"/>
          <w:highlight w:val="none"/>
        </w:rPr>
        <w:t>排放；</w:t>
      </w:r>
      <w:r>
        <w:rPr>
          <w:rFonts w:cs="Times New Roman"/>
          <w:color w:val="auto"/>
          <w:szCs w:val="24"/>
          <w:highlight w:val="none"/>
        </w:rPr>
        <w:t>污水处理站产生的废气，经负压收集</w:t>
      </w:r>
      <w:r>
        <w:rPr>
          <w:rFonts w:cs="Times New Roman"/>
          <w:color w:val="auto"/>
          <w:highlight w:val="none"/>
        </w:rPr>
        <w:t>（收集率约90%左右）</w:t>
      </w:r>
      <w:r>
        <w:rPr>
          <w:rFonts w:cs="Times New Roman"/>
          <w:color w:val="auto"/>
          <w:szCs w:val="24"/>
          <w:highlight w:val="none"/>
        </w:rPr>
        <w:t>至活性炭吸附装置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color w:val="auto"/>
          <w:szCs w:val="24"/>
          <w:highlight w:val="none"/>
        </w:rPr>
        <w:t>进行处理，处理后经15m高的排气筒DA00</w:t>
      </w:r>
      <w:r>
        <w:rPr>
          <w:rFonts w:hint="eastAsia" w:cs="Times New Roman"/>
          <w:color w:val="auto"/>
          <w:szCs w:val="24"/>
          <w:highlight w:val="none"/>
          <w:lang w:val="en-US" w:eastAsia="zh-CN"/>
        </w:rPr>
        <w:t>2</w:t>
      </w:r>
      <w:r>
        <w:rPr>
          <w:rFonts w:cs="Times New Roman"/>
          <w:color w:val="auto"/>
          <w:szCs w:val="24"/>
          <w:highlight w:val="none"/>
        </w:rPr>
        <w:t>排放；</w:t>
      </w:r>
      <w:r>
        <w:rPr>
          <w:rFonts w:cs="Times New Roman"/>
          <w:snapToGrid w:val="0"/>
          <w:color w:val="auto"/>
          <w:highlight w:val="none"/>
        </w:rPr>
        <w:t>DA001~DA00</w:t>
      </w:r>
      <w:r>
        <w:rPr>
          <w:rFonts w:hint="eastAsia" w:cs="Times New Roman"/>
          <w:snapToGrid w:val="0"/>
          <w:color w:val="auto"/>
          <w:highlight w:val="none"/>
          <w:lang w:val="en-US" w:eastAsia="zh-CN"/>
        </w:rPr>
        <w:t>2</w:t>
      </w:r>
      <w:r>
        <w:rPr>
          <w:rFonts w:cs="Times New Roman"/>
          <w:snapToGrid w:val="0"/>
          <w:color w:val="auto"/>
          <w:highlight w:val="none"/>
        </w:rPr>
        <w:t>排气筒排放速率及浓度均可满足《恶臭污染物排放标准》（GB14554-93）表2中排放标准限值。</w:t>
      </w:r>
    </w:p>
    <w:p w14:paraId="45672F17">
      <w:pPr>
        <w:rPr>
          <w:rFonts w:hint="default"/>
          <w:color w:val="auto"/>
          <w:highlight w:val="none"/>
          <w:lang w:val="en-US" w:eastAsia="zh-CN"/>
        </w:rPr>
      </w:pPr>
      <w:r>
        <w:rPr>
          <w:rFonts w:cs="Times New Roman"/>
          <w:snapToGrid w:val="0"/>
          <w:color w:val="auto"/>
          <w:highlight w:val="none"/>
          <w:lang w:val="zh-CN"/>
        </w:rPr>
        <w:t>同时</w:t>
      </w:r>
      <w:r>
        <w:rPr>
          <w:rFonts w:cs="Times New Roman"/>
          <w:color w:val="auto"/>
          <w:highlight w:val="none"/>
        </w:rPr>
        <w:t>屠宰车间及时清洗清运，</w:t>
      </w:r>
      <w:r>
        <w:rPr>
          <w:rFonts w:cs="Times New Roman"/>
          <w:color w:val="auto"/>
          <w:highlight w:val="none"/>
        </w:rPr>
        <w:t>定期喷洒除臭剂</w:t>
      </w:r>
      <w:r>
        <w:rPr>
          <w:rFonts w:hint="eastAsia" w:cs="Times New Roman"/>
          <w:color w:val="auto"/>
          <w:highlight w:val="none"/>
          <w:lang w:val="en-US" w:eastAsia="zh-CN"/>
        </w:rPr>
        <w:t>作来为控制恶臭的辅助性手段</w:t>
      </w:r>
      <w:r>
        <w:rPr>
          <w:rFonts w:cs="Times New Roman"/>
          <w:snapToGrid w:val="0"/>
          <w:color w:val="auto"/>
          <w:highlight w:val="none"/>
          <w:lang w:val="zh-CN"/>
        </w:rPr>
        <w:t>；</w:t>
      </w:r>
      <w:r>
        <w:rPr>
          <w:rFonts w:hint="eastAsia" w:cs="Times New Roman"/>
          <w:snapToGrid w:val="0"/>
          <w:color w:val="auto"/>
          <w:highlight w:val="none"/>
          <w:lang w:eastAsia="zh-CN"/>
        </w:rPr>
        <w:t>待宰圈</w:t>
      </w:r>
      <w:r>
        <w:rPr>
          <w:rFonts w:hint="eastAsia" w:cs="Times New Roman"/>
          <w:snapToGrid w:val="0"/>
          <w:color w:val="auto"/>
          <w:highlight w:val="none"/>
        </w:rPr>
        <w:t>设置专人管理</w:t>
      </w:r>
      <w:r>
        <w:rPr>
          <w:rFonts w:cs="Times New Roman"/>
          <w:snapToGrid w:val="0"/>
          <w:color w:val="auto"/>
          <w:highlight w:val="none"/>
        </w:rPr>
        <w:t>，及时清理地面上的粪便及尿液，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rPr>
        <w:t>定期冲洗待地面</w:t>
      </w:r>
      <w:r>
        <w:rPr>
          <w:rFonts w:cs="Times New Roman"/>
          <w:snapToGrid w:val="0"/>
          <w:color w:val="auto"/>
          <w:highlight w:val="none"/>
        </w:rPr>
        <w:t>，同时定期喷洒</w:t>
      </w:r>
      <w:r>
        <w:rPr>
          <w:rFonts w:hint="eastAsia" w:cs="Times New Roman"/>
          <w:snapToGrid w:val="0"/>
          <w:color w:val="auto"/>
          <w:highlight w:val="none"/>
          <w:lang w:val="en-US" w:eastAsia="zh-CN"/>
        </w:rPr>
        <w:t>环保型</w:t>
      </w:r>
      <w:r>
        <w:rPr>
          <w:rFonts w:cs="Times New Roman"/>
          <w:snapToGrid w:val="0"/>
          <w:color w:val="auto"/>
          <w:highlight w:val="none"/>
        </w:rPr>
        <w:t>除臭剂，减少恶臭源的散发；屠宰车间及时清洗清运</w:t>
      </w:r>
      <w:r>
        <w:rPr>
          <w:rFonts w:hint="eastAsia" w:cs="Times New Roman"/>
          <w:snapToGrid w:val="0"/>
          <w:color w:val="auto"/>
          <w:highlight w:val="none"/>
        </w:rPr>
        <w:t>，</w:t>
      </w:r>
      <w:r>
        <w:rPr>
          <w:rFonts w:cs="Times New Roman"/>
          <w:snapToGrid w:val="0"/>
          <w:color w:val="auto"/>
          <w:highlight w:val="none"/>
        </w:rPr>
        <w:t>定期喷洒</w:t>
      </w:r>
      <w:r>
        <w:rPr>
          <w:rFonts w:hint="eastAsia" w:cs="Times New Roman"/>
          <w:snapToGrid w:val="0"/>
          <w:color w:val="auto"/>
          <w:highlight w:val="none"/>
          <w:lang w:val="en-US" w:eastAsia="zh-CN"/>
        </w:rPr>
        <w:t>环保型</w:t>
      </w:r>
      <w:r>
        <w:rPr>
          <w:rFonts w:cs="Times New Roman"/>
          <w:snapToGrid w:val="0"/>
          <w:color w:val="auto"/>
          <w:highlight w:val="none"/>
        </w:rPr>
        <w:t>除臭剂；对于污水处理站产生恶臭区域加盖、喷洒</w:t>
      </w:r>
      <w:r>
        <w:rPr>
          <w:rFonts w:hint="eastAsia" w:cs="Times New Roman"/>
          <w:snapToGrid w:val="0"/>
          <w:color w:val="auto"/>
          <w:highlight w:val="none"/>
          <w:lang w:val="en-US" w:eastAsia="zh-CN"/>
        </w:rPr>
        <w:t>环保型</w:t>
      </w:r>
      <w:r>
        <w:rPr>
          <w:rFonts w:cs="Times New Roman"/>
          <w:snapToGrid w:val="0"/>
          <w:color w:val="auto"/>
          <w:highlight w:val="none"/>
        </w:rPr>
        <w:t>除臭剂，来降低污水处理站恶臭对厂区内外的影响；固废暂存间内废物暂存于加盖的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内，正常情况下为密封，仅输送生产废物时，将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rPr>
        <w:t>，</w:t>
      </w:r>
      <w:r>
        <w:rPr>
          <w:rFonts w:hint="eastAsia" w:cs="Times New Roman"/>
          <w:snapToGrid w:val="0"/>
          <w:color w:val="auto"/>
          <w:highlight w:val="none"/>
          <w:lang w:val="en-US" w:eastAsia="zh-CN"/>
        </w:rPr>
        <w:t>并放置新的转运桶用于存放下一个周期的固体废物，定期喷洒环保型除臭剂，</w:t>
      </w:r>
      <w:r>
        <w:rPr>
          <w:rFonts w:hint="eastAsia" w:cs="Times New Roman"/>
          <w:snapToGrid w:val="0"/>
          <w:color w:val="auto"/>
          <w:highlight w:val="none"/>
          <w:lang w:val="en-US"/>
        </w:rPr>
        <w:t>减少恶臭的释放</w:t>
      </w:r>
      <w:r>
        <w:rPr>
          <w:rFonts w:hint="eastAsia" w:cs="Times New Roman"/>
          <w:snapToGrid w:val="0"/>
          <w:color w:val="auto"/>
          <w:highlight w:val="none"/>
          <w:lang w:val="en-US" w:eastAsia="zh-CN"/>
        </w:rPr>
        <w:t>。</w:t>
      </w:r>
      <w:r>
        <w:rPr>
          <w:rFonts w:hint="eastAsia" w:cs="Times New Roman"/>
          <w:color w:val="auto"/>
          <w:highlight w:val="none"/>
          <w:lang w:val="en-US" w:eastAsia="zh-CN"/>
        </w:rPr>
        <w:t>厂界</w:t>
      </w:r>
      <w:r>
        <w:rPr>
          <w:rFonts w:cs="Times New Roman"/>
          <w:color w:val="auto"/>
          <w:highlight w:val="none"/>
        </w:rPr>
        <w:t>可满足《恶臭污染物排放标准》（GB14554-93）表1中二级标准要求</w:t>
      </w:r>
      <w:r>
        <w:rPr>
          <w:rFonts w:hint="eastAsia" w:cs="Times New Roman"/>
          <w:color w:val="auto"/>
          <w:highlight w:val="none"/>
          <w:lang w:eastAsia="zh-CN"/>
        </w:rPr>
        <w:t>。</w:t>
      </w:r>
      <w:r>
        <w:rPr>
          <w:rFonts w:hint="eastAsia" w:cs="Times New Roman"/>
          <w:color w:val="auto"/>
          <w:highlight w:val="none"/>
          <w:lang w:val="en-US" w:eastAsia="zh-CN"/>
        </w:rPr>
        <w:t>因此，本项目</w:t>
      </w:r>
      <w:r>
        <w:rPr>
          <w:rFonts w:cs="Times New Roman"/>
          <w:color w:val="auto"/>
          <w:highlight w:val="none"/>
        </w:rPr>
        <w:t>采取</w:t>
      </w:r>
      <w:r>
        <w:rPr>
          <w:rFonts w:hint="eastAsia" w:cs="Times New Roman"/>
          <w:color w:val="auto"/>
          <w:highlight w:val="none"/>
          <w:lang w:val="en-US" w:eastAsia="zh-CN"/>
        </w:rPr>
        <w:t>上述</w:t>
      </w:r>
      <w:r>
        <w:rPr>
          <w:rFonts w:cs="Times New Roman"/>
          <w:color w:val="auto"/>
          <w:highlight w:val="none"/>
        </w:rPr>
        <w:t>措施后</w:t>
      </w:r>
      <w:r>
        <w:rPr>
          <w:rFonts w:hint="eastAsia" w:cs="Times New Roman"/>
          <w:color w:val="auto"/>
          <w:highlight w:val="none"/>
          <w:lang w:eastAsia="zh-CN"/>
        </w:rPr>
        <w:t>，</w:t>
      </w:r>
      <w:r>
        <w:rPr>
          <w:rFonts w:hint="eastAsia" w:cs="Times New Roman"/>
          <w:color w:val="auto"/>
          <w:highlight w:val="none"/>
          <w:lang w:val="en-US" w:eastAsia="zh-CN"/>
        </w:rPr>
        <w:t>厂界无组织污染物</w:t>
      </w:r>
      <w:r>
        <w:rPr>
          <w:rFonts w:cs="Times New Roman"/>
          <w:color w:val="auto"/>
          <w:highlight w:val="none"/>
        </w:rPr>
        <w:t>可满足《恶臭污染物排放标准》（GB14554-93）表1中二级标准要求。</w:t>
      </w:r>
      <w:r>
        <w:rPr>
          <w:rFonts w:cs="Times New Roman"/>
          <w:color w:val="auto"/>
          <w:spacing w:val="-3"/>
          <w:szCs w:val="24"/>
          <w:highlight w:val="none"/>
        </w:rPr>
        <w:t>对周围大气环境影响较小。</w:t>
      </w:r>
    </w:p>
    <w:p w14:paraId="7E68E028">
      <w:pPr>
        <w:spacing w:line="500" w:lineRule="exact"/>
        <w:ind w:firstLine="482"/>
        <w:rPr>
          <w:rFonts w:cs="Times New Roman"/>
          <w:bCs/>
          <w:color w:val="auto"/>
          <w:szCs w:val="24"/>
          <w:highlight w:val="none"/>
        </w:rPr>
      </w:pPr>
      <w:r>
        <w:rPr>
          <w:rFonts w:hint="eastAsia" w:cs="Times New Roman"/>
          <w:b/>
          <w:color w:val="auto"/>
          <w:szCs w:val="24"/>
          <w:highlight w:val="none"/>
          <w:lang w:val="en-US" w:eastAsia="zh-CN"/>
        </w:rPr>
        <w:t>3、</w:t>
      </w:r>
      <w:r>
        <w:rPr>
          <w:rFonts w:cs="Times New Roman"/>
          <w:b/>
          <w:color w:val="auto"/>
          <w:szCs w:val="24"/>
          <w:highlight w:val="none"/>
        </w:rPr>
        <w:t>环境防护距离</w:t>
      </w:r>
    </w:p>
    <w:p w14:paraId="1EBFB10F">
      <w:pPr>
        <w:spacing w:line="500" w:lineRule="exact"/>
        <w:rPr>
          <w:rFonts w:cs="Times New Roman"/>
          <w:color w:val="auto"/>
          <w:kern w:val="0"/>
          <w:szCs w:val="24"/>
          <w:highlight w:val="none"/>
          <w:lang w:bidi="ar"/>
        </w:rPr>
      </w:pPr>
      <w:r>
        <w:rPr>
          <w:rFonts w:cs="Times New Roman"/>
          <w:bCs/>
          <w:color w:val="auto"/>
          <w:szCs w:val="24"/>
          <w:highlight w:val="none"/>
        </w:rPr>
        <w:t>本项目大气评价等级为二级评价，根据《环境影响评价技术导则大气环境》（HJ2.2-2018），本项目不需设置大气环境防护距离。</w:t>
      </w:r>
      <w:r>
        <w:rPr>
          <w:rFonts w:cs="Times New Roman"/>
          <w:color w:val="auto"/>
          <w:kern w:val="0"/>
          <w:szCs w:val="24"/>
          <w:highlight w:val="none"/>
          <w:lang w:bidi="ar"/>
        </w:rPr>
        <w:t>本项目不设环境防护距离。</w:t>
      </w:r>
    </w:p>
    <w:bookmarkEnd w:id="299"/>
    <w:p w14:paraId="6967F0D6">
      <w:pPr>
        <w:pStyle w:val="4"/>
        <w:spacing w:after="163"/>
        <w:rPr>
          <w:rFonts w:cs="Times New Roman"/>
          <w:color w:val="auto"/>
          <w:highlight w:val="none"/>
        </w:rPr>
      </w:pPr>
      <w:bookmarkStart w:id="300" w:name="_Toc14774"/>
      <w:bookmarkStart w:id="301" w:name="_Hlk483940658"/>
      <w:r>
        <w:rPr>
          <w:rFonts w:cs="Times New Roman"/>
          <w:color w:val="auto"/>
          <w:highlight w:val="none"/>
        </w:rPr>
        <w:t>5.2.2地表水环境影响分析</w:t>
      </w:r>
      <w:bookmarkEnd w:id="300"/>
    </w:p>
    <w:bookmarkEnd w:id="301"/>
    <w:p w14:paraId="48152D32">
      <w:pPr>
        <w:widowControl/>
        <w:spacing w:line="500" w:lineRule="exact"/>
        <w:rPr>
          <w:rFonts w:cs="Times New Roman"/>
          <w:bCs/>
          <w:color w:val="auto"/>
          <w:szCs w:val="24"/>
          <w:highlight w:val="none"/>
        </w:rPr>
      </w:pPr>
      <w:r>
        <w:rPr>
          <w:rFonts w:cs="Times New Roman"/>
          <w:color w:val="auto"/>
          <w:kern w:val="0"/>
          <w:highlight w:val="none"/>
        </w:rPr>
        <w:t>本项目废水主要为生活污水、</w:t>
      </w:r>
      <w:r>
        <w:rPr>
          <w:rFonts w:hint="eastAsia" w:cs="Times New Roman"/>
          <w:color w:val="auto"/>
          <w:kern w:val="0"/>
          <w:highlight w:val="none"/>
          <w:lang w:eastAsia="zh-CN"/>
        </w:rPr>
        <w:t>屠宰废水、车辆冲洗水。屠宰废水、车辆冲洗水经污水处理站处理后，</w:t>
      </w:r>
      <w:r>
        <w:rPr>
          <w:rFonts w:cs="Times New Roman"/>
          <w:color w:val="auto"/>
          <w:kern w:val="0"/>
          <w:highlight w:val="none"/>
        </w:rPr>
        <w:t>水污染物浓度和排水量均</w:t>
      </w:r>
      <w:r>
        <w:rPr>
          <w:rFonts w:cs="Times New Roman"/>
          <w:color w:val="auto"/>
          <w:kern w:val="0"/>
          <w:highlight w:val="none"/>
          <w:lang w:val="en-GB"/>
        </w:rPr>
        <w:t>达到《肉类加工工业水污染物排放标准》（GB13457-92）</w:t>
      </w:r>
      <w:r>
        <w:rPr>
          <w:rFonts w:cs="Times New Roman"/>
          <w:color w:val="auto"/>
          <w:kern w:val="0"/>
          <w:highlight w:val="none"/>
        </w:rPr>
        <w:t>表3</w:t>
      </w:r>
      <w:r>
        <w:rPr>
          <w:rFonts w:cs="Times New Roman"/>
          <w:color w:val="auto"/>
          <w:kern w:val="0"/>
          <w:highlight w:val="none"/>
          <w:lang w:val="en-GB"/>
        </w:rPr>
        <w:t>中畜类屠宰加工三级标准后</w:t>
      </w:r>
      <w:r>
        <w:rPr>
          <w:rFonts w:cs="Times New Roman"/>
          <w:color w:val="auto"/>
          <w:kern w:val="0"/>
          <w:highlight w:val="none"/>
        </w:rPr>
        <w:t>与生活污水一同经污水管网进入</w:t>
      </w:r>
      <w:r>
        <w:rPr>
          <w:rFonts w:hint="eastAsia" w:cs="Times New Roman"/>
          <w:color w:val="auto"/>
          <w:kern w:val="0"/>
          <w:highlight w:val="none"/>
          <w:lang w:val="en-GB" w:eastAsia="zh-CN"/>
        </w:rPr>
        <w:t>双鸭山市畅源排水有限公司</w:t>
      </w:r>
      <w:r>
        <w:rPr>
          <w:rFonts w:cs="Times New Roman"/>
          <w:color w:val="auto"/>
          <w:kern w:val="0"/>
          <w:highlight w:val="none"/>
        </w:rPr>
        <w:t>处理，处理达标后排放，</w:t>
      </w:r>
      <w:r>
        <w:rPr>
          <w:rFonts w:cs="Times New Roman"/>
          <w:snapToGrid w:val="0"/>
          <w:color w:val="auto"/>
          <w:highlight w:val="none"/>
          <w:lang w:val="en-GB"/>
        </w:rPr>
        <w:t>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p>
    <w:p w14:paraId="1F5EE229">
      <w:pPr>
        <w:widowControl/>
        <w:spacing w:line="500" w:lineRule="exact"/>
        <w:rPr>
          <w:rFonts w:cs="Times New Roman"/>
          <w:bCs/>
          <w:color w:val="auto"/>
          <w:szCs w:val="24"/>
          <w:highlight w:val="none"/>
        </w:rPr>
      </w:pPr>
      <w:r>
        <w:rPr>
          <w:rFonts w:cs="Times New Roman"/>
          <w:color w:val="auto"/>
          <w:szCs w:val="24"/>
          <w:highlight w:val="none"/>
        </w:rPr>
        <w:t>该污水处理站设计</w:t>
      </w:r>
      <w:r>
        <w:rPr>
          <w:rFonts w:hint="eastAsia" w:cs="Times New Roman"/>
          <w:color w:val="auto"/>
          <w:szCs w:val="24"/>
          <w:highlight w:val="none"/>
          <w:lang w:eastAsia="zh-CN"/>
        </w:rPr>
        <w:t>处理能力为</w:t>
      </w:r>
      <w:r>
        <w:rPr>
          <w:rFonts w:hint="eastAsia" w:cs="Times New Roman"/>
          <w:color w:val="auto"/>
          <w:szCs w:val="24"/>
          <w:highlight w:val="none"/>
          <w:lang w:val="en-US" w:eastAsia="zh-CN"/>
        </w:rPr>
        <w:t>250</w:t>
      </w:r>
      <w:r>
        <w:rPr>
          <w:rFonts w:cs="Times New Roman"/>
          <w:color w:val="auto"/>
          <w:szCs w:val="24"/>
          <w:highlight w:val="none"/>
        </w:rPr>
        <w:t>m</w:t>
      </w:r>
      <w:r>
        <w:rPr>
          <w:rFonts w:cs="Times New Roman"/>
          <w:color w:val="auto"/>
          <w:szCs w:val="24"/>
          <w:highlight w:val="none"/>
          <w:vertAlign w:val="superscript"/>
        </w:rPr>
        <w:t>3</w:t>
      </w:r>
      <w:r>
        <w:rPr>
          <w:rFonts w:cs="Times New Roman"/>
          <w:color w:val="auto"/>
          <w:szCs w:val="24"/>
          <w:highlight w:val="none"/>
        </w:rPr>
        <w:t>/d，本项目屠宰废水</w:t>
      </w:r>
      <w:r>
        <w:rPr>
          <w:rFonts w:hint="eastAsia" w:cs="Times New Roman"/>
          <w:color w:val="auto"/>
          <w:kern w:val="0"/>
          <w:highlight w:val="none"/>
          <w:lang w:eastAsia="zh-CN"/>
        </w:rPr>
        <w:t>、车辆冲洗水</w:t>
      </w:r>
      <w:r>
        <w:rPr>
          <w:rFonts w:cs="Times New Roman"/>
          <w:color w:val="auto"/>
          <w:szCs w:val="24"/>
          <w:highlight w:val="none"/>
        </w:rPr>
        <w:t>产生量为</w:t>
      </w:r>
      <w:r>
        <w:rPr>
          <w:rFonts w:hint="eastAsia" w:cs="Times New Roman"/>
          <w:snapToGrid w:val="0"/>
          <w:color w:val="auto"/>
          <w:highlight w:val="none"/>
          <w:lang w:val="en-US" w:eastAsia="zh-CN"/>
        </w:rPr>
        <w:t>233.1</w:t>
      </w:r>
      <w:r>
        <w:rPr>
          <w:rFonts w:cs="Times New Roman"/>
          <w:color w:val="auto"/>
          <w:szCs w:val="24"/>
          <w:highlight w:val="none"/>
        </w:rPr>
        <w:t>m</w:t>
      </w:r>
      <w:r>
        <w:rPr>
          <w:rFonts w:cs="Times New Roman"/>
          <w:color w:val="auto"/>
          <w:szCs w:val="24"/>
          <w:highlight w:val="none"/>
          <w:vertAlign w:val="superscript"/>
        </w:rPr>
        <w:t>3</w:t>
      </w:r>
      <w:r>
        <w:rPr>
          <w:rFonts w:cs="Times New Roman"/>
          <w:color w:val="auto"/>
          <w:szCs w:val="24"/>
          <w:highlight w:val="none"/>
        </w:rPr>
        <w:t>/d，因此，本项目自建的污水处理站能满足本项目屠宰废水的处理需求。</w:t>
      </w:r>
      <w:r>
        <w:rPr>
          <w:rFonts w:cs="Times New Roman"/>
          <w:bCs/>
          <w:color w:val="auto"/>
          <w:szCs w:val="24"/>
          <w:highlight w:val="none"/>
        </w:rPr>
        <w:t>本项目选择“</w:t>
      </w:r>
      <w:r>
        <w:rPr>
          <w:rFonts w:hint="eastAsia" w:cs="Times New Roman"/>
          <w:bCs/>
          <w:color w:val="auto"/>
          <w:szCs w:val="24"/>
          <w:highlight w:val="none"/>
          <w:lang w:eastAsia="zh-CN"/>
        </w:rPr>
        <w:t>格栅+</w:t>
      </w:r>
      <w:r>
        <w:rPr>
          <w:rFonts w:hint="eastAsia" w:cs="Times New Roman"/>
          <w:bCs/>
          <w:color w:val="auto"/>
          <w:szCs w:val="24"/>
          <w:highlight w:val="none"/>
          <w:lang w:val="en-US" w:eastAsia="zh-CN"/>
        </w:rPr>
        <w:t>隔油池</w:t>
      </w:r>
      <w:r>
        <w:rPr>
          <w:rFonts w:cs="Times New Roman"/>
          <w:bCs/>
          <w:color w:val="auto"/>
          <w:szCs w:val="24"/>
          <w:highlight w:val="none"/>
        </w:rPr>
        <w:t>+</w:t>
      </w:r>
      <w:r>
        <w:rPr>
          <w:rFonts w:hint="eastAsia" w:cs="Times New Roman"/>
          <w:bCs/>
          <w:color w:val="auto"/>
          <w:szCs w:val="24"/>
          <w:highlight w:val="none"/>
          <w:lang w:val="en-US" w:eastAsia="zh-CN"/>
        </w:rPr>
        <w:t>调节池</w:t>
      </w:r>
      <w:r>
        <w:rPr>
          <w:rFonts w:hint="eastAsia" w:cs="Times New Roman"/>
          <w:bCs/>
          <w:color w:val="auto"/>
          <w:szCs w:val="24"/>
          <w:highlight w:val="none"/>
          <w:lang w:eastAsia="zh-CN"/>
        </w:rPr>
        <w:t>+气浮+水解酸化+</w:t>
      </w:r>
      <w:r>
        <w:rPr>
          <w:rFonts w:hint="eastAsia" w:cs="Times New Roman"/>
          <w:bCs/>
          <w:color w:val="auto"/>
          <w:szCs w:val="24"/>
          <w:highlight w:val="none"/>
          <w:lang w:val="en-US" w:eastAsia="zh-CN"/>
        </w:rPr>
        <w:t>反硝化缺氧+好氧</w:t>
      </w:r>
      <w:r>
        <w:rPr>
          <w:rFonts w:hint="eastAsia" w:cs="Times New Roman"/>
          <w:bCs/>
          <w:color w:val="auto"/>
          <w:szCs w:val="24"/>
          <w:highlight w:val="none"/>
          <w:lang w:eastAsia="zh-CN"/>
        </w:rPr>
        <w:t>+沉淀+消毒（</w:t>
      </w:r>
      <w:r>
        <w:rPr>
          <w:rFonts w:hint="eastAsia" w:cs="Times New Roman"/>
          <w:bCs/>
          <w:color w:val="auto"/>
          <w:szCs w:val="24"/>
          <w:highlight w:val="none"/>
          <w:lang w:val="en-US" w:eastAsia="zh-CN"/>
        </w:rPr>
        <w:t>次氯酸钠）</w:t>
      </w:r>
      <w:r>
        <w:rPr>
          <w:rFonts w:cs="Times New Roman"/>
          <w:bCs/>
          <w:color w:val="auto"/>
          <w:szCs w:val="24"/>
          <w:highlight w:val="none"/>
        </w:rPr>
        <w:t>”工艺作为本项目的污水处理方案。</w:t>
      </w:r>
    </w:p>
    <w:p w14:paraId="4FF90EF2">
      <w:pPr>
        <w:keepNext w:val="0"/>
        <w:keepLines w:val="0"/>
        <w:pageBreakBefore w:val="0"/>
        <w:widowControl/>
        <w:numPr>
          <w:ilvl w:val="0"/>
          <w:numId w:val="16"/>
        </w:numPr>
        <w:kinsoku/>
        <w:wordWrap/>
        <w:overflowPunct/>
        <w:topLinePunct w:val="0"/>
        <w:autoSpaceDE/>
        <w:autoSpaceDN/>
        <w:bidi w:val="0"/>
        <w:adjustRightInd w:val="0"/>
        <w:snapToGrid w:val="0"/>
        <w:spacing w:beforeAutospacing="0" w:afterAutospacing="0" w:line="520" w:lineRule="exact"/>
        <w:ind w:firstLine="482"/>
        <w:textAlignment w:val="auto"/>
        <w:rPr>
          <w:rFonts w:cs="Times New Roman"/>
          <w:b/>
          <w:color w:val="auto"/>
          <w:szCs w:val="24"/>
          <w:highlight w:val="none"/>
        </w:rPr>
      </w:pPr>
      <w:r>
        <w:rPr>
          <w:rFonts w:cs="Times New Roman"/>
          <w:b/>
          <w:color w:val="auto"/>
          <w:szCs w:val="24"/>
          <w:highlight w:val="none"/>
        </w:rPr>
        <w:t>污水处理工艺流程说明</w:t>
      </w:r>
    </w:p>
    <w:p w14:paraId="1BD48B63">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1.</w:t>
      </w:r>
      <w:r>
        <w:rPr>
          <w:rFonts w:hint="eastAsia" w:cs="Times New Roman"/>
          <w:color w:val="auto"/>
          <w:kern w:val="0"/>
          <w:highlight w:val="none"/>
          <w:lang w:val="en-GB" w:eastAsia="zh-CN"/>
        </w:rPr>
        <w:t>格栅</w:t>
      </w:r>
    </w:p>
    <w:p w14:paraId="59885B27">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520" w:lineRule="exact"/>
        <w:ind w:left="0" w:leftChars="0" w:firstLine="480" w:firstLineChars="200"/>
        <w:textAlignment w:val="auto"/>
        <w:rPr>
          <w:rFonts w:hint="default" w:cs="Times New Roman"/>
          <w:color w:val="auto"/>
          <w:kern w:val="0"/>
          <w:highlight w:val="none"/>
          <w:lang w:val="en-GB" w:eastAsia="zh-CN"/>
        </w:rPr>
      </w:pPr>
      <w:r>
        <w:rPr>
          <w:rFonts w:hint="default" w:cs="Times New Roman"/>
          <w:color w:val="auto"/>
          <w:kern w:val="0"/>
          <w:highlight w:val="none"/>
          <w:lang w:val="en-GB" w:eastAsia="zh-CN"/>
        </w:rPr>
        <w:t>作为首道物理屏障，专门拦截牛羊废水中特有的羊毛、碎皮、肉屑、骨渣、内脏碎片以及未消化的草料纤维。这些物质纤维性强，易缠绕设备。采用细格栅（间隙1-3mm），以有效截留细小的羊毛。栅渣被自动清捞后，需密闭存放并及时外运，防止腐败产生恶臭。</w:t>
      </w:r>
      <w:r>
        <w:rPr>
          <w:rFonts w:hint="eastAsia" w:cs="Times New Roman"/>
          <w:color w:val="auto"/>
          <w:kern w:val="0"/>
          <w:highlight w:val="none"/>
          <w:lang w:val="en-US" w:eastAsia="zh-CN"/>
        </w:rPr>
        <w:t>此单元</w:t>
      </w:r>
      <w:r>
        <w:rPr>
          <w:rFonts w:hint="default" w:cs="Times New Roman"/>
          <w:color w:val="auto"/>
          <w:kern w:val="0"/>
          <w:highlight w:val="none"/>
          <w:lang w:val="en-GB" w:eastAsia="zh-CN"/>
        </w:rPr>
        <w:t>SS去除率</w:t>
      </w:r>
      <w:r>
        <w:rPr>
          <w:rFonts w:hint="eastAsia" w:cs="Times New Roman"/>
          <w:color w:val="auto"/>
          <w:kern w:val="0"/>
          <w:highlight w:val="none"/>
          <w:lang w:val="en-US" w:eastAsia="zh-CN"/>
        </w:rPr>
        <w:t>约为15</w:t>
      </w:r>
      <w:r>
        <w:rPr>
          <w:rFonts w:hint="default" w:cs="Times New Roman"/>
          <w:color w:val="auto"/>
          <w:kern w:val="0"/>
          <w:highlight w:val="none"/>
          <w:lang w:val="en-GB" w:eastAsia="zh-CN"/>
        </w:rPr>
        <w:t>%</w:t>
      </w:r>
      <w:r>
        <w:rPr>
          <w:rFonts w:hint="eastAsia" w:cs="Times New Roman"/>
          <w:color w:val="auto"/>
          <w:kern w:val="0"/>
          <w:highlight w:val="none"/>
          <w:lang w:val="en-GB" w:eastAsia="zh-CN"/>
        </w:rPr>
        <w:t>。</w:t>
      </w:r>
    </w:p>
    <w:p w14:paraId="725ECE47">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2.</w:t>
      </w:r>
      <w:r>
        <w:rPr>
          <w:rFonts w:hint="default" w:cs="Times New Roman"/>
          <w:color w:val="auto"/>
          <w:kern w:val="0"/>
          <w:highlight w:val="none"/>
          <w:lang w:val="en-GB" w:eastAsia="zh-CN"/>
        </w:rPr>
        <w:t>隔油池</w:t>
      </w:r>
    </w:p>
    <w:p w14:paraId="254950A3">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default" w:ascii="Times New Roman" w:hAnsi="Times New Roman" w:eastAsia="宋体" w:cs="Times New Roman"/>
          <w:color w:val="auto"/>
          <w:kern w:val="0"/>
          <w:highlight w:val="none"/>
          <w:lang w:val="en-US" w:eastAsia="zh-CN"/>
        </w:rPr>
      </w:pPr>
      <w:r>
        <w:rPr>
          <w:rFonts w:hint="default" w:cs="Times New Roman"/>
          <w:color w:val="auto"/>
          <w:kern w:val="0"/>
          <w:highlight w:val="none"/>
          <w:lang w:val="en-GB" w:eastAsia="zh-CN"/>
        </w:rPr>
        <w:t>牛羊屠宰和内脏处理会产生大量动物脂肪和油脂，常温下易凝结。隔油池主要去除这些可浮油。废水在池内缓慢流动，牛羊脂因密度小上浮形成浮油层。池体需考虑保温或加热，防止油脂在低温下凝固，影响去除效果。浮油通过集油槽收集，</w:t>
      </w:r>
      <w:r>
        <w:rPr>
          <w:rFonts w:hint="eastAsia" w:cs="Times New Roman"/>
          <w:color w:val="auto"/>
          <w:szCs w:val="24"/>
          <w:highlight w:val="none"/>
          <w:lang w:val="en-US" w:eastAsia="zh-CN"/>
        </w:rPr>
        <w:t>收集后交由有能力处置单位运输处置</w:t>
      </w:r>
      <w:r>
        <w:rPr>
          <w:rFonts w:hint="default" w:cs="Times New Roman"/>
          <w:color w:val="auto"/>
          <w:kern w:val="0"/>
          <w:highlight w:val="none"/>
          <w:lang w:val="en-GB" w:eastAsia="zh-CN"/>
        </w:rPr>
        <w:t>。</w:t>
      </w:r>
      <w:r>
        <w:rPr>
          <w:rFonts w:hint="eastAsia" w:cs="Times New Roman"/>
          <w:color w:val="auto"/>
          <w:kern w:val="0"/>
          <w:highlight w:val="none"/>
          <w:lang w:val="en-US" w:eastAsia="zh-CN"/>
        </w:rPr>
        <w:t>此单</w:t>
      </w:r>
      <w:r>
        <w:rPr>
          <w:rFonts w:hint="eastAsia" w:ascii="Times New Roman" w:hAnsi="Times New Roman" w:eastAsia="宋体" w:cs="Times New Roman"/>
          <w:color w:val="auto"/>
          <w:kern w:val="0"/>
          <w:highlight w:val="none"/>
          <w:lang w:val="en-US" w:eastAsia="zh-CN"/>
        </w:rPr>
        <w:t>元动植物油去除率约为70%。</w:t>
      </w:r>
    </w:p>
    <w:p w14:paraId="005FF639">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3.</w:t>
      </w:r>
      <w:r>
        <w:rPr>
          <w:rFonts w:hint="default" w:cs="Times New Roman"/>
          <w:color w:val="auto"/>
          <w:kern w:val="0"/>
          <w:highlight w:val="none"/>
          <w:lang w:val="en-GB" w:eastAsia="zh-CN"/>
        </w:rPr>
        <w:t>调节池</w:t>
      </w:r>
    </w:p>
    <w:p w14:paraId="0180530E">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default" w:ascii="Times New Roman" w:hAnsi="Times New Roman" w:eastAsia="宋体" w:cs="Times New Roman"/>
          <w:color w:val="auto"/>
          <w:kern w:val="0"/>
          <w:highlight w:val="none"/>
          <w:lang w:val="en-US" w:eastAsia="zh-CN"/>
        </w:rPr>
      </w:pPr>
      <w:r>
        <w:rPr>
          <w:rFonts w:hint="default" w:cs="Times New Roman"/>
          <w:color w:val="auto"/>
          <w:kern w:val="0"/>
          <w:highlight w:val="none"/>
          <w:lang w:val="en-GB" w:eastAsia="zh-CN"/>
        </w:rPr>
        <w:t>屠宰作业是间歇性的，水量水质波动极大。调节池用于均化水质、调节水量，缓冲高峰负荷对后续系统的冲击。池内设强力潜水搅拌器，防止固体物（如粪便、胃容物）沉积腐化。配备pH在线监测与投药系统，因屠宰废水有时偏碱性（如血液），需适时加酸调节至中性范围（6.5-8.5），为后续生物处理创造最佳环境。</w:t>
      </w:r>
    </w:p>
    <w:p w14:paraId="4DE18AC9">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4.</w:t>
      </w:r>
      <w:r>
        <w:rPr>
          <w:rFonts w:hint="default" w:cs="Times New Roman"/>
          <w:color w:val="auto"/>
          <w:kern w:val="0"/>
          <w:highlight w:val="none"/>
          <w:lang w:val="en-GB" w:eastAsia="zh-CN"/>
        </w:rPr>
        <w:t>气浮系统</w:t>
      </w:r>
    </w:p>
    <w:p w14:paraId="28AC45AE">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eastAsia" w:ascii="Times New Roman" w:hAnsi="Times New Roman" w:eastAsia="宋体" w:cs="Times New Roman"/>
          <w:color w:val="auto"/>
          <w:kern w:val="0"/>
          <w:highlight w:val="none"/>
          <w:lang w:val="en-GB" w:eastAsia="zh-CN"/>
        </w:rPr>
      </w:pPr>
      <w:r>
        <w:rPr>
          <w:rFonts w:hint="default" w:cs="Times New Roman"/>
          <w:color w:val="auto"/>
          <w:kern w:val="0"/>
          <w:highlight w:val="none"/>
          <w:lang w:val="en-GB" w:eastAsia="zh-CN"/>
        </w:rPr>
        <w:t>牛羊废水中的乳化油、细小的悬浮物、胶体物质和色度难以通过沉淀去除。气浮是实现高效分离的关键。采用加压溶气气浮。通过加入适量的混凝剂和絮凝剂，使乳化油破乳、细微颗粒脱稳凝聚。溶气水释放出的微细气泡（20-100μm）与絮体结合，使其快速上浮，形成浮渣。此单元能大幅降低后续生化单元的有机负荷和油脂浓度，避免生物膜被油脂覆盖。</w:t>
      </w:r>
      <w:r>
        <w:rPr>
          <w:rFonts w:hint="eastAsia" w:cs="Times New Roman"/>
          <w:color w:val="auto"/>
          <w:kern w:val="0"/>
          <w:highlight w:val="none"/>
          <w:lang w:val="en-US" w:eastAsia="zh-CN"/>
        </w:rPr>
        <w:t>此单</w:t>
      </w:r>
      <w:r>
        <w:rPr>
          <w:rFonts w:hint="eastAsia" w:ascii="Times New Roman" w:hAnsi="Times New Roman" w:eastAsia="宋体" w:cs="Times New Roman"/>
          <w:color w:val="auto"/>
          <w:kern w:val="0"/>
          <w:highlight w:val="none"/>
          <w:lang w:val="en-US" w:eastAsia="zh-CN"/>
        </w:rPr>
        <w:t>元</w:t>
      </w:r>
      <w:r>
        <w:rPr>
          <w:rFonts w:hint="default" w:ascii="Times New Roman" w:hAnsi="Times New Roman" w:eastAsia="宋体" w:cs="Times New Roman"/>
          <w:color w:val="auto"/>
          <w:kern w:val="0"/>
          <w:highlight w:val="none"/>
          <w:lang w:val="en-GB" w:eastAsia="zh-CN"/>
        </w:rPr>
        <w:t>SS去除率</w:t>
      </w:r>
      <w:r>
        <w:rPr>
          <w:rFonts w:hint="eastAsia" w:ascii="Times New Roman" w:hAnsi="Times New Roman" w:eastAsia="宋体" w:cs="Times New Roman"/>
          <w:color w:val="auto"/>
          <w:kern w:val="0"/>
          <w:highlight w:val="none"/>
          <w:lang w:val="en-US" w:eastAsia="zh-CN"/>
        </w:rPr>
        <w:t>约为80%，</w:t>
      </w:r>
      <w:r>
        <w:rPr>
          <w:rFonts w:hint="default" w:ascii="Times New Roman" w:hAnsi="Times New Roman" w:eastAsia="宋体" w:cs="Times New Roman"/>
          <w:color w:val="auto"/>
          <w:kern w:val="0"/>
          <w:highlight w:val="none"/>
          <w:lang w:val="en-GB" w:eastAsia="zh-CN"/>
        </w:rPr>
        <w:t>动植物油去除率</w:t>
      </w:r>
      <w:r>
        <w:rPr>
          <w:rFonts w:hint="eastAsia" w:ascii="Times New Roman" w:hAnsi="Times New Roman" w:eastAsia="宋体" w:cs="Times New Roman"/>
          <w:color w:val="auto"/>
          <w:kern w:val="0"/>
          <w:highlight w:val="none"/>
          <w:lang w:val="en-US" w:eastAsia="zh-CN"/>
        </w:rPr>
        <w:t>约为6</w:t>
      </w:r>
      <w:r>
        <w:rPr>
          <w:rFonts w:hint="default" w:ascii="Times New Roman" w:hAnsi="Times New Roman" w:eastAsia="宋体" w:cs="Times New Roman"/>
          <w:color w:val="auto"/>
          <w:kern w:val="0"/>
          <w:highlight w:val="none"/>
          <w:lang w:val="en-GB" w:eastAsia="zh-CN"/>
        </w:rPr>
        <w:t>0%</w:t>
      </w:r>
      <w:r>
        <w:rPr>
          <w:rFonts w:hint="eastAsia" w:ascii="Times New Roman" w:hAnsi="Times New Roman" w:eastAsia="宋体" w:cs="Times New Roman"/>
          <w:color w:val="auto"/>
          <w:kern w:val="0"/>
          <w:highlight w:val="none"/>
          <w:lang w:val="en-GB" w:eastAsia="zh-CN"/>
        </w:rPr>
        <w:t>，</w:t>
      </w:r>
      <w:r>
        <w:rPr>
          <w:rFonts w:hint="default" w:ascii="Times New Roman" w:hAnsi="Times New Roman" w:eastAsia="宋体" w:cs="Times New Roman"/>
          <w:color w:val="auto"/>
          <w:kern w:val="0"/>
          <w:highlight w:val="none"/>
          <w:lang w:val="en-GB" w:eastAsia="zh-CN"/>
        </w:rPr>
        <w:t>COD去除率</w:t>
      </w:r>
      <w:r>
        <w:rPr>
          <w:rFonts w:hint="eastAsia" w:ascii="Times New Roman" w:hAnsi="Times New Roman" w:eastAsia="宋体" w:cs="Times New Roman"/>
          <w:color w:val="auto"/>
          <w:kern w:val="0"/>
          <w:highlight w:val="none"/>
          <w:lang w:val="en-US" w:eastAsia="zh-CN"/>
        </w:rPr>
        <w:t>约为4</w:t>
      </w:r>
      <w:r>
        <w:rPr>
          <w:rFonts w:hint="default" w:ascii="Times New Roman" w:hAnsi="Times New Roman" w:eastAsia="宋体" w:cs="Times New Roman"/>
          <w:color w:val="auto"/>
          <w:kern w:val="0"/>
          <w:highlight w:val="none"/>
          <w:lang w:val="en-GB" w:eastAsia="zh-CN"/>
        </w:rPr>
        <w:t>0%</w:t>
      </w:r>
      <w:r>
        <w:rPr>
          <w:rFonts w:hint="eastAsia" w:ascii="Times New Roman" w:hAnsi="Times New Roman" w:eastAsia="宋体" w:cs="Times New Roman"/>
          <w:color w:val="auto"/>
          <w:kern w:val="0"/>
          <w:highlight w:val="none"/>
          <w:lang w:val="en-GB" w:eastAsia="zh-CN"/>
        </w:rPr>
        <w:t>。</w:t>
      </w:r>
    </w:p>
    <w:p w14:paraId="5DC6F979">
      <w:pPr>
        <w:keepNext w:val="0"/>
        <w:keepLines w:val="0"/>
        <w:pageBreakBefore w:val="0"/>
        <w:widowControl/>
        <w:numPr>
          <w:ilvl w:val="0"/>
          <w:numId w:val="17"/>
        </w:numPr>
        <w:kinsoku/>
        <w:wordWrap/>
        <w:overflowPunct/>
        <w:topLinePunct w:val="0"/>
        <w:autoSpaceDE/>
        <w:autoSpaceDN/>
        <w:bidi w:val="0"/>
        <w:adjustRightInd w:val="0"/>
        <w:snapToGrid w:val="0"/>
        <w:spacing w:beforeAutospacing="0" w:afterAutospacing="0" w:line="520" w:lineRule="exact"/>
        <w:textAlignment w:val="auto"/>
        <w:rPr>
          <w:rFonts w:hint="eastAsia" w:ascii="Times New Roman" w:hAnsi="Times New Roman" w:eastAsia="宋体" w:cs="Times New Roman"/>
          <w:color w:val="auto"/>
          <w:kern w:val="0"/>
          <w:highlight w:val="none"/>
          <w:lang w:val="en-US" w:eastAsia="zh-CN"/>
        </w:rPr>
      </w:pPr>
      <w:r>
        <w:rPr>
          <w:rFonts w:hint="eastAsia" w:ascii="Times New Roman" w:hAnsi="Times New Roman" w:eastAsia="宋体" w:cs="Times New Roman"/>
          <w:color w:val="auto"/>
          <w:kern w:val="0"/>
          <w:highlight w:val="none"/>
          <w:lang w:val="en-US" w:eastAsia="zh-CN"/>
        </w:rPr>
        <w:t>中间水池</w:t>
      </w:r>
    </w:p>
    <w:p w14:paraId="38A3827B">
      <w:pPr>
        <w:keepNext w:val="0"/>
        <w:keepLines w:val="0"/>
        <w:widowControl/>
        <w:suppressLineNumbers w:val="0"/>
        <w:jc w:val="left"/>
        <w:rPr>
          <w:rFonts w:hint="default" w:ascii="Times New Roman" w:hAnsi="Times New Roman" w:eastAsia="宋体" w:cs="Times New Roman"/>
          <w:color w:val="auto"/>
          <w:kern w:val="0"/>
          <w:highlight w:val="none"/>
          <w:lang w:val="en-US" w:eastAsia="zh-CN"/>
        </w:rPr>
      </w:pPr>
      <w:r>
        <w:rPr>
          <w:rFonts w:hint="eastAsia" w:ascii="宋体" w:hAnsi="宋体" w:eastAsia="宋体" w:cs="宋体"/>
          <w:color w:val="auto"/>
          <w:kern w:val="0"/>
          <w:sz w:val="24"/>
          <w:szCs w:val="24"/>
          <w:highlight w:val="none"/>
          <w:lang w:val="en-US" w:eastAsia="zh-CN" w:bidi="ar"/>
        </w:rPr>
        <w:t>用于缓冲污水的水质水量，使进入水解酸化池的污水稳定均质。</w:t>
      </w:r>
    </w:p>
    <w:p w14:paraId="56B91DD7">
      <w:pPr>
        <w:keepNext w:val="0"/>
        <w:keepLines w:val="0"/>
        <w:pageBreakBefore w:val="0"/>
        <w:widowControl/>
        <w:kinsoku/>
        <w:wordWrap/>
        <w:overflowPunct/>
        <w:topLinePunct w:val="0"/>
        <w:autoSpaceDE/>
        <w:autoSpaceDN/>
        <w:bidi w:val="0"/>
        <w:adjustRightInd w:val="0"/>
        <w:snapToGrid w:val="0"/>
        <w:spacing w:beforeAutospacing="0" w:afterAutospacing="0" w:line="52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6.</w:t>
      </w:r>
      <w:r>
        <w:rPr>
          <w:rFonts w:hint="default" w:cs="Times New Roman"/>
          <w:color w:val="auto"/>
          <w:kern w:val="0"/>
          <w:highlight w:val="none"/>
          <w:lang w:val="en-GB" w:eastAsia="zh-CN"/>
        </w:rPr>
        <w:t>水解酸化池</w:t>
      </w:r>
    </w:p>
    <w:p w14:paraId="783C5E90">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cs="Times New Roman"/>
          <w:color w:val="auto"/>
          <w:kern w:val="0"/>
          <w:highlight w:val="none"/>
          <w:lang w:val="en-GB" w:eastAsia="zh-CN"/>
        </w:rPr>
      </w:pPr>
      <w:r>
        <w:rPr>
          <w:rFonts w:hint="default" w:cs="Times New Roman"/>
          <w:color w:val="auto"/>
          <w:kern w:val="0"/>
          <w:highlight w:val="none"/>
          <w:lang w:val="en-GB" w:eastAsia="zh-CN"/>
        </w:rPr>
        <w:t>将废水中复杂的、难降解的蛋白质（血污）、脂肪（牛羊脂）和纤维素（草料残留）转化为小分子有机酸，提高可生化性，并为脱氮提供碳源。在缺氧环境下，池内弹性填料上附着的水解菌和产酸菌将大分子物质“剪碎”成低分子有机酸（如乙酸、丙酸）。这一过程能有效破坏发色基团，对去除废水色</w:t>
      </w:r>
      <w:r>
        <w:rPr>
          <w:rFonts w:hint="default" w:ascii="Times New Roman" w:hAnsi="Times New Roman" w:eastAsia="宋体" w:cs="Times New Roman"/>
          <w:color w:val="auto"/>
          <w:kern w:val="0"/>
          <w:highlight w:val="none"/>
          <w:lang w:val="en-GB" w:eastAsia="zh-CN"/>
        </w:rPr>
        <w:t>度有显著效果。</w:t>
      </w:r>
      <w:r>
        <w:rPr>
          <w:rFonts w:hint="eastAsia" w:ascii="Times New Roman" w:hAnsi="Times New Roman" w:eastAsia="宋体" w:cs="Times New Roman"/>
          <w:color w:val="auto"/>
          <w:kern w:val="0"/>
          <w:highlight w:val="none"/>
          <w:lang w:val="en-US" w:eastAsia="zh-CN"/>
        </w:rPr>
        <w:t>此单元COD去除率约为25%</w:t>
      </w:r>
      <w:r>
        <w:rPr>
          <w:rFonts w:hint="default" w:ascii="Times New Roman" w:hAnsi="Times New Roman" w:eastAsia="宋体" w:cs="Times New Roman"/>
          <w:color w:val="auto"/>
          <w:kern w:val="0"/>
          <w:highlight w:val="none"/>
          <w:lang w:val="en-US" w:eastAsia="zh-CN"/>
        </w:rPr>
        <w:t>（表观去除）</w:t>
      </w:r>
      <w:r>
        <w:rPr>
          <w:rFonts w:hint="eastAsia" w:ascii="Times New Roman" w:hAnsi="Times New Roman" w:eastAsia="宋体" w:cs="Times New Roman"/>
          <w:color w:val="auto"/>
          <w:kern w:val="0"/>
          <w:highlight w:val="none"/>
          <w:lang w:val="en-US" w:eastAsia="zh-CN"/>
        </w:rPr>
        <w:t>，</w:t>
      </w:r>
      <w:r>
        <w:rPr>
          <w:rFonts w:hint="default" w:ascii="Times New Roman" w:hAnsi="Times New Roman" w:eastAsia="宋体" w:cs="Times New Roman"/>
          <w:color w:val="auto"/>
          <w:kern w:val="0"/>
          <w:highlight w:val="none"/>
          <w:lang w:val="en-US" w:eastAsia="zh-CN"/>
        </w:rPr>
        <w:t>BOD₅/COD比值提升：从约0.5提升至0.6以上，可生化性显著改善。</w:t>
      </w:r>
    </w:p>
    <w:p w14:paraId="01EF0031">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7.</w:t>
      </w:r>
      <w:r>
        <w:rPr>
          <w:rFonts w:hint="default" w:cs="Times New Roman"/>
          <w:color w:val="auto"/>
          <w:kern w:val="0"/>
          <w:highlight w:val="none"/>
          <w:lang w:val="en-GB" w:eastAsia="zh-CN"/>
        </w:rPr>
        <w:t>反硝化缺氧池</w:t>
      </w:r>
    </w:p>
    <w:p w14:paraId="65B59BCD">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ascii="Times New Roman" w:hAnsi="Times New Roman" w:eastAsia="宋体" w:cs="Times New Roman"/>
          <w:color w:val="auto"/>
          <w:kern w:val="0"/>
          <w:highlight w:val="none"/>
          <w:lang w:val="en-GB" w:eastAsia="zh-CN"/>
        </w:rPr>
      </w:pPr>
      <w:r>
        <w:rPr>
          <w:rFonts w:hint="default" w:cs="Times New Roman"/>
          <w:color w:val="auto"/>
          <w:kern w:val="0"/>
          <w:highlight w:val="none"/>
          <w:lang w:val="en-GB" w:eastAsia="zh-CN"/>
        </w:rPr>
        <w:t>实现生物脱氮。牛羊废水中的蛋白质分解产生高浓度氨氮，需在此被去除。来自好氧池的混合液（富含硝酸盐）通过硝化液回流泵回流至此。池内设有低速搅拌器，确保污泥悬浮。反硝化菌利用水解酸化池提供的小分子有机物作为“食物”，将硝酸盐还原为氮气，实现脱氮。此过程还能额外去除一部分COD。</w:t>
      </w:r>
      <w:r>
        <w:rPr>
          <w:rFonts w:hint="eastAsia" w:ascii="Times New Roman" w:hAnsi="Times New Roman" w:eastAsia="宋体" w:cs="Times New Roman"/>
          <w:color w:val="auto"/>
          <w:kern w:val="0"/>
          <w:highlight w:val="none"/>
          <w:lang w:val="en-US" w:eastAsia="zh-CN"/>
        </w:rPr>
        <w:t>此单元COD总去除率约为90%，</w:t>
      </w:r>
      <w:r>
        <w:rPr>
          <w:rFonts w:hint="default" w:ascii="Times New Roman" w:hAnsi="Times New Roman" w:eastAsia="宋体" w:cs="Times New Roman"/>
          <w:color w:val="auto"/>
          <w:kern w:val="0"/>
          <w:highlight w:val="none"/>
          <w:lang w:val="en-US" w:eastAsia="zh-CN"/>
        </w:rPr>
        <w:t>BOD₅总去除率</w:t>
      </w:r>
      <w:r>
        <w:rPr>
          <w:rFonts w:hint="eastAsia" w:ascii="Times New Roman" w:hAnsi="Times New Roman" w:eastAsia="宋体" w:cs="Times New Roman"/>
          <w:color w:val="auto"/>
          <w:kern w:val="0"/>
          <w:highlight w:val="none"/>
          <w:lang w:val="en-US" w:eastAsia="zh-CN"/>
        </w:rPr>
        <w:t>约为95</w:t>
      </w:r>
      <w:r>
        <w:rPr>
          <w:rFonts w:hint="default" w:ascii="Times New Roman" w:hAnsi="Times New Roman" w:eastAsia="宋体" w:cs="Times New Roman"/>
          <w:color w:val="auto"/>
          <w:kern w:val="0"/>
          <w:highlight w:val="none"/>
          <w:lang w:val="en-US" w:eastAsia="zh-CN"/>
        </w:rPr>
        <w:t>%</w:t>
      </w:r>
      <w:r>
        <w:rPr>
          <w:rFonts w:hint="eastAsia" w:ascii="Times New Roman" w:hAnsi="Times New Roman" w:eastAsia="宋体" w:cs="Times New Roman"/>
          <w:color w:val="auto"/>
          <w:kern w:val="0"/>
          <w:highlight w:val="none"/>
          <w:lang w:val="en-US" w:eastAsia="zh-CN"/>
        </w:rPr>
        <w:t>，</w:t>
      </w:r>
      <w:r>
        <w:rPr>
          <w:rFonts w:hint="default" w:ascii="Times New Roman" w:hAnsi="Times New Roman" w:eastAsia="宋体" w:cs="Times New Roman"/>
          <w:color w:val="auto"/>
          <w:kern w:val="0"/>
          <w:highlight w:val="none"/>
          <w:lang w:val="en-US" w:eastAsia="zh-CN"/>
        </w:rPr>
        <w:t>NH₃-N去除率</w:t>
      </w:r>
      <w:r>
        <w:rPr>
          <w:rFonts w:hint="eastAsia" w:ascii="Times New Roman" w:hAnsi="Times New Roman" w:eastAsia="宋体" w:cs="Times New Roman"/>
          <w:color w:val="auto"/>
          <w:kern w:val="0"/>
          <w:highlight w:val="none"/>
          <w:lang w:val="en-US" w:eastAsia="zh-CN"/>
        </w:rPr>
        <w:t>约为</w:t>
      </w:r>
      <w:r>
        <w:rPr>
          <w:rFonts w:hint="default" w:ascii="Times New Roman" w:hAnsi="Times New Roman" w:eastAsia="宋体" w:cs="Times New Roman"/>
          <w:color w:val="auto"/>
          <w:kern w:val="0"/>
          <w:highlight w:val="none"/>
          <w:lang w:val="en-US" w:eastAsia="zh-CN"/>
        </w:rPr>
        <w:t>90%</w:t>
      </w:r>
      <w:r>
        <w:rPr>
          <w:rFonts w:hint="eastAsia" w:ascii="Times New Roman" w:hAnsi="Times New Roman" w:eastAsia="宋体" w:cs="Times New Roman"/>
          <w:color w:val="auto"/>
          <w:kern w:val="0"/>
          <w:highlight w:val="none"/>
          <w:lang w:val="en-US" w:eastAsia="zh-CN"/>
        </w:rPr>
        <w:t>，</w:t>
      </w:r>
      <w:r>
        <w:rPr>
          <w:rFonts w:hint="default" w:ascii="Times New Roman" w:hAnsi="Times New Roman" w:eastAsia="宋体" w:cs="Times New Roman"/>
          <w:color w:val="auto"/>
          <w:kern w:val="0"/>
          <w:highlight w:val="none"/>
          <w:lang w:val="en-US" w:eastAsia="zh-CN"/>
        </w:rPr>
        <w:t>TN去除率</w:t>
      </w:r>
      <w:r>
        <w:rPr>
          <w:rFonts w:hint="eastAsia" w:ascii="Times New Roman" w:hAnsi="Times New Roman" w:eastAsia="宋体" w:cs="Times New Roman"/>
          <w:color w:val="auto"/>
          <w:kern w:val="0"/>
          <w:highlight w:val="none"/>
          <w:lang w:val="en-US" w:eastAsia="zh-CN"/>
        </w:rPr>
        <w:t>约为85</w:t>
      </w:r>
      <w:r>
        <w:rPr>
          <w:rFonts w:hint="default" w:ascii="Times New Roman" w:hAnsi="Times New Roman" w:eastAsia="宋体" w:cs="Times New Roman"/>
          <w:color w:val="auto"/>
          <w:kern w:val="0"/>
          <w:highlight w:val="none"/>
          <w:lang w:val="en-US" w:eastAsia="zh-CN"/>
        </w:rPr>
        <w:t>%</w:t>
      </w:r>
      <w:r>
        <w:rPr>
          <w:rFonts w:hint="eastAsia" w:ascii="Times New Roman" w:hAnsi="Times New Roman" w:eastAsia="宋体" w:cs="Times New Roman"/>
          <w:color w:val="auto"/>
          <w:kern w:val="0"/>
          <w:highlight w:val="none"/>
          <w:lang w:val="en-US" w:eastAsia="zh-CN"/>
        </w:rPr>
        <w:t>。</w:t>
      </w:r>
    </w:p>
    <w:p w14:paraId="1C2E68A7">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8.</w:t>
      </w:r>
      <w:r>
        <w:rPr>
          <w:rFonts w:hint="default" w:cs="Times New Roman"/>
          <w:color w:val="auto"/>
          <w:kern w:val="0"/>
          <w:highlight w:val="none"/>
          <w:lang w:val="en-GB" w:eastAsia="zh-CN"/>
        </w:rPr>
        <w:t>好氧池（接触氧化法）</w:t>
      </w:r>
    </w:p>
    <w:p w14:paraId="44E1ADD6">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cs="Times New Roman"/>
          <w:color w:val="auto"/>
          <w:kern w:val="0"/>
          <w:highlight w:val="none"/>
          <w:lang w:val="en-GB" w:eastAsia="zh-CN"/>
        </w:rPr>
      </w:pPr>
      <w:r>
        <w:rPr>
          <w:rFonts w:hint="default" w:cs="Times New Roman"/>
          <w:color w:val="auto"/>
          <w:kern w:val="0"/>
          <w:highlight w:val="none"/>
          <w:lang w:val="en-GB" w:eastAsia="zh-CN"/>
        </w:rPr>
        <w:t>彻底氧化分解剩余的有机物，并将氨氮转化为硝酸盐（硝化作用）。池内填充弹性填料，形成稳定的生物膜系统，抗冲击负荷能力强。通过鼓风机和曝气系统强制充氧，为好氧异养菌和硝化菌提供氧气。异养菌将有机物最终分解为CO₂和H₂O；硝化菌则将氨氮转化为亚硝酸盐和硝酸盐。</w:t>
      </w:r>
    </w:p>
    <w:p w14:paraId="7137F710">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9.</w:t>
      </w:r>
      <w:r>
        <w:rPr>
          <w:rFonts w:hint="default" w:cs="Times New Roman"/>
          <w:color w:val="auto"/>
          <w:kern w:val="0"/>
          <w:highlight w:val="none"/>
          <w:lang w:val="en-GB" w:eastAsia="zh-CN"/>
        </w:rPr>
        <w:t>沉淀池</w:t>
      </w:r>
    </w:p>
    <w:p w14:paraId="1046DCAF">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500" w:lineRule="exact"/>
        <w:ind w:left="0" w:leftChars="0" w:firstLine="480" w:firstLineChars="200"/>
        <w:textAlignment w:val="auto"/>
        <w:rPr>
          <w:rFonts w:hint="default" w:ascii="Times New Roman" w:hAnsi="Times New Roman" w:eastAsia="宋体" w:cs="Times New Roman"/>
          <w:color w:val="auto"/>
          <w:kern w:val="0"/>
          <w:highlight w:val="none"/>
          <w:lang w:val="en-GB" w:eastAsia="zh-CN"/>
        </w:rPr>
      </w:pPr>
      <w:r>
        <w:rPr>
          <w:rFonts w:hint="default" w:cs="Times New Roman"/>
          <w:color w:val="auto"/>
          <w:kern w:val="0"/>
          <w:highlight w:val="none"/>
          <w:lang w:val="en-GB" w:eastAsia="zh-CN"/>
        </w:rPr>
        <w:t>进行泥水分离，澄清好氧池出水。采用竖流式或辐流式沉淀池，控制表面负荷以确保沉降效果。脱落的生物膜（老化污泥）在此沉降。大部分沉降污泥通过污泥回流泵返回至水解酸化池或反硝化缺氧池，以维持系统内较高的生物量，保证处理效果</w:t>
      </w:r>
      <w:r>
        <w:rPr>
          <w:rFonts w:hint="default" w:ascii="Times New Roman" w:hAnsi="Times New Roman" w:eastAsia="宋体" w:cs="Times New Roman"/>
          <w:color w:val="auto"/>
          <w:kern w:val="0"/>
          <w:highlight w:val="none"/>
          <w:lang w:val="en-GB" w:eastAsia="zh-CN"/>
        </w:rPr>
        <w:t>。少量剩余污泥排入污泥浓缩池。</w:t>
      </w:r>
      <w:r>
        <w:rPr>
          <w:rFonts w:hint="eastAsia" w:ascii="Times New Roman" w:hAnsi="Times New Roman" w:eastAsia="宋体" w:cs="Times New Roman"/>
          <w:color w:val="auto"/>
          <w:kern w:val="0"/>
          <w:highlight w:val="none"/>
          <w:lang w:val="en-US" w:eastAsia="zh-CN"/>
        </w:rPr>
        <w:t>此单元</w:t>
      </w:r>
      <w:r>
        <w:rPr>
          <w:rFonts w:hint="default" w:ascii="Times New Roman" w:hAnsi="Times New Roman" w:eastAsia="宋体" w:cs="Times New Roman"/>
          <w:color w:val="auto"/>
          <w:kern w:val="0"/>
          <w:highlight w:val="none"/>
          <w:lang w:val="en-GB" w:eastAsia="zh-CN"/>
        </w:rPr>
        <w:t>SS去除率</w:t>
      </w:r>
      <w:r>
        <w:rPr>
          <w:rFonts w:hint="eastAsia" w:ascii="Times New Roman" w:hAnsi="Times New Roman" w:eastAsia="宋体" w:cs="Times New Roman"/>
          <w:color w:val="auto"/>
          <w:kern w:val="0"/>
          <w:highlight w:val="none"/>
          <w:lang w:val="en-US" w:eastAsia="zh-CN"/>
        </w:rPr>
        <w:t>约为90</w:t>
      </w:r>
      <w:r>
        <w:rPr>
          <w:rFonts w:hint="default" w:ascii="Times New Roman" w:hAnsi="Times New Roman" w:eastAsia="宋体" w:cs="Times New Roman"/>
          <w:color w:val="auto"/>
          <w:kern w:val="0"/>
          <w:highlight w:val="none"/>
          <w:lang w:val="en-GB" w:eastAsia="zh-CN"/>
        </w:rPr>
        <w:t>%</w:t>
      </w:r>
      <w:r>
        <w:rPr>
          <w:rFonts w:hint="eastAsia" w:ascii="Times New Roman" w:hAnsi="Times New Roman" w:eastAsia="宋体" w:cs="Times New Roman"/>
          <w:color w:val="auto"/>
          <w:kern w:val="0"/>
          <w:highlight w:val="none"/>
          <w:lang w:val="en-GB" w:eastAsia="zh-CN"/>
        </w:rPr>
        <w:t>。</w:t>
      </w:r>
    </w:p>
    <w:p w14:paraId="0086ED27">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500" w:lineRule="exact"/>
        <w:ind w:left="0" w:leftChars="0" w:firstLine="480" w:firstLineChars="200"/>
        <w:textAlignment w:val="auto"/>
        <w:rPr>
          <w:rFonts w:hint="eastAsia" w:ascii="Times New Roman" w:hAnsi="Times New Roman" w:eastAsia="宋体" w:cs="Times New Roman"/>
          <w:color w:val="auto"/>
          <w:kern w:val="0"/>
          <w:highlight w:val="none"/>
          <w:lang w:val="en-GB" w:eastAsia="zh-CN"/>
        </w:rPr>
      </w:pPr>
      <w:r>
        <w:rPr>
          <w:rFonts w:hint="eastAsia" w:cs="Times New Roman"/>
          <w:color w:val="auto"/>
          <w:kern w:val="0"/>
          <w:highlight w:val="none"/>
          <w:lang w:val="en-US" w:eastAsia="zh-CN"/>
        </w:rPr>
        <w:t>10.</w:t>
      </w:r>
      <w:r>
        <w:rPr>
          <w:rFonts w:hint="default" w:ascii="Times New Roman" w:hAnsi="Times New Roman" w:eastAsia="宋体" w:cs="Times New Roman"/>
          <w:color w:val="auto"/>
          <w:kern w:val="0"/>
          <w:highlight w:val="none"/>
          <w:lang w:val="en-GB" w:eastAsia="zh-CN"/>
        </w:rPr>
        <w:t>消毒池</w:t>
      </w:r>
    </w:p>
    <w:p w14:paraId="377D1B0E">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480" w:lineRule="exact"/>
        <w:ind w:left="0" w:leftChars="0" w:firstLine="480" w:firstLineChars="200"/>
        <w:textAlignment w:val="auto"/>
        <w:rPr>
          <w:rFonts w:hint="eastAsia" w:ascii="Times New Roman" w:hAnsi="Times New Roman" w:eastAsia="宋体" w:cs="Times New Roman"/>
          <w:color w:val="auto"/>
          <w:kern w:val="0"/>
          <w:highlight w:val="none"/>
          <w:lang w:val="en-US" w:eastAsia="zh-CN"/>
        </w:rPr>
      </w:pPr>
      <w:r>
        <w:rPr>
          <w:rFonts w:hint="default" w:ascii="Times New Roman" w:hAnsi="Times New Roman" w:eastAsia="宋体" w:cs="Times New Roman"/>
          <w:color w:val="auto"/>
          <w:kern w:val="0"/>
          <w:highlight w:val="none"/>
          <w:lang w:val="en-GB" w:eastAsia="zh-CN"/>
        </w:rPr>
        <w:t>屠宰废水含有大量致病菌，消毒是达标排放和防止公共卫生风险的必备步骤。采用次氯酸钠作为消毒剂。通过精确投加，有效杀灭废水中的大肠杆菌、沙门氏菌等病原体，确保出水粪大肠菌群数达标。</w:t>
      </w:r>
      <w:r>
        <w:rPr>
          <w:rFonts w:hint="eastAsia" w:ascii="Times New Roman" w:hAnsi="Times New Roman" w:eastAsia="宋体" w:cs="Times New Roman"/>
          <w:color w:val="auto"/>
          <w:kern w:val="0"/>
          <w:highlight w:val="none"/>
          <w:lang w:val="en-US" w:eastAsia="zh-CN"/>
        </w:rPr>
        <w:t>此单元粪大肠菌群数去除率约为99.9%。</w:t>
      </w:r>
    </w:p>
    <w:p w14:paraId="2EDE53D2">
      <w:pPr>
        <w:keepNext w:val="0"/>
        <w:keepLines w:val="0"/>
        <w:pageBreakBefore w:val="0"/>
        <w:widowControl/>
        <w:kinsoku/>
        <w:wordWrap/>
        <w:overflowPunct/>
        <w:topLinePunct w:val="0"/>
        <w:autoSpaceDE/>
        <w:autoSpaceDN/>
        <w:bidi w:val="0"/>
        <w:adjustRightInd w:val="0"/>
        <w:snapToGrid w:val="0"/>
        <w:spacing w:beforeAutospacing="0" w:afterAutospacing="0" w:line="480" w:lineRule="exact"/>
        <w:textAlignment w:val="auto"/>
        <w:rPr>
          <w:rFonts w:hint="eastAsia" w:cs="Times New Roman"/>
          <w:color w:val="auto"/>
          <w:kern w:val="0"/>
          <w:highlight w:val="none"/>
          <w:lang w:val="en-GB" w:eastAsia="zh-CN"/>
        </w:rPr>
      </w:pPr>
      <w:r>
        <w:rPr>
          <w:rFonts w:hint="eastAsia" w:cs="Times New Roman"/>
          <w:color w:val="auto"/>
          <w:kern w:val="0"/>
          <w:highlight w:val="none"/>
          <w:lang w:val="en-US" w:eastAsia="zh-CN"/>
        </w:rPr>
        <w:t>11.</w:t>
      </w:r>
      <w:r>
        <w:rPr>
          <w:rFonts w:hint="default" w:cs="Times New Roman"/>
          <w:color w:val="auto"/>
          <w:kern w:val="0"/>
          <w:highlight w:val="none"/>
          <w:lang w:val="en-GB" w:eastAsia="zh-CN"/>
        </w:rPr>
        <w:t>污泥处理系统</w:t>
      </w:r>
    </w:p>
    <w:p w14:paraId="22C74507">
      <w:pPr>
        <w:keepNext w:val="0"/>
        <w:keepLines w:val="0"/>
        <w:pageBreakBefore w:val="0"/>
        <w:widowControl/>
        <w:kinsoku/>
        <w:wordWrap/>
        <w:overflowPunct/>
        <w:topLinePunct w:val="0"/>
        <w:autoSpaceDE/>
        <w:autoSpaceDN/>
        <w:bidi w:val="0"/>
        <w:adjustRightInd w:val="0"/>
        <w:snapToGrid w:val="0"/>
        <w:spacing w:beforeAutospacing="0" w:afterAutospacing="0" w:line="500" w:lineRule="exact"/>
        <w:textAlignment w:val="auto"/>
        <w:rPr>
          <w:rFonts w:hint="eastAsia" w:cs="Times New Roman"/>
          <w:color w:val="auto"/>
          <w:kern w:val="0"/>
          <w:highlight w:val="none"/>
          <w:lang w:val="en-GB" w:eastAsia="zh-CN"/>
        </w:rPr>
      </w:pPr>
      <w:r>
        <w:rPr>
          <w:rFonts w:hint="default" w:cs="Times New Roman"/>
          <w:color w:val="auto"/>
          <w:kern w:val="0"/>
          <w:highlight w:val="none"/>
          <w:lang w:val="en-GB" w:eastAsia="zh-CN"/>
        </w:rPr>
        <w:t>浮渣进入干化场自然干化。剩余污泥在污泥浓缩池中减容后，由叠螺式污泥脱水机进行机械脱水。叠螺机适用于屠宰污泥粘稠、含油的特点，不易堵塞。脱水后形成的泥饼外运至专业机构处置。</w:t>
      </w:r>
    </w:p>
    <w:p w14:paraId="0663BC11">
      <w:pPr>
        <w:widowControl/>
        <w:spacing w:line="500" w:lineRule="exact"/>
        <w:rPr>
          <w:rFonts w:hint="eastAsia" w:cs="Times New Roman"/>
          <w:color w:val="auto"/>
          <w:kern w:val="0"/>
          <w:highlight w:val="none"/>
          <w:lang w:val="en-GB" w:eastAsia="zh-CN"/>
        </w:rPr>
      </w:pPr>
      <w:r>
        <w:rPr>
          <w:color w:val="auto"/>
          <w:highlight w:val="none"/>
        </w:rPr>
        <w:drawing>
          <wp:anchor distT="0" distB="0" distL="114300" distR="114300" simplePos="0" relativeHeight="251784192" behindDoc="0" locked="0" layoutInCell="1" allowOverlap="1">
            <wp:simplePos x="0" y="0"/>
            <wp:positionH relativeFrom="column">
              <wp:posOffset>184785</wp:posOffset>
            </wp:positionH>
            <wp:positionV relativeFrom="paragraph">
              <wp:posOffset>50800</wp:posOffset>
            </wp:positionV>
            <wp:extent cx="4834890" cy="7280910"/>
            <wp:effectExtent l="0" t="0" r="3810" b="15240"/>
            <wp:wrapNone/>
            <wp:docPr id="1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
                    <pic:cNvPicPr>
                      <a:picLocks noChangeAspect="1"/>
                    </pic:cNvPicPr>
                  </pic:nvPicPr>
                  <pic:blipFill>
                    <a:blip r:embed="rId47"/>
                    <a:stretch>
                      <a:fillRect/>
                    </a:stretch>
                  </pic:blipFill>
                  <pic:spPr>
                    <a:xfrm>
                      <a:off x="0" y="0"/>
                      <a:ext cx="4834890" cy="7280910"/>
                    </a:xfrm>
                    <a:prstGeom prst="rect">
                      <a:avLst/>
                    </a:prstGeom>
                    <a:noFill/>
                    <a:ln>
                      <a:noFill/>
                    </a:ln>
                  </pic:spPr>
                </pic:pic>
              </a:graphicData>
            </a:graphic>
          </wp:anchor>
        </w:drawing>
      </w:r>
    </w:p>
    <w:p w14:paraId="1B6A008D">
      <w:pPr>
        <w:widowControl/>
        <w:spacing w:line="500" w:lineRule="exact"/>
        <w:rPr>
          <w:rFonts w:hint="default" w:cs="Times New Roman"/>
          <w:color w:val="auto"/>
          <w:kern w:val="0"/>
          <w:highlight w:val="none"/>
          <w:lang w:val="en-US" w:eastAsia="zh-CN"/>
        </w:rPr>
      </w:pPr>
    </w:p>
    <w:p w14:paraId="082748CE">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39DF3CB7">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1337D238">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36CAF59E">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71E551F8">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7A6524C3">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6675796B">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2D27F15F">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7FFF5740">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26197C61">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51220089">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3BF225D5">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6FAB9F8A">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289C720C">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640873BB">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7DE850D2">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72CBB023">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55B9FEBB">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54B3614D">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2253FE82">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2965E100">
      <w:pPr>
        <w:widowControl/>
        <w:numPr>
          <w:ilvl w:val="0"/>
          <w:numId w:val="0"/>
        </w:numPr>
        <w:adjustRightInd w:val="0"/>
        <w:snapToGrid w:val="0"/>
        <w:spacing w:line="500" w:lineRule="exact"/>
        <w:jc w:val="both"/>
        <w:rPr>
          <w:rFonts w:hint="eastAsia" w:cs="Times New Roman"/>
          <w:bCs/>
          <w:color w:val="auto"/>
          <w:szCs w:val="24"/>
          <w:highlight w:val="none"/>
          <w:lang w:val="en-US" w:eastAsia="zh-CN"/>
        </w:rPr>
      </w:pPr>
    </w:p>
    <w:p w14:paraId="1222A1C8">
      <w:pPr>
        <w:pStyle w:val="66"/>
        <w:spacing w:before="163" w:beforeLines="50" w:line="240" w:lineRule="auto"/>
        <w:rPr>
          <w:rFonts w:eastAsia="宋体" w:cs="Times New Roman"/>
          <w:b/>
          <w:bCs/>
          <w:snapToGrid w:val="0"/>
          <w:color w:val="auto"/>
          <w:szCs w:val="24"/>
          <w:highlight w:val="none"/>
          <w:lang w:val="en-US"/>
        </w:rPr>
      </w:pPr>
      <w:r>
        <w:rPr>
          <w:rFonts w:eastAsia="宋体" w:cs="Times New Roman"/>
          <w:b/>
          <w:bCs/>
          <w:snapToGrid w:val="0"/>
          <w:color w:val="auto"/>
          <w:szCs w:val="24"/>
          <w:highlight w:val="none"/>
          <w:lang w:val="en-US"/>
        </w:rPr>
        <w:t>图5</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2-1  污水处理工艺流程图</w:t>
      </w:r>
    </w:p>
    <w:p w14:paraId="079307A6">
      <w:pPr>
        <w:widowControl/>
        <w:numPr>
          <w:ilvl w:val="0"/>
          <w:numId w:val="16"/>
        </w:numPr>
        <w:spacing w:line="500" w:lineRule="exact"/>
        <w:ind w:firstLine="482"/>
        <w:rPr>
          <w:rFonts w:eastAsia="宋体" w:cs="Times New Roman"/>
          <w:b/>
          <w:bCs/>
          <w:snapToGrid w:val="0"/>
          <w:color w:val="auto"/>
          <w:szCs w:val="24"/>
          <w:highlight w:val="none"/>
          <w:lang w:val="en-US"/>
        </w:rPr>
      </w:pPr>
      <w:r>
        <w:rPr>
          <w:rFonts w:cs="Times New Roman"/>
          <w:b/>
          <w:color w:val="auto"/>
          <w:szCs w:val="24"/>
          <w:highlight w:val="none"/>
        </w:rPr>
        <w:t>预期治理效果</w:t>
      </w:r>
    </w:p>
    <w:p w14:paraId="5ECBDAE8">
      <w:pPr>
        <w:pStyle w:val="66"/>
        <w:spacing w:before="163" w:beforeLines="50" w:line="240" w:lineRule="auto"/>
        <w:rPr>
          <w:rFonts w:eastAsia="宋体" w:cs="Times New Roman"/>
          <w:b/>
          <w:bCs/>
          <w:snapToGrid w:val="0"/>
          <w:color w:val="auto"/>
          <w:szCs w:val="24"/>
          <w:highlight w:val="none"/>
          <w:lang w:val="en-US"/>
        </w:rPr>
      </w:pPr>
      <w:r>
        <w:rPr>
          <w:rFonts w:eastAsia="宋体" w:cs="Times New Roman"/>
          <w:b/>
          <w:bCs/>
          <w:snapToGrid w:val="0"/>
          <w:color w:val="auto"/>
          <w:szCs w:val="24"/>
          <w:highlight w:val="none"/>
          <w:lang w:val="en-US"/>
        </w:rPr>
        <w:t>表5</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2-</w:t>
      </w:r>
      <w:r>
        <w:rPr>
          <w:rFonts w:hint="eastAsia" w:eastAsia="宋体" w:cs="Times New Roman"/>
          <w:b/>
          <w:bCs/>
          <w:snapToGrid w:val="0"/>
          <w:color w:val="auto"/>
          <w:szCs w:val="24"/>
          <w:highlight w:val="none"/>
          <w:lang w:val="en-US" w:eastAsia="zh-CN"/>
        </w:rPr>
        <w:t>4</w:t>
      </w:r>
      <w:r>
        <w:rPr>
          <w:rFonts w:eastAsia="宋体" w:cs="Times New Roman"/>
          <w:b/>
          <w:bCs/>
          <w:snapToGrid w:val="0"/>
          <w:color w:val="auto"/>
          <w:szCs w:val="24"/>
          <w:highlight w:val="none"/>
          <w:lang w:val="en-US"/>
        </w:rPr>
        <w:t xml:space="preserve">  污水处理站处理效果</w:t>
      </w:r>
    </w:p>
    <w:tbl>
      <w:tblPr>
        <w:tblStyle w:val="4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710"/>
        <w:gridCol w:w="1032"/>
        <w:gridCol w:w="709"/>
        <w:gridCol w:w="709"/>
        <w:gridCol w:w="709"/>
        <w:gridCol w:w="709"/>
        <w:gridCol w:w="796"/>
        <w:gridCol w:w="709"/>
        <w:gridCol w:w="709"/>
        <w:gridCol w:w="753"/>
        <w:gridCol w:w="878"/>
      </w:tblGrid>
      <w:tr w14:paraId="314C74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742" w:hRule="atLeast"/>
          <w:jc w:val="center"/>
        </w:trPr>
        <w:tc>
          <w:tcPr>
            <w:tcW w:w="1103" w:type="pct"/>
            <w:gridSpan w:val="2"/>
            <w:vAlign w:val="center"/>
          </w:tcPr>
          <w:p w14:paraId="5A3B1F4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项目</w:t>
            </w:r>
          </w:p>
        </w:tc>
        <w:tc>
          <w:tcPr>
            <w:tcW w:w="441" w:type="pct"/>
            <w:vAlign w:val="center"/>
          </w:tcPr>
          <w:p w14:paraId="0EF70EC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COD</w:t>
            </w:r>
          </w:p>
          <w:p w14:paraId="311038C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401" w:type="pct"/>
            <w:vAlign w:val="center"/>
          </w:tcPr>
          <w:p w14:paraId="5E5B6387">
            <w:pPr>
              <w:spacing w:line="240" w:lineRule="auto"/>
              <w:ind w:firstLine="0" w:firstLineChars="0"/>
              <w:jc w:val="center"/>
              <w:rPr>
                <w:rFonts w:cs="Times New Roman"/>
                <w:color w:val="auto"/>
                <w:sz w:val="21"/>
                <w:szCs w:val="21"/>
                <w:highlight w:val="none"/>
                <w:vertAlign w:val="subscript"/>
              </w:rPr>
            </w:pPr>
            <w:r>
              <w:rPr>
                <w:rFonts w:cs="Times New Roman"/>
                <w:color w:val="auto"/>
                <w:sz w:val="21"/>
                <w:szCs w:val="21"/>
                <w:highlight w:val="none"/>
              </w:rPr>
              <w:t>BOD</w:t>
            </w:r>
            <w:r>
              <w:rPr>
                <w:rFonts w:cs="Times New Roman"/>
                <w:color w:val="auto"/>
                <w:sz w:val="21"/>
                <w:szCs w:val="21"/>
                <w:highlight w:val="none"/>
                <w:vertAlign w:val="subscript"/>
              </w:rPr>
              <w:t>5</w:t>
            </w:r>
          </w:p>
          <w:p w14:paraId="0143902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390" w:type="pct"/>
            <w:vAlign w:val="center"/>
          </w:tcPr>
          <w:p w14:paraId="29DDA69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SS</w:t>
            </w:r>
          </w:p>
          <w:p w14:paraId="2E630BA7">
            <w:pPr>
              <w:spacing w:line="240" w:lineRule="auto"/>
              <w:ind w:firstLine="0" w:firstLineChars="0"/>
              <w:jc w:val="center"/>
              <w:rPr>
                <w:rFonts w:cs="Times New Roman"/>
                <w:color w:val="auto"/>
                <w:sz w:val="21"/>
                <w:szCs w:val="21"/>
                <w:highlight w:val="none"/>
                <w:vertAlign w:val="subscript"/>
              </w:rPr>
            </w:pPr>
            <w:r>
              <w:rPr>
                <w:rFonts w:cs="Times New Roman"/>
                <w:color w:val="auto"/>
                <w:sz w:val="21"/>
                <w:szCs w:val="21"/>
                <w:highlight w:val="none"/>
              </w:rPr>
              <w:t>(mg/L)</w:t>
            </w:r>
          </w:p>
        </w:tc>
        <w:tc>
          <w:tcPr>
            <w:tcW w:w="390" w:type="pct"/>
            <w:vAlign w:val="center"/>
          </w:tcPr>
          <w:p w14:paraId="072822BA">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氨氮</w:t>
            </w:r>
          </w:p>
          <w:p w14:paraId="17D6554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514" w:type="pct"/>
            <w:vAlign w:val="center"/>
          </w:tcPr>
          <w:p w14:paraId="26B6E7F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动植物油</w:t>
            </w:r>
          </w:p>
          <w:p w14:paraId="2CAF0AF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(mg/L)</w:t>
            </w:r>
          </w:p>
        </w:tc>
        <w:tc>
          <w:tcPr>
            <w:tcW w:w="408" w:type="pct"/>
            <w:vAlign w:val="center"/>
          </w:tcPr>
          <w:p w14:paraId="042C6ADD">
            <w:pPr>
              <w:pStyle w:val="303"/>
              <w:adjustRightInd w:val="0"/>
              <w:snapToGrid w:val="0"/>
              <w:spacing w:line="240" w:lineRule="auto"/>
              <w:rPr>
                <w:color w:val="auto"/>
                <w:sz w:val="21"/>
                <w:szCs w:val="21"/>
                <w:highlight w:val="none"/>
              </w:rPr>
            </w:pPr>
            <w:r>
              <w:rPr>
                <w:snapToGrid w:val="0"/>
                <w:color w:val="auto"/>
                <w:sz w:val="21"/>
                <w:szCs w:val="21"/>
                <w:highlight w:val="none"/>
              </w:rPr>
              <w:t>总氮</w:t>
            </w:r>
            <w:r>
              <w:rPr>
                <w:color w:val="auto"/>
                <w:sz w:val="21"/>
                <w:szCs w:val="21"/>
                <w:highlight w:val="none"/>
              </w:rPr>
              <w:t>(mg/L)</w:t>
            </w:r>
          </w:p>
        </w:tc>
        <w:tc>
          <w:tcPr>
            <w:tcW w:w="384" w:type="pct"/>
            <w:vAlign w:val="center"/>
          </w:tcPr>
          <w:p w14:paraId="22EFDD27">
            <w:pPr>
              <w:pStyle w:val="303"/>
              <w:adjustRightInd w:val="0"/>
              <w:snapToGrid w:val="0"/>
              <w:spacing w:line="240" w:lineRule="auto"/>
              <w:rPr>
                <w:color w:val="auto"/>
                <w:sz w:val="21"/>
                <w:szCs w:val="21"/>
                <w:highlight w:val="none"/>
              </w:rPr>
            </w:pPr>
            <w:r>
              <w:rPr>
                <w:snapToGrid w:val="0"/>
                <w:color w:val="auto"/>
                <w:sz w:val="21"/>
                <w:szCs w:val="21"/>
                <w:highlight w:val="none"/>
              </w:rPr>
              <w:t>总磷</w:t>
            </w:r>
            <w:r>
              <w:rPr>
                <w:color w:val="auto"/>
                <w:sz w:val="21"/>
                <w:szCs w:val="21"/>
                <w:highlight w:val="none"/>
              </w:rPr>
              <w:t>(mg/L)</w:t>
            </w:r>
          </w:p>
        </w:tc>
        <w:tc>
          <w:tcPr>
            <w:tcW w:w="457" w:type="pct"/>
            <w:vAlign w:val="center"/>
          </w:tcPr>
          <w:p w14:paraId="166DAA52">
            <w:pPr>
              <w:pStyle w:val="303"/>
              <w:adjustRightInd w:val="0"/>
              <w:snapToGrid w:val="0"/>
              <w:ind w:firstLine="0" w:firstLineChars="0"/>
              <w:rPr>
                <w:snapToGrid w:val="0"/>
                <w:color w:val="auto"/>
                <w:sz w:val="21"/>
                <w:szCs w:val="21"/>
                <w:highlight w:val="none"/>
              </w:rPr>
            </w:pPr>
            <w:r>
              <w:rPr>
                <w:rFonts w:hint="eastAsia" w:ascii="Times New Roman" w:hAnsi="Times New Roman" w:eastAsia="宋体" w:cs="Times New Roman"/>
                <w:color w:val="auto"/>
                <w:sz w:val="21"/>
                <w:szCs w:val="21"/>
                <w:highlight w:val="none"/>
                <w:lang w:val="en-US" w:eastAsia="zh-CN"/>
              </w:rPr>
              <w:t>pH值</w:t>
            </w:r>
          </w:p>
        </w:tc>
        <w:tc>
          <w:tcPr>
            <w:tcW w:w="506" w:type="pct"/>
            <w:vAlign w:val="center"/>
          </w:tcPr>
          <w:p w14:paraId="63FE74BA">
            <w:pPr>
              <w:pStyle w:val="303"/>
              <w:adjustRightInd w:val="0"/>
              <w:snapToGrid w:val="0"/>
              <w:ind w:firstLine="0" w:firstLineChars="0"/>
              <w:rPr>
                <w:snapToGrid w:val="0"/>
                <w:color w:val="auto"/>
                <w:sz w:val="21"/>
                <w:szCs w:val="21"/>
                <w:highlight w:val="none"/>
              </w:rPr>
            </w:pPr>
            <w:r>
              <w:rPr>
                <w:rFonts w:hint="eastAsia" w:ascii="Times New Roman" w:hAnsi="Times New Roman" w:eastAsia="宋体" w:cs="Times New Roman"/>
                <w:color w:val="auto"/>
                <w:sz w:val="21"/>
                <w:szCs w:val="21"/>
                <w:highlight w:val="none"/>
                <w:lang w:val="en-US" w:eastAsia="zh-CN"/>
              </w:rPr>
              <w:t>大肠菌群数</w:t>
            </w:r>
          </w:p>
        </w:tc>
      </w:tr>
      <w:tr w14:paraId="400C95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81" w:hRule="atLeast"/>
          <w:jc w:val="center"/>
        </w:trPr>
        <w:tc>
          <w:tcPr>
            <w:tcW w:w="456" w:type="pct"/>
            <w:vMerge w:val="restart"/>
            <w:vAlign w:val="center"/>
          </w:tcPr>
          <w:p w14:paraId="00F49161">
            <w:pPr>
              <w:spacing w:line="240" w:lineRule="auto"/>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调节池</w:t>
            </w:r>
            <w:r>
              <w:rPr>
                <w:rFonts w:cs="Times New Roman"/>
                <w:color w:val="auto"/>
                <w:sz w:val="21"/>
                <w:szCs w:val="21"/>
                <w:highlight w:val="none"/>
              </w:rPr>
              <w:t>+气浮+水解酸化</w:t>
            </w:r>
            <w:r>
              <w:rPr>
                <w:rFonts w:eastAsia="宋体" w:cs="Times New Roman"/>
                <w:color w:val="auto"/>
                <w:sz w:val="21"/>
                <w:szCs w:val="21"/>
                <w:highlight w:val="none"/>
              </w:rPr>
              <w:t>+</w:t>
            </w:r>
            <w:r>
              <w:rPr>
                <w:rFonts w:hint="eastAsia" w:eastAsia="宋体" w:cs="Times New Roman"/>
                <w:color w:val="auto"/>
                <w:sz w:val="21"/>
                <w:szCs w:val="21"/>
                <w:highlight w:val="none"/>
                <w:lang w:val="en-US" w:eastAsia="zh-CN"/>
              </w:rPr>
              <w:t>反硝化缺氧+好氧</w:t>
            </w:r>
          </w:p>
        </w:tc>
        <w:tc>
          <w:tcPr>
            <w:tcW w:w="647" w:type="pct"/>
            <w:vAlign w:val="center"/>
          </w:tcPr>
          <w:p w14:paraId="17071A77">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混合后水质</w:t>
            </w:r>
          </w:p>
        </w:tc>
        <w:tc>
          <w:tcPr>
            <w:tcW w:w="441" w:type="pct"/>
            <w:shd w:val="clear" w:color="auto" w:fill="auto"/>
            <w:vAlign w:val="center"/>
          </w:tcPr>
          <w:p w14:paraId="7864BC97">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2691</w:t>
            </w:r>
          </w:p>
        </w:tc>
        <w:tc>
          <w:tcPr>
            <w:tcW w:w="401" w:type="pct"/>
            <w:shd w:val="clear" w:color="auto" w:fill="auto"/>
            <w:vAlign w:val="center"/>
          </w:tcPr>
          <w:p w14:paraId="6430F147">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991</w:t>
            </w:r>
          </w:p>
        </w:tc>
        <w:tc>
          <w:tcPr>
            <w:tcW w:w="390" w:type="pct"/>
            <w:shd w:val="clear" w:color="auto" w:fill="auto"/>
            <w:vAlign w:val="center"/>
          </w:tcPr>
          <w:p w14:paraId="2A6C11B9">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992</w:t>
            </w:r>
          </w:p>
        </w:tc>
        <w:tc>
          <w:tcPr>
            <w:tcW w:w="390" w:type="pct"/>
            <w:shd w:val="clear" w:color="auto" w:fill="auto"/>
            <w:vAlign w:val="center"/>
          </w:tcPr>
          <w:p w14:paraId="105AF9A4">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85</w:t>
            </w:r>
          </w:p>
        </w:tc>
        <w:tc>
          <w:tcPr>
            <w:tcW w:w="514" w:type="pct"/>
            <w:shd w:val="clear" w:color="auto" w:fill="auto"/>
            <w:vAlign w:val="center"/>
          </w:tcPr>
          <w:p w14:paraId="4774F80B">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197</w:t>
            </w:r>
          </w:p>
        </w:tc>
        <w:tc>
          <w:tcPr>
            <w:tcW w:w="408" w:type="pct"/>
            <w:shd w:val="clear" w:color="auto" w:fill="auto"/>
            <w:vAlign w:val="center"/>
          </w:tcPr>
          <w:p w14:paraId="7304B1D9">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194</w:t>
            </w:r>
          </w:p>
        </w:tc>
        <w:tc>
          <w:tcPr>
            <w:tcW w:w="384" w:type="pct"/>
            <w:shd w:val="clear" w:color="auto" w:fill="auto"/>
            <w:vAlign w:val="center"/>
          </w:tcPr>
          <w:p w14:paraId="4B90FD89">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18</w:t>
            </w:r>
          </w:p>
        </w:tc>
        <w:tc>
          <w:tcPr>
            <w:tcW w:w="457" w:type="pct"/>
            <w:shd w:val="clear" w:color="auto" w:fill="auto"/>
            <w:vAlign w:val="center"/>
          </w:tcPr>
          <w:p w14:paraId="3895649A">
            <w:pPr>
              <w:pStyle w:val="303"/>
              <w:adjustRightInd w:val="0"/>
              <w:snapToGrid w:val="0"/>
              <w:ind w:firstLine="0" w:firstLineChars="0"/>
              <w:rPr>
                <w:rFonts w:hint="default" w:ascii="Times New Roman" w:hAnsi="Times New Roman" w:eastAsia="宋体" w:cs="Times New Roman"/>
                <w:color w:val="auto"/>
                <w:kern w:val="0"/>
                <w:sz w:val="21"/>
                <w:szCs w:val="21"/>
                <w:highlight w:val="none"/>
                <w:lang w:val="en-US" w:eastAsia="zh-CN" w:bidi="ar-SA"/>
              </w:rPr>
            </w:pPr>
            <w:r>
              <w:rPr>
                <w:rFonts w:hint="eastAsia" w:eastAsia="宋体" w:cs="Times New Roman"/>
                <w:color w:val="auto"/>
                <w:kern w:val="0"/>
                <w:sz w:val="21"/>
                <w:szCs w:val="21"/>
                <w:highlight w:val="none"/>
                <w:lang w:val="en-US" w:eastAsia="zh-CN" w:bidi="ar-SA"/>
              </w:rPr>
              <w:t>6.5~7.5</w:t>
            </w:r>
          </w:p>
        </w:tc>
        <w:tc>
          <w:tcPr>
            <w:tcW w:w="506" w:type="pct"/>
            <w:shd w:val="clear" w:color="auto" w:fill="auto"/>
            <w:vAlign w:val="center"/>
          </w:tcPr>
          <w:p w14:paraId="34BA2406">
            <w:pPr>
              <w:pStyle w:val="303"/>
              <w:adjustRightInd w:val="0"/>
              <w:snapToGrid w:val="0"/>
              <w:ind w:firstLine="0" w:firstLineChars="0"/>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3.83</w:t>
            </w:r>
            <w:r>
              <w:rPr>
                <w:rFonts w:cs="Times New Roman"/>
                <w:snapToGrid w:val="0"/>
                <w:color w:val="auto"/>
                <w:sz w:val="21"/>
                <w:szCs w:val="21"/>
                <w:highlight w:val="none"/>
                <w:lang w:val="zh-CN"/>
              </w:rPr>
              <w:t>×10</w:t>
            </w:r>
            <w:r>
              <w:rPr>
                <w:rFonts w:hint="eastAsia" w:cs="Times New Roman"/>
                <w:snapToGrid w:val="0"/>
                <w:color w:val="auto"/>
                <w:sz w:val="21"/>
                <w:szCs w:val="21"/>
                <w:highlight w:val="none"/>
                <w:vertAlign w:val="superscript"/>
                <w:lang w:val="en-US" w:eastAsia="zh-CN"/>
              </w:rPr>
              <w:t>5</w:t>
            </w:r>
          </w:p>
        </w:tc>
      </w:tr>
      <w:tr w14:paraId="4E9B9B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03" w:hRule="atLeast"/>
          <w:jc w:val="center"/>
        </w:trPr>
        <w:tc>
          <w:tcPr>
            <w:tcW w:w="456" w:type="pct"/>
            <w:vMerge w:val="continue"/>
            <w:vAlign w:val="center"/>
          </w:tcPr>
          <w:p w14:paraId="411E85A2">
            <w:pPr>
              <w:spacing w:line="240" w:lineRule="auto"/>
              <w:ind w:firstLine="0" w:firstLineChars="0"/>
              <w:jc w:val="center"/>
              <w:rPr>
                <w:rFonts w:cs="Times New Roman"/>
                <w:color w:val="auto"/>
                <w:sz w:val="21"/>
                <w:szCs w:val="21"/>
                <w:highlight w:val="none"/>
              </w:rPr>
            </w:pPr>
          </w:p>
        </w:tc>
        <w:tc>
          <w:tcPr>
            <w:tcW w:w="647" w:type="pct"/>
            <w:vAlign w:val="center"/>
          </w:tcPr>
          <w:p w14:paraId="6978641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去除率（%）</w:t>
            </w:r>
          </w:p>
        </w:tc>
        <w:tc>
          <w:tcPr>
            <w:tcW w:w="441" w:type="pct"/>
            <w:vAlign w:val="center"/>
          </w:tcPr>
          <w:p w14:paraId="4D6EF97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90</w:t>
            </w:r>
          </w:p>
        </w:tc>
        <w:tc>
          <w:tcPr>
            <w:tcW w:w="401" w:type="pct"/>
            <w:vAlign w:val="center"/>
          </w:tcPr>
          <w:p w14:paraId="4CB1EE79">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90</w:t>
            </w:r>
          </w:p>
        </w:tc>
        <w:tc>
          <w:tcPr>
            <w:tcW w:w="390" w:type="pct"/>
            <w:vAlign w:val="center"/>
          </w:tcPr>
          <w:p w14:paraId="2D71E7B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90</w:t>
            </w:r>
          </w:p>
        </w:tc>
        <w:tc>
          <w:tcPr>
            <w:tcW w:w="390" w:type="pct"/>
            <w:vAlign w:val="center"/>
          </w:tcPr>
          <w:p w14:paraId="589B5AD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60</w:t>
            </w:r>
          </w:p>
        </w:tc>
        <w:tc>
          <w:tcPr>
            <w:tcW w:w="514" w:type="pct"/>
            <w:vAlign w:val="center"/>
          </w:tcPr>
          <w:p w14:paraId="3C24734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75</w:t>
            </w:r>
          </w:p>
        </w:tc>
        <w:tc>
          <w:tcPr>
            <w:tcW w:w="408" w:type="pct"/>
            <w:vAlign w:val="center"/>
          </w:tcPr>
          <w:p w14:paraId="7426D07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75</w:t>
            </w:r>
          </w:p>
        </w:tc>
        <w:tc>
          <w:tcPr>
            <w:tcW w:w="384" w:type="pct"/>
            <w:vAlign w:val="center"/>
          </w:tcPr>
          <w:p w14:paraId="0828DC2F">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70</w:t>
            </w:r>
          </w:p>
        </w:tc>
        <w:tc>
          <w:tcPr>
            <w:tcW w:w="457" w:type="pct"/>
            <w:vAlign w:val="center"/>
          </w:tcPr>
          <w:p w14:paraId="5E1EFE9A">
            <w:pPr>
              <w:spacing w:line="240" w:lineRule="auto"/>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506" w:type="pct"/>
            <w:vAlign w:val="center"/>
          </w:tcPr>
          <w:p w14:paraId="05CC40E0">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r>
      <w:tr w14:paraId="794CB7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03" w:hRule="atLeast"/>
          <w:jc w:val="center"/>
        </w:trPr>
        <w:tc>
          <w:tcPr>
            <w:tcW w:w="456" w:type="pct"/>
            <w:vMerge w:val="continue"/>
            <w:vAlign w:val="center"/>
          </w:tcPr>
          <w:p w14:paraId="450F83DB">
            <w:pPr>
              <w:spacing w:line="240" w:lineRule="auto"/>
              <w:ind w:firstLine="0" w:firstLineChars="0"/>
              <w:jc w:val="center"/>
              <w:rPr>
                <w:rFonts w:cs="Times New Roman"/>
                <w:color w:val="auto"/>
                <w:sz w:val="21"/>
                <w:szCs w:val="21"/>
                <w:highlight w:val="none"/>
              </w:rPr>
            </w:pPr>
          </w:p>
        </w:tc>
        <w:tc>
          <w:tcPr>
            <w:tcW w:w="647" w:type="pct"/>
            <w:vAlign w:val="center"/>
          </w:tcPr>
          <w:p w14:paraId="3345FD81">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出水水质</w:t>
            </w:r>
          </w:p>
        </w:tc>
        <w:tc>
          <w:tcPr>
            <w:tcW w:w="441" w:type="pct"/>
            <w:vAlign w:val="center"/>
          </w:tcPr>
          <w:p w14:paraId="037EFEFC">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269</w:t>
            </w:r>
          </w:p>
        </w:tc>
        <w:tc>
          <w:tcPr>
            <w:tcW w:w="401" w:type="pct"/>
            <w:vAlign w:val="center"/>
          </w:tcPr>
          <w:p w14:paraId="26A68123">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390" w:type="pct"/>
            <w:vAlign w:val="center"/>
          </w:tcPr>
          <w:p w14:paraId="447A8352">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99</w:t>
            </w:r>
          </w:p>
        </w:tc>
        <w:tc>
          <w:tcPr>
            <w:tcW w:w="390" w:type="pct"/>
            <w:vAlign w:val="center"/>
          </w:tcPr>
          <w:p w14:paraId="0984D3CE">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34</w:t>
            </w:r>
          </w:p>
        </w:tc>
        <w:tc>
          <w:tcPr>
            <w:tcW w:w="514" w:type="pct"/>
            <w:vAlign w:val="center"/>
          </w:tcPr>
          <w:p w14:paraId="14162187">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49</w:t>
            </w:r>
          </w:p>
        </w:tc>
        <w:tc>
          <w:tcPr>
            <w:tcW w:w="408" w:type="pct"/>
            <w:vAlign w:val="center"/>
          </w:tcPr>
          <w:p w14:paraId="7032DE19">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49</w:t>
            </w:r>
          </w:p>
        </w:tc>
        <w:tc>
          <w:tcPr>
            <w:tcW w:w="384" w:type="pct"/>
            <w:vAlign w:val="center"/>
          </w:tcPr>
          <w:p w14:paraId="450FC7B4">
            <w:pPr>
              <w:spacing w:line="240" w:lineRule="auto"/>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457" w:type="pct"/>
            <w:vAlign w:val="center"/>
          </w:tcPr>
          <w:p w14:paraId="59E7CBEC">
            <w:pPr>
              <w:pStyle w:val="303"/>
              <w:adjustRightInd w:val="0"/>
              <w:snapToGrid w:val="0"/>
              <w:ind w:firstLine="0" w:firstLineChars="0"/>
              <w:rPr>
                <w:rFonts w:cs="Times New Roman"/>
                <w:color w:val="auto"/>
                <w:sz w:val="21"/>
                <w:szCs w:val="21"/>
                <w:highlight w:val="none"/>
              </w:rPr>
            </w:pPr>
            <w:r>
              <w:rPr>
                <w:rFonts w:hint="eastAsia" w:eastAsia="宋体" w:cs="Times New Roman"/>
                <w:color w:val="auto"/>
                <w:kern w:val="0"/>
                <w:sz w:val="21"/>
                <w:szCs w:val="21"/>
                <w:highlight w:val="none"/>
                <w:lang w:val="en-US" w:eastAsia="zh-CN" w:bidi="ar-SA"/>
              </w:rPr>
              <w:t>6.5~7.5</w:t>
            </w:r>
          </w:p>
        </w:tc>
        <w:tc>
          <w:tcPr>
            <w:tcW w:w="506" w:type="pct"/>
            <w:vAlign w:val="center"/>
          </w:tcPr>
          <w:p w14:paraId="782CE8CD">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3830</w:t>
            </w:r>
          </w:p>
        </w:tc>
      </w:tr>
      <w:tr w14:paraId="36F253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82" w:hRule="atLeast"/>
          <w:jc w:val="center"/>
        </w:trPr>
        <w:tc>
          <w:tcPr>
            <w:tcW w:w="1103" w:type="pct"/>
            <w:gridSpan w:val="2"/>
            <w:vAlign w:val="center"/>
          </w:tcPr>
          <w:p w14:paraId="1DEB80A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标准</w:t>
            </w:r>
          </w:p>
        </w:tc>
        <w:tc>
          <w:tcPr>
            <w:tcW w:w="441" w:type="pct"/>
            <w:vAlign w:val="center"/>
          </w:tcPr>
          <w:p w14:paraId="197BFAB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500</w:t>
            </w:r>
          </w:p>
        </w:tc>
        <w:tc>
          <w:tcPr>
            <w:tcW w:w="401" w:type="pct"/>
            <w:vAlign w:val="center"/>
          </w:tcPr>
          <w:p w14:paraId="7A94ED4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300</w:t>
            </w:r>
          </w:p>
        </w:tc>
        <w:tc>
          <w:tcPr>
            <w:tcW w:w="390" w:type="pct"/>
            <w:vAlign w:val="center"/>
          </w:tcPr>
          <w:p w14:paraId="698DC640">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400</w:t>
            </w:r>
          </w:p>
        </w:tc>
        <w:tc>
          <w:tcPr>
            <w:tcW w:w="390" w:type="pct"/>
            <w:vAlign w:val="center"/>
          </w:tcPr>
          <w:p w14:paraId="35FE873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45</w:t>
            </w:r>
          </w:p>
        </w:tc>
        <w:tc>
          <w:tcPr>
            <w:tcW w:w="514" w:type="pct"/>
            <w:vAlign w:val="center"/>
          </w:tcPr>
          <w:p w14:paraId="33CC6C9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60</w:t>
            </w:r>
          </w:p>
        </w:tc>
        <w:tc>
          <w:tcPr>
            <w:tcW w:w="408" w:type="pct"/>
            <w:vAlign w:val="center"/>
          </w:tcPr>
          <w:p w14:paraId="2EDB02F9">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70</w:t>
            </w:r>
          </w:p>
        </w:tc>
        <w:tc>
          <w:tcPr>
            <w:tcW w:w="384" w:type="pct"/>
            <w:vAlign w:val="center"/>
          </w:tcPr>
          <w:p w14:paraId="5E46DE08">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8</w:t>
            </w:r>
          </w:p>
        </w:tc>
        <w:tc>
          <w:tcPr>
            <w:tcW w:w="457" w:type="pct"/>
            <w:vAlign w:val="center"/>
          </w:tcPr>
          <w:p w14:paraId="60D9B4A5">
            <w:pPr>
              <w:spacing w:line="240" w:lineRule="auto"/>
              <w:ind w:firstLine="0" w:firstLineChars="0"/>
              <w:jc w:val="center"/>
              <w:rPr>
                <w:rFonts w:cs="Times New Roman"/>
                <w:color w:val="auto"/>
                <w:sz w:val="21"/>
                <w:szCs w:val="21"/>
                <w:highlight w:val="none"/>
              </w:rPr>
            </w:pPr>
            <w:r>
              <w:rPr>
                <w:rFonts w:ascii="Times New Roman" w:hAnsi="Times New Roman"/>
                <w:color w:val="auto"/>
                <w:sz w:val="21"/>
                <w:szCs w:val="21"/>
                <w:highlight w:val="none"/>
                <w:lang w:eastAsia="zh-CN"/>
              </w:rPr>
              <w:t>6.0-8.5</w:t>
            </w:r>
          </w:p>
        </w:tc>
        <w:tc>
          <w:tcPr>
            <w:tcW w:w="506" w:type="pct"/>
            <w:vAlign w:val="center"/>
          </w:tcPr>
          <w:p w14:paraId="1CA592E9">
            <w:pPr>
              <w:spacing w:line="240" w:lineRule="auto"/>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bl>
    <w:p w14:paraId="4100D6B2">
      <w:pPr>
        <w:widowControl/>
        <w:spacing w:line="500" w:lineRule="exact"/>
        <w:rPr>
          <w:rFonts w:hint="eastAsia" w:eastAsia="宋体" w:cs="Times New Roman"/>
          <w:bCs/>
          <w:color w:val="auto"/>
          <w:szCs w:val="24"/>
          <w:highlight w:val="none"/>
          <w:lang w:eastAsia="zh-CN"/>
        </w:rPr>
      </w:pPr>
      <w:r>
        <w:rPr>
          <w:rFonts w:cs="Times New Roman"/>
          <w:bCs/>
          <w:color w:val="auto"/>
          <w:szCs w:val="24"/>
          <w:highlight w:val="none"/>
        </w:rPr>
        <w:t>综上，</w:t>
      </w:r>
      <w:r>
        <w:rPr>
          <w:rFonts w:cs="Times New Roman"/>
          <w:color w:val="auto"/>
          <w:szCs w:val="24"/>
          <w:highlight w:val="none"/>
        </w:rPr>
        <w:t>本项目屠宰废水</w:t>
      </w:r>
      <w:r>
        <w:rPr>
          <w:rFonts w:hint="eastAsia" w:cs="Times New Roman"/>
          <w:color w:val="auto"/>
          <w:kern w:val="0"/>
          <w:highlight w:val="none"/>
          <w:lang w:eastAsia="zh-CN"/>
        </w:rPr>
        <w:t>、车辆冲洗水</w:t>
      </w:r>
      <w:r>
        <w:rPr>
          <w:rFonts w:cs="Times New Roman"/>
          <w:bCs/>
          <w:color w:val="auto"/>
          <w:szCs w:val="24"/>
          <w:highlight w:val="none"/>
        </w:rPr>
        <w:t>经</w:t>
      </w:r>
      <w:r>
        <w:rPr>
          <w:rFonts w:hint="eastAsia" w:cs="Times New Roman"/>
          <w:bCs/>
          <w:color w:val="auto"/>
          <w:szCs w:val="24"/>
          <w:highlight w:val="none"/>
          <w:lang w:val="en-US" w:eastAsia="zh-CN"/>
        </w:rPr>
        <w:t>上述</w:t>
      </w:r>
      <w:r>
        <w:rPr>
          <w:rFonts w:cs="Times New Roman"/>
          <w:bCs/>
          <w:color w:val="auto"/>
          <w:szCs w:val="24"/>
          <w:highlight w:val="none"/>
        </w:rPr>
        <w:t>措施处理后，</w:t>
      </w:r>
      <w:r>
        <w:rPr>
          <w:rFonts w:cs="Times New Roman"/>
          <w:color w:val="auto"/>
          <w:kern w:val="0"/>
          <w:highlight w:val="none"/>
        </w:rPr>
        <w:t>与生活污水一同经污水管网进入</w:t>
      </w:r>
      <w:r>
        <w:rPr>
          <w:rFonts w:hint="eastAsia" w:cs="Times New Roman"/>
          <w:color w:val="auto"/>
          <w:kern w:val="0"/>
          <w:highlight w:val="none"/>
          <w:lang w:val="en-GB" w:eastAsia="zh-CN"/>
        </w:rPr>
        <w:t>双鸭山市畅源排水有限公司</w:t>
      </w:r>
      <w:r>
        <w:rPr>
          <w:rFonts w:cs="Times New Roman"/>
          <w:color w:val="auto"/>
          <w:kern w:val="0"/>
          <w:highlight w:val="none"/>
        </w:rPr>
        <w:t>处理，处理达标后排放。</w:t>
      </w:r>
      <w:r>
        <w:rPr>
          <w:rFonts w:hint="eastAsia" w:cs="Times New Roman"/>
          <w:color w:val="auto"/>
          <w:kern w:val="0"/>
          <w:highlight w:val="none"/>
          <w:lang w:val="en-US" w:eastAsia="zh-CN"/>
        </w:rPr>
        <w:t>本项目废水排放口（</w:t>
      </w:r>
      <w:r>
        <w:rPr>
          <w:rFonts w:cs="Times New Roman"/>
          <w:color w:val="auto"/>
          <w:sz w:val="21"/>
          <w:szCs w:val="21"/>
          <w:highlight w:val="none"/>
        </w:rPr>
        <w:t>DW001</w:t>
      </w:r>
      <w:r>
        <w:rPr>
          <w:rFonts w:hint="eastAsia" w:cs="Times New Roman"/>
          <w:color w:val="auto"/>
          <w:kern w:val="0"/>
          <w:highlight w:val="none"/>
          <w:lang w:val="en-US" w:eastAsia="zh-CN"/>
        </w:rPr>
        <w:t>）废水</w:t>
      </w:r>
      <w:r>
        <w:rPr>
          <w:rFonts w:cs="Times New Roman"/>
          <w:color w:val="auto"/>
          <w:szCs w:val="24"/>
          <w:highlight w:val="none"/>
        </w:rPr>
        <w:t>满足《肉类加工工业水污染物排放标准》（GB13457-1992）表3中的畜类屠宰加工三级标准</w:t>
      </w:r>
      <w:r>
        <w:rPr>
          <w:rFonts w:hint="eastAsia" w:cs="Times New Roman"/>
          <w:bCs/>
          <w:color w:val="auto"/>
          <w:szCs w:val="24"/>
          <w:highlight w:val="none"/>
          <w:lang w:eastAsia="zh-CN"/>
        </w:rPr>
        <w:t>。</w:t>
      </w:r>
    </w:p>
    <w:p w14:paraId="1C8ECC06">
      <w:pPr>
        <w:spacing w:line="240" w:lineRule="auto"/>
        <w:ind w:firstLine="482"/>
        <w:jc w:val="center"/>
        <w:rPr>
          <w:rFonts w:cs="Times New Roman" w:eastAsiaTheme="minorEastAsia"/>
          <w:b/>
          <w:bCs/>
          <w:color w:val="auto"/>
          <w:szCs w:val="24"/>
          <w:highlight w:val="none"/>
        </w:rPr>
      </w:pPr>
      <w:r>
        <w:rPr>
          <w:rFonts w:cs="Times New Roman" w:eastAsiaTheme="minorEastAsia"/>
          <w:b/>
          <w:bCs/>
          <w:color w:val="auto"/>
          <w:szCs w:val="24"/>
          <w:highlight w:val="none"/>
        </w:rPr>
        <w:t>表5</w:t>
      </w:r>
      <w:r>
        <w:rPr>
          <w:rFonts w:hint="eastAsia" w:cs="Times New Roman" w:eastAsiaTheme="minorEastAsia"/>
          <w:b/>
          <w:bCs/>
          <w:color w:val="auto"/>
          <w:szCs w:val="24"/>
          <w:highlight w:val="none"/>
          <w:lang w:val="en-US" w:eastAsia="zh-CN"/>
        </w:rPr>
        <w:t>.</w:t>
      </w:r>
      <w:r>
        <w:rPr>
          <w:rFonts w:cs="Times New Roman" w:eastAsiaTheme="minorEastAsia"/>
          <w:b/>
          <w:bCs/>
          <w:color w:val="auto"/>
          <w:szCs w:val="24"/>
          <w:highlight w:val="none"/>
        </w:rPr>
        <w:t>2-</w:t>
      </w:r>
      <w:r>
        <w:rPr>
          <w:rFonts w:hint="eastAsia" w:cs="Times New Roman" w:eastAsiaTheme="minorEastAsia"/>
          <w:b/>
          <w:bCs/>
          <w:color w:val="auto"/>
          <w:szCs w:val="24"/>
          <w:highlight w:val="none"/>
          <w:lang w:val="en-US" w:eastAsia="zh-CN"/>
        </w:rPr>
        <w:t>5</w:t>
      </w:r>
      <w:r>
        <w:rPr>
          <w:rFonts w:cs="Times New Roman" w:eastAsiaTheme="minorEastAsia"/>
          <w:b/>
          <w:bCs/>
          <w:color w:val="auto"/>
          <w:szCs w:val="24"/>
          <w:highlight w:val="none"/>
        </w:rPr>
        <w:t xml:space="preserve">  废水污染物排放信息表</w:t>
      </w:r>
    </w:p>
    <w:tbl>
      <w:tblPr>
        <w:tblStyle w:val="47"/>
        <w:tblW w:w="871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75"/>
        <w:gridCol w:w="1018"/>
        <w:gridCol w:w="1331"/>
        <w:gridCol w:w="954"/>
        <w:gridCol w:w="1664"/>
        <w:gridCol w:w="1517"/>
        <w:gridCol w:w="919"/>
        <w:gridCol w:w="839"/>
      </w:tblGrid>
      <w:tr w14:paraId="6F3578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44" w:hRule="atLeast"/>
          <w:jc w:val="center"/>
        </w:trPr>
        <w:tc>
          <w:tcPr>
            <w:tcW w:w="475" w:type="dxa"/>
            <w:vAlign w:val="center"/>
          </w:tcPr>
          <w:p w14:paraId="2223723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1018" w:type="dxa"/>
            <w:vAlign w:val="center"/>
          </w:tcPr>
          <w:p w14:paraId="5EC0101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排放口编号</w:t>
            </w:r>
          </w:p>
        </w:tc>
        <w:tc>
          <w:tcPr>
            <w:tcW w:w="1331" w:type="dxa"/>
            <w:vAlign w:val="center"/>
          </w:tcPr>
          <w:p w14:paraId="3E13AB8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污染物种类</w:t>
            </w:r>
          </w:p>
        </w:tc>
        <w:tc>
          <w:tcPr>
            <w:tcW w:w="954" w:type="dxa"/>
            <w:vAlign w:val="center"/>
          </w:tcPr>
          <w:p w14:paraId="26E2186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排放浓度mg/L</w:t>
            </w:r>
          </w:p>
        </w:tc>
        <w:tc>
          <w:tcPr>
            <w:tcW w:w="1664" w:type="dxa"/>
            <w:vAlign w:val="center"/>
          </w:tcPr>
          <w:p w14:paraId="47CFBCC0">
            <w:pPr>
              <w:spacing w:line="360" w:lineRule="exact"/>
              <w:ind w:firstLine="0" w:firstLineChars="0"/>
              <w:jc w:val="center"/>
              <w:rPr>
                <w:rFonts w:cs="Times New Roman"/>
                <w:color w:val="auto"/>
                <w:sz w:val="21"/>
                <w:szCs w:val="21"/>
                <w:highlight w:val="none"/>
              </w:rPr>
            </w:pPr>
            <w:r>
              <w:rPr>
                <w:rFonts w:ascii="Times New Roman" w:hAnsi="Times New Roman"/>
                <w:color w:val="auto"/>
                <w:sz w:val="21"/>
                <w:szCs w:val="21"/>
                <w:highlight w:val="none"/>
                <w:lang w:eastAsia="zh-CN"/>
              </w:rPr>
              <w:t>GB13457-1992表3中畜类屠宰加工三级标准</w:t>
            </w:r>
          </w:p>
        </w:tc>
        <w:tc>
          <w:tcPr>
            <w:tcW w:w="1517" w:type="dxa"/>
            <w:vAlign w:val="center"/>
          </w:tcPr>
          <w:p w14:paraId="3CD46007">
            <w:pPr>
              <w:spacing w:line="360" w:lineRule="exact"/>
              <w:ind w:firstLine="0" w:firstLineChars="0"/>
              <w:jc w:val="center"/>
              <w:rPr>
                <w:rFonts w:ascii="Times New Roman" w:hAnsi="Times New Roman"/>
                <w:color w:val="auto"/>
                <w:sz w:val="21"/>
                <w:szCs w:val="21"/>
                <w:highlight w:val="none"/>
                <w:lang w:eastAsia="zh-CN"/>
              </w:rPr>
            </w:pPr>
            <w:r>
              <w:rPr>
                <w:rFonts w:hint="eastAsia" w:ascii="Times New Roman" w:hAnsi="Times New Roman"/>
                <w:color w:val="auto"/>
                <w:sz w:val="21"/>
                <w:szCs w:val="21"/>
                <w:highlight w:val="none"/>
                <w:lang w:val="en-GB" w:eastAsia="zh-CN"/>
              </w:rPr>
              <w:t>双鸭山市畅源排水有限公司</w:t>
            </w:r>
            <w:r>
              <w:rPr>
                <w:rFonts w:ascii="Times New Roman" w:hAnsi="Times New Roman"/>
                <w:color w:val="auto"/>
                <w:sz w:val="21"/>
                <w:szCs w:val="21"/>
                <w:highlight w:val="none"/>
                <w:lang w:val="en-GB" w:eastAsia="zh-CN"/>
              </w:rPr>
              <w:t>进水水质指标</w:t>
            </w:r>
          </w:p>
        </w:tc>
        <w:tc>
          <w:tcPr>
            <w:tcW w:w="919" w:type="dxa"/>
            <w:vAlign w:val="center"/>
          </w:tcPr>
          <w:p w14:paraId="08539022">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本项目排水</w:t>
            </w:r>
            <w:r>
              <w:rPr>
                <w:rFonts w:cs="Times New Roman"/>
                <w:color w:val="auto"/>
                <w:sz w:val="21"/>
                <w:szCs w:val="21"/>
                <w:highlight w:val="none"/>
              </w:rPr>
              <w:t>标准值mg/L</w:t>
            </w:r>
          </w:p>
        </w:tc>
        <w:tc>
          <w:tcPr>
            <w:tcW w:w="839" w:type="dxa"/>
            <w:vAlign w:val="center"/>
          </w:tcPr>
          <w:p w14:paraId="75D0EB7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年排放量t/a</w:t>
            </w:r>
          </w:p>
        </w:tc>
      </w:tr>
      <w:tr w14:paraId="2B595F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75" w:type="dxa"/>
            <w:vAlign w:val="center"/>
          </w:tcPr>
          <w:p w14:paraId="3B096E3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1018" w:type="dxa"/>
            <w:vMerge w:val="restart"/>
            <w:vAlign w:val="center"/>
          </w:tcPr>
          <w:p w14:paraId="4C9A55B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DW001</w:t>
            </w:r>
          </w:p>
        </w:tc>
        <w:tc>
          <w:tcPr>
            <w:tcW w:w="1331" w:type="dxa"/>
            <w:vAlign w:val="center"/>
          </w:tcPr>
          <w:p w14:paraId="625931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w:t>
            </w:r>
          </w:p>
        </w:tc>
        <w:tc>
          <w:tcPr>
            <w:tcW w:w="954" w:type="dxa"/>
            <w:vAlign w:val="center"/>
          </w:tcPr>
          <w:p w14:paraId="6D3AE6FC">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196</w:t>
            </w:r>
            <w:r>
              <w:rPr>
                <w:rFonts w:hint="eastAsia" w:ascii="Times New Roman" w:hAnsi="Times New Roman" w:eastAsia="宋体" w:cs="Times New Roman"/>
                <w:color w:val="auto"/>
                <w:sz w:val="21"/>
                <w:szCs w:val="21"/>
                <w:highlight w:val="none"/>
                <w:lang w:val="en-US" w:eastAsia="zh-CN"/>
              </w:rPr>
              <w:t xml:space="preserve"> </w:t>
            </w:r>
          </w:p>
        </w:tc>
        <w:tc>
          <w:tcPr>
            <w:tcW w:w="1664" w:type="dxa"/>
            <w:vAlign w:val="center"/>
          </w:tcPr>
          <w:p w14:paraId="436B708C">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500</w:t>
            </w:r>
          </w:p>
        </w:tc>
        <w:tc>
          <w:tcPr>
            <w:tcW w:w="1517" w:type="dxa"/>
            <w:vAlign w:val="center"/>
          </w:tcPr>
          <w:p w14:paraId="4413DF00">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500</w:t>
            </w:r>
          </w:p>
        </w:tc>
        <w:tc>
          <w:tcPr>
            <w:tcW w:w="919" w:type="dxa"/>
            <w:vAlign w:val="center"/>
          </w:tcPr>
          <w:p w14:paraId="59C961D3">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500</w:t>
            </w:r>
          </w:p>
        </w:tc>
        <w:tc>
          <w:tcPr>
            <w:tcW w:w="839" w:type="dxa"/>
            <w:vAlign w:val="center"/>
          </w:tcPr>
          <w:p w14:paraId="1BC24498">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19.1</w:t>
            </w:r>
          </w:p>
        </w:tc>
      </w:tr>
      <w:tr w14:paraId="2B2380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75" w:type="dxa"/>
            <w:vAlign w:val="center"/>
          </w:tcPr>
          <w:p w14:paraId="4E0C7F9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1018" w:type="dxa"/>
            <w:vMerge w:val="continue"/>
            <w:vAlign w:val="center"/>
          </w:tcPr>
          <w:p w14:paraId="000012ED">
            <w:pPr>
              <w:spacing w:line="360" w:lineRule="exact"/>
              <w:ind w:firstLine="0" w:firstLineChars="0"/>
              <w:jc w:val="center"/>
              <w:rPr>
                <w:rFonts w:cs="Times New Roman"/>
                <w:color w:val="auto"/>
                <w:sz w:val="21"/>
                <w:szCs w:val="21"/>
                <w:highlight w:val="none"/>
              </w:rPr>
            </w:pPr>
          </w:p>
        </w:tc>
        <w:tc>
          <w:tcPr>
            <w:tcW w:w="1331" w:type="dxa"/>
            <w:vAlign w:val="center"/>
          </w:tcPr>
          <w:p w14:paraId="6CE1CBE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BOD</w:t>
            </w:r>
            <w:r>
              <w:rPr>
                <w:rFonts w:cs="Times New Roman"/>
                <w:color w:val="auto"/>
                <w:sz w:val="21"/>
                <w:szCs w:val="21"/>
                <w:highlight w:val="none"/>
                <w:vertAlign w:val="subscript"/>
              </w:rPr>
              <w:t>5</w:t>
            </w:r>
          </w:p>
        </w:tc>
        <w:tc>
          <w:tcPr>
            <w:tcW w:w="954" w:type="dxa"/>
            <w:vAlign w:val="center"/>
          </w:tcPr>
          <w:p w14:paraId="1FA81E77">
            <w:pPr>
              <w:spacing w:line="360" w:lineRule="exact"/>
              <w:ind w:firstLine="0" w:firstLineChars="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75</w:t>
            </w:r>
          </w:p>
        </w:tc>
        <w:tc>
          <w:tcPr>
            <w:tcW w:w="1664" w:type="dxa"/>
            <w:vAlign w:val="center"/>
          </w:tcPr>
          <w:p w14:paraId="1DB3EEEE">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300</w:t>
            </w:r>
          </w:p>
        </w:tc>
        <w:tc>
          <w:tcPr>
            <w:tcW w:w="1517" w:type="dxa"/>
            <w:vAlign w:val="center"/>
          </w:tcPr>
          <w:p w14:paraId="445F5CD0">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300</w:t>
            </w:r>
          </w:p>
        </w:tc>
        <w:tc>
          <w:tcPr>
            <w:tcW w:w="919" w:type="dxa"/>
            <w:vAlign w:val="center"/>
          </w:tcPr>
          <w:p w14:paraId="5B5275BD">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300</w:t>
            </w:r>
          </w:p>
        </w:tc>
        <w:tc>
          <w:tcPr>
            <w:tcW w:w="839" w:type="dxa"/>
            <w:vAlign w:val="center"/>
          </w:tcPr>
          <w:p w14:paraId="70B82294">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7.03</w:t>
            </w:r>
          </w:p>
        </w:tc>
      </w:tr>
      <w:tr w14:paraId="285A5F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75" w:type="dxa"/>
            <w:vAlign w:val="center"/>
          </w:tcPr>
          <w:p w14:paraId="42EF2D1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w:t>
            </w:r>
          </w:p>
        </w:tc>
        <w:tc>
          <w:tcPr>
            <w:tcW w:w="1018" w:type="dxa"/>
            <w:vMerge w:val="continue"/>
            <w:vAlign w:val="center"/>
          </w:tcPr>
          <w:p w14:paraId="16B067F3">
            <w:pPr>
              <w:spacing w:line="360" w:lineRule="exact"/>
              <w:ind w:firstLine="0" w:firstLineChars="0"/>
              <w:jc w:val="center"/>
              <w:rPr>
                <w:rFonts w:cs="Times New Roman"/>
                <w:color w:val="auto"/>
                <w:sz w:val="21"/>
                <w:szCs w:val="21"/>
                <w:highlight w:val="none"/>
              </w:rPr>
            </w:pPr>
          </w:p>
        </w:tc>
        <w:tc>
          <w:tcPr>
            <w:tcW w:w="1331" w:type="dxa"/>
            <w:vAlign w:val="center"/>
          </w:tcPr>
          <w:p w14:paraId="141A8B6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SS</w:t>
            </w:r>
          </w:p>
        </w:tc>
        <w:tc>
          <w:tcPr>
            <w:tcW w:w="954" w:type="dxa"/>
            <w:vAlign w:val="center"/>
          </w:tcPr>
          <w:p w14:paraId="403DCED8">
            <w:pPr>
              <w:spacing w:line="360" w:lineRule="exact"/>
              <w:ind w:firstLine="0" w:firstLineChars="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78</w:t>
            </w:r>
          </w:p>
        </w:tc>
        <w:tc>
          <w:tcPr>
            <w:tcW w:w="1664" w:type="dxa"/>
            <w:vAlign w:val="center"/>
          </w:tcPr>
          <w:p w14:paraId="271017D3">
            <w:pPr>
              <w:pStyle w:val="413"/>
              <w:snapToGrid w:val="0"/>
              <w:spacing w:line="360" w:lineRule="exact"/>
              <w:ind w:firstLine="0" w:firstLineChars="0"/>
              <w:jc w:val="center"/>
              <w:rPr>
                <w:rFonts w:hint="eastAsia" w:cs="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400</w:t>
            </w:r>
          </w:p>
        </w:tc>
        <w:tc>
          <w:tcPr>
            <w:tcW w:w="1517" w:type="dxa"/>
            <w:vAlign w:val="center"/>
          </w:tcPr>
          <w:p w14:paraId="3D999723">
            <w:pPr>
              <w:pStyle w:val="413"/>
              <w:snapToGrid w:val="0"/>
              <w:spacing w:line="360" w:lineRule="exact"/>
              <w:ind w:firstLine="0" w:firstLineChars="0"/>
              <w:jc w:val="center"/>
              <w:rPr>
                <w:rFonts w:hint="eastAsia" w:cs="Times New Roman"/>
                <w:color w:val="auto"/>
                <w:sz w:val="21"/>
                <w:szCs w:val="21"/>
                <w:highlight w:val="none"/>
                <w:lang w:val="en-US" w:eastAsia="zh-CN"/>
              </w:rPr>
            </w:pPr>
            <w:r>
              <w:rPr>
                <w:rFonts w:ascii="Times New Roman" w:hAnsi="Times New Roman"/>
                <w:color w:val="auto"/>
                <w:sz w:val="21"/>
                <w:szCs w:val="21"/>
                <w:highlight w:val="none"/>
                <w:lang w:eastAsia="zh-CN"/>
              </w:rPr>
              <w:t>400</w:t>
            </w:r>
          </w:p>
        </w:tc>
        <w:tc>
          <w:tcPr>
            <w:tcW w:w="919" w:type="dxa"/>
            <w:vAlign w:val="center"/>
          </w:tcPr>
          <w:p w14:paraId="1E8DC90E">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400</w:t>
            </w:r>
          </w:p>
        </w:tc>
        <w:tc>
          <w:tcPr>
            <w:tcW w:w="839" w:type="dxa"/>
            <w:vAlign w:val="center"/>
          </w:tcPr>
          <w:p w14:paraId="5378D135">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7.03</w:t>
            </w:r>
          </w:p>
        </w:tc>
      </w:tr>
      <w:tr w14:paraId="0FDCE4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75" w:type="dxa"/>
            <w:vAlign w:val="center"/>
          </w:tcPr>
          <w:p w14:paraId="6C279F3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w:t>
            </w:r>
          </w:p>
        </w:tc>
        <w:tc>
          <w:tcPr>
            <w:tcW w:w="1018" w:type="dxa"/>
            <w:vMerge w:val="continue"/>
            <w:vAlign w:val="center"/>
          </w:tcPr>
          <w:p w14:paraId="6442BE62">
            <w:pPr>
              <w:spacing w:line="360" w:lineRule="exact"/>
              <w:ind w:firstLine="0" w:firstLineChars="0"/>
              <w:jc w:val="center"/>
              <w:rPr>
                <w:rFonts w:cs="Times New Roman"/>
                <w:color w:val="auto"/>
                <w:sz w:val="21"/>
                <w:szCs w:val="21"/>
                <w:highlight w:val="none"/>
              </w:rPr>
            </w:pPr>
          </w:p>
        </w:tc>
        <w:tc>
          <w:tcPr>
            <w:tcW w:w="1331" w:type="dxa"/>
            <w:vAlign w:val="center"/>
          </w:tcPr>
          <w:p w14:paraId="535CDC8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954" w:type="dxa"/>
            <w:vAlign w:val="center"/>
          </w:tcPr>
          <w:p w14:paraId="7364E30F">
            <w:pPr>
              <w:spacing w:line="360" w:lineRule="exact"/>
              <w:ind w:firstLine="0" w:firstLineChars="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28</w:t>
            </w:r>
          </w:p>
        </w:tc>
        <w:tc>
          <w:tcPr>
            <w:tcW w:w="1664" w:type="dxa"/>
            <w:vAlign w:val="center"/>
          </w:tcPr>
          <w:p w14:paraId="6A34AA80">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517" w:type="dxa"/>
            <w:vAlign w:val="center"/>
          </w:tcPr>
          <w:p w14:paraId="626F925A">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45</w:t>
            </w:r>
          </w:p>
        </w:tc>
        <w:tc>
          <w:tcPr>
            <w:tcW w:w="919" w:type="dxa"/>
            <w:vAlign w:val="center"/>
          </w:tcPr>
          <w:p w14:paraId="5BBD001B">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45</w:t>
            </w:r>
          </w:p>
        </w:tc>
        <w:tc>
          <w:tcPr>
            <w:tcW w:w="839" w:type="dxa"/>
            <w:vAlign w:val="center"/>
          </w:tcPr>
          <w:p w14:paraId="22F6EA0B">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2.41</w:t>
            </w:r>
          </w:p>
        </w:tc>
      </w:tr>
      <w:tr w14:paraId="23D284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75" w:type="dxa"/>
            <w:vAlign w:val="center"/>
          </w:tcPr>
          <w:p w14:paraId="16A3168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5</w:t>
            </w:r>
          </w:p>
        </w:tc>
        <w:tc>
          <w:tcPr>
            <w:tcW w:w="1018" w:type="dxa"/>
            <w:vMerge w:val="continue"/>
            <w:vAlign w:val="center"/>
          </w:tcPr>
          <w:p w14:paraId="53221150">
            <w:pPr>
              <w:spacing w:line="360" w:lineRule="exact"/>
              <w:ind w:firstLine="0" w:firstLineChars="0"/>
              <w:jc w:val="center"/>
              <w:rPr>
                <w:rFonts w:cs="Times New Roman"/>
                <w:color w:val="auto"/>
                <w:sz w:val="21"/>
                <w:szCs w:val="21"/>
                <w:highlight w:val="none"/>
              </w:rPr>
            </w:pPr>
          </w:p>
        </w:tc>
        <w:tc>
          <w:tcPr>
            <w:tcW w:w="1331" w:type="dxa"/>
            <w:vAlign w:val="center"/>
          </w:tcPr>
          <w:p w14:paraId="4706F02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动植物油</w:t>
            </w:r>
          </w:p>
        </w:tc>
        <w:tc>
          <w:tcPr>
            <w:tcW w:w="954" w:type="dxa"/>
            <w:vAlign w:val="center"/>
          </w:tcPr>
          <w:p w14:paraId="0E2C8F03">
            <w:pPr>
              <w:spacing w:line="360" w:lineRule="exact"/>
              <w:ind w:firstLine="0" w:firstLineChars="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50</w:t>
            </w:r>
          </w:p>
        </w:tc>
        <w:tc>
          <w:tcPr>
            <w:tcW w:w="1664" w:type="dxa"/>
            <w:vAlign w:val="center"/>
          </w:tcPr>
          <w:p w14:paraId="48C8FBA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60</w:t>
            </w:r>
          </w:p>
        </w:tc>
        <w:tc>
          <w:tcPr>
            <w:tcW w:w="1517" w:type="dxa"/>
            <w:vAlign w:val="center"/>
          </w:tcPr>
          <w:p w14:paraId="752DCC5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19" w:type="dxa"/>
            <w:vAlign w:val="center"/>
          </w:tcPr>
          <w:p w14:paraId="5FC2094B">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60</w:t>
            </w:r>
          </w:p>
        </w:tc>
        <w:tc>
          <w:tcPr>
            <w:tcW w:w="839" w:type="dxa"/>
            <w:vAlign w:val="center"/>
          </w:tcPr>
          <w:p w14:paraId="126019A1">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3.48</w:t>
            </w:r>
          </w:p>
        </w:tc>
      </w:tr>
      <w:tr w14:paraId="1F4F5C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475" w:type="dxa"/>
            <w:vAlign w:val="center"/>
          </w:tcPr>
          <w:p w14:paraId="6B52F28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6</w:t>
            </w:r>
          </w:p>
        </w:tc>
        <w:tc>
          <w:tcPr>
            <w:tcW w:w="1018" w:type="dxa"/>
            <w:vMerge w:val="continue"/>
            <w:vAlign w:val="center"/>
          </w:tcPr>
          <w:p w14:paraId="21D5ABDC">
            <w:pPr>
              <w:spacing w:line="360" w:lineRule="exact"/>
              <w:ind w:firstLine="0" w:firstLineChars="0"/>
              <w:jc w:val="center"/>
              <w:rPr>
                <w:rFonts w:cs="Times New Roman"/>
                <w:color w:val="auto"/>
                <w:sz w:val="21"/>
                <w:szCs w:val="21"/>
                <w:highlight w:val="none"/>
              </w:rPr>
            </w:pPr>
          </w:p>
        </w:tc>
        <w:tc>
          <w:tcPr>
            <w:tcW w:w="1331" w:type="dxa"/>
            <w:vAlign w:val="center"/>
          </w:tcPr>
          <w:p w14:paraId="07E1001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总氮</w:t>
            </w:r>
          </w:p>
        </w:tc>
        <w:tc>
          <w:tcPr>
            <w:tcW w:w="954" w:type="dxa"/>
            <w:vAlign w:val="center"/>
          </w:tcPr>
          <w:p w14:paraId="2296432A">
            <w:pPr>
              <w:spacing w:line="360" w:lineRule="exact"/>
              <w:ind w:firstLine="0" w:firstLineChars="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49</w:t>
            </w:r>
          </w:p>
        </w:tc>
        <w:tc>
          <w:tcPr>
            <w:tcW w:w="1664" w:type="dxa"/>
            <w:vAlign w:val="center"/>
          </w:tcPr>
          <w:p w14:paraId="26B5A4EA">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517" w:type="dxa"/>
            <w:vAlign w:val="center"/>
          </w:tcPr>
          <w:p w14:paraId="45A71014">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70</w:t>
            </w:r>
          </w:p>
        </w:tc>
        <w:tc>
          <w:tcPr>
            <w:tcW w:w="919" w:type="dxa"/>
            <w:vAlign w:val="center"/>
          </w:tcPr>
          <w:p w14:paraId="31503B36">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70</w:t>
            </w:r>
          </w:p>
        </w:tc>
        <w:tc>
          <w:tcPr>
            <w:tcW w:w="839" w:type="dxa"/>
            <w:vAlign w:val="center"/>
          </w:tcPr>
          <w:p w14:paraId="7FF07E65">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3.48</w:t>
            </w:r>
          </w:p>
        </w:tc>
      </w:tr>
      <w:tr w14:paraId="70C6F6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475" w:type="dxa"/>
            <w:vAlign w:val="center"/>
          </w:tcPr>
          <w:p w14:paraId="332D6BE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w:t>
            </w:r>
          </w:p>
        </w:tc>
        <w:tc>
          <w:tcPr>
            <w:tcW w:w="1018" w:type="dxa"/>
            <w:vMerge w:val="continue"/>
            <w:vAlign w:val="center"/>
          </w:tcPr>
          <w:p w14:paraId="220F6666">
            <w:pPr>
              <w:spacing w:line="360" w:lineRule="exact"/>
              <w:ind w:firstLine="0" w:firstLineChars="0"/>
              <w:jc w:val="center"/>
              <w:rPr>
                <w:rFonts w:cs="Times New Roman"/>
                <w:color w:val="auto"/>
                <w:sz w:val="21"/>
                <w:szCs w:val="21"/>
                <w:highlight w:val="none"/>
              </w:rPr>
            </w:pPr>
          </w:p>
        </w:tc>
        <w:tc>
          <w:tcPr>
            <w:tcW w:w="1331" w:type="dxa"/>
            <w:vAlign w:val="center"/>
          </w:tcPr>
          <w:p w14:paraId="080BCA0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总磷</w:t>
            </w:r>
          </w:p>
        </w:tc>
        <w:tc>
          <w:tcPr>
            <w:tcW w:w="954" w:type="dxa"/>
            <w:vAlign w:val="center"/>
          </w:tcPr>
          <w:p w14:paraId="068E6229">
            <w:pPr>
              <w:spacing w:line="360" w:lineRule="exact"/>
              <w:ind w:firstLine="0" w:firstLineChars="0"/>
              <w:jc w:val="center"/>
              <w:rPr>
                <w:rFonts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5</w:t>
            </w:r>
          </w:p>
        </w:tc>
        <w:tc>
          <w:tcPr>
            <w:tcW w:w="1664" w:type="dxa"/>
            <w:vAlign w:val="center"/>
          </w:tcPr>
          <w:p w14:paraId="6C392CA9">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517" w:type="dxa"/>
            <w:vAlign w:val="center"/>
          </w:tcPr>
          <w:p w14:paraId="6895AC0C">
            <w:pPr>
              <w:pStyle w:val="413"/>
              <w:snapToGrid w:val="0"/>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ascii="Times New Roman" w:hAnsi="Times New Roman"/>
                <w:color w:val="auto"/>
                <w:sz w:val="21"/>
                <w:szCs w:val="21"/>
                <w:highlight w:val="none"/>
                <w:lang w:eastAsia="zh-CN"/>
              </w:rPr>
              <w:t>8</w:t>
            </w:r>
          </w:p>
        </w:tc>
        <w:tc>
          <w:tcPr>
            <w:tcW w:w="919" w:type="dxa"/>
            <w:vAlign w:val="center"/>
          </w:tcPr>
          <w:p w14:paraId="6A345A58">
            <w:pPr>
              <w:spacing w:line="360" w:lineRule="exact"/>
              <w:ind w:firstLine="0" w:firstLineChars="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8</w:t>
            </w:r>
          </w:p>
        </w:tc>
        <w:tc>
          <w:tcPr>
            <w:tcW w:w="839" w:type="dxa"/>
            <w:vAlign w:val="center"/>
          </w:tcPr>
          <w:p w14:paraId="0E8A21B4">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0.36</w:t>
            </w:r>
          </w:p>
        </w:tc>
      </w:tr>
      <w:tr w14:paraId="01F4D9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475" w:type="dxa"/>
            <w:vAlign w:val="center"/>
          </w:tcPr>
          <w:p w14:paraId="72367E74">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w:t>
            </w:r>
          </w:p>
        </w:tc>
        <w:tc>
          <w:tcPr>
            <w:tcW w:w="1018" w:type="dxa"/>
            <w:vMerge w:val="continue"/>
            <w:vAlign w:val="center"/>
          </w:tcPr>
          <w:p w14:paraId="5FBCF844">
            <w:pPr>
              <w:spacing w:line="360" w:lineRule="exact"/>
              <w:ind w:firstLine="0" w:firstLineChars="0"/>
              <w:jc w:val="center"/>
              <w:rPr>
                <w:rFonts w:cs="Times New Roman"/>
                <w:color w:val="auto"/>
                <w:sz w:val="21"/>
                <w:szCs w:val="21"/>
                <w:highlight w:val="none"/>
              </w:rPr>
            </w:pPr>
          </w:p>
        </w:tc>
        <w:tc>
          <w:tcPr>
            <w:tcW w:w="1331" w:type="dxa"/>
            <w:vAlign w:val="center"/>
          </w:tcPr>
          <w:p w14:paraId="14B7EDD3">
            <w:pPr>
              <w:spacing w:line="360" w:lineRule="exact"/>
              <w:ind w:firstLine="0" w:firstLineChars="0"/>
              <w:jc w:val="center"/>
              <w:rPr>
                <w:rFonts w:hint="default" w:cs="Times New Roman"/>
                <w:color w:val="auto"/>
                <w:sz w:val="21"/>
                <w:szCs w:val="21"/>
                <w:highlight w:val="none"/>
                <w:lang w:val="en-US"/>
              </w:rPr>
            </w:pPr>
            <w:r>
              <w:rPr>
                <w:rFonts w:ascii="Times New Roman" w:hAnsi="Times New Roman"/>
                <w:color w:val="auto"/>
                <w:sz w:val="21"/>
                <w:szCs w:val="21"/>
                <w:highlight w:val="none"/>
                <w:lang w:eastAsia="zh-CN"/>
              </w:rPr>
              <w:t>pH</w:t>
            </w:r>
            <w:r>
              <w:rPr>
                <w:rFonts w:hint="eastAsia"/>
                <w:color w:val="auto"/>
                <w:sz w:val="21"/>
                <w:szCs w:val="21"/>
                <w:highlight w:val="none"/>
                <w:lang w:val="en-US" w:eastAsia="zh-CN"/>
              </w:rPr>
              <w:t>值</w:t>
            </w:r>
          </w:p>
        </w:tc>
        <w:tc>
          <w:tcPr>
            <w:tcW w:w="954" w:type="dxa"/>
            <w:vAlign w:val="center"/>
          </w:tcPr>
          <w:p w14:paraId="3186F2F0">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7.5</w:t>
            </w:r>
          </w:p>
        </w:tc>
        <w:tc>
          <w:tcPr>
            <w:tcW w:w="1664" w:type="dxa"/>
            <w:vAlign w:val="center"/>
          </w:tcPr>
          <w:p w14:paraId="705FD912">
            <w:pPr>
              <w:spacing w:line="360" w:lineRule="exact"/>
              <w:ind w:firstLine="0" w:firstLineChars="0"/>
              <w:jc w:val="center"/>
              <w:rPr>
                <w:rFonts w:hint="eastAsia"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6.0-8.5（无量纲</w:t>
            </w:r>
          </w:p>
        </w:tc>
        <w:tc>
          <w:tcPr>
            <w:tcW w:w="1517" w:type="dxa"/>
            <w:vAlign w:val="center"/>
          </w:tcPr>
          <w:p w14:paraId="74778A2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19" w:type="dxa"/>
            <w:vAlign w:val="center"/>
          </w:tcPr>
          <w:p w14:paraId="5A54C7FF">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839" w:type="dxa"/>
            <w:vAlign w:val="center"/>
          </w:tcPr>
          <w:p w14:paraId="752E5CF1">
            <w:pPr>
              <w:pStyle w:val="413"/>
              <w:snapToGrid w:val="0"/>
              <w:spacing w:line="360" w:lineRule="exact"/>
              <w:ind w:firstLine="0" w:firstLineChars="0"/>
              <w:jc w:val="center"/>
              <w:rPr>
                <w:rFonts w:hint="default" w:ascii="Times New Roman" w:hAnsi="Times New Roman"/>
                <w:color w:val="auto"/>
                <w:sz w:val="21"/>
                <w:szCs w:val="21"/>
                <w:highlight w:val="none"/>
                <w:lang w:val="en-US" w:eastAsia="zh-CN"/>
              </w:rPr>
            </w:pPr>
            <w:r>
              <w:rPr>
                <w:rFonts w:hint="eastAsia" w:ascii="Times New Roman" w:hAnsi="Times New Roman"/>
                <w:color w:val="auto"/>
                <w:sz w:val="21"/>
                <w:szCs w:val="21"/>
                <w:highlight w:val="none"/>
                <w:lang w:val="en-US" w:eastAsia="zh-CN"/>
              </w:rPr>
              <w:t>/</w:t>
            </w:r>
          </w:p>
        </w:tc>
      </w:tr>
      <w:tr w14:paraId="04F388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475" w:type="dxa"/>
            <w:vAlign w:val="center"/>
          </w:tcPr>
          <w:p w14:paraId="7CA5425A">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w:t>
            </w:r>
          </w:p>
        </w:tc>
        <w:tc>
          <w:tcPr>
            <w:tcW w:w="1018" w:type="dxa"/>
            <w:vMerge w:val="continue"/>
            <w:vAlign w:val="center"/>
          </w:tcPr>
          <w:p w14:paraId="6650CA44">
            <w:pPr>
              <w:spacing w:line="360" w:lineRule="exact"/>
              <w:ind w:firstLine="0" w:firstLineChars="0"/>
              <w:jc w:val="center"/>
              <w:rPr>
                <w:rFonts w:cs="Times New Roman"/>
                <w:color w:val="auto"/>
                <w:sz w:val="21"/>
                <w:szCs w:val="21"/>
                <w:highlight w:val="none"/>
              </w:rPr>
            </w:pPr>
          </w:p>
        </w:tc>
        <w:tc>
          <w:tcPr>
            <w:tcW w:w="1331" w:type="dxa"/>
            <w:vAlign w:val="center"/>
          </w:tcPr>
          <w:p w14:paraId="4D61CAB6">
            <w:pPr>
              <w:spacing w:line="360" w:lineRule="exact"/>
              <w:ind w:firstLine="0" w:firstLineChars="0"/>
              <w:jc w:val="center"/>
              <w:rPr>
                <w:rFonts w:cs="Times New Roman"/>
                <w:color w:val="auto"/>
                <w:sz w:val="21"/>
                <w:szCs w:val="21"/>
                <w:highlight w:val="none"/>
              </w:rPr>
            </w:pPr>
            <w:r>
              <w:rPr>
                <w:rFonts w:ascii="Times New Roman" w:hAnsi="Times New Roman"/>
                <w:color w:val="auto"/>
                <w:sz w:val="21"/>
                <w:szCs w:val="21"/>
                <w:highlight w:val="none"/>
                <w:lang w:eastAsia="zh-CN"/>
              </w:rPr>
              <w:t>大肠菌群数</w:t>
            </w:r>
          </w:p>
        </w:tc>
        <w:tc>
          <w:tcPr>
            <w:tcW w:w="954" w:type="dxa"/>
            <w:vAlign w:val="center"/>
          </w:tcPr>
          <w:p w14:paraId="7BB397B6">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3830</w:t>
            </w:r>
          </w:p>
        </w:tc>
        <w:tc>
          <w:tcPr>
            <w:tcW w:w="1664" w:type="dxa"/>
            <w:vAlign w:val="center"/>
          </w:tcPr>
          <w:p w14:paraId="54BC0097">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517" w:type="dxa"/>
            <w:vAlign w:val="center"/>
          </w:tcPr>
          <w:p w14:paraId="0A5165A3">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19" w:type="dxa"/>
            <w:vAlign w:val="center"/>
          </w:tcPr>
          <w:p w14:paraId="28A312E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839" w:type="dxa"/>
            <w:vAlign w:val="center"/>
          </w:tcPr>
          <w:p w14:paraId="23FDC98E">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bl>
    <w:p w14:paraId="4D54BB9A">
      <w:pPr>
        <w:widowControl/>
        <w:spacing w:line="500" w:lineRule="exact"/>
        <w:rPr>
          <w:rFonts w:cs="Times New Roman"/>
          <w:bCs/>
          <w:color w:val="auto"/>
          <w:szCs w:val="24"/>
          <w:highlight w:val="none"/>
        </w:rPr>
      </w:pPr>
      <w:r>
        <w:rPr>
          <w:rFonts w:cs="Times New Roman"/>
          <w:bCs/>
          <w:color w:val="auto"/>
          <w:szCs w:val="24"/>
          <w:highlight w:val="none"/>
        </w:rPr>
        <w:t>废水类别、污染物及污染治理设施信息表详见表5</w:t>
      </w:r>
      <w:r>
        <w:rPr>
          <w:rFonts w:hint="eastAsia" w:cs="Times New Roman"/>
          <w:bCs/>
          <w:color w:val="auto"/>
          <w:szCs w:val="24"/>
          <w:highlight w:val="none"/>
          <w:lang w:val="en-US" w:eastAsia="zh-CN"/>
        </w:rPr>
        <w:t>.</w:t>
      </w:r>
      <w:r>
        <w:rPr>
          <w:rFonts w:cs="Times New Roman"/>
          <w:bCs/>
          <w:color w:val="auto"/>
          <w:szCs w:val="24"/>
          <w:highlight w:val="none"/>
        </w:rPr>
        <w:t>2-</w:t>
      </w:r>
      <w:r>
        <w:rPr>
          <w:rFonts w:hint="eastAsia" w:cs="Times New Roman"/>
          <w:bCs/>
          <w:color w:val="auto"/>
          <w:szCs w:val="24"/>
          <w:highlight w:val="none"/>
          <w:lang w:val="en-US" w:eastAsia="zh-CN"/>
        </w:rPr>
        <w:t>6</w:t>
      </w:r>
      <w:r>
        <w:rPr>
          <w:rFonts w:cs="Times New Roman"/>
          <w:bCs/>
          <w:color w:val="auto"/>
          <w:szCs w:val="24"/>
          <w:highlight w:val="none"/>
        </w:rPr>
        <w:t>。</w:t>
      </w:r>
    </w:p>
    <w:p w14:paraId="15FA5B36">
      <w:pPr>
        <w:pStyle w:val="66"/>
        <w:spacing w:before="163" w:beforeLines="50" w:line="240" w:lineRule="auto"/>
        <w:rPr>
          <w:rFonts w:eastAsia="宋体" w:cs="Times New Roman"/>
          <w:b/>
          <w:bCs/>
          <w:snapToGrid w:val="0"/>
          <w:color w:val="auto"/>
          <w:szCs w:val="24"/>
          <w:highlight w:val="none"/>
          <w:lang w:val="en-US"/>
        </w:rPr>
      </w:pPr>
      <w:r>
        <w:rPr>
          <w:rFonts w:eastAsia="宋体" w:cs="Times New Roman"/>
          <w:b/>
          <w:bCs/>
          <w:snapToGrid w:val="0"/>
          <w:color w:val="auto"/>
          <w:szCs w:val="24"/>
          <w:highlight w:val="none"/>
          <w:lang w:val="en-US"/>
        </w:rPr>
        <w:t>表5</w:t>
      </w:r>
      <w:r>
        <w:rPr>
          <w:rFonts w:hint="eastAsia" w:eastAsia="宋体" w:cs="Times New Roman"/>
          <w:b/>
          <w:bCs/>
          <w:snapToGrid w:val="0"/>
          <w:color w:val="auto"/>
          <w:szCs w:val="24"/>
          <w:highlight w:val="none"/>
          <w:lang w:val="en-US" w:eastAsia="zh-CN"/>
        </w:rPr>
        <w:t>.</w:t>
      </w:r>
      <w:r>
        <w:rPr>
          <w:rFonts w:eastAsia="宋体" w:cs="Times New Roman"/>
          <w:b/>
          <w:bCs/>
          <w:snapToGrid w:val="0"/>
          <w:color w:val="auto"/>
          <w:szCs w:val="24"/>
          <w:highlight w:val="none"/>
          <w:lang w:val="en-US"/>
        </w:rPr>
        <w:t>2-</w:t>
      </w:r>
      <w:r>
        <w:rPr>
          <w:rFonts w:hint="eastAsia" w:eastAsia="宋体" w:cs="Times New Roman"/>
          <w:b/>
          <w:bCs/>
          <w:snapToGrid w:val="0"/>
          <w:color w:val="auto"/>
          <w:szCs w:val="24"/>
          <w:highlight w:val="none"/>
          <w:lang w:val="en-US" w:eastAsia="zh-CN"/>
        </w:rPr>
        <w:t>6</w:t>
      </w:r>
      <w:r>
        <w:rPr>
          <w:rFonts w:eastAsia="宋体" w:cs="Times New Roman"/>
          <w:b/>
          <w:bCs/>
          <w:snapToGrid w:val="0"/>
          <w:color w:val="auto"/>
          <w:szCs w:val="24"/>
          <w:highlight w:val="none"/>
          <w:lang w:val="en-US"/>
        </w:rPr>
        <w:t xml:space="preserve">  废水类别、污染物及污染治理设施信息表</w:t>
      </w:r>
    </w:p>
    <w:tbl>
      <w:tblPr>
        <w:tblStyle w:val="47"/>
        <w:tblW w:w="907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46"/>
        <w:gridCol w:w="872"/>
        <w:gridCol w:w="1075"/>
        <w:gridCol w:w="671"/>
        <w:gridCol w:w="517"/>
        <w:gridCol w:w="683"/>
        <w:gridCol w:w="713"/>
        <w:gridCol w:w="1332"/>
        <w:gridCol w:w="615"/>
        <w:gridCol w:w="861"/>
        <w:gridCol w:w="1291"/>
      </w:tblGrid>
      <w:tr w14:paraId="11390F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86" w:hRule="atLeast"/>
          <w:jc w:val="center"/>
        </w:trPr>
        <w:tc>
          <w:tcPr>
            <w:tcW w:w="446" w:type="dxa"/>
            <w:vMerge w:val="restart"/>
            <w:vAlign w:val="center"/>
          </w:tcPr>
          <w:p w14:paraId="07DBB061">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872" w:type="dxa"/>
            <w:vMerge w:val="restart"/>
            <w:vAlign w:val="center"/>
          </w:tcPr>
          <w:p w14:paraId="5E357561">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废水类别</w:t>
            </w:r>
          </w:p>
        </w:tc>
        <w:tc>
          <w:tcPr>
            <w:tcW w:w="1075" w:type="dxa"/>
            <w:vMerge w:val="restart"/>
            <w:vAlign w:val="center"/>
          </w:tcPr>
          <w:p w14:paraId="4227615E">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污染物种类</w:t>
            </w:r>
          </w:p>
        </w:tc>
        <w:tc>
          <w:tcPr>
            <w:tcW w:w="671" w:type="dxa"/>
            <w:vMerge w:val="restart"/>
            <w:vAlign w:val="center"/>
          </w:tcPr>
          <w:p w14:paraId="71526DE8">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排放去向</w:t>
            </w:r>
          </w:p>
        </w:tc>
        <w:tc>
          <w:tcPr>
            <w:tcW w:w="517" w:type="dxa"/>
            <w:vMerge w:val="restart"/>
            <w:vAlign w:val="center"/>
          </w:tcPr>
          <w:p w14:paraId="4F8C485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排放规律</w:t>
            </w:r>
          </w:p>
        </w:tc>
        <w:tc>
          <w:tcPr>
            <w:tcW w:w="2728" w:type="dxa"/>
            <w:gridSpan w:val="3"/>
            <w:vAlign w:val="center"/>
          </w:tcPr>
          <w:p w14:paraId="12A464B6">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污染治理设施</w:t>
            </w:r>
          </w:p>
        </w:tc>
        <w:tc>
          <w:tcPr>
            <w:tcW w:w="615" w:type="dxa"/>
            <w:vMerge w:val="restart"/>
            <w:vAlign w:val="center"/>
          </w:tcPr>
          <w:p w14:paraId="3E53DE52">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排放口编号</w:t>
            </w:r>
          </w:p>
        </w:tc>
        <w:tc>
          <w:tcPr>
            <w:tcW w:w="861" w:type="dxa"/>
            <w:vMerge w:val="restart"/>
            <w:vAlign w:val="center"/>
          </w:tcPr>
          <w:p w14:paraId="19C6A1B8">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排放口设置是否符合要求</w:t>
            </w:r>
          </w:p>
        </w:tc>
        <w:tc>
          <w:tcPr>
            <w:tcW w:w="1291" w:type="dxa"/>
            <w:vMerge w:val="restart"/>
            <w:vAlign w:val="center"/>
          </w:tcPr>
          <w:p w14:paraId="1F4BD88F">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排放口类型</w:t>
            </w:r>
          </w:p>
        </w:tc>
      </w:tr>
      <w:tr w14:paraId="0A392A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1432" w:hRule="atLeast"/>
          <w:jc w:val="center"/>
        </w:trPr>
        <w:tc>
          <w:tcPr>
            <w:tcW w:w="446" w:type="dxa"/>
            <w:vMerge w:val="continue"/>
            <w:vAlign w:val="center"/>
          </w:tcPr>
          <w:p w14:paraId="1C6A40C9">
            <w:pPr>
              <w:widowControl/>
              <w:spacing w:line="360" w:lineRule="atLeast"/>
              <w:ind w:firstLine="0" w:firstLineChars="0"/>
              <w:jc w:val="center"/>
              <w:rPr>
                <w:rFonts w:cs="Times New Roman"/>
                <w:color w:val="auto"/>
                <w:sz w:val="21"/>
                <w:szCs w:val="21"/>
                <w:highlight w:val="none"/>
              </w:rPr>
            </w:pPr>
          </w:p>
        </w:tc>
        <w:tc>
          <w:tcPr>
            <w:tcW w:w="872" w:type="dxa"/>
            <w:vMerge w:val="continue"/>
            <w:vAlign w:val="center"/>
          </w:tcPr>
          <w:p w14:paraId="3E21DFC8">
            <w:pPr>
              <w:widowControl/>
              <w:spacing w:line="360" w:lineRule="atLeast"/>
              <w:ind w:firstLine="0" w:firstLineChars="0"/>
              <w:jc w:val="center"/>
              <w:rPr>
                <w:rFonts w:cs="Times New Roman"/>
                <w:color w:val="auto"/>
                <w:sz w:val="21"/>
                <w:szCs w:val="21"/>
                <w:highlight w:val="none"/>
              </w:rPr>
            </w:pPr>
          </w:p>
        </w:tc>
        <w:tc>
          <w:tcPr>
            <w:tcW w:w="1075" w:type="dxa"/>
            <w:vMerge w:val="continue"/>
            <w:vAlign w:val="center"/>
          </w:tcPr>
          <w:p w14:paraId="5D419D97">
            <w:pPr>
              <w:widowControl/>
              <w:spacing w:line="360" w:lineRule="atLeast"/>
              <w:ind w:firstLine="0" w:firstLineChars="0"/>
              <w:jc w:val="center"/>
              <w:rPr>
                <w:rFonts w:cs="Times New Roman"/>
                <w:color w:val="auto"/>
                <w:sz w:val="21"/>
                <w:szCs w:val="21"/>
                <w:highlight w:val="none"/>
              </w:rPr>
            </w:pPr>
          </w:p>
        </w:tc>
        <w:tc>
          <w:tcPr>
            <w:tcW w:w="671" w:type="dxa"/>
            <w:vMerge w:val="continue"/>
            <w:vAlign w:val="center"/>
          </w:tcPr>
          <w:p w14:paraId="1E6ED107">
            <w:pPr>
              <w:widowControl/>
              <w:spacing w:line="360" w:lineRule="atLeast"/>
              <w:ind w:firstLine="0" w:firstLineChars="0"/>
              <w:jc w:val="center"/>
              <w:rPr>
                <w:rFonts w:cs="Times New Roman"/>
                <w:color w:val="auto"/>
                <w:sz w:val="21"/>
                <w:szCs w:val="21"/>
                <w:highlight w:val="none"/>
              </w:rPr>
            </w:pPr>
          </w:p>
        </w:tc>
        <w:tc>
          <w:tcPr>
            <w:tcW w:w="517" w:type="dxa"/>
            <w:vMerge w:val="continue"/>
            <w:vAlign w:val="center"/>
          </w:tcPr>
          <w:p w14:paraId="5D586797">
            <w:pPr>
              <w:widowControl/>
              <w:spacing w:line="360" w:lineRule="atLeast"/>
              <w:ind w:firstLine="0" w:firstLineChars="0"/>
              <w:jc w:val="center"/>
              <w:rPr>
                <w:rFonts w:cs="Times New Roman"/>
                <w:color w:val="auto"/>
                <w:sz w:val="21"/>
                <w:szCs w:val="21"/>
                <w:highlight w:val="none"/>
              </w:rPr>
            </w:pPr>
          </w:p>
        </w:tc>
        <w:tc>
          <w:tcPr>
            <w:tcW w:w="683" w:type="dxa"/>
            <w:vAlign w:val="center"/>
          </w:tcPr>
          <w:p w14:paraId="5A5F31B6">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污染治理设施编号</w:t>
            </w:r>
          </w:p>
        </w:tc>
        <w:tc>
          <w:tcPr>
            <w:tcW w:w="713" w:type="dxa"/>
            <w:vAlign w:val="center"/>
          </w:tcPr>
          <w:p w14:paraId="4F1AF7B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污染治理设施名称</w:t>
            </w:r>
          </w:p>
        </w:tc>
        <w:tc>
          <w:tcPr>
            <w:tcW w:w="1332" w:type="dxa"/>
            <w:vAlign w:val="center"/>
          </w:tcPr>
          <w:p w14:paraId="45D08D08">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污染治理设施工艺</w:t>
            </w:r>
          </w:p>
        </w:tc>
        <w:tc>
          <w:tcPr>
            <w:tcW w:w="615" w:type="dxa"/>
            <w:vMerge w:val="continue"/>
            <w:vAlign w:val="center"/>
          </w:tcPr>
          <w:p w14:paraId="0FD8468E">
            <w:pPr>
              <w:widowControl/>
              <w:spacing w:line="360" w:lineRule="atLeast"/>
              <w:ind w:firstLine="0" w:firstLineChars="0"/>
              <w:jc w:val="center"/>
              <w:rPr>
                <w:rFonts w:cs="Times New Roman"/>
                <w:color w:val="auto"/>
                <w:sz w:val="21"/>
                <w:szCs w:val="21"/>
                <w:highlight w:val="none"/>
              </w:rPr>
            </w:pPr>
          </w:p>
        </w:tc>
        <w:tc>
          <w:tcPr>
            <w:tcW w:w="861" w:type="dxa"/>
            <w:vMerge w:val="continue"/>
            <w:vAlign w:val="center"/>
          </w:tcPr>
          <w:p w14:paraId="3F602589">
            <w:pPr>
              <w:widowControl/>
              <w:spacing w:line="360" w:lineRule="atLeast"/>
              <w:ind w:firstLine="0" w:firstLineChars="0"/>
              <w:jc w:val="center"/>
              <w:rPr>
                <w:rFonts w:cs="Times New Roman"/>
                <w:color w:val="auto"/>
                <w:sz w:val="21"/>
                <w:szCs w:val="21"/>
                <w:highlight w:val="none"/>
              </w:rPr>
            </w:pPr>
          </w:p>
        </w:tc>
        <w:tc>
          <w:tcPr>
            <w:tcW w:w="1291" w:type="dxa"/>
            <w:vMerge w:val="continue"/>
            <w:vAlign w:val="center"/>
          </w:tcPr>
          <w:p w14:paraId="145F33DA">
            <w:pPr>
              <w:widowControl/>
              <w:spacing w:line="360" w:lineRule="atLeast"/>
              <w:ind w:firstLine="0" w:firstLineChars="0"/>
              <w:jc w:val="center"/>
              <w:rPr>
                <w:rFonts w:cs="Times New Roman"/>
                <w:color w:val="auto"/>
                <w:sz w:val="21"/>
                <w:szCs w:val="21"/>
                <w:highlight w:val="none"/>
              </w:rPr>
            </w:pPr>
          </w:p>
        </w:tc>
      </w:tr>
      <w:tr w14:paraId="24F0D3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498" w:hRule="atLeast"/>
          <w:jc w:val="center"/>
        </w:trPr>
        <w:tc>
          <w:tcPr>
            <w:tcW w:w="446" w:type="dxa"/>
            <w:vAlign w:val="center"/>
          </w:tcPr>
          <w:p w14:paraId="6CE2282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872" w:type="dxa"/>
            <w:vAlign w:val="center"/>
          </w:tcPr>
          <w:p w14:paraId="2DAE319E">
            <w:pPr>
              <w:spacing w:line="360" w:lineRule="atLeas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屠宰废水</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车辆冲洗水</w:t>
            </w:r>
          </w:p>
        </w:tc>
        <w:tc>
          <w:tcPr>
            <w:tcW w:w="1075" w:type="dxa"/>
            <w:vAlign w:val="center"/>
          </w:tcPr>
          <w:p w14:paraId="6DB52B7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COD</w:t>
            </w:r>
          </w:p>
          <w:p w14:paraId="6B568DB0">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氨氮</w:t>
            </w:r>
          </w:p>
          <w:p w14:paraId="49DBFBE1">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BOD</w:t>
            </w:r>
            <w:r>
              <w:rPr>
                <w:rFonts w:cs="Times New Roman"/>
                <w:color w:val="auto"/>
                <w:sz w:val="21"/>
                <w:szCs w:val="21"/>
                <w:highlight w:val="none"/>
                <w:vertAlign w:val="subscript"/>
              </w:rPr>
              <w:t>5</w:t>
            </w:r>
          </w:p>
          <w:p w14:paraId="0EF615C0">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SS</w:t>
            </w:r>
          </w:p>
          <w:p w14:paraId="7DF7D403">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动植物油</w:t>
            </w:r>
          </w:p>
          <w:p w14:paraId="577F004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总氮</w:t>
            </w:r>
          </w:p>
          <w:p w14:paraId="458CCC58">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总磷</w:t>
            </w:r>
          </w:p>
        </w:tc>
        <w:tc>
          <w:tcPr>
            <w:tcW w:w="671" w:type="dxa"/>
            <w:vMerge w:val="restart"/>
            <w:vAlign w:val="center"/>
          </w:tcPr>
          <w:p w14:paraId="31504516">
            <w:pPr>
              <w:spacing w:line="360" w:lineRule="atLeast"/>
              <w:ind w:firstLine="0" w:firstLineChars="0"/>
              <w:jc w:val="center"/>
              <w:rPr>
                <w:rFonts w:cs="Times New Roman"/>
                <w:color w:val="auto"/>
                <w:sz w:val="21"/>
                <w:szCs w:val="21"/>
                <w:highlight w:val="none"/>
              </w:rPr>
            </w:pPr>
            <w:r>
              <w:rPr>
                <w:rFonts w:hint="eastAsia" w:cs="Times New Roman"/>
                <w:color w:val="auto"/>
                <w:sz w:val="21"/>
                <w:szCs w:val="21"/>
                <w:highlight w:val="none"/>
                <w:lang w:val="en-GB" w:eastAsia="zh-CN"/>
              </w:rPr>
              <w:t>双鸭山市畅源排水有限公司</w:t>
            </w:r>
          </w:p>
        </w:tc>
        <w:tc>
          <w:tcPr>
            <w:tcW w:w="517" w:type="dxa"/>
            <w:vMerge w:val="restart"/>
            <w:vAlign w:val="center"/>
          </w:tcPr>
          <w:p w14:paraId="7DE8159E">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连续排放</w:t>
            </w:r>
          </w:p>
        </w:tc>
        <w:tc>
          <w:tcPr>
            <w:tcW w:w="683" w:type="dxa"/>
            <w:vAlign w:val="center"/>
          </w:tcPr>
          <w:p w14:paraId="35635F3D">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TW001</w:t>
            </w:r>
          </w:p>
        </w:tc>
        <w:tc>
          <w:tcPr>
            <w:tcW w:w="713" w:type="dxa"/>
            <w:vAlign w:val="center"/>
          </w:tcPr>
          <w:p w14:paraId="7A21404E">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综合污水处理站</w:t>
            </w:r>
          </w:p>
        </w:tc>
        <w:tc>
          <w:tcPr>
            <w:tcW w:w="1332" w:type="dxa"/>
            <w:vAlign w:val="center"/>
          </w:tcPr>
          <w:p w14:paraId="79770AD2">
            <w:pPr>
              <w:spacing w:line="360" w:lineRule="atLeast"/>
              <w:ind w:firstLine="0" w:firstLineChars="0"/>
              <w:jc w:val="center"/>
              <w:rPr>
                <w:rFonts w:cs="Times New Roman"/>
                <w:color w:val="auto"/>
                <w:sz w:val="21"/>
                <w:szCs w:val="21"/>
                <w:highlight w:val="none"/>
              </w:rPr>
            </w:pPr>
            <w:r>
              <w:rPr>
                <w:rFonts w:hint="eastAsia" w:eastAsia="宋体" w:cs="Times New Roman"/>
                <w:color w:val="auto"/>
                <w:sz w:val="21"/>
                <w:szCs w:val="21"/>
                <w:highlight w:val="none"/>
                <w:lang w:eastAsia="zh-CN"/>
              </w:rPr>
              <w:t>格栅+</w:t>
            </w:r>
            <w:r>
              <w:rPr>
                <w:rFonts w:hint="eastAsia" w:cs="Times New Roman"/>
                <w:color w:val="auto"/>
                <w:sz w:val="21"/>
                <w:szCs w:val="21"/>
                <w:highlight w:val="none"/>
                <w:lang w:val="en-US" w:eastAsia="zh-CN"/>
              </w:rPr>
              <w:t>隔油池+</w:t>
            </w:r>
            <w:r>
              <w:rPr>
                <w:rFonts w:hint="eastAsia" w:eastAsia="宋体" w:cs="Times New Roman"/>
                <w:color w:val="auto"/>
                <w:sz w:val="21"/>
                <w:szCs w:val="21"/>
                <w:highlight w:val="none"/>
                <w:lang w:val="en-US" w:eastAsia="zh-CN"/>
              </w:rPr>
              <w:t>调节池</w:t>
            </w:r>
            <w:r>
              <w:rPr>
                <w:rFonts w:hint="eastAsia" w:eastAsia="宋体" w:cs="Times New Roman"/>
                <w:color w:val="auto"/>
                <w:sz w:val="21"/>
                <w:szCs w:val="21"/>
                <w:highlight w:val="none"/>
                <w:lang w:eastAsia="zh-CN"/>
              </w:rPr>
              <w:t>+气浮+水解酸化+</w:t>
            </w:r>
            <w:r>
              <w:rPr>
                <w:rFonts w:hint="eastAsia" w:eastAsia="宋体" w:cs="Times New Roman"/>
                <w:color w:val="auto"/>
                <w:sz w:val="21"/>
                <w:szCs w:val="21"/>
                <w:highlight w:val="none"/>
                <w:lang w:val="en-US" w:eastAsia="zh-CN"/>
              </w:rPr>
              <w:t>反硝化缺氧+好氧</w:t>
            </w:r>
            <w:r>
              <w:rPr>
                <w:rFonts w:hint="eastAsia" w:eastAsia="宋体" w:cs="Times New Roman"/>
                <w:color w:val="auto"/>
                <w:sz w:val="21"/>
                <w:szCs w:val="21"/>
                <w:highlight w:val="none"/>
                <w:lang w:eastAsia="zh-CN"/>
              </w:rPr>
              <w:t>+沉淀+消毒（</w:t>
            </w:r>
            <w:r>
              <w:rPr>
                <w:rFonts w:hint="eastAsia" w:eastAsia="宋体" w:cs="Times New Roman"/>
                <w:color w:val="auto"/>
                <w:sz w:val="21"/>
                <w:szCs w:val="21"/>
                <w:highlight w:val="none"/>
                <w:lang w:val="en-US" w:eastAsia="zh-CN"/>
              </w:rPr>
              <w:t>次氯酸钠</w:t>
            </w:r>
            <w:r>
              <w:rPr>
                <w:rFonts w:hint="eastAsia" w:cs="Times New Roman"/>
                <w:color w:val="auto"/>
                <w:sz w:val="21"/>
                <w:szCs w:val="21"/>
                <w:highlight w:val="none"/>
                <w:lang w:val="en-US" w:eastAsia="zh-CN"/>
              </w:rPr>
              <w:t>）</w:t>
            </w:r>
          </w:p>
        </w:tc>
        <w:tc>
          <w:tcPr>
            <w:tcW w:w="615" w:type="dxa"/>
            <w:vMerge w:val="restart"/>
            <w:vAlign w:val="center"/>
          </w:tcPr>
          <w:p w14:paraId="4012D537">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DW001</w:t>
            </w:r>
          </w:p>
        </w:tc>
        <w:tc>
          <w:tcPr>
            <w:tcW w:w="861" w:type="dxa"/>
            <w:vMerge w:val="restart"/>
            <w:vAlign w:val="center"/>
          </w:tcPr>
          <w:p w14:paraId="07D6322D">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是</w:t>
            </w:r>
            <w:r>
              <w:rPr>
                <w:rFonts w:cs="Times New Roman"/>
                <w:bCs/>
                <w:color w:val="auto"/>
                <w:kern w:val="0"/>
                <w:sz w:val="21"/>
                <w:szCs w:val="21"/>
                <w:highlight w:val="none"/>
              </w:rPr>
              <w:sym w:font="Wingdings" w:char="00FE"/>
            </w:r>
          </w:p>
          <w:p w14:paraId="277AFC63">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否</w:t>
            </w:r>
            <w:r>
              <w:rPr>
                <w:rFonts w:cs="Times New Roman"/>
                <w:bCs/>
                <w:color w:val="auto"/>
                <w:kern w:val="0"/>
                <w:sz w:val="21"/>
                <w:szCs w:val="21"/>
                <w:highlight w:val="none"/>
              </w:rPr>
              <w:t>□</w:t>
            </w:r>
          </w:p>
        </w:tc>
        <w:tc>
          <w:tcPr>
            <w:tcW w:w="1291" w:type="dxa"/>
            <w:vMerge w:val="restart"/>
            <w:vAlign w:val="center"/>
          </w:tcPr>
          <w:p w14:paraId="6260EC44">
            <w:pPr>
              <w:spacing w:line="360" w:lineRule="atLeast"/>
              <w:ind w:firstLine="0" w:firstLineChars="0"/>
              <w:rPr>
                <w:rFonts w:cs="Times New Roman"/>
                <w:bCs/>
                <w:color w:val="auto"/>
                <w:kern w:val="0"/>
                <w:sz w:val="21"/>
                <w:szCs w:val="21"/>
                <w:highlight w:val="none"/>
              </w:rPr>
            </w:pPr>
            <w:r>
              <w:rPr>
                <w:rFonts w:cs="Times New Roman"/>
                <w:bCs/>
                <w:color w:val="auto"/>
                <w:kern w:val="0"/>
                <w:sz w:val="21"/>
                <w:szCs w:val="21"/>
                <w:highlight w:val="none"/>
              </w:rPr>
              <w:sym w:font="Wingdings" w:char="00FE"/>
            </w:r>
            <w:r>
              <w:rPr>
                <w:rFonts w:cs="Times New Roman"/>
                <w:bCs/>
                <w:color w:val="auto"/>
                <w:kern w:val="0"/>
                <w:sz w:val="21"/>
                <w:szCs w:val="21"/>
                <w:highlight w:val="none"/>
              </w:rPr>
              <w:t>企业总排</w:t>
            </w:r>
          </w:p>
          <w:p w14:paraId="09F5795E">
            <w:pPr>
              <w:spacing w:line="360" w:lineRule="atLeast"/>
              <w:ind w:firstLine="0" w:firstLineChars="0"/>
              <w:rPr>
                <w:rFonts w:cs="Times New Roman"/>
                <w:bCs/>
                <w:color w:val="auto"/>
                <w:kern w:val="0"/>
                <w:sz w:val="21"/>
                <w:szCs w:val="21"/>
                <w:highlight w:val="none"/>
              </w:rPr>
            </w:pPr>
            <w:r>
              <w:rPr>
                <w:rFonts w:hint="eastAsia" w:cs="Times New Roman"/>
                <w:bCs/>
                <w:color w:val="auto"/>
                <w:kern w:val="0"/>
                <w:sz w:val="21"/>
                <w:szCs w:val="21"/>
                <w:highlight w:val="none"/>
                <w:lang w:eastAsia="zh-CN"/>
              </w:rPr>
              <w:t>☑</w:t>
            </w:r>
            <w:r>
              <w:rPr>
                <w:rFonts w:cs="Times New Roman"/>
                <w:bCs/>
                <w:color w:val="auto"/>
                <w:kern w:val="0"/>
                <w:sz w:val="21"/>
                <w:szCs w:val="21"/>
                <w:highlight w:val="none"/>
              </w:rPr>
              <w:t>雨水总排</w:t>
            </w:r>
          </w:p>
          <w:p w14:paraId="6E492A95">
            <w:pPr>
              <w:spacing w:line="360" w:lineRule="atLeast"/>
              <w:ind w:firstLine="0" w:firstLineChars="0"/>
              <w:rPr>
                <w:rFonts w:cs="Times New Roman"/>
                <w:bCs/>
                <w:color w:val="auto"/>
                <w:kern w:val="0"/>
                <w:sz w:val="21"/>
                <w:szCs w:val="21"/>
                <w:highlight w:val="none"/>
              </w:rPr>
            </w:pPr>
            <w:r>
              <w:rPr>
                <w:rFonts w:cs="Times New Roman"/>
                <w:bCs/>
                <w:color w:val="auto"/>
                <w:kern w:val="0"/>
                <w:sz w:val="21"/>
                <w:szCs w:val="21"/>
                <w:highlight w:val="none"/>
              </w:rPr>
              <w:t>□清净下水排放</w:t>
            </w:r>
          </w:p>
          <w:p w14:paraId="74EE10A4">
            <w:pPr>
              <w:spacing w:line="360" w:lineRule="atLeast"/>
              <w:ind w:firstLine="0" w:firstLineChars="0"/>
              <w:rPr>
                <w:rFonts w:cs="Times New Roman"/>
                <w:bCs/>
                <w:color w:val="auto"/>
                <w:kern w:val="0"/>
                <w:sz w:val="21"/>
                <w:szCs w:val="21"/>
                <w:highlight w:val="none"/>
              </w:rPr>
            </w:pPr>
            <w:r>
              <w:rPr>
                <w:rFonts w:cs="Times New Roman"/>
                <w:bCs/>
                <w:color w:val="auto"/>
                <w:kern w:val="0"/>
                <w:sz w:val="21"/>
                <w:szCs w:val="21"/>
                <w:highlight w:val="none"/>
              </w:rPr>
              <w:t>□温排水排放</w:t>
            </w:r>
          </w:p>
          <w:p w14:paraId="0CADB234">
            <w:pPr>
              <w:spacing w:line="360" w:lineRule="atLeast"/>
              <w:ind w:firstLine="0" w:firstLineChars="0"/>
              <w:rPr>
                <w:rFonts w:cs="Times New Roman"/>
                <w:color w:val="auto"/>
                <w:sz w:val="21"/>
                <w:szCs w:val="21"/>
                <w:highlight w:val="none"/>
              </w:rPr>
            </w:pPr>
            <w:r>
              <w:rPr>
                <w:rFonts w:cs="Times New Roman"/>
                <w:bCs/>
                <w:color w:val="auto"/>
                <w:kern w:val="0"/>
                <w:sz w:val="21"/>
                <w:szCs w:val="21"/>
                <w:highlight w:val="none"/>
              </w:rPr>
              <w:t>□车间或车间处理设施排放口</w:t>
            </w:r>
          </w:p>
        </w:tc>
      </w:tr>
      <w:tr w14:paraId="0C6B5E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721" w:hRule="atLeast"/>
          <w:jc w:val="center"/>
        </w:trPr>
        <w:tc>
          <w:tcPr>
            <w:tcW w:w="446" w:type="dxa"/>
            <w:vAlign w:val="center"/>
          </w:tcPr>
          <w:p w14:paraId="1E6DE91F">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872" w:type="dxa"/>
            <w:vAlign w:val="center"/>
          </w:tcPr>
          <w:p w14:paraId="6E97CF12">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生活污水</w:t>
            </w:r>
          </w:p>
        </w:tc>
        <w:tc>
          <w:tcPr>
            <w:tcW w:w="1075" w:type="dxa"/>
            <w:vAlign w:val="center"/>
          </w:tcPr>
          <w:p w14:paraId="7536EFB3">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COD</w:t>
            </w:r>
          </w:p>
          <w:p w14:paraId="33823039">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671" w:type="dxa"/>
            <w:vMerge w:val="continue"/>
            <w:vAlign w:val="center"/>
          </w:tcPr>
          <w:p w14:paraId="16975EAA">
            <w:pPr>
              <w:spacing w:line="360" w:lineRule="atLeast"/>
              <w:ind w:firstLine="0" w:firstLineChars="0"/>
              <w:jc w:val="center"/>
              <w:rPr>
                <w:rFonts w:cs="Times New Roman"/>
                <w:color w:val="auto"/>
                <w:sz w:val="21"/>
                <w:szCs w:val="21"/>
                <w:highlight w:val="none"/>
                <w:lang w:val="en-GB"/>
              </w:rPr>
            </w:pPr>
          </w:p>
        </w:tc>
        <w:tc>
          <w:tcPr>
            <w:tcW w:w="517" w:type="dxa"/>
            <w:vMerge w:val="continue"/>
            <w:vAlign w:val="center"/>
          </w:tcPr>
          <w:p w14:paraId="1E671D81">
            <w:pPr>
              <w:spacing w:line="360" w:lineRule="atLeast"/>
              <w:ind w:firstLine="0" w:firstLineChars="0"/>
              <w:jc w:val="center"/>
              <w:rPr>
                <w:rFonts w:cs="Times New Roman"/>
                <w:color w:val="auto"/>
                <w:sz w:val="21"/>
                <w:szCs w:val="21"/>
                <w:highlight w:val="none"/>
              </w:rPr>
            </w:pPr>
          </w:p>
        </w:tc>
        <w:tc>
          <w:tcPr>
            <w:tcW w:w="683" w:type="dxa"/>
            <w:vAlign w:val="center"/>
          </w:tcPr>
          <w:p w14:paraId="199AE91A">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713" w:type="dxa"/>
            <w:vAlign w:val="center"/>
          </w:tcPr>
          <w:p w14:paraId="38C61040">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332" w:type="dxa"/>
            <w:vAlign w:val="center"/>
          </w:tcPr>
          <w:p w14:paraId="4991AE31">
            <w:pPr>
              <w:spacing w:line="360" w:lineRule="atLeast"/>
              <w:ind w:firstLine="0" w:firstLineChars="0"/>
              <w:jc w:val="center"/>
              <w:rPr>
                <w:rFonts w:cs="Times New Roman"/>
                <w:bCs/>
                <w:color w:val="auto"/>
                <w:sz w:val="21"/>
                <w:szCs w:val="21"/>
                <w:highlight w:val="none"/>
              </w:rPr>
            </w:pPr>
            <w:r>
              <w:rPr>
                <w:rFonts w:cs="Times New Roman"/>
                <w:bCs/>
                <w:color w:val="auto"/>
                <w:sz w:val="21"/>
                <w:szCs w:val="21"/>
                <w:highlight w:val="none"/>
              </w:rPr>
              <w:t>/</w:t>
            </w:r>
          </w:p>
        </w:tc>
        <w:tc>
          <w:tcPr>
            <w:tcW w:w="615" w:type="dxa"/>
            <w:vMerge w:val="continue"/>
            <w:vAlign w:val="center"/>
          </w:tcPr>
          <w:p w14:paraId="6A6A5D87">
            <w:pPr>
              <w:spacing w:line="360" w:lineRule="atLeast"/>
              <w:ind w:firstLine="0" w:firstLineChars="0"/>
              <w:jc w:val="center"/>
              <w:rPr>
                <w:rFonts w:cs="Times New Roman"/>
                <w:color w:val="auto"/>
                <w:sz w:val="21"/>
                <w:szCs w:val="21"/>
                <w:highlight w:val="none"/>
              </w:rPr>
            </w:pPr>
          </w:p>
        </w:tc>
        <w:tc>
          <w:tcPr>
            <w:tcW w:w="861" w:type="dxa"/>
            <w:vMerge w:val="continue"/>
            <w:vAlign w:val="center"/>
          </w:tcPr>
          <w:p w14:paraId="4DD97966">
            <w:pPr>
              <w:spacing w:line="360" w:lineRule="atLeast"/>
              <w:ind w:firstLine="0" w:firstLineChars="0"/>
              <w:jc w:val="center"/>
              <w:rPr>
                <w:rFonts w:cs="Times New Roman"/>
                <w:color w:val="auto"/>
                <w:sz w:val="21"/>
                <w:szCs w:val="21"/>
                <w:highlight w:val="none"/>
              </w:rPr>
            </w:pPr>
          </w:p>
        </w:tc>
        <w:tc>
          <w:tcPr>
            <w:tcW w:w="1291" w:type="dxa"/>
            <w:vMerge w:val="continue"/>
            <w:vAlign w:val="center"/>
          </w:tcPr>
          <w:p w14:paraId="44740938">
            <w:pPr>
              <w:spacing w:line="360" w:lineRule="atLeast"/>
              <w:ind w:firstLine="0" w:firstLineChars="0"/>
              <w:rPr>
                <w:rFonts w:cs="Times New Roman"/>
                <w:bCs/>
                <w:color w:val="auto"/>
                <w:kern w:val="0"/>
                <w:sz w:val="21"/>
                <w:szCs w:val="21"/>
                <w:highlight w:val="none"/>
              </w:rPr>
            </w:pPr>
          </w:p>
        </w:tc>
      </w:tr>
      <w:tr w14:paraId="338B67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721" w:hRule="atLeast"/>
          <w:jc w:val="center"/>
        </w:trPr>
        <w:tc>
          <w:tcPr>
            <w:tcW w:w="446" w:type="dxa"/>
            <w:vAlign w:val="center"/>
          </w:tcPr>
          <w:p w14:paraId="4D159DA1">
            <w:pPr>
              <w:spacing w:line="360" w:lineRule="atLeas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w:t>
            </w:r>
          </w:p>
        </w:tc>
        <w:tc>
          <w:tcPr>
            <w:tcW w:w="872" w:type="dxa"/>
            <w:vAlign w:val="center"/>
          </w:tcPr>
          <w:p w14:paraId="2C3876BC">
            <w:pPr>
              <w:spacing w:line="360" w:lineRule="atLeas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初期雨水</w:t>
            </w:r>
          </w:p>
        </w:tc>
        <w:tc>
          <w:tcPr>
            <w:tcW w:w="1075" w:type="dxa"/>
            <w:vAlign w:val="center"/>
          </w:tcPr>
          <w:p w14:paraId="45DFEE81">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COD</w:t>
            </w:r>
          </w:p>
          <w:p w14:paraId="363A6EAA">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氨氮</w:t>
            </w:r>
          </w:p>
          <w:p w14:paraId="71258EB4">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BOD</w:t>
            </w:r>
            <w:r>
              <w:rPr>
                <w:rFonts w:cs="Times New Roman"/>
                <w:color w:val="auto"/>
                <w:sz w:val="21"/>
                <w:szCs w:val="21"/>
                <w:highlight w:val="none"/>
                <w:vertAlign w:val="subscript"/>
              </w:rPr>
              <w:t>5</w:t>
            </w:r>
          </w:p>
          <w:p w14:paraId="59AF2C2C">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SS</w:t>
            </w:r>
          </w:p>
          <w:p w14:paraId="18ADDAD4">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动植物油</w:t>
            </w:r>
          </w:p>
          <w:p w14:paraId="44FE62DD">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总氮</w:t>
            </w:r>
          </w:p>
          <w:p w14:paraId="07392DB0">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总磷</w:t>
            </w:r>
          </w:p>
        </w:tc>
        <w:tc>
          <w:tcPr>
            <w:tcW w:w="671" w:type="dxa"/>
            <w:vMerge w:val="continue"/>
            <w:vAlign w:val="center"/>
          </w:tcPr>
          <w:p w14:paraId="73C35802">
            <w:pPr>
              <w:spacing w:line="360" w:lineRule="atLeast"/>
              <w:ind w:firstLine="0" w:firstLineChars="0"/>
              <w:jc w:val="center"/>
              <w:rPr>
                <w:rFonts w:cs="Times New Roman"/>
                <w:color w:val="auto"/>
                <w:sz w:val="21"/>
                <w:szCs w:val="21"/>
                <w:highlight w:val="none"/>
                <w:lang w:val="en-GB"/>
              </w:rPr>
            </w:pPr>
          </w:p>
        </w:tc>
        <w:tc>
          <w:tcPr>
            <w:tcW w:w="517" w:type="dxa"/>
            <w:vMerge w:val="continue"/>
            <w:vAlign w:val="center"/>
          </w:tcPr>
          <w:p w14:paraId="67A1A727">
            <w:pPr>
              <w:spacing w:line="360" w:lineRule="atLeast"/>
              <w:ind w:firstLine="0" w:firstLineChars="0"/>
              <w:jc w:val="center"/>
              <w:rPr>
                <w:rFonts w:cs="Times New Roman"/>
                <w:color w:val="auto"/>
                <w:sz w:val="21"/>
                <w:szCs w:val="21"/>
                <w:highlight w:val="none"/>
              </w:rPr>
            </w:pPr>
          </w:p>
        </w:tc>
        <w:tc>
          <w:tcPr>
            <w:tcW w:w="683" w:type="dxa"/>
            <w:shd w:val="clear" w:color="auto" w:fill="auto"/>
            <w:vAlign w:val="center"/>
          </w:tcPr>
          <w:p w14:paraId="40BC431E">
            <w:pPr>
              <w:spacing w:line="360" w:lineRule="atLeas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TW001</w:t>
            </w:r>
          </w:p>
        </w:tc>
        <w:tc>
          <w:tcPr>
            <w:tcW w:w="713" w:type="dxa"/>
            <w:shd w:val="clear" w:color="auto" w:fill="auto"/>
            <w:vAlign w:val="center"/>
          </w:tcPr>
          <w:p w14:paraId="42AC1CC1">
            <w:pPr>
              <w:spacing w:line="360" w:lineRule="atLeas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综合污水处理站</w:t>
            </w:r>
          </w:p>
        </w:tc>
        <w:tc>
          <w:tcPr>
            <w:tcW w:w="1332" w:type="dxa"/>
            <w:shd w:val="clear" w:color="auto" w:fill="auto"/>
            <w:vAlign w:val="center"/>
          </w:tcPr>
          <w:p w14:paraId="0AE6810A">
            <w:pPr>
              <w:spacing w:line="360" w:lineRule="atLeast"/>
              <w:ind w:firstLine="0" w:firstLineChars="0"/>
              <w:jc w:val="center"/>
              <w:rPr>
                <w:rFonts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sz w:val="21"/>
                <w:szCs w:val="21"/>
                <w:highlight w:val="none"/>
                <w:lang w:eastAsia="zh-CN"/>
              </w:rPr>
              <w:t>格栅+</w:t>
            </w:r>
            <w:r>
              <w:rPr>
                <w:rFonts w:hint="eastAsia" w:cs="Times New Roman"/>
                <w:color w:val="auto"/>
                <w:sz w:val="21"/>
                <w:szCs w:val="21"/>
                <w:highlight w:val="none"/>
                <w:lang w:val="en-US" w:eastAsia="zh-CN"/>
              </w:rPr>
              <w:t>隔油池+</w:t>
            </w:r>
            <w:r>
              <w:rPr>
                <w:rFonts w:hint="eastAsia" w:eastAsia="宋体" w:cs="Times New Roman"/>
                <w:color w:val="auto"/>
                <w:sz w:val="21"/>
                <w:szCs w:val="21"/>
                <w:highlight w:val="none"/>
                <w:lang w:val="en-US" w:eastAsia="zh-CN"/>
              </w:rPr>
              <w:t>调节池</w:t>
            </w:r>
            <w:r>
              <w:rPr>
                <w:rFonts w:hint="eastAsia" w:eastAsia="宋体" w:cs="Times New Roman"/>
                <w:color w:val="auto"/>
                <w:sz w:val="21"/>
                <w:szCs w:val="21"/>
                <w:highlight w:val="none"/>
                <w:lang w:eastAsia="zh-CN"/>
              </w:rPr>
              <w:t>+气浮+水解酸化+</w:t>
            </w:r>
            <w:r>
              <w:rPr>
                <w:rFonts w:hint="eastAsia" w:eastAsia="宋体" w:cs="Times New Roman"/>
                <w:color w:val="auto"/>
                <w:sz w:val="21"/>
                <w:szCs w:val="21"/>
                <w:highlight w:val="none"/>
                <w:lang w:val="en-US" w:eastAsia="zh-CN"/>
              </w:rPr>
              <w:t>反硝化缺氧+好氧</w:t>
            </w:r>
            <w:r>
              <w:rPr>
                <w:rFonts w:hint="eastAsia" w:eastAsia="宋体" w:cs="Times New Roman"/>
                <w:color w:val="auto"/>
                <w:sz w:val="21"/>
                <w:szCs w:val="21"/>
                <w:highlight w:val="none"/>
                <w:lang w:eastAsia="zh-CN"/>
              </w:rPr>
              <w:t>+沉淀+消毒（</w:t>
            </w:r>
            <w:r>
              <w:rPr>
                <w:rFonts w:hint="eastAsia" w:eastAsia="宋体" w:cs="Times New Roman"/>
                <w:color w:val="auto"/>
                <w:sz w:val="21"/>
                <w:szCs w:val="21"/>
                <w:highlight w:val="none"/>
                <w:lang w:val="en-US" w:eastAsia="zh-CN"/>
              </w:rPr>
              <w:t>次氯酸钠</w:t>
            </w:r>
            <w:r>
              <w:rPr>
                <w:rFonts w:hint="eastAsia" w:cs="Times New Roman"/>
                <w:color w:val="auto"/>
                <w:sz w:val="21"/>
                <w:szCs w:val="21"/>
                <w:highlight w:val="none"/>
                <w:lang w:val="en-US" w:eastAsia="zh-CN"/>
              </w:rPr>
              <w:t>）</w:t>
            </w:r>
          </w:p>
        </w:tc>
        <w:tc>
          <w:tcPr>
            <w:tcW w:w="615" w:type="dxa"/>
            <w:vMerge w:val="continue"/>
            <w:vAlign w:val="center"/>
          </w:tcPr>
          <w:p w14:paraId="58F67324">
            <w:pPr>
              <w:spacing w:line="360" w:lineRule="atLeast"/>
              <w:ind w:firstLine="0" w:firstLineChars="0"/>
              <w:jc w:val="center"/>
              <w:rPr>
                <w:rFonts w:cs="Times New Roman"/>
                <w:color w:val="auto"/>
                <w:sz w:val="21"/>
                <w:szCs w:val="21"/>
                <w:highlight w:val="none"/>
              </w:rPr>
            </w:pPr>
          </w:p>
        </w:tc>
        <w:tc>
          <w:tcPr>
            <w:tcW w:w="861" w:type="dxa"/>
            <w:vMerge w:val="continue"/>
            <w:vAlign w:val="center"/>
          </w:tcPr>
          <w:p w14:paraId="22EAF0FF">
            <w:pPr>
              <w:spacing w:line="360" w:lineRule="atLeast"/>
              <w:ind w:firstLine="0" w:firstLineChars="0"/>
              <w:jc w:val="center"/>
              <w:rPr>
                <w:rFonts w:cs="Times New Roman"/>
                <w:color w:val="auto"/>
                <w:sz w:val="21"/>
                <w:szCs w:val="21"/>
                <w:highlight w:val="none"/>
              </w:rPr>
            </w:pPr>
          </w:p>
        </w:tc>
        <w:tc>
          <w:tcPr>
            <w:tcW w:w="1291" w:type="dxa"/>
            <w:vMerge w:val="continue"/>
            <w:vAlign w:val="center"/>
          </w:tcPr>
          <w:p w14:paraId="30733B62">
            <w:pPr>
              <w:spacing w:line="360" w:lineRule="atLeast"/>
              <w:ind w:firstLine="0" w:firstLineChars="0"/>
              <w:rPr>
                <w:rFonts w:cs="Times New Roman"/>
                <w:bCs/>
                <w:color w:val="auto"/>
                <w:kern w:val="0"/>
                <w:sz w:val="21"/>
                <w:szCs w:val="21"/>
                <w:highlight w:val="none"/>
              </w:rPr>
            </w:pPr>
          </w:p>
        </w:tc>
      </w:tr>
    </w:tbl>
    <w:p w14:paraId="1F62E3F8">
      <w:pPr>
        <w:widowControl/>
        <w:spacing w:line="500" w:lineRule="exact"/>
        <w:rPr>
          <w:rFonts w:cs="Times New Roman"/>
          <w:color w:val="auto"/>
          <w:kern w:val="0"/>
          <w:highlight w:val="none"/>
        </w:rPr>
      </w:pPr>
      <w:r>
        <w:rPr>
          <w:rFonts w:cs="Times New Roman"/>
          <w:color w:val="auto"/>
          <w:kern w:val="0"/>
          <w:highlight w:val="none"/>
        </w:rPr>
        <w:t>根据《环境影响评价技术导则  地表水环境》（HJ2.3-2018），本项目为间接排放，评价等级为三级B，可不考虑评价时期、可不开展区域污染源调查，可不进行水环境影响预测，仅考虑其依托污水处理站环境可行性分析。</w:t>
      </w:r>
    </w:p>
    <w:p w14:paraId="36467658">
      <w:pPr>
        <w:widowControl/>
        <w:numPr>
          <w:ilvl w:val="0"/>
          <w:numId w:val="16"/>
        </w:numPr>
        <w:spacing w:line="500" w:lineRule="exact"/>
        <w:ind w:firstLine="482"/>
        <w:rPr>
          <w:rFonts w:cs="Times New Roman"/>
          <w:b/>
          <w:color w:val="auto"/>
          <w:szCs w:val="24"/>
          <w:highlight w:val="none"/>
        </w:rPr>
      </w:pPr>
      <w:r>
        <w:rPr>
          <w:rFonts w:cs="Times New Roman"/>
          <w:b/>
          <w:color w:val="auto"/>
          <w:szCs w:val="24"/>
          <w:highlight w:val="none"/>
        </w:rPr>
        <w:t>依托</w:t>
      </w:r>
      <w:r>
        <w:rPr>
          <w:rFonts w:hint="eastAsia" w:cs="Times New Roman"/>
          <w:b/>
          <w:color w:val="auto"/>
          <w:szCs w:val="24"/>
          <w:highlight w:val="none"/>
          <w:lang w:val="en-GB" w:eastAsia="zh-CN"/>
        </w:rPr>
        <w:t>双鸭山市畅源排水有限公司</w:t>
      </w:r>
      <w:r>
        <w:rPr>
          <w:rFonts w:cs="Times New Roman"/>
          <w:b/>
          <w:color w:val="auto"/>
          <w:szCs w:val="24"/>
          <w:highlight w:val="none"/>
          <w:lang w:val="en-GB"/>
        </w:rPr>
        <w:t>的</w:t>
      </w:r>
      <w:r>
        <w:rPr>
          <w:rFonts w:cs="Times New Roman"/>
          <w:b/>
          <w:color w:val="auto"/>
          <w:szCs w:val="24"/>
          <w:highlight w:val="none"/>
        </w:rPr>
        <w:t>可行性分析</w:t>
      </w:r>
    </w:p>
    <w:p w14:paraId="7855E93E">
      <w:pPr>
        <w:widowControl/>
        <w:spacing w:line="500" w:lineRule="exact"/>
        <w:rPr>
          <w:rFonts w:hint="eastAsia" w:cs="Times New Roman"/>
          <w:snapToGrid w:val="0"/>
          <w:color w:val="auto"/>
          <w:kern w:val="0"/>
          <w:highlight w:val="none"/>
          <w:lang w:val="en-US" w:eastAsia="zh-CN"/>
        </w:rPr>
      </w:pPr>
      <w:bookmarkStart w:id="302" w:name="_Hlk15372754"/>
      <w:r>
        <w:rPr>
          <w:rFonts w:hint="eastAsia" w:cs="Times New Roman"/>
          <w:snapToGrid w:val="0"/>
          <w:color w:val="auto"/>
          <w:highlight w:val="none"/>
          <w:lang w:val="en-GB" w:eastAsia="zh-CN"/>
        </w:rPr>
        <w:t>双鸭山市畅源排水有限公司</w:t>
      </w:r>
      <w:r>
        <w:rPr>
          <w:rFonts w:cs="Times New Roman"/>
          <w:snapToGrid w:val="0"/>
          <w:color w:val="auto"/>
          <w:highlight w:val="none"/>
        </w:rPr>
        <w:t>位于</w:t>
      </w:r>
      <w:r>
        <w:rPr>
          <w:rFonts w:hint="eastAsia" w:cs="Times New Roman"/>
          <w:snapToGrid w:val="0"/>
          <w:color w:val="auto"/>
          <w:highlight w:val="none"/>
        </w:rPr>
        <w:t>双鸭山市集贤县高丰村村西北(约2.5km)、哈同高速公路北侧3km、距离安邦河东岸堤坝坡脚20m处。</w:t>
      </w:r>
      <w:r>
        <w:rPr>
          <w:rFonts w:hint="eastAsia" w:cs="Times New Roman"/>
          <w:snapToGrid w:val="0"/>
          <w:color w:val="auto"/>
          <w:highlight w:val="none"/>
          <w:lang w:val="en-US" w:eastAsia="zh-CN"/>
        </w:rPr>
        <w:t>收水范围为双鸭山市居民生活污水及少量工业废水。</w:t>
      </w:r>
      <w:r>
        <w:rPr>
          <w:rFonts w:cs="Times New Roman"/>
          <w:snapToGrid w:val="0"/>
          <w:color w:val="auto"/>
          <w:highlight w:val="none"/>
          <w:lang w:val="en-US"/>
        </w:rPr>
        <w:t>污水处理厂</w:t>
      </w:r>
      <w:r>
        <w:rPr>
          <w:rFonts w:cs="Times New Roman"/>
          <w:snapToGrid w:val="0"/>
          <w:color w:val="auto"/>
          <w:highlight w:val="none"/>
        </w:rPr>
        <w:t>设计处理污水量为</w:t>
      </w:r>
      <w:r>
        <w:rPr>
          <w:rFonts w:hint="eastAsia" w:cs="Times New Roman"/>
          <w:snapToGrid w:val="0"/>
          <w:color w:val="auto"/>
          <w:highlight w:val="none"/>
          <w:lang w:val="en-US" w:eastAsia="zh-CN"/>
        </w:rPr>
        <w:t>5</w:t>
      </w:r>
      <w:r>
        <w:rPr>
          <w:rFonts w:cs="Times New Roman"/>
          <w:snapToGrid w:val="0"/>
          <w:color w:val="auto"/>
          <w:highlight w:val="none"/>
        </w:rPr>
        <w:t>0000m</w:t>
      </w:r>
      <w:r>
        <w:rPr>
          <w:rFonts w:cs="Times New Roman"/>
          <w:snapToGrid w:val="0"/>
          <w:color w:val="auto"/>
          <w:highlight w:val="none"/>
          <w:vertAlign w:val="superscript"/>
        </w:rPr>
        <w:t>3</w:t>
      </w:r>
      <w:r>
        <w:rPr>
          <w:rFonts w:cs="Times New Roman"/>
          <w:snapToGrid w:val="0"/>
          <w:color w:val="auto"/>
          <w:highlight w:val="none"/>
        </w:rPr>
        <w:t>/d，污水处理工艺：</w:t>
      </w:r>
      <w:r>
        <w:rPr>
          <w:rFonts w:hint="eastAsia" w:cs="Times New Roman"/>
          <w:snapToGrid w:val="0"/>
          <w:color w:val="auto"/>
          <w:highlight w:val="none"/>
          <w:lang w:val="en-US" w:eastAsia="zh-CN"/>
        </w:rPr>
        <w:t>采用A</w:t>
      </w:r>
      <w:r>
        <w:rPr>
          <w:rFonts w:hint="eastAsia" w:cs="Times New Roman"/>
          <w:snapToGrid w:val="0"/>
          <w:color w:val="auto"/>
          <w:highlight w:val="none"/>
          <w:vertAlign w:val="superscript"/>
          <w:lang w:val="en-US" w:eastAsia="zh-CN"/>
        </w:rPr>
        <w:t>2</w:t>
      </w:r>
      <w:r>
        <w:rPr>
          <w:rFonts w:hint="eastAsia" w:cs="Times New Roman"/>
          <w:snapToGrid w:val="0"/>
          <w:color w:val="auto"/>
          <w:highlight w:val="none"/>
          <w:lang w:val="en-US" w:eastAsia="zh-CN"/>
        </w:rPr>
        <w:t>O处理工艺</w:t>
      </w:r>
      <w:r>
        <w:rPr>
          <w:rFonts w:cs="Times New Roman"/>
          <w:snapToGrid w:val="0"/>
          <w:color w:val="auto"/>
          <w:highlight w:val="none"/>
        </w:rPr>
        <w:t>，处理后出水水质达到《城镇污水处理厂污染物排放标准》中的一级A标准后排入</w:t>
      </w:r>
      <w:r>
        <w:rPr>
          <w:rFonts w:hint="eastAsia" w:cs="Times New Roman"/>
          <w:snapToGrid w:val="0"/>
          <w:color w:val="auto"/>
          <w:highlight w:val="none"/>
          <w:lang w:val="en-US" w:eastAsia="zh-CN"/>
        </w:rPr>
        <w:t>安邦河</w:t>
      </w:r>
      <w:r>
        <w:rPr>
          <w:rFonts w:hint="eastAsia" w:cs="Times New Roman"/>
          <w:snapToGrid w:val="0"/>
          <w:color w:val="auto"/>
          <w:highlight w:val="none"/>
          <w:lang w:eastAsia="zh-CN"/>
        </w:rPr>
        <w:t>，</w:t>
      </w:r>
      <w:r>
        <w:rPr>
          <w:rFonts w:hint="eastAsia" w:cs="Times New Roman"/>
          <w:snapToGrid w:val="0"/>
          <w:color w:val="auto"/>
          <w:kern w:val="0"/>
          <w:highlight w:val="none"/>
          <w:lang w:val="en-GB" w:eastAsia="zh-CN"/>
        </w:rPr>
        <w:t>双鸭山市畅源排水有限公司</w:t>
      </w:r>
      <w:r>
        <w:rPr>
          <w:rFonts w:hint="eastAsia" w:cs="Times New Roman"/>
          <w:snapToGrid w:val="0"/>
          <w:color w:val="auto"/>
          <w:kern w:val="0"/>
          <w:highlight w:val="none"/>
          <w:lang w:val="en-US" w:eastAsia="zh-CN"/>
        </w:rPr>
        <w:t>于2019年10月12日取得入河排污口批复，批复文号：双环函【2019】84号。</w:t>
      </w:r>
    </w:p>
    <w:p w14:paraId="0A6A0DCE">
      <w:pPr>
        <w:widowControl/>
        <w:spacing w:line="500" w:lineRule="exact"/>
        <w:rPr>
          <w:rFonts w:cs="Times New Roman"/>
          <w:color w:val="auto"/>
          <w:kern w:val="0"/>
          <w:highlight w:val="none"/>
        </w:rPr>
      </w:pPr>
      <w:r>
        <w:rPr>
          <w:rFonts w:hint="eastAsia" w:cs="Times New Roman"/>
          <w:snapToGrid w:val="0"/>
          <w:color w:val="auto"/>
          <w:highlight w:val="none"/>
          <w:lang w:eastAsia="zh-CN"/>
        </w:rPr>
        <w:t>生产车间（包含冷库）、隔离</w:t>
      </w:r>
      <w:r>
        <w:rPr>
          <w:rFonts w:hint="eastAsia" w:cs="Times New Roman"/>
          <w:snapToGrid w:val="0"/>
          <w:color w:val="auto"/>
          <w:highlight w:val="none"/>
          <w:lang w:val="en-US" w:eastAsia="zh-CN"/>
        </w:rPr>
        <w:t>间</w:t>
      </w:r>
      <w:r>
        <w:rPr>
          <w:rFonts w:hint="eastAsia" w:cs="Times New Roman"/>
          <w:snapToGrid w:val="0"/>
          <w:color w:val="auto"/>
          <w:highlight w:val="none"/>
          <w:lang w:eastAsia="zh-CN"/>
        </w:rPr>
        <w:t>、本项目废水主要为生活污水、屠宰废水、车辆冲洗废水，屠宰废水、车辆冲洗废水经污水处理站处理后满足</w:t>
      </w:r>
      <w:r>
        <w:rPr>
          <w:rFonts w:cs="Times New Roman"/>
          <w:snapToGrid w:val="0"/>
          <w:color w:val="auto"/>
          <w:highlight w:val="none"/>
          <w:lang w:val="en-GB"/>
        </w:rPr>
        <w:t>《肉类加工工业水污</w:t>
      </w:r>
      <w:r>
        <w:rPr>
          <w:rFonts w:cs="Times New Roman"/>
          <w:snapToGrid w:val="0"/>
          <w:color w:val="auto"/>
          <w:highlight w:val="none"/>
          <w:lang w:val="en-US"/>
        </w:rPr>
        <w:t xml:space="preserve"> </w:t>
      </w:r>
      <w:r>
        <w:rPr>
          <w:rFonts w:cs="Times New Roman"/>
          <w:snapToGrid w:val="0"/>
          <w:color w:val="auto"/>
          <w:highlight w:val="none"/>
          <w:lang w:val="en-GB"/>
        </w:rPr>
        <w:t>染物排放标准》（GB13457-92）中畜类屠宰加工三级标准</w:t>
      </w:r>
      <w:r>
        <w:rPr>
          <w:rFonts w:cs="Times New Roman"/>
          <w:snapToGrid w:val="0"/>
          <w:color w:val="auto"/>
          <w:highlight w:val="none"/>
          <w:lang w:val="en-US"/>
        </w:rPr>
        <w:t>后与生活污水一同排入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w:t>
      </w:r>
      <w:r>
        <w:rPr>
          <w:rFonts w:hint="eastAsia" w:cs="Times New Roman"/>
          <w:snapToGrid w:val="0"/>
          <w:color w:val="auto"/>
          <w:highlight w:val="none"/>
          <w:lang w:val="en-US" w:eastAsia="zh-CN"/>
        </w:rPr>
        <w:t>该公司现污水处理量约30000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w:t>
      </w:r>
      <w:r>
        <w:rPr>
          <w:rFonts w:cs="Times New Roman"/>
          <w:snapToGrid w:val="0"/>
          <w:color w:val="auto"/>
          <w:highlight w:val="none"/>
          <w:lang w:val="en-US"/>
        </w:rPr>
        <w:t>。</w:t>
      </w:r>
      <w:r>
        <w:rPr>
          <w:rFonts w:hint="eastAsia" w:cs="Times New Roman"/>
          <w:snapToGrid w:val="0"/>
          <w:color w:val="auto"/>
          <w:highlight w:val="none"/>
          <w:lang w:val="en-US" w:eastAsia="zh-CN"/>
        </w:rPr>
        <w:t>尚有20000</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/d的余量，本项目</w:t>
      </w:r>
      <w:r>
        <w:rPr>
          <w:rFonts w:cs="Times New Roman"/>
          <w:snapToGrid w:val="0"/>
          <w:color w:val="auto"/>
          <w:highlight w:val="none"/>
          <w:lang w:val="en-US"/>
        </w:rPr>
        <w:t>排放量为</w:t>
      </w:r>
      <w:r>
        <w:rPr>
          <w:rFonts w:hint="eastAsia" w:cs="Times New Roman"/>
          <w:snapToGrid w:val="0"/>
          <w:color w:val="auto"/>
          <w:highlight w:val="none"/>
          <w:lang w:val="en-US" w:eastAsia="zh-CN"/>
        </w:rPr>
        <w:t>235</w:t>
      </w:r>
      <w:r>
        <w:rPr>
          <w:rFonts w:cs="Times New Roman"/>
          <w:snapToGrid w:val="0"/>
          <w:color w:val="auto"/>
          <w:highlight w:val="none"/>
          <w:lang w:val="en-US"/>
        </w:rPr>
        <w:t>m</w:t>
      </w:r>
      <w:r>
        <w:rPr>
          <w:rFonts w:cs="Times New Roman"/>
          <w:snapToGrid w:val="0"/>
          <w:color w:val="auto"/>
          <w:highlight w:val="none"/>
          <w:vertAlign w:val="superscript"/>
          <w:lang w:val="en-US"/>
        </w:rPr>
        <w:t>3</w:t>
      </w:r>
      <w:r>
        <w:rPr>
          <w:rFonts w:hint="eastAsia" w:cs="Times New Roman"/>
          <w:snapToGrid w:val="0"/>
          <w:color w:val="auto"/>
          <w:highlight w:val="none"/>
          <w:vertAlign w:val="baseline"/>
          <w:lang w:val="en-US" w:eastAsia="zh-CN"/>
        </w:rPr>
        <w:t>/d</w:t>
      </w:r>
      <w:r>
        <w:rPr>
          <w:rFonts w:cs="Times New Roman"/>
          <w:snapToGrid w:val="0"/>
          <w:color w:val="auto"/>
          <w:highlight w:val="none"/>
          <w:lang w:val="en-US"/>
        </w:rPr>
        <w:t>。</w:t>
      </w:r>
      <w:r>
        <w:rPr>
          <w:rFonts w:hint="eastAsia" w:cs="Times New Roman"/>
          <w:snapToGrid w:val="0"/>
          <w:color w:val="auto"/>
          <w:highlight w:val="none"/>
          <w:lang w:val="en-US" w:eastAsia="zh-CN"/>
        </w:rPr>
        <w:t>所占比例较小，</w:t>
      </w:r>
      <w:r>
        <w:rPr>
          <w:rFonts w:cs="Times New Roman"/>
          <w:snapToGrid w:val="0"/>
          <w:color w:val="auto"/>
          <w:highlight w:val="none"/>
        </w:rPr>
        <w:t>因此，项目所排废水从水质和水量角度分析均能够达到</w:t>
      </w:r>
      <w:r>
        <w:rPr>
          <w:rFonts w:hint="eastAsia" w:cs="Times New Roman"/>
          <w:snapToGrid w:val="0"/>
          <w:color w:val="auto"/>
          <w:highlight w:val="none"/>
          <w:lang w:val="en-GB" w:eastAsia="zh-CN"/>
        </w:rPr>
        <w:t>双鸭山市畅源排水有限公司</w:t>
      </w:r>
      <w:r>
        <w:rPr>
          <w:rFonts w:cs="Times New Roman"/>
          <w:snapToGrid w:val="0"/>
          <w:color w:val="auto"/>
          <w:highlight w:val="none"/>
        </w:rPr>
        <w:t>接收条件，依托可行</w:t>
      </w:r>
      <w:r>
        <w:rPr>
          <w:rFonts w:hint="eastAsia" w:cs="Times New Roman"/>
          <w:snapToGrid w:val="0"/>
          <w:color w:val="auto"/>
          <w:highlight w:val="none"/>
          <w:lang w:eastAsia="zh-CN"/>
        </w:rPr>
        <w:t>。</w:t>
      </w:r>
    </w:p>
    <w:bookmarkEnd w:id="302"/>
    <w:p w14:paraId="17F118E5">
      <w:pPr>
        <w:pStyle w:val="4"/>
        <w:spacing w:after="163"/>
        <w:rPr>
          <w:rFonts w:cs="Times New Roman"/>
          <w:color w:val="auto"/>
          <w:highlight w:val="none"/>
        </w:rPr>
      </w:pPr>
      <w:bookmarkStart w:id="303" w:name="_Toc18266"/>
      <w:r>
        <w:rPr>
          <w:rFonts w:cs="Times New Roman"/>
          <w:color w:val="auto"/>
          <w:highlight w:val="none"/>
        </w:rPr>
        <w:t>5.2.3地下水环境影响评价</w:t>
      </w:r>
      <w:bookmarkEnd w:id="303"/>
    </w:p>
    <w:p w14:paraId="4D44C63D">
      <w:pPr>
        <w:pStyle w:val="5"/>
        <w:rPr>
          <w:color w:val="auto"/>
          <w:highlight w:val="none"/>
        </w:rPr>
      </w:pPr>
      <w:r>
        <w:rPr>
          <w:color w:val="auto"/>
          <w:highlight w:val="none"/>
        </w:rPr>
        <w:t>5.2.3.1水文地质条件</w:t>
      </w:r>
    </w:p>
    <w:p w14:paraId="2924BB09">
      <w:pPr>
        <w:spacing w:line="500" w:lineRule="exact"/>
        <w:rPr>
          <w:rFonts w:cs="Times New Roman"/>
          <w:color w:val="auto"/>
          <w:highlight w:val="none"/>
        </w:rPr>
      </w:pPr>
      <w:r>
        <w:rPr>
          <w:rFonts w:cs="Times New Roman"/>
          <w:color w:val="auto"/>
          <w:highlight w:val="none"/>
        </w:rPr>
        <w:t>地下水类型包括第四系松散岩类孔隙水与碎屑岩类裂隙水。</w:t>
      </w:r>
    </w:p>
    <w:p w14:paraId="08EDD1DD">
      <w:pPr>
        <w:spacing w:line="500" w:lineRule="exact"/>
        <w:ind w:firstLine="482"/>
        <w:rPr>
          <w:rFonts w:cs="Times New Roman"/>
          <w:b/>
          <w:bCs/>
          <w:color w:val="auto"/>
          <w:highlight w:val="none"/>
        </w:rPr>
      </w:pPr>
      <w:r>
        <w:rPr>
          <w:rFonts w:cs="Times New Roman"/>
          <w:b/>
          <w:bCs/>
          <w:color w:val="auto"/>
          <w:highlight w:val="none"/>
        </w:rPr>
        <w:t>1、第四系松散岩类孔隙水</w:t>
      </w:r>
    </w:p>
    <w:p w14:paraId="53551D42">
      <w:pPr>
        <w:spacing w:line="500" w:lineRule="exact"/>
        <w:rPr>
          <w:rFonts w:cs="Times New Roman"/>
          <w:color w:val="auto"/>
          <w:highlight w:val="none"/>
        </w:rPr>
      </w:pPr>
      <w:r>
        <w:rPr>
          <w:rFonts w:cs="Times New Roman"/>
          <w:color w:val="auto"/>
          <w:highlight w:val="none"/>
        </w:rPr>
        <w:t>主要分布于逊河河谷平原及高平原地区，含水层由砂、砂砾石、卵石等组成。富水性主要受含水层岩性、厚度等控制，单井涌水量可达1000-5000 m</w:t>
      </w:r>
      <w:r>
        <w:rPr>
          <w:rFonts w:cs="Times New Roman"/>
          <w:color w:val="auto"/>
          <w:highlight w:val="none"/>
          <w:vertAlign w:val="superscript"/>
        </w:rPr>
        <w:t>3</w:t>
      </w:r>
      <w:r>
        <w:rPr>
          <w:rFonts w:cs="Times New Roman"/>
          <w:color w:val="auto"/>
          <w:highlight w:val="none"/>
        </w:rPr>
        <w:t>/d。</w:t>
      </w:r>
    </w:p>
    <w:p w14:paraId="529708A8">
      <w:pPr>
        <w:spacing w:line="500" w:lineRule="exact"/>
        <w:ind w:firstLine="482"/>
        <w:rPr>
          <w:rFonts w:cs="Times New Roman"/>
          <w:b/>
          <w:bCs/>
          <w:color w:val="auto"/>
          <w:highlight w:val="none"/>
        </w:rPr>
      </w:pPr>
      <w:r>
        <w:rPr>
          <w:rFonts w:cs="Times New Roman"/>
          <w:b/>
          <w:bCs/>
          <w:color w:val="auto"/>
          <w:highlight w:val="none"/>
        </w:rPr>
        <w:t>2、碎屑岩类裂隙水</w:t>
      </w:r>
    </w:p>
    <w:p w14:paraId="2F805E65">
      <w:pPr>
        <w:spacing w:line="500" w:lineRule="exact"/>
        <w:rPr>
          <w:rFonts w:cs="Times New Roman"/>
          <w:color w:val="auto"/>
          <w:highlight w:val="none"/>
        </w:rPr>
      </w:pPr>
      <w:r>
        <w:rPr>
          <w:rFonts w:cs="Times New Roman"/>
          <w:color w:val="auto"/>
          <w:highlight w:val="none"/>
        </w:rPr>
        <w:t>分布于丘陵地带，含水层岩性为弱胶结砂岩、砂砾岩，一般上细下粗，结构疏松，孔隙发育。含水层单层厚度一般为4m左右，单井涌水量为小于1000m</w:t>
      </w:r>
      <w:r>
        <w:rPr>
          <w:rFonts w:cs="Times New Roman"/>
          <w:color w:val="auto"/>
          <w:highlight w:val="none"/>
          <w:vertAlign w:val="superscript"/>
        </w:rPr>
        <w:t>3</w:t>
      </w:r>
      <w:r>
        <w:rPr>
          <w:rFonts w:cs="Times New Roman"/>
          <w:color w:val="auto"/>
          <w:highlight w:val="none"/>
        </w:rPr>
        <w:t>/d。</w:t>
      </w:r>
    </w:p>
    <w:p w14:paraId="69A78F5E">
      <w:pPr>
        <w:pStyle w:val="5"/>
        <w:rPr>
          <w:color w:val="auto"/>
          <w:highlight w:val="none"/>
        </w:rPr>
      </w:pPr>
      <w:r>
        <w:rPr>
          <w:color w:val="auto"/>
          <w:highlight w:val="none"/>
        </w:rPr>
        <w:t>5.2.3.2地下水环境影响预测</w:t>
      </w:r>
    </w:p>
    <w:p w14:paraId="52CFFFDA">
      <w:pPr>
        <w:spacing w:line="500" w:lineRule="exact"/>
        <w:ind w:firstLine="482"/>
        <w:rPr>
          <w:rFonts w:cs="Times New Roman"/>
          <w:b/>
          <w:bCs/>
          <w:color w:val="auto"/>
          <w:highlight w:val="none"/>
        </w:rPr>
      </w:pPr>
      <w:r>
        <w:rPr>
          <w:rFonts w:cs="Times New Roman"/>
          <w:b/>
          <w:bCs/>
          <w:color w:val="auto"/>
          <w:highlight w:val="none"/>
        </w:rPr>
        <w:t>1、预测范围</w:t>
      </w:r>
    </w:p>
    <w:p w14:paraId="4BECEB31">
      <w:pPr>
        <w:spacing w:line="500" w:lineRule="exact"/>
        <w:rPr>
          <w:rFonts w:cs="Times New Roman"/>
          <w:color w:val="auto"/>
          <w:highlight w:val="none"/>
        </w:rPr>
      </w:pPr>
      <w:r>
        <w:rPr>
          <w:rFonts w:cs="Times New Roman"/>
          <w:color w:val="auto"/>
          <w:highlight w:val="none"/>
        </w:rPr>
        <w:t>根据《环境影响评价技术导则 地下水环境》（HJ610-2016），本项目地下水评价等级为三级，本次评价地下水调查范围采用查表法确定。地下水调查范围为以项目所在地为中心，</w:t>
      </w:r>
      <w:r>
        <w:rPr>
          <w:rFonts w:cs="Times New Roman"/>
          <w:color w:val="auto"/>
          <w:spacing w:val="12"/>
          <w:szCs w:val="24"/>
          <w:highlight w:val="none"/>
        </w:rPr>
        <w:t>上游（</w:t>
      </w:r>
      <w:r>
        <w:rPr>
          <w:rFonts w:hint="eastAsia" w:cs="Times New Roman"/>
          <w:color w:val="auto"/>
          <w:spacing w:val="12"/>
          <w:szCs w:val="24"/>
          <w:highlight w:val="none"/>
          <w:lang w:val="en-US" w:eastAsia="zh-CN"/>
        </w:rPr>
        <w:t>东南</w:t>
      </w:r>
      <w:r>
        <w:rPr>
          <w:rFonts w:cs="Times New Roman"/>
          <w:color w:val="auto"/>
          <w:spacing w:val="12"/>
          <w:szCs w:val="24"/>
          <w:highlight w:val="none"/>
        </w:rPr>
        <w:t>侧）1km，</w:t>
      </w:r>
      <w:r>
        <w:rPr>
          <w:rFonts w:hint="eastAsia" w:cs="Times New Roman"/>
          <w:snapToGrid w:val="0"/>
          <w:color w:val="auto"/>
          <w:kern w:val="0"/>
          <w:highlight w:val="none"/>
          <w:lang w:val="en-US" w:eastAsia="zh-CN"/>
        </w:rPr>
        <w:t>西南</w:t>
      </w:r>
      <w:r>
        <w:rPr>
          <w:rFonts w:cs="Times New Roman"/>
          <w:snapToGrid w:val="0"/>
          <w:color w:val="auto"/>
          <w:kern w:val="0"/>
          <w:highlight w:val="none"/>
        </w:rPr>
        <w:t>侧为</w:t>
      </w:r>
      <w:r>
        <w:rPr>
          <w:rFonts w:hint="eastAsia" w:cs="Times New Roman"/>
          <w:snapToGrid w:val="0"/>
          <w:color w:val="auto"/>
          <w:kern w:val="0"/>
          <w:highlight w:val="none"/>
          <w:lang w:val="en-US" w:eastAsia="zh-CN"/>
        </w:rPr>
        <w:t>1</w:t>
      </w:r>
      <w:r>
        <w:rPr>
          <w:rFonts w:cs="Times New Roman"/>
          <w:snapToGrid w:val="0"/>
          <w:color w:val="auto"/>
          <w:kern w:val="0"/>
          <w:highlight w:val="none"/>
        </w:rPr>
        <w:t>km，</w:t>
      </w:r>
      <w:r>
        <w:rPr>
          <w:rFonts w:hint="eastAsia" w:cs="Times New Roman"/>
          <w:snapToGrid w:val="0"/>
          <w:color w:val="auto"/>
          <w:kern w:val="0"/>
          <w:highlight w:val="none"/>
          <w:lang w:val="en-US" w:eastAsia="zh-CN"/>
        </w:rPr>
        <w:t>东北</w:t>
      </w:r>
      <w:r>
        <w:rPr>
          <w:rFonts w:cs="Times New Roman"/>
          <w:snapToGrid w:val="0"/>
          <w:color w:val="auto"/>
          <w:kern w:val="0"/>
          <w:highlight w:val="none"/>
        </w:rPr>
        <w:t>侧为</w:t>
      </w:r>
      <w:r>
        <w:rPr>
          <w:rFonts w:hint="eastAsia" w:cs="Times New Roman"/>
          <w:snapToGrid w:val="0"/>
          <w:color w:val="auto"/>
          <w:kern w:val="0"/>
          <w:highlight w:val="none"/>
          <w:lang w:val="en-US" w:eastAsia="zh-CN"/>
        </w:rPr>
        <w:t>1</w:t>
      </w:r>
      <w:r>
        <w:rPr>
          <w:rFonts w:cs="Times New Roman"/>
          <w:snapToGrid w:val="0"/>
          <w:color w:val="auto"/>
          <w:kern w:val="0"/>
          <w:highlight w:val="none"/>
        </w:rPr>
        <w:t>km，</w:t>
      </w:r>
      <w:r>
        <w:rPr>
          <w:rFonts w:cs="Times New Roman"/>
          <w:color w:val="auto"/>
          <w:spacing w:val="12"/>
          <w:szCs w:val="24"/>
          <w:highlight w:val="none"/>
        </w:rPr>
        <w:t>下游（</w:t>
      </w:r>
      <w:r>
        <w:rPr>
          <w:rFonts w:hint="eastAsia" w:cs="Times New Roman"/>
          <w:color w:val="auto"/>
          <w:spacing w:val="12"/>
          <w:szCs w:val="24"/>
          <w:highlight w:val="none"/>
          <w:lang w:val="en-US" w:eastAsia="zh-CN"/>
        </w:rPr>
        <w:t>西北</w:t>
      </w:r>
      <w:r>
        <w:rPr>
          <w:rFonts w:cs="Times New Roman"/>
          <w:color w:val="auto"/>
          <w:spacing w:val="12"/>
          <w:szCs w:val="24"/>
          <w:highlight w:val="none"/>
        </w:rPr>
        <w:t>侧）</w:t>
      </w:r>
      <w:r>
        <w:rPr>
          <w:rFonts w:hint="eastAsia" w:cs="Times New Roman"/>
          <w:color w:val="auto"/>
          <w:spacing w:val="12"/>
          <w:szCs w:val="24"/>
          <w:highlight w:val="none"/>
          <w:lang w:val="en-US" w:eastAsia="zh-CN"/>
        </w:rPr>
        <w:t>2</w:t>
      </w:r>
      <w:r>
        <w:rPr>
          <w:rFonts w:cs="Times New Roman"/>
          <w:color w:val="auto"/>
          <w:spacing w:val="12"/>
          <w:szCs w:val="24"/>
          <w:highlight w:val="none"/>
        </w:rPr>
        <w:t>km，</w:t>
      </w:r>
      <w:r>
        <w:rPr>
          <w:rFonts w:cs="Times New Roman"/>
          <w:snapToGrid w:val="0"/>
          <w:color w:val="auto"/>
          <w:kern w:val="0"/>
          <w:highlight w:val="none"/>
        </w:rPr>
        <w:t>面积约为</w:t>
      </w:r>
      <w:r>
        <w:rPr>
          <w:rFonts w:cs="Times New Roman"/>
          <w:color w:val="auto"/>
          <w:spacing w:val="12"/>
          <w:szCs w:val="24"/>
          <w:highlight w:val="none"/>
        </w:rPr>
        <w:t>6km</w:t>
      </w:r>
      <w:r>
        <w:rPr>
          <w:rFonts w:cs="Times New Roman"/>
          <w:color w:val="auto"/>
          <w:spacing w:val="12"/>
          <w:szCs w:val="24"/>
          <w:highlight w:val="none"/>
          <w:vertAlign w:val="superscript"/>
        </w:rPr>
        <w:t>2</w:t>
      </w:r>
      <w:r>
        <w:rPr>
          <w:rFonts w:cs="Times New Roman"/>
          <w:color w:val="auto"/>
          <w:spacing w:val="12"/>
          <w:szCs w:val="24"/>
          <w:highlight w:val="none"/>
        </w:rPr>
        <w:t>。</w:t>
      </w:r>
    </w:p>
    <w:p w14:paraId="3740F831">
      <w:pPr>
        <w:spacing w:line="500" w:lineRule="exact"/>
        <w:ind w:firstLine="482"/>
        <w:rPr>
          <w:rFonts w:cs="Times New Roman"/>
          <w:b/>
          <w:bCs/>
          <w:color w:val="auto"/>
          <w:highlight w:val="none"/>
        </w:rPr>
      </w:pPr>
      <w:r>
        <w:rPr>
          <w:rFonts w:cs="Times New Roman"/>
          <w:b/>
          <w:bCs/>
          <w:color w:val="auto"/>
          <w:highlight w:val="none"/>
        </w:rPr>
        <w:t>2、预测时段</w:t>
      </w:r>
    </w:p>
    <w:p w14:paraId="797119B7">
      <w:pPr>
        <w:spacing w:line="500" w:lineRule="exact"/>
        <w:rPr>
          <w:rFonts w:hint="default" w:eastAsia="宋体" w:cs="Times New Roman"/>
          <w:b/>
          <w:bCs/>
          <w:color w:val="auto"/>
          <w:highlight w:val="none"/>
          <w:lang w:val="en-US" w:eastAsia="zh-CN"/>
        </w:rPr>
      </w:pPr>
      <w:r>
        <w:rPr>
          <w:rFonts w:cs="Times New Roman"/>
          <w:color w:val="auto"/>
          <w:highlight w:val="none"/>
        </w:rPr>
        <w:t>依据《环境影响评价技术导则 地下水环境》（</w:t>
      </w:r>
      <w:r>
        <w:rPr>
          <w:rFonts w:hint="default" w:cs="Times New Roman"/>
          <w:color w:val="auto"/>
          <w:highlight w:val="none"/>
        </w:rPr>
        <w:t>HJ610-2016），地下水环境影响预测时段应选取可能产生地下水污染的关键时段，至少包括污染发生后100d、1000d，服务年限或者能反映特征因子迁移规律的其他重要的时间节点。</w:t>
      </w:r>
      <w:r>
        <w:rPr>
          <w:rFonts w:hint="eastAsia" w:cs="Times New Roman"/>
          <w:color w:val="auto"/>
          <w:highlight w:val="none"/>
          <w:lang w:val="en-US" w:eastAsia="zh-CN"/>
        </w:rPr>
        <w:t>本项目</w:t>
      </w:r>
      <w:r>
        <w:rPr>
          <w:rFonts w:hint="default" w:cs="Times New Roman"/>
          <w:color w:val="auto"/>
          <w:highlight w:val="none"/>
        </w:rPr>
        <w:t>服务年限</w:t>
      </w:r>
      <w:r>
        <w:rPr>
          <w:rFonts w:hint="eastAsia" w:cs="Times New Roman"/>
          <w:color w:val="auto"/>
          <w:highlight w:val="none"/>
          <w:lang w:val="en-US" w:eastAsia="zh-CN"/>
        </w:rPr>
        <w:t>暂定为10年，因此采取地下水环境影响预测时段为</w:t>
      </w:r>
      <w:r>
        <w:rPr>
          <w:rFonts w:hint="default" w:cs="Times New Roman"/>
          <w:color w:val="auto"/>
          <w:highlight w:val="none"/>
        </w:rPr>
        <w:t>100d、1000d，</w:t>
      </w:r>
      <w:r>
        <w:rPr>
          <w:rFonts w:hint="eastAsia" w:cs="Times New Roman"/>
          <w:color w:val="auto"/>
          <w:highlight w:val="none"/>
          <w:lang w:val="en-US" w:eastAsia="zh-CN"/>
        </w:rPr>
        <w:t>3650d。</w:t>
      </w:r>
    </w:p>
    <w:p w14:paraId="503B10FA">
      <w:pPr>
        <w:spacing w:line="500" w:lineRule="exact"/>
        <w:ind w:firstLine="482"/>
        <w:rPr>
          <w:rFonts w:cs="Times New Roman"/>
          <w:b/>
          <w:bCs/>
          <w:color w:val="auto"/>
          <w:highlight w:val="none"/>
        </w:rPr>
      </w:pPr>
      <w:r>
        <w:rPr>
          <w:rFonts w:cs="Times New Roman"/>
          <w:b/>
          <w:bCs/>
          <w:color w:val="auto"/>
          <w:highlight w:val="none"/>
        </w:rPr>
        <w:t>3、情景设置</w:t>
      </w:r>
    </w:p>
    <w:p w14:paraId="675116E3">
      <w:pPr>
        <w:spacing w:line="500" w:lineRule="exact"/>
        <w:rPr>
          <w:rFonts w:cs="Times New Roman"/>
          <w:color w:val="auto"/>
          <w:highlight w:val="none"/>
        </w:rPr>
      </w:pPr>
      <w:r>
        <w:rPr>
          <w:rFonts w:cs="Times New Roman"/>
          <w:color w:val="auto"/>
          <w:highlight w:val="none"/>
        </w:rPr>
        <w:t>依据《环境影响评价技术导则 地下水环境》（HJ610-2016），已依据相关规范设计地下水防渗措施的建设项目，可不进行正常状况情景下的预测。本项目对与污水接触的砼、钢筋砼结构进行防腐蚀处理，各种构造均应满足《工业建筑防腐蚀设计规范》（GB50046-2008）的要求，防渗技术要求满足《环境影响评价技术导则 地下水环境》（HJ610-2016）表7中要求。由于构筑物的渗透性能极弱，构筑物中污废水与地下水之间几乎不存在水力联系，正常运行情况下，项目基本不会对地下水的水质造成影响。因此，本次评价仅开展事故工况下地下水预测，重点关注调节池泄漏对地下水的影响。</w:t>
      </w:r>
    </w:p>
    <w:p w14:paraId="7C1BB899">
      <w:pPr>
        <w:spacing w:line="500" w:lineRule="exact"/>
        <w:ind w:firstLine="482"/>
        <w:rPr>
          <w:rFonts w:cs="Times New Roman"/>
          <w:b/>
          <w:bCs/>
          <w:color w:val="auto"/>
          <w:highlight w:val="none"/>
        </w:rPr>
      </w:pPr>
      <w:r>
        <w:rPr>
          <w:rFonts w:cs="Times New Roman"/>
          <w:b/>
          <w:bCs/>
          <w:color w:val="auto"/>
          <w:highlight w:val="none"/>
        </w:rPr>
        <w:t>4、预测因子</w:t>
      </w:r>
    </w:p>
    <w:p w14:paraId="7D383190">
      <w:pPr>
        <w:spacing w:line="500" w:lineRule="exact"/>
        <w:rPr>
          <w:rFonts w:cs="Times New Roman"/>
          <w:color w:val="auto"/>
          <w:highlight w:val="none"/>
        </w:rPr>
      </w:pPr>
      <w:r>
        <w:rPr>
          <w:rFonts w:cs="Times New Roman"/>
          <w:color w:val="auto"/>
          <w:highlight w:val="none"/>
        </w:rPr>
        <w:t>本项目主要污染物为pH、COD、氨氮、SS等，</w:t>
      </w:r>
      <w:r>
        <w:rPr>
          <w:rFonts w:cs="Times New Roman" w:eastAsiaTheme="minorEastAsia"/>
          <w:color w:val="auto"/>
          <w:highlight w:val="none"/>
        </w:rPr>
        <w:t>根据《环境影响评价技术导则 地下水环境》（HJ610-2016），预测因子的选取应采用标准指数法进行排序，取标准指数最大的因子作为预测因子，</w:t>
      </w:r>
      <w:r>
        <w:rPr>
          <w:rFonts w:cs="Times New Roman"/>
          <w:color w:val="auto"/>
          <w:highlight w:val="none"/>
        </w:rPr>
        <w:t>以氨氮、COD作为特征污染物进行预测。</w:t>
      </w:r>
    </w:p>
    <w:p w14:paraId="036B312C">
      <w:pPr>
        <w:spacing w:line="500" w:lineRule="exact"/>
        <w:rPr>
          <w:rFonts w:cs="Times New Roman"/>
          <w:color w:val="auto"/>
          <w:highlight w:val="none"/>
        </w:rPr>
      </w:pPr>
      <w:r>
        <w:rPr>
          <w:rFonts w:cs="Times New Roman"/>
          <w:color w:val="auto"/>
          <w:highlight w:val="none"/>
        </w:rPr>
        <w:t>氨氮的环境质量标准执行《地下水质量标准》（GB/T14848-2017）中Ⅲ类水质标准，即0.5mg/L。</w:t>
      </w:r>
    </w:p>
    <w:p w14:paraId="4B93E8DB">
      <w:pPr>
        <w:spacing w:line="500" w:lineRule="exact"/>
        <w:rPr>
          <w:rFonts w:cs="Times New Roman"/>
          <w:color w:val="auto"/>
          <w:highlight w:val="none"/>
        </w:rPr>
      </w:pPr>
      <w:r>
        <w:rPr>
          <w:rFonts w:cs="Times New Roman"/>
          <w:color w:val="auto"/>
          <w:highlight w:val="none"/>
        </w:rPr>
        <w:t>COD</w:t>
      </w:r>
      <w:r>
        <w:rPr>
          <w:rFonts w:hint="eastAsia" w:cs="Times New Roman"/>
          <w:color w:val="auto"/>
          <w:highlight w:val="none"/>
          <w:lang w:eastAsia="zh-CN"/>
        </w:rPr>
        <w:t>的</w:t>
      </w:r>
      <w:r>
        <w:rPr>
          <w:rFonts w:cs="Times New Roman"/>
          <w:color w:val="auto"/>
          <w:highlight w:val="none"/>
        </w:rPr>
        <w:t>环境质量标准</w:t>
      </w:r>
      <w:r>
        <w:rPr>
          <w:rFonts w:hint="eastAsia" w:cs="Times New Roman"/>
          <w:color w:val="auto"/>
          <w:highlight w:val="none"/>
          <w:lang w:val="en-US" w:eastAsia="zh-CN"/>
        </w:rPr>
        <w:t>参照《</w:t>
      </w:r>
      <w:r>
        <w:rPr>
          <w:rFonts w:cs="Times New Roman"/>
          <w:color w:val="auto"/>
          <w:highlight w:val="none"/>
        </w:rPr>
        <w:fldChar w:fldCharType="begin"/>
      </w:r>
      <w:r>
        <w:rPr>
          <w:rFonts w:cs="Times New Roman"/>
          <w:color w:val="auto"/>
          <w:highlight w:val="none"/>
        </w:rPr>
        <w:instrText xml:space="preserve"> HYPERLINK "https://www.mee.gov.cn/ywgz/fgbz/bz/bzwb/shjbh/shjzlbz/200206/W020061027509896672057.pdf" \t "https://www.mee.gov.cn/ywgz/fgbz/bz/bzwb/shjbh/shjzlbz/200206/_self" </w:instrText>
      </w:r>
      <w:r>
        <w:rPr>
          <w:rFonts w:cs="Times New Roman"/>
          <w:color w:val="auto"/>
          <w:highlight w:val="none"/>
        </w:rPr>
        <w:fldChar w:fldCharType="separate"/>
      </w:r>
      <w:r>
        <w:rPr>
          <w:rFonts w:hint="eastAsia" w:cs="Times New Roman"/>
          <w:color w:val="auto"/>
          <w:highlight w:val="none"/>
        </w:rPr>
        <w:t>地表水环境质量标准</w:t>
      </w:r>
      <w:r>
        <w:rPr>
          <w:rFonts w:hint="eastAsia" w:cs="Times New Roman"/>
          <w:color w:val="auto"/>
          <w:highlight w:val="none"/>
          <w:lang w:eastAsia="zh-CN"/>
        </w:rPr>
        <w:t>》</w:t>
      </w:r>
      <w:r>
        <w:rPr>
          <w:rFonts w:hint="eastAsia" w:cs="Times New Roman"/>
          <w:color w:val="auto"/>
          <w:highlight w:val="none"/>
        </w:rPr>
        <w:t>（GB3838-2002）</w:t>
      </w:r>
      <w:r>
        <w:rPr>
          <w:rFonts w:hint="eastAsia" w:cs="Times New Roman"/>
          <w:color w:val="auto"/>
          <w:highlight w:val="none"/>
        </w:rPr>
        <w:fldChar w:fldCharType="end"/>
      </w:r>
      <w:r>
        <w:rPr>
          <w:rFonts w:cs="Times New Roman"/>
          <w:color w:val="auto"/>
          <w:highlight w:val="none"/>
        </w:rPr>
        <w:t>中Ⅲ类水质标准，即</w:t>
      </w:r>
      <w:r>
        <w:rPr>
          <w:rFonts w:hint="eastAsia" w:cs="Times New Roman"/>
          <w:color w:val="auto"/>
          <w:highlight w:val="none"/>
          <w:lang w:val="en-US" w:eastAsia="zh-CN"/>
        </w:rPr>
        <w:t>20</w:t>
      </w:r>
      <w:r>
        <w:rPr>
          <w:rFonts w:cs="Times New Roman"/>
          <w:color w:val="auto"/>
          <w:highlight w:val="none"/>
        </w:rPr>
        <w:t>mg/L。</w:t>
      </w:r>
    </w:p>
    <w:p w14:paraId="1E6D68FA">
      <w:pPr>
        <w:spacing w:line="500" w:lineRule="exact"/>
        <w:rPr>
          <w:rFonts w:cs="Times New Roman"/>
          <w:color w:val="auto"/>
          <w:szCs w:val="24"/>
          <w:highlight w:val="none"/>
        </w:rPr>
      </w:pPr>
      <w:r>
        <w:rPr>
          <w:rFonts w:cs="Times New Roman"/>
          <w:color w:val="auto"/>
          <w:szCs w:val="24"/>
          <w:highlight w:val="none"/>
        </w:rPr>
        <w:t>（5）预测源强</w:t>
      </w:r>
    </w:p>
    <w:p w14:paraId="289568B8">
      <w:pPr>
        <w:spacing w:line="500" w:lineRule="exact"/>
        <w:rPr>
          <w:rFonts w:cs="Times New Roman"/>
          <w:color w:val="auto"/>
          <w:highlight w:val="none"/>
        </w:rPr>
      </w:pPr>
      <w:r>
        <w:rPr>
          <w:rFonts w:cs="Times New Roman"/>
          <w:color w:val="auto"/>
          <w:szCs w:val="24"/>
          <w:highlight w:val="none"/>
        </w:rPr>
        <w:t>结合项目的特点，本项目调节池容积最大，存水量大，污染物浓度最高，如泄漏对地下水影响最大，从最大风险原则考虑，非正常状况下为调节池体破裂和防渗层同时破裂时污水泄漏对地下水水质造成影响。根据《给排水构筑物工程施工及验收规范》，水池允许最大渗水量按池壁和池底浸湿面积计算，钢筋混凝土结构水池渗漏量不得超过2L/（m</w:t>
      </w:r>
      <w:r>
        <w:rPr>
          <w:rFonts w:cs="Times New Roman"/>
          <w:color w:val="auto"/>
          <w:szCs w:val="24"/>
          <w:highlight w:val="none"/>
          <w:vertAlign w:val="superscript"/>
        </w:rPr>
        <w:t>2</w:t>
      </w:r>
      <w:r>
        <w:rPr>
          <w:rFonts w:cs="Times New Roman"/>
          <w:color w:val="auto"/>
          <w:szCs w:val="24"/>
          <w:highlight w:val="none"/>
        </w:rPr>
        <w:t>·d）。</w:t>
      </w:r>
    </w:p>
    <w:p w14:paraId="508B0A0A">
      <w:pPr>
        <w:spacing w:line="500" w:lineRule="exact"/>
        <w:ind w:right="-240" w:rightChars="-100"/>
        <w:rPr>
          <w:rFonts w:cs="Times New Roman"/>
          <w:color w:val="auto"/>
          <w:szCs w:val="24"/>
          <w:highlight w:val="none"/>
        </w:rPr>
      </w:pPr>
      <w:r>
        <w:rPr>
          <w:rFonts w:cs="Times New Roman"/>
          <w:color w:val="auto"/>
          <w:kern w:val="0"/>
          <w:szCs w:val="24"/>
          <w:highlight w:val="none"/>
          <w:lang w:bidi="ar"/>
        </w:rPr>
        <w:t>本项目</w:t>
      </w:r>
      <w:r>
        <w:rPr>
          <w:rFonts w:cs="Times New Roman"/>
          <w:snapToGrid w:val="0"/>
          <w:color w:val="auto"/>
          <w:highlight w:val="none"/>
        </w:rPr>
        <w:t>调节池</w:t>
      </w:r>
      <w:r>
        <w:rPr>
          <w:rFonts w:cs="Times New Roman"/>
          <w:color w:val="auto"/>
          <w:kern w:val="0"/>
          <w:szCs w:val="24"/>
          <w:highlight w:val="none"/>
          <w:lang w:bidi="ar"/>
        </w:rPr>
        <w:t>设计规格为</w:t>
      </w:r>
      <w:r>
        <w:rPr>
          <w:rFonts w:hint="eastAsia" w:cs="Times New Roman"/>
          <w:snapToGrid w:val="0"/>
          <w:color w:val="auto"/>
          <w:highlight w:val="none"/>
          <w:lang w:val="en-US" w:eastAsia="zh-CN"/>
        </w:rPr>
        <w:t>10</w:t>
      </w:r>
      <w:r>
        <w:rPr>
          <w:rFonts w:cs="Times New Roman"/>
          <w:snapToGrid w:val="0"/>
          <w:color w:val="auto"/>
          <w:highlight w:val="none"/>
        </w:rPr>
        <w:t>m×</w:t>
      </w:r>
      <w:r>
        <w:rPr>
          <w:rFonts w:hint="eastAsia" w:cs="Times New Roman"/>
          <w:snapToGrid w:val="0"/>
          <w:color w:val="auto"/>
          <w:highlight w:val="none"/>
          <w:lang w:val="en-US" w:eastAsia="zh-CN"/>
        </w:rPr>
        <w:t>7.5</w:t>
      </w:r>
      <w:r>
        <w:rPr>
          <w:rFonts w:cs="Times New Roman"/>
          <w:snapToGrid w:val="0"/>
          <w:color w:val="auto"/>
          <w:highlight w:val="none"/>
        </w:rPr>
        <w:t>m×4m，</w:t>
      </w:r>
      <w:r>
        <w:rPr>
          <w:rFonts w:cs="Times New Roman"/>
          <w:color w:val="auto"/>
          <w:kern w:val="0"/>
          <w:szCs w:val="24"/>
          <w:highlight w:val="none"/>
          <w:lang w:bidi="ar"/>
        </w:rPr>
        <w:t>在正常状况下，</w:t>
      </w:r>
      <w:r>
        <w:rPr>
          <w:rFonts w:cs="Times New Roman"/>
          <w:snapToGrid w:val="0"/>
          <w:color w:val="auto"/>
          <w:highlight w:val="none"/>
        </w:rPr>
        <w:t>调节池</w:t>
      </w:r>
      <w:r>
        <w:rPr>
          <w:rFonts w:cs="Times New Roman"/>
          <w:color w:val="auto"/>
          <w:kern w:val="0"/>
          <w:szCs w:val="24"/>
          <w:highlight w:val="none"/>
          <w:lang w:bidi="ar"/>
        </w:rPr>
        <w:t>渗漏面积为：池底面积+池壁面积=L×B+2×L×H+2×B×H=</w:t>
      </w:r>
      <w:r>
        <w:rPr>
          <w:rFonts w:hint="eastAsia" w:cs="Times New Roman"/>
          <w:color w:val="auto"/>
          <w:kern w:val="0"/>
          <w:szCs w:val="24"/>
          <w:highlight w:val="none"/>
          <w:lang w:val="en-US" w:eastAsia="zh-CN" w:bidi="ar"/>
        </w:rPr>
        <w:t>10</w:t>
      </w:r>
      <w:r>
        <w:rPr>
          <w:rFonts w:cs="Times New Roman"/>
          <w:color w:val="auto"/>
          <w:kern w:val="0"/>
          <w:szCs w:val="24"/>
          <w:highlight w:val="none"/>
          <w:lang w:bidi="ar"/>
        </w:rPr>
        <w:t>×</w:t>
      </w:r>
      <w:r>
        <w:rPr>
          <w:rFonts w:hint="eastAsia" w:cs="Times New Roman"/>
          <w:color w:val="auto"/>
          <w:kern w:val="0"/>
          <w:szCs w:val="24"/>
          <w:highlight w:val="none"/>
          <w:lang w:val="en-US" w:eastAsia="zh-CN" w:bidi="ar"/>
        </w:rPr>
        <w:t>7.5</w:t>
      </w:r>
      <w:r>
        <w:rPr>
          <w:rFonts w:cs="Times New Roman"/>
          <w:color w:val="auto"/>
          <w:kern w:val="0"/>
          <w:szCs w:val="24"/>
          <w:highlight w:val="none"/>
          <w:lang w:bidi="ar"/>
        </w:rPr>
        <w:t>+2×</w:t>
      </w:r>
      <w:r>
        <w:rPr>
          <w:rFonts w:hint="eastAsia" w:cs="Times New Roman"/>
          <w:color w:val="auto"/>
          <w:kern w:val="0"/>
          <w:szCs w:val="24"/>
          <w:highlight w:val="none"/>
          <w:lang w:val="en-US" w:eastAsia="zh-CN" w:bidi="ar"/>
        </w:rPr>
        <w:t>10</w:t>
      </w:r>
      <w:r>
        <w:rPr>
          <w:rFonts w:cs="Times New Roman"/>
          <w:color w:val="auto"/>
          <w:kern w:val="0"/>
          <w:szCs w:val="24"/>
          <w:highlight w:val="none"/>
          <w:lang w:bidi="ar"/>
        </w:rPr>
        <w:t>×4+2×</w:t>
      </w:r>
      <w:r>
        <w:rPr>
          <w:rFonts w:hint="eastAsia" w:cs="Times New Roman"/>
          <w:color w:val="auto"/>
          <w:kern w:val="0"/>
          <w:szCs w:val="24"/>
          <w:highlight w:val="none"/>
          <w:lang w:val="en-US" w:eastAsia="zh-CN" w:bidi="ar"/>
        </w:rPr>
        <w:t>7.5</w:t>
      </w:r>
      <w:r>
        <w:rPr>
          <w:rFonts w:cs="Times New Roman"/>
          <w:color w:val="auto"/>
          <w:kern w:val="0"/>
          <w:szCs w:val="24"/>
          <w:highlight w:val="none"/>
          <w:lang w:bidi="ar"/>
        </w:rPr>
        <w:t>×4=</w:t>
      </w:r>
      <w:r>
        <w:rPr>
          <w:rFonts w:hint="eastAsia" w:cs="Times New Roman"/>
          <w:color w:val="auto"/>
          <w:kern w:val="0"/>
          <w:szCs w:val="24"/>
          <w:highlight w:val="none"/>
          <w:lang w:val="en-US" w:eastAsia="zh-CN" w:bidi="ar"/>
        </w:rPr>
        <w:t>215</w:t>
      </w:r>
      <w:r>
        <w:rPr>
          <w:rFonts w:cs="Times New Roman"/>
          <w:color w:val="auto"/>
          <w:kern w:val="0"/>
          <w:szCs w:val="24"/>
          <w:highlight w:val="none"/>
          <w:lang w:bidi="ar"/>
        </w:rPr>
        <w:t>m</w:t>
      </w:r>
      <w:r>
        <w:rPr>
          <w:rFonts w:cs="Times New Roman"/>
          <w:color w:val="auto"/>
          <w:kern w:val="0"/>
          <w:szCs w:val="24"/>
          <w:highlight w:val="none"/>
          <w:vertAlign w:val="superscript"/>
          <w:lang w:bidi="ar"/>
        </w:rPr>
        <w:t>2</w:t>
      </w:r>
      <w:r>
        <w:rPr>
          <w:rFonts w:cs="Times New Roman"/>
          <w:color w:val="auto"/>
          <w:kern w:val="0"/>
          <w:szCs w:val="24"/>
          <w:highlight w:val="none"/>
          <w:lang w:bidi="ar"/>
        </w:rPr>
        <w:t>，</w:t>
      </w:r>
      <w:r>
        <w:rPr>
          <w:rFonts w:cs="Times New Roman"/>
          <w:snapToGrid w:val="0"/>
          <w:color w:val="auto"/>
          <w:highlight w:val="none"/>
        </w:rPr>
        <w:t>调节池</w:t>
      </w:r>
      <w:r>
        <w:rPr>
          <w:rFonts w:cs="Times New Roman"/>
          <w:color w:val="auto"/>
          <w:kern w:val="0"/>
          <w:szCs w:val="24"/>
          <w:highlight w:val="none"/>
          <w:lang w:bidi="ar"/>
        </w:rPr>
        <w:t>正常情况下每日的最大允许污水渗透量Q计算如下：渗漏量=渗漏面积×渗漏强度=2L/（m</w:t>
      </w:r>
      <w:r>
        <w:rPr>
          <w:rFonts w:cs="Times New Roman"/>
          <w:color w:val="auto"/>
          <w:kern w:val="0"/>
          <w:szCs w:val="24"/>
          <w:highlight w:val="none"/>
          <w:vertAlign w:val="superscript"/>
          <w:lang w:bidi="ar"/>
        </w:rPr>
        <w:t>2</w:t>
      </w:r>
      <w:r>
        <w:rPr>
          <w:rFonts w:cs="Times New Roman"/>
          <w:color w:val="auto"/>
          <w:kern w:val="0"/>
          <w:szCs w:val="24"/>
          <w:highlight w:val="none"/>
          <w:lang w:bidi="ar"/>
        </w:rPr>
        <w:t>·d）×</w:t>
      </w:r>
      <w:r>
        <w:rPr>
          <w:rFonts w:hint="eastAsia" w:cs="Times New Roman"/>
          <w:color w:val="auto"/>
          <w:kern w:val="0"/>
          <w:szCs w:val="24"/>
          <w:highlight w:val="none"/>
          <w:lang w:val="en-US" w:eastAsia="zh-CN" w:bidi="ar"/>
        </w:rPr>
        <w:t>215</w:t>
      </w:r>
      <w:r>
        <w:rPr>
          <w:rFonts w:cs="Times New Roman"/>
          <w:color w:val="auto"/>
          <w:kern w:val="0"/>
          <w:szCs w:val="24"/>
          <w:highlight w:val="none"/>
          <w:lang w:bidi="ar"/>
        </w:rPr>
        <w:t>m</w:t>
      </w:r>
      <w:r>
        <w:rPr>
          <w:rFonts w:cs="Times New Roman"/>
          <w:color w:val="auto"/>
          <w:kern w:val="0"/>
          <w:szCs w:val="24"/>
          <w:highlight w:val="none"/>
          <w:vertAlign w:val="superscript"/>
          <w:lang w:bidi="ar"/>
        </w:rPr>
        <w:t>2</w:t>
      </w:r>
      <w:r>
        <w:rPr>
          <w:rFonts w:cs="Times New Roman"/>
          <w:color w:val="auto"/>
          <w:kern w:val="0"/>
          <w:szCs w:val="24"/>
          <w:highlight w:val="none"/>
          <w:lang w:bidi="ar"/>
        </w:rPr>
        <w:t>=</w:t>
      </w:r>
      <w:r>
        <w:rPr>
          <w:rFonts w:hint="eastAsia" w:cs="Times New Roman"/>
          <w:color w:val="auto"/>
          <w:kern w:val="0"/>
          <w:szCs w:val="24"/>
          <w:highlight w:val="none"/>
          <w:lang w:val="en-US" w:eastAsia="zh-CN" w:bidi="ar"/>
        </w:rPr>
        <w:t>430</w:t>
      </w:r>
      <w:r>
        <w:rPr>
          <w:rFonts w:cs="Times New Roman"/>
          <w:color w:val="auto"/>
          <w:kern w:val="0"/>
          <w:szCs w:val="24"/>
          <w:highlight w:val="none"/>
          <w:lang w:bidi="ar"/>
        </w:rPr>
        <w:t>L/d。</w:t>
      </w:r>
    </w:p>
    <w:p w14:paraId="40F26287">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本次事故工况下的污染源强按</w:t>
      </w:r>
      <w:r>
        <w:rPr>
          <w:rFonts w:hint="eastAsia" w:cs="Times New Roman"/>
          <w:color w:val="auto"/>
          <w:kern w:val="0"/>
          <w:szCs w:val="24"/>
          <w:highlight w:val="none"/>
          <w:lang w:val="en-US" w:eastAsia="zh-CN" w:bidi="ar"/>
        </w:rPr>
        <w:t>直接排放未处理水质浓度</w:t>
      </w:r>
      <w:r>
        <w:rPr>
          <w:rFonts w:cs="Times New Roman"/>
          <w:color w:val="auto"/>
          <w:kern w:val="0"/>
          <w:szCs w:val="24"/>
          <w:highlight w:val="none"/>
          <w:lang w:bidi="ar"/>
        </w:rPr>
        <w:t>计算，污染浓度为COD</w:t>
      </w:r>
      <w:r>
        <w:rPr>
          <w:rFonts w:hint="eastAsia" w:cs="Times New Roman"/>
          <w:color w:val="auto"/>
          <w:kern w:val="0"/>
          <w:szCs w:val="24"/>
          <w:highlight w:val="none"/>
          <w:lang w:val="en-US" w:eastAsia="zh-CN" w:bidi="ar"/>
        </w:rPr>
        <w:t>2691</w:t>
      </w:r>
      <w:r>
        <w:rPr>
          <w:rFonts w:cs="Times New Roman"/>
          <w:color w:val="auto"/>
          <w:kern w:val="0"/>
          <w:szCs w:val="24"/>
          <w:highlight w:val="none"/>
          <w:lang w:bidi="ar"/>
        </w:rPr>
        <w:t>mg/L、氨氮</w:t>
      </w:r>
      <w:r>
        <w:rPr>
          <w:rFonts w:hint="eastAsia" w:cs="Times New Roman"/>
          <w:color w:val="auto"/>
          <w:kern w:val="0"/>
          <w:szCs w:val="24"/>
          <w:highlight w:val="none"/>
          <w:lang w:val="en-US" w:eastAsia="zh-CN" w:bidi="ar"/>
        </w:rPr>
        <w:t>85</w:t>
      </w:r>
      <w:r>
        <w:rPr>
          <w:rFonts w:cs="Times New Roman"/>
          <w:color w:val="auto"/>
          <w:kern w:val="0"/>
          <w:szCs w:val="24"/>
          <w:highlight w:val="none"/>
          <w:lang w:bidi="ar"/>
        </w:rPr>
        <w:t>mg/L，则事故工况下源强如下表所示。</w:t>
      </w:r>
    </w:p>
    <w:p w14:paraId="78692E4F">
      <w:pPr>
        <w:widowControl/>
        <w:spacing w:before="163" w:beforeLines="50" w:line="240" w:lineRule="auto"/>
        <w:ind w:firstLine="0" w:firstLineChars="0"/>
        <w:jc w:val="center"/>
        <w:rPr>
          <w:rFonts w:cs="Times New Roman"/>
          <w:b/>
          <w:bCs/>
          <w:color w:val="auto"/>
          <w:kern w:val="0"/>
          <w:szCs w:val="24"/>
          <w:highlight w:val="none"/>
          <w:lang w:bidi="ar"/>
        </w:rPr>
      </w:pPr>
      <w:r>
        <w:rPr>
          <w:rFonts w:cs="Times New Roman"/>
          <w:b/>
          <w:bCs/>
          <w:color w:val="auto"/>
          <w:kern w:val="0"/>
          <w:szCs w:val="24"/>
          <w:highlight w:val="none"/>
          <w:lang w:bidi="ar"/>
        </w:rPr>
        <w:t>表5</w:t>
      </w:r>
      <w:r>
        <w:rPr>
          <w:rFonts w:hint="eastAsia" w:cs="Times New Roman"/>
          <w:b/>
          <w:bCs/>
          <w:color w:val="auto"/>
          <w:kern w:val="0"/>
          <w:szCs w:val="24"/>
          <w:highlight w:val="none"/>
          <w:lang w:val="en-US" w:eastAsia="zh-CN" w:bidi="ar"/>
        </w:rPr>
        <w:t>.</w:t>
      </w:r>
      <w:r>
        <w:rPr>
          <w:rFonts w:cs="Times New Roman"/>
          <w:b/>
          <w:bCs/>
          <w:color w:val="auto"/>
          <w:kern w:val="0"/>
          <w:szCs w:val="24"/>
          <w:highlight w:val="none"/>
          <w:lang w:bidi="ar"/>
        </w:rPr>
        <w:t>2-</w:t>
      </w:r>
      <w:r>
        <w:rPr>
          <w:rFonts w:hint="eastAsia" w:cs="Times New Roman"/>
          <w:b/>
          <w:bCs/>
          <w:color w:val="auto"/>
          <w:kern w:val="0"/>
          <w:szCs w:val="24"/>
          <w:highlight w:val="none"/>
          <w:lang w:val="en-US" w:eastAsia="zh-CN" w:bidi="ar"/>
        </w:rPr>
        <w:t>7</w:t>
      </w:r>
      <w:r>
        <w:rPr>
          <w:rFonts w:cs="Times New Roman"/>
          <w:b/>
          <w:bCs/>
          <w:color w:val="auto"/>
          <w:kern w:val="0"/>
          <w:szCs w:val="24"/>
          <w:highlight w:val="none"/>
          <w:lang w:bidi="ar"/>
        </w:rPr>
        <w:t xml:space="preserve">  调节池泄漏源强</w:t>
      </w:r>
    </w:p>
    <w:tbl>
      <w:tblPr>
        <w:tblStyle w:val="4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41"/>
        <w:gridCol w:w="1702"/>
        <w:gridCol w:w="1283"/>
        <w:gridCol w:w="1019"/>
        <w:gridCol w:w="1444"/>
        <w:gridCol w:w="1739"/>
      </w:tblGrid>
      <w:tr w14:paraId="0ABFFF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9" w:hRule="atLeast"/>
          <w:jc w:val="center"/>
        </w:trPr>
        <w:tc>
          <w:tcPr>
            <w:tcW w:w="0" w:type="auto"/>
            <w:tcBorders>
              <w:tl2br w:val="nil"/>
              <w:tr2bl w:val="nil"/>
            </w:tcBorders>
            <w:vAlign w:val="center"/>
          </w:tcPr>
          <w:p w14:paraId="43452E97">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渗漏面积（m</w:t>
            </w:r>
            <w:r>
              <w:rPr>
                <w:rFonts w:cs="Times New Roman"/>
                <w:color w:val="auto"/>
                <w:kern w:val="0"/>
                <w:sz w:val="21"/>
                <w:szCs w:val="21"/>
                <w:highlight w:val="none"/>
                <w:vertAlign w:val="superscript"/>
                <w:lang w:bidi="ar"/>
              </w:rPr>
              <w:t>2</w:t>
            </w:r>
            <w:r>
              <w:rPr>
                <w:rFonts w:cs="Times New Roman"/>
                <w:color w:val="auto"/>
                <w:kern w:val="0"/>
                <w:sz w:val="21"/>
                <w:szCs w:val="21"/>
                <w:highlight w:val="none"/>
                <w:lang w:bidi="ar"/>
              </w:rPr>
              <w:t>）</w:t>
            </w:r>
          </w:p>
        </w:tc>
        <w:tc>
          <w:tcPr>
            <w:tcW w:w="0" w:type="auto"/>
            <w:tcBorders>
              <w:tl2br w:val="nil"/>
              <w:tr2bl w:val="nil"/>
            </w:tcBorders>
            <w:vAlign w:val="center"/>
          </w:tcPr>
          <w:p w14:paraId="7B7294AC">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渗漏强度（L/m</w:t>
            </w:r>
            <w:r>
              <w:rPr>
                <w:rFonts w:cs="Times New Roman"/>
                <w:color w:val="auto"/>
                <w:kern w:val="0"/>
                <w:sz w:val="21"/>
                <w:szCs w:val="21"/>
                <w:highlight w:val="none"/>
                <w:vertAlign w:val="superscript"/>
                <w:lang w:bidi="ar"/>
              </w:rPr>
              <w:t>2</w:t>
            </w:r>
            <w:r>
              <w:rPr>
                <w:rFonts w:cs="Times New Roman"/>
                <w:color w:val="auto"/>
                <w:kern w:val="0"/>
                <w:sz w:val="21"/>
                <w:szCs w:val="21"/>
                <w:highlight w:val="none"/>
                <w:lang w:bidi="ar"/>
              </w:rPr>
              <w:t>·d）</w:t>
            </w:r>
          </w:p>
        </w:tc>
        <w:tc>
          <w:tcPr>
            <w:tcW w:w="0" w:type="auto"/>
            <w:tcBorders>
              <w:tl2br w:val="nil"/>
              <w:tr2bl w:val="nil"/>
            </w:tcBorders>
            <w:vAlign w:val="center"/>
          </w:tcPr>
          <w:p w14:paraId="60854548">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渗漏量（L/d）</w:t>
            </w:r>
          </w:p>
        </w:tc>
        <w:tc>
          <w:tcPr>
            <w:tcW w:w="1019" w:type="dxa"/>
            <w:tcBorders>
              <w:tl2br w:val="nil"/>
              <w:tr2bl w:val="nil"/>
            </w:tcBorders>
            <w:vAlign w:val="center"/>
          </w:tcPr>
          <w:p w14:paraId="02487F5B">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污染物</w:t>
            </w:r>
          </w:p>
        </w:tc>
        <w:tc>
          <w:tcPr>
            <w:tcW w:w="1444" w:type="dxa"/>
            <w:tcBorders>
              <w:tl2br w:val="nil"/>
              <w:tr2bl w:val="nil"/>
            </w:tcBorders>
            <w:vAlign w:val="center"/>
          </w:tcPr>
          <w:p w14:paraId="493CD132">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浓度（mg/L）</w:t>
            </w:r>
          </w:p>
        </w:tc>
        <w:tc>
          <w:tcPr>
            <w:tcW w:w="1739" w:type="dxa"/>
            <w:tcBorders>
              <w:tl2br w:val="nil"/>
              <w:tr2bl w:val="nil"/>
            </w:tcBorders>
            <w:vAlign w:val="center"/>
          </w:tcPr>
          <w:p w14:paraId="1CE356AF">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污染物质量（kg/d）</w:t>
            </w:r>
          </w:p>
        </w:tc>
      </w:tr>
      <w:tr w14:paraId="282A93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0" w:type="auto"/>
            <w:vMerge w:val="restart"/>
            <w:tcBorders>
              <w:tl2br w:val="nil"/>
              <w:tr2bl w:val="nil"/>
            </w:tcBorders>
            <w:vAlign w:val="center"/>
          </w:tcPr>
          <w:p w14:paraId="5C8A3D95">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215</w:t>
            </w:r>
          </w:p>
        </w:tc>
        <w:tc>
          <w:tcPr>
            <w:tcW w:w="0" w:type="auto"/>
            <w:vMerge w:val="restart"/>
            <w:tcBorders>
              <w:tl2br w:val="nil"/>
              <w:tr2bl w:val="nil"/>
            </w:tcBorders>
            <w:vAlign w:val="center"/>
          </w:tcPr>
          <w:p w14:paraId="266047AE">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2</w:t>
            </w:r>
          </w:p>
        </w:tc>
        <w:tc>
          <w:tcPr>
            <w:tcW w:w="0" w:type="auto"/>
            <w:vMerge w:val="restart"/>
            <w:tcBorders>
              <w:tl2br w:val="nil"/>
              <w:tr2bl w:val="nil"/>
            </w:tcBorders>
            <w:vAlign w:val="center"/>
          </w:tcPr>
          <w:p w14:paraId="0DBD8B8B">
            <w:pPr>
              <w:widowControl/>
              <w:spacing w:line="360" w:lineRule="exact"/>
              <w:ind w:firstLine="0" w:firstLineChars="0"/>
              <w:jc w:val="center"/>
              <w:rPr>
                <w:rFonts w:hint="default"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430</w:t>
            </w:r>
          </w:p>
        </w:tc>
        <w:tc>
          <w:tcPr>
            <w:tcW w:w="1019" w:type="dxa"/>
            <w:tcBorders>
              <w:tl2br w:val="nil"/>
              <w:tr2bl w:val="nil"/>
            </w:tcBorders>
            <w:vAlign w:val="center"/>
          </w:tcPr>
          <w:p w14:paraId="2D92DE09">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COD</w:t>
            </w:r>
          </w:p>
        </w:tc>
        <w:tc>
          <w:tcPr>
            <w:tcW w:w="1444" w:type="dxa"/>
            <w:tcBorders>
              <w:tl2br w:val="nil"/>
              <w:tr2bl w:val="nil"/>
            </w:tcBorders>
            <w:shd w:val="clear" w:color="auto" w:fill="auto"/>
            <w:vAlign w:val="center"/>
          </w:tcPr>
          <w:p w14:paraId="2717CE2C">
            <w:pPr>
              <w:widowControl/>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2691</w:t>
            </w:r>
          </w:p>
        </w:tc>
        <w:tc>
          <w:tcPr>
            <w:tcW w:w="1739" w:type="dxa"/>
            <w:tcBorders>
              <w:tl2br w:val="nil"/>
              <w:tr2bl w:val="nil"/>
            </w:tcBorders>
            <w:shd w:val="clear" w:color="auto" w:fill="auto"/>
            <w:vAlign w:val="center"/>
          </w:tcPr>
          <w:p w14:paraId="5CC340B9">
            <w:pPr>
              <w:widowControl/>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1.16</w:t>
            </w:r>
          </w:p>
        </w:tc>
      </w:tr>
      <w:tr w14:paraId="629F9B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0" w:type="auto"/>
            <w:vMerge w:val="continue"/>
            <w:tcBorders>
              <w:tl2br w:val="nil"/>
              <w:tr2bl w:val="nil"/>
            </w:tcBorders>
            <w:vAlign w:val="center"/>
          </w:tcPr>
          <w:p w14:paraId="35E5A82D">
            <w:pPr>
              <w:widowControl/>
              <w:spacing w:line="360" w:lineRule="exact"/>
              <w:ind w:firstLine="0" w:firstLineChars="0"/>
              <w:jc w:val="center"/>
              <w:rPr>
                <w:rFonts w:cs="Times New Roman"/>
                <w:color w:val="auto"/>
                <w:kern w:val="0"/>
                <w:sz w:val="21"/>
                <w:szCs w:val="21"/>
                <w:highlight w:val="none"/>
                <w:lang w:bidi="ar"/>
              </w:rPr>
            </w:pPr>
          </w:p>
        </w:tc>
        <w:tc>
          <w:tcPr>
            <w:tcW w:w="0" w:type="auto"/>
            <w:vMerge w:val="continue"/>
            <w:tcBorders>
              <w:tl2br w:val="nil"/>
              <w:tr2bl w:val="nil"/>
            </w:tcBorders>
            <w:vAlign w:val="center"/>
          </w:tcPr>
          <w:p w14:paraId="0EE2C4B0">
            <w:pPr>
              <w:widowControl/>
              <w:spacing w:line="360" w:lineRule="exact"/>
              <w:ind w:firstLine="0" w:firstLineChars="0"/>
              <w:jc w:val="center"/>
              <w:rPr>
                <w:rFonts w:cs="Times New Roman"/>
                <w:color w:val="auto"/>
                <w:kern w:val="0"/>
                <w:sz w:val="21"/>
                <w:szCs w:val="21"/>
                <w:highlight w:val="none"/>
                <w:lang w:bidi="ar"/>
              </w:rPr>
            </w:pPr>
          </w:p>
        </w:tc>
        <w:tc>
          <w:tcPr>
            <w:tcW w:w="0" w:type="auto"/>
            <w:vMerge w:val="continue"/>
            <w:tcBorders>
              <w:tl2br w:val="nil"/>
              <w:tr2bl w:val="nil"/>
            </w:tcBorders>
            <w:vAlign w:val="center"/>
          </w:tcPr>
          <w:p w14:paraId="61E62895">
            <w:pPr>
              <w:widowControl/>
              <w:spacing w:line="360" w:lineRule="exact"/>
              <w:ind w:firstLine="0" w:firstLineChars="0"/>
              <w:jc w:val="center"/>
              <w:rPr>
                <w:rFonts w:cs="Times New Roman"/>
                <w:color w:val="auto"/>
                <w:kern w:val="0"/>
                <w:sz w:val="21"/>
                <w:szCs w:val="21"/>
                <w:highlight w:val="none"/>
                <w:lang w:bidi="ar"/>
              </w:rPr>
            </w:pPr>
          </w:p>
        </w:tc>
        <w:tc>
          <w:tcPr>
            <w:tcW w:w="1019" w:type="dxa"/>
            <w:tcBorders>
              <w:tl2br w:val="nil"/>
              <w:tr2bl w:val="nil"/>
            </w:tcBorders>
            <w:vAlign w:val="center"/>
          </w:tcPr>
          <w:p w14:paraId="0C1FF37A">
            <w:pPr>
              <w:widowControl/>
              <w:spacing w:line="360" w:lineRule="exact"/>
              <w:ind w:firstLine="0" w:firstLineChars="0"/>
              <w:jc w:val="center"/>
              <w:rPr>
                <w:rFonts w:cs="Times New Roman"/>
                <w:color w:val="auto"/>
                <w:kern w:val="0"/>
                <w:sz w:val="21"/>
                <w:szCs w:val="21"/>
                <w:highlight w:val="none"/>
                <w:lang w:bidi="ar"/>
              </w:rPr>
            </w:pPr>
            <w:r>
              <w:rPr>
                <w:rFonts w:cs="Times New Roman"/>
                <w:color w:val="auto"/>
                <w:kern w:val="0"/>
                <w:sz w:val="21"/>
                <w:szCs w:val="21"/>
                <w:highlight w:val="none"/>
                <w:lang w:bidi="ar"/>
              </w:rPr>
              <w:t>氨氮</w:t>
            </w:r>
          </w:p>
        </w:tc>
        <w:tc>
          <w:tcPr>
            <w:tcW w:w="1444" w:type="dxa"/>
            <w:tcBorders>
              <w:tl2br w:val="nil"/>
              <w:tr2bl w:val="nil"/>
            </w:tcBorders>
            <w:shd w:val="clear" w:color="auto" w:fill="auto"/>
            <w:vAlign w:val="center"/>
          </w:tcPr>
          <w:p w14:paraId="47197B19">
            <w:pPr>
              <w:widowControl/>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85</w:t>
            </w:r>
          </w:p>
        </w:tc>
        <w:tc>
          <w:tcPr>
            <w:tcW w:w="1739" w:type="dxa"/>
            <w:tcBorders>
              <w:tl2br w:val="nil"/>
              <w:tr2bl w:val="nil"/>
            </w:tcBorders>
            <w:shd w:val="clear" w:color="auto" w:fill="auto"/>
            <w:vAlign w:val="center"/>
          </w:tcPr>
          <w:p w14:paraId="52D880BB">
            <w:pPr>
              <w:widowControl/>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0.037</w:t>
            </w:r>
          </w:p>
        </w:tc>
      </w:tr>
    </w:tbl>
    <w:p w14:paraId="11215EB9">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（6）预测模型及参数的确定</w:t>
      </w:r>
    </w:p>
    <w:p w14:paraId="2088486A">
      <w:pPr>
        <w:widowControl/>
        <w:spacing w:line="500" w:lineRule="exact"/>
        <w:rPr>
          <w:rFonts w:cs="Times New Roman"/>
          <w:color w:val="auto"/>
          <w:kern w:val="0"/>
          <w:szCs w:val="24"/>
          <w:highlight w:val="none"/>
          <w:lang w:bidi="ar"/>
        </w:rPr>
      </w:pPr>
      <w:r>
        <w:rPr>
          <w:rFonts w:cs="Times New Roman"/>
          <w:color w:val="auto"/>
          <w:kern w:val="0"/>
          <w:szCs w:val="24"/>
          <w:highlight w:val="none"/>
          <w:lang w:bidi="ar"/>
        </w:rPr>
        <w:t>1）预测模型</w:t>
      </w:r>
    </w:p>
    <w:p w14:paraId="3976107D">
      <w:pPr>
        <w:widowControl/>
        <w:spacing w:line="500" w:lineRule="exact"/>
        <w:rPr>
          <w:rFonts w:cs="Times New Roman"/>
          <w:color w:val="auto"/>
          <w:kern w:val="0"/>
          <w:szCs w:val="24"/>
          <w:highlight w:val="none"/>
          <w:lang w:bidi="ar"/>
        </w:rPr>
      </w:pPr>
      <w:r>
        <w:rPr>
          <w:rFonts w:cs="Times New Roman"/>
          <w:color w:val="auto"/>
          <w:szCs w:val="24"/>
          <w:highlight w:val="none"/>
        </w:rPr>
        <w:drawing>
          <wp:anchor distT="0" distB="0" distL="114300" distR="114300" simplePos="0" relativeHeight="251684864" behindDoc="1" locked="0" layoutInCell="1" allowOverlap="1">
            <wp:simplePos x="0" y="0"/>
            <wp:positionH relativeFrom="column">
              <wp:posOffset>1303655</wp:posOffset>
            </wp:positionH>
            <wp:positionV relativeFrom="paragraph">
              <wp:posOffset>941705</wp:posOffset>
            </wp:positionV>
            <wp:extent cx="2905125" cy="671830"/>
            <wp:effectExtent l="0" t="0" r="9525" b="13970"/>
            <wp:wrapNone/>
            <wp:docPr id="54" name="图片 16" descr="C:/Users/Administrator/AppData/Local/Temp/picturecompress_20211105115811/output_68.jpgoutput_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 descr="C:/Users/Administrator/AppData/Local/Temp/picturecompress_20211105115811/output_68.jpgoutput_68"/>
                    <pic:cNvPicPr>
                      <a:picLocks noChangeAspect="1"/>
                    </pic:cNvPicPr>
                  </pic:nvPicPr>
                  <pic:blipFill>
                    <a:blip r:embed="rId48"/>
                    <a:stretch>
                      <a:fillRect/>
                    </a:stretch>
                  </pic:blipFill>
                  <pic:spPr>
                    <a:xfrm>
                      <a:off x="0" y="0"/>
                      <a:ext cx="2905125" cy="671830"/>
                    </a:xfrm>
                    <a:prstGeom prst="rect">
                      <a:avLst/>
                    </a:prstGeom>
                    <a:noFill/>
                    <a:ln>
                      <a:noFill/>
                    </a:ln>
                  </pic:spPr>
                </pic:pic>
              </a:graphicData>
            </a:graphic>
          </wp:anchor>
        </w:drawing>
      </w:r>
      <w:r>
        <w:rPr>
          <w:rFonts w:cs="Times New Roman"/>
          <w:color w:val="auto"/>
          <w:kern w:val="0"/>
          <w:szCs w:val="24"/>
          <w:highlight w:val="none"/>
          <w:lang w:bidi="ar"/>
        </w:rPr>
        <w:t>根据《环境影响评价技术导则 地下水环境》（HJ610-2016）要求，地下水环境影响评价三级评价预测方法可以选用解析法。根据本项目地下水的污染特性选用“一维无限长多孔介质柱体，一端为定浓度边界”，公式如下。</w:t>
      </w:r>
    </w:p>
    <w:p w14:paraId="771E0DB8">
      <w:pPr>
        <w:spacing w:line="500" w:lineRule="exact"/>
        <w:ind w:firstLine="0" w:firstLineChars="0"/>
        <w:jc w:val="center"/>
        <w:rPr>
          <w:rFonts w:cs="Times New Roman"/>
          <w:color w:val="auto"/>
          <w:szCs w:val="24"/>
          <w:highlight w:val="none"/>
        </w:rPr>
      </w:pPr>
    </w:p>
    <w:p w14:paraId="3A577C8E">
      <w:pPr>
        <w:spacing w:line="500" w:lineRule="exact"/>
        <w:ind w:firstLine="0" w:firstLineChars="0"/>
        <w:jc w:val="center"/>
        <w:rPr>
          <w:rFonts w:cs="Times New Roman"/>
          <w:color w:val="auto"/>
          <w:szCs w:val="24"/>
          <w:highlight w:val="none"/>
        </w:rPr>
      </w:pPr>
    </w:p>
    <w:p w14:paraId="4E9EBC69">
      <w:pPr>
        <w:spacing w:line="500" w:lineRule="exact"/>
        <w:rPr>
          <w:rFonts w:cs="Times New Roman"/>
          <w:color w:val="auto"/>
          <w:szCs w:val="24"/>
          <w:highlight w:val="none"/>
        </w:rPr>
      </w:pPr>
      <w:r>
        <w:rPr>
          <w:rFonts w:cs="Times New Roman"/>
          <w:color w:val="auto"/>
          <w:szCs w:val="24"/>
          <w:highlight w:val="none"/>
        </w:rPr>
        <w:t>式中：x—距注入点的距离，m；</w:t>
      </w:r>
    </w:p>
    <w:p w14:paraId="5508E453">
      <w:pPr>
        <w:spacing w:line="500" w:lineRule="exact"/>
        <w:ind w:firstLine="1200" w:firstLineChars="500"/>
        <w:rPr>
          <w:rFonts w:cs="Times New Roman"/>
          <w:color w:val="auto"/>
          <w:szCs w:val="24"/>
          <w:highlight w:val="none"/>
        </w:rPr>
      </w:pPr>
      <w:r>
        <w:rPr>
          <w:rFonts w:cs="Times New Roman"/>
          <w:color w:val="auto"/>
          <w:szCs w:val="24"/>
          <w:highlight w:val="none"/>
        </w:rPr>
        <w:t>t—时间，d；</w:t>
      </w:r>
    </w:p>
    <w:p w14:paraId="2D7CE8C3">
      <w:pPr>
        <w:spacing w:line="500" w:lineRule="exact"/>
        <w:ind w:firstLine="1200" w:firstLineChars="500"/>
        <w:rPr>
          <w:rFonts w:cs="Times New Roman"/>
          <w:color w:val="auto"/>
          <w:szCs w:val="24"/>
          <w:highlight w:val="none"/>
        </w:rPr>
      </w:pPr>
      <w:r>
        <w:rPr>
          <w:rFonts w:cs="Times New Roman"/>
          <w:color w:val="auto"/>
          <w:szCs w:val="24"/>
          <w:highlight w:val="none"/>
        </w:rPr>
        <w:t>C（x</w:t>
      </w:r>
      <w:r>
        <w:rPr>
          <w:rFonts w:hint="eastAsia" w:cs="Times New Roman"/>
          <w:color w:val="auto"/>
          <w:szCs w:val="24"/>
          <w:highlight w:val="none"/>
        </w:rPr>
        <w:t>，</w:t>
      </w:r>
      <w:r>
        <w:rPr>
          <w:rFonts w:cs="Times New Roman"/>
          <w:color w:val="auto"/>
          <w:szCs w:val="24"/>
          <w:highlight w:val="none"/>
        </w:rPr>
        <w:t>t）—t 时刻点x处的示踪剂浓度，g/L；</w:t>
      </w:r>
    </w:p>
    <w:p w14:paraId="7251814F">
      <w:pPr>
        <w:spacing w:line="500" w:lineRule="exact"/>
        <w:ind w:firstLine="1200" w:firstLineChars="500"/>
        <w:rPr>
          <w:rFonts w:cs="Times New Roman"/>
          <w:color w:val="auto"/>
          <w:szCs w:val="24"/>
          <w:highlight w:val="none"/>
        </w:rPr>
      </w:pPr>
      <w:r>
        <w:rPr>
          <w:rFonts w:cs="Times New Roman"/>
          <w:color w:val="auto"/>
          <w:szCs w:val="24"/>
          <w:highlight w:val="none"/>
        </w:rPr>
        <w:t>C</w:t>
      </w:r>
      <w:r>
        <w:rPr>
          <w:rFonts w:cs="Times New Roman"/>
          <w:color w:val="auto"/>
          <w:szCs w:val="24"/>
          <w:highlight w:val="none"/>
          <w:vertAlign w:val="subscript"/>
        </w:rPr>
        <w:t>0</w:t>
      </w:r>
      <w:r>
        <w:rPr>
          <w:rFonts w:cs="Times New Roman"/>
          <w:color w:val="auto"/>
          <w:szCs w:val="24"/>
          <w:highlight w:val="none"/>
        </w:rPr>
        <w:t>—注入示踪剂浓度，g/L；</w:t>
      </w:r>
    </w:p>
    <w:p w14:paraId="038E50AF">
      <w:pPr>
        <w:spacing w:line="500" w:lineRule="exact"/>
        <w:ind w:firstLine="1200" w:firstLineChars="500"/>
        <w:rPr>
          <w:rFonts w:cs="Times New Roman"/>
          <w:color w:val="auto"/>
          <w:szCs w:val="24"/>
          <w:highlight w:val="none"/>
        </w:rPr>
      </w:pPr>
      <w:r>
        <w:rPr>
          <w:rFonts w:cs="Times New Roman"/>
          <w:color w:val="auto"/>
          <w:szCs w:val="24"/>
          <w:highlight w:val="none"/>
        </w:rPr>
        <w:t>u—水流速度，m/d；</w:t>
      </w:r>
    </w:p>
    <w:p w14:paraId="6393D412">
      <w:pPr>
        <w:spacing w:line="500" w:lineRule="exact"/>
        <w:ind w:firstLine="1200" w:firstLineChars="500"/>
        <w:rPr>
          <w:rFonts w:cs="Times New Roman"/>
          <w:color w:val="auto"/>
          <w:szCs w:val="24"/>
          <w:highlight w:val="none"/>
        </w:rPr>
      </w:pPr>
      <w:r>
        <w:rPr>
          <w:rFonts w:cs="Times New Roman"/>
          <w:color w:val="auto"/>
          <w:szCs w:val="24"/>
          <w:highlight w:val="none"/>
        </w:rPr>
        <mc:AlternateContent>
          <mc:Choice Requires="wps">
            <w:drawing>
              <wp:anchor distT="0" distB="0" distL="114300" distR="114300" simplePos="0" relativeHeight="251660288" behindDoc="1" locked="0" layoutInCell="1" allowOverlap="1">
                <wp:simplePos x="0" y="0"/>
                <wp:positionH relativeFrom="page">
                  <wp:posOffset>1970405</wp:posOffset>
                </wp:positionH>
                <wp:positionV relativeFrom="paragraph">
                  <wp:posOffset>159385</wp:posOffset>
                </wp:positionV>
                <wp:extent cx="38100" cy="762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38100" cy="76200"/>
                        </a:xfrm>
                        <a:prstGeom prst="rect">
                          <a:avLst/>
                        </a:prstGeom>
                        <a:noFill/>
                        <a:ln>
                          <a:noFill/>
                        </a:ln>
                      </wps:spPr>
                      <wps:txbx>
                        <w:txbxContent>
                          <w:p w14:paraId="2C23F719">
                            <w:pPr>
                              <w:spacing w:line="120" w:lineRule="exact"/>
                              <w:ind w:firstLine="240"/>
                              <w:rPr>
                                <w:rFonts w:ascii="宋体" w:hAnsi="宋体" w:cs="宋体"/>
                                <w:sz w:val="12"/>
                                <w:szCs w:val="12"/>
                              </w:rPr>
                            </w:pPr>
                            <w:r>
                              <w:rPr>
                                <w:rFonts w:hint="eastAsia" w:ascii="宋体"/>
                                <w:sz w:val="12"/>
                              </w:rPr>
                              <w:t>L</w:t>
                            </w:r>
                          </w:p>
                        </w:txbxContent>
                      </wps:txbx>
                      <wps:bodyPr lIns="0" tIns="0" rIns="0" bIns="0" upright="1"/>
                    </wps:wsp>
                  </a:graphicData>
                </a:graphic>
              </wp:anchor>
            </w:drawing>
          </mc:Choice>
          <mc:Fallback>
            <w:pict>
              <v:shape id="_x0000_s1026" o:spid="_x0000_s1026" o:spt="202" type="#_x0000_t202" style="position:absolute;left:0pt;margin-left:155.15pt;margin-top:12.55pt;height:6pt;width:3pt;mso-position-horizontal-relative:page;z-index:-251656192;mso-width-relative:page;mso-height-relative:page;" filled="f" stroked="f" coordsize="21600,21600" o:gfxdata="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RmvIjdcAAAAJAQAADwAAAAAAAAABACAAAAAiAAAAZHJzL2Rvd25yZXYueG1sUEsBAhQAFAAA&#10;AAgAh07iQDt24pe3AQAAcQMAAA4AAAAAAAAAAQAgAAAAJgEAAGRycy9lMm9Eb2MueG1sUEsFBgAA&#10;AAAGAAYAWQEAAE8FAAAAAA==&#10;">
                <v:fill on="f" focussize="0,0"/>
                <v:stroke on="f"/>
                <v:imagedata o:title=""/>
                <o:lock v:ext="edit" aspectratio="f"/>
                <v:textbox inset="0mm,0mm,0mm,0mm">
                  <w:txbxContent>
                    <w:p w14:paraId="2C23F719">
                      <w:pPr>
                        <w:spacing w:line="120" w:lineRule="exact"/>
                        <w:ind w:firstLine="240"/>
                        <w:rPr>
                          <w:rFonts w:ascii="宋体" w:hAnsi="宋体" w:cs="宋体"/>
                          <w:sz w:val="12"/>
                          <w:szCs w:val="12"/>
                        </w:rPr>
                      </w:pPr>
                      <w:r>
                        <w:rPr>
                          <w:rFonts w:hint="eastAsia" w:ascii="宋体"/>
                          <w:sz w:val="12"/>
                        </w:rPr>
                        <w:t>L</w:t>
                      </w:r>
                    </w:p>
                  </w:txbxContent>
                </v:textbox>
              </v:shape>
            </w:pict>
          </mc:Fallback>
        </mc:AlternateContent>
      </w:r>
      <w:r>
        <w:rPr>
          <w:rFonts w:cs="Times New Roman"/>
          <w:color w:val="auto"/>
          <w:szCs w:val="24"/>
          <w:highlight w:val="none"/>
        </w:rPr>
        <w:t>D—纵向弥散系数，m</w:t>
      </w:r>
      <w:r>
        <w:rPr>
          <w:rFonts w:cs="Times New Roman"/>
          <w:color w:val="auto"/>
          <w:szCs w:val="24"/>
          <w:highlight w:val="none"/>
          <w:vertAlign w:val="superscript"/>
        </w:rPr>
        <w:t>2</w:t>
      </w:r>
      <w:r>
        <w:rPr>
          <w:rFonts w:cs="Times New Roman"/>
          <w:color w:val="auto"/>
          <w:szCs w:val="24"/>
          <w:highlight w:val="none"/>
        </w:rPr>
        <w:t>/d；</w:t>
      </w:r>
    </w:p>
    <w:p w14:paraId="6C50983D">
      <w:pPr>
        <w:spacing w:line="500" w:lineRule="exact"/>
        <w:ind w:firstLine="1200" w:firstLineChars="500"/>
        <w:rPr>
          <w:rFonts w:cs="Times New Roman"/>
          <w:color w:val="auto"/>
          <w:szCs w:val="24"/>
          <w:highlight w:val="none"/>
        </w:rPr>
      </w:pPr>
      <w:r>
        <w:rPr>
          <w:rFonts w:cs="Times New Roman"/>
          <w:color w:val="auto"/>
          <w:szCs w:val="24"/>
          <w:highlight w:val="none"/>
        </w:rPr>
        <w:t>erfc（）—余差数函数；</w:t>
      </w:r>
    </w:p>
    <w:p w14:paraId="50DC6B48">
      <w:pPr>
        <w:spacing w:line="500" w:lineRule="exact"/>
        <w:rPr>
          <w:rFonts w:cs="Times New Roman"/>
          <w:color w:val="auto"/>
          <w:szCs w:val="24"/>
          <w:highlight w:val="none"/>
        </w:rPr>
      </w:pPr>
      <w:r>
        <w:rPr>
          <w:rFonts w:cs="Times New Roman"/>
          <w:color w:val="auto"/>
          <w:szCs w:val="24"/>
          <w:highlight w:val="none"/>
        </w:rPr>
        <w:t>2）模式中参数的确定</w:t>
      </w:r>
    </w:p>
    <w:p w14:paraId="56B2C49B">
      <w:pPr>
        <w:spacing w:line="500" w:lineRule="exact"/>
        <w:rPr>
          <w:rFonts w:cs="Times New Roman"/>
          <w:color w:val="auto"/>
          <w:szCs w:val="24"/>
          <w:highlight w:val="none"/>
        </w:rPr>
      </w:pPr>
      <w:r>
        <w:rPr>
          <w:rFonts w:cs="Times New Roman"/>
          <w:color w:val="auto"/>
          <w:szCs w:val="24"/>
          <w:highlight w:val="none"/>
        </w:rPr>
        <w:t>①注入示踪剂浓度</w:t>
      </w:r>
    </w:p>
    <w:p w14:paraId="280A23F2">
      <w:pPr>
        <w:spacing w:line="500" w:lineRule="exact"/>
        <w:rPr>
          <w:rFonts w:cs="Times New Roman"/>
          <w:color w:val="auto"/>
          <w:szCs w:val="24"/>
          <w:highlight w:val="none"/>
        </w:rPr>
      </w:pPr>
      <w:r>
        <w:rPr>
          <w:rFonts w:cs="Times New Roman"/>
          <w:color w:val="auto"/>
          <w:szCs w:val="24"/>
          <w:highlight w:val="none"/>
        </w:rPr>
        <w:t>本项目地下水预测中注入示踪剂浓度COD为</w:t>
      </w:r>
      <w:r>
        <w:rPr>
          <w:rFonts w:hint="eastAsia" w:cs="Times New Roman"/>
          <w:color w:val="auto"/>
          <w:szCs w:val="24"/>
          <w:highlight w:val="none"/>
          <w:lang w:val="en-US" w:eastAsia="zh-CN"/>
        </w:rPr>
        <w:t>2691</w:t>
      </w:r>
      <w:r>
        <w:rPr>
          <w:rFonts w:cs="Times New Roman"/>
          <w:color w:val="auto"/>
          <w:szCs w:val="24"/>
          <w:highlight w:val="none"/>
        </w:rPr>
        <w:t>mg/L，</w:t>
      </w:r>
      <w:r>
        <w:rPr>
          <w:rFonts w:hint="eastAsia" w:cs="Times New Roman"/>
          <w:color w:val="auto"/>
          <w:szCs w:val="24"/>
          <w:highlight w:val="none"/>
          <w:lang w:val="en-US" w:eastAsia="zh-CN"/>
        </w:rPr>
        <w:t>1.16</w:t>
      </w:r>
      <w:r>
        <w:rPr>
          <w:rFonts w:cs="Times New Roman"/>
          <w:color w:val="auto"/>
          <w:szCs w:val="24"/>
          <w:highlight w:val="none"/>
        </w:rPr>
        <w:t>kg/d；氨氮为</w:t>
      </w:r>
      <w:r>
        <w:rPr>
          <w:rFonts w:hint="eastAsia" w:cs="Times New Roman"/>
          <w:color w:val="auto"/>
          <w:szCs w:val="24"/>
          <w:highlight w:val="none"/>
          <w:lang w:val="en-US" w:eastAsia="zh-CN"/>
        </w:rPr>
        <w:t>85</w:t>
      </w:r>
      <w:r>
        <w:rPr>
          <w:rFonts w:cs="Times New Roman"/>
          <w:color w:val="auto"/>
          <w:szCs w:val="24"/>
          <w:highlight w:val="none"/>
        </w:rPr>
        <w:t>mg/L，</w:t>
      </w:r>
      <w:r>
        <w:rPr>
          <w:rFonts w:hint="eastAsia" w:cs="Times New Roman"/>
          <w:color w:val="auto"/>
          <w:szCs w:val="24"/>
          <w:highlight w:val="none"/>
          <w:lang w:val="en-US" w:eastAsia="zh-CN"/>
        </w:rPr>
        <w:t>0.037</w:t>
      </w:r>
      <w:r>
        <w:rPr>
          <w:rFonts w:cs="Times New Roman"/>
          <w:color w:val="auto"/>
          <w:szCs w:val="24"/>
          <w:highlight w:val="none"/>
        </w:rPr>
        <w:t>kg/d。</w:t>
      </w:r>
    </w:p>
    <w:p w14:paraId="57FB0374">
      <w:pPr>
        <w:spacing w:line="500" w:lineRule="exact"/>
        <w:rPr>
          <w:rFonts w:cs="Times New Roman"/>
          <w:color w:val="auto"/>
          <w:szCs w:val="24"/>
          <w:highlight w:val="none"/>
        </w:rPr>
      </w:pPr>
      <w:r>
        <w:rPr>
          <w:rFonts w:cs="Times New Roman"/>
          <w:color w:val="auto"/>
          <w:szCs w:val="24"/>
          <w:highlight w:val="none"/>
        </w:rPr>
        <w:t>②地下水流速</w:t>
      </w:r>
    </w:p>
    <w:p w14:paraId="2CBAF24C">
      <w:pPr>
        <w:spacing w:line="500" w:lineRule="exact"/>
        <w:rPr>
          <w:rFonts w:cs="Times New Roman"/>
          <w:color w:val="auto"/>
          <w:szCs w:val="24"/>
          <w:highlight w:val="none"/>
        </w:rPr>
      </w:pPr>
      <w:r>
        <w:rPr>
          <w:rFonts w:cs="Times New Roman"/>
          <w:color w:val="auto"/>
          <w:szCs w:val="24"/>
          <w:highlight w:val="none"/>
        </w:rPr>
        <w:t>根据达西定律u=含水层渗透系数×地下水水力坡度。根据</w:t>
      </w:r>
      <w:r>
        <w:rPr>
          <w:rFonts w:hint="eastAsia"/>
          <w:color w:val="auto"/>
          <w:sz w:val="24"/>
          <w:highlight w:val="none"/>
        </w:rPr>
        <w:t>《</w:t>
      </w:r>
      <w:r>
        <w:rPr>
          <w:rFonts w:hint="eastAsia"/>
          <w:color w:val="auto"/>
          <w:sz w:val="24"/>
          <w:highlight w:val="none"/>
          <w:lang w:val="en-US" w:eastAsia="zh-CN"/>
        </w:rPr>
        <w:t>双鸭山市城区地下水资源调查于评价</w:t>
      </w:r>
      <w:r>
        <w:rPr>
          <w:rFonts w:hint="eastAsia"/>
          <w:color w:val="auto"/>
          <w:sz w:val="24"/>
          <w:highlight w:val="none"/>
        </w:rPr>
        <w:t>》</w:t>
      </w:r>
      <w:r>
        <w:rPr>
          <w:rFonts w:hint="eastAsia"/>
          <w:color w:val="auto"/>
          <w:sz w:val="24"/>
          <w:highlight w:val="none"/>
          <w:lang w:val="en-US" w:eastAsia="zh-CN"/>
        </w:rPr>
        <w:t>中</w:t>
      </w:r>
      <w:r>
        <w:rPr>
          <w:rFonts w:cs="Times New Roman"/>
          <w:color w:val="auto"/>
          <w:szCs w:val="24"/>
          <w:highlight w:val="none"/>
        </w:rPr>
        <w:t>水文地质条件，K=</w:t>
      </w:r>
      <w:r>
        <w:rPr>
          <w:rFonts w:hint="eastAsia" w:cs="Times New Roman"/>
          <w:color w:val="auto"/>
          <w:szCs w:val="24"/>
          <w:highlight w:val="none"/>
          <w:lang w:val="en-US" w:eastAsia="zh-CN"/>
        </w:rPr>
        <w:t>23.5</w:t>
      </w:r>
      <w:r>
        <w:rPr>
          <w:rFonts w:cs="Times New Roman"/>
          <w:color w:val="auto"/>
          <w:szCs w:val="24"/>
          <w:highlight w:val="none"/>
        </w:rPr>
        <w:t>m/d，I=</w:t>
      </w:r>
      <w:r>
        <w:rPr>
          <w:rFonts w:hint="eastAsia" w:cs="Times New Roman"/>
          <w:color w:val="auto"/>
          <w:szCs w:val="24"/>
          <w:highlight w:val="none"/>
          <w:lang w:val="en-US" w:eastAsia="zh-CN"/>
        </w:rPr>
        <w:t>0.0015</w:t>
      </w:r>
      <w:r>
        <w:rPr>
          <w:rFonts w:cs="Times New Roman"/>
          <w:color w:val="auto"/>
          <w:szCs w:val="24"/>
          <w:highlight w:val="none"/>
        </w:rPr>
        <w:t>，经计算，水流速度为0.0</w:t>
      </w:r>
      <w:r>
        <w:rPr>
          <w:rFonts w:hint="eastAsia" w:cs="Times New Roman"/>
          <w:color w:val="auto"/>
          <w:szCs w:val="24"/>
          <w:highlight w:val="none"/>
          <w:lang w:val="en-US" w:eastAsia="zh-CN"/>
        </w:rPr>
        <w:t>35</w:t>
      </w:r>
      <w:r>
        <w:rPr>
          <w:rFonts w:cs="Times New Roman"/>
          <w:color w:val="auto"/>
          <w:szCs w:val="24"/>
          <w:highlight w:val="none"/>
        </w:rPr>
        <w:t>m/d。</w:t>
      </w:r>
    </w:p>
    <w:p w14:paraId="50FA197C">
      <w:pPr>
        <w:spacing w:line="500" w:lineRule="exact"/>
        <w:rPr>
          <w:rFonts w:cs="Times New Roman"/>
          <w:color w:val="auto"/>
          <w:szCs w:val="24"/>
          <w:highlight w:val="none"/>
        </w:rPr>
      </w:pPr>
      <w:r>
        <w:rPr>
          <w:rFonts w:cs="Times New Roman"/>
          <w:color w:val="auto"/>
          <w:szCs w:val="24"/>
          <w:highlight w:val="none"/>
        </w:rPr>
        <w:t>③弥散系数</w:t>
      </w:r>
    </w:p>
    <w:p w14:paraId="14046114">
      <w:pPr>
        <w:spacing w:line="500" w:lineRule="exact"/>
        <w:ind w:firstLine="528"/>
        <w:rPr>
          <w:rFonts w:cs="Times New Roman"/>
          <w:color w:val="auto"/>
          <w:szCs w:val="24"/>
          <w:highlight w:val="none"/>
        </w:rPr>
      </w:pPr>
      <w:r>
        <w:rPr>
          <w:rFonts w:cs="Times New Roman"/>
          <w:color w:val="auto"/>
          <w:spacing w:val="12"/>
          <w:szCs w:val="24"/>
          <w:highlight w:val="none"/>
        </w:rPr>
        <w:t>根据《水文地质学》对于弥散系数的经验值，同时考虑地层结构、含水层岩性，确定论证区纵向弥散系数为</w:t>
      </w:r>
      <w:r>
        <w:rPr>
          <w:rFonts w:cs="Times New Roman"/>
          <w:color w:val="auto"/>
          <w:szCs w:val="24"/>
          <w:highlight w:val="none"/>
        </w:rPr>
        <w:t>D</w:t>
      </w:r>
      <w:r>
        <w:rPr>
          <w:rFonts w:cs="Times New Roman"/>
          <w:color w:val="auto"/>
          <w:szCs w:val="24"/>
          <w:highlight w:val="none"/>
          <w:vertAlign w:val="subscript"/>
        </w:rPr>
        <w:t>L</w:t>
      </w:r>
      <w:r>
        <w:rPr>
          <w:rFonts w:cs="Times New Roman"/>
          <w:color w:val="auto"/>
          <w:szCs w:val="24"/>
          <w:highlight w:val="none"/>
        </w:rPr>
        <w:t>=0.1m</w:t>
      </w:r>
      <w:r>
        <w:rPr>
          <w:rFonts w:cs="Times New Roman"/>
          <w:color w:val="auto"/>
          <w:szCs w:val="24"/>
          <w:highlight w:val="none"/>
          <w:vertAlign w:val="superscript"/>
        </w:rPr>
        <w:t>2</w:t>
      </w:r>
      <w:r>
        <w:rPr>
          <w:rFonts w:cs="Times New Roman"/>
          <w:color w:val="auto"/>
          <w:szCs w:val="24"/>
          <w:highlight w:val="none"/>
        </w:rPr>
        <w:t>/d。</w:t>
      </w:r>
    </w:p>
    <w:p w14:paraId="1C977374">
      <w:pPr>
        <w:spacing w:line="500" w:lineRule="exact"/>
        <w:rPr>
          <w:rFonts w:cs="Times New Roman"/>
          <w:color w:val="auto"/>
          <w:szCs w:val="24"/>
          <w:highlight w:val="none"/>
        </w:rPr>
      </w:pPr>
      <w:r>
        <w:rPr>
          <w:rFonts w:cs="Times New Roman"/>
          <w:color w:val="auto"/>
          <w:szCs w:val="24"/>
          <w:highlight w:val="none"/>
        </w:rPr>
        <w:t>3、预测结果</w:t>
      </w:r>
    </w:p>
    <w:p w14:paraId="1F58DD0A">
      <w:pPr>
        <w:widowControl/>
        <w:spacing w:line="500" w:lineRule="exact"/>
        <w:jc w:val="left"/>
        <w:rPr>
          <w:rFonts w:cs="Times New Roman"/>
          <w:b/>
          <w:bCs/>
          <w:color w:val="auto"/>
          <w:kern w:val="0"/>
          <w:szCs w:val="24"/>
          <w:highlight w:val="none"/>
          <w:lang w:bidi="ar"/>
        </w:rPr>
      </w:pPr>
      <w:r>
        <w:rPr>
          <w:rFonts w:cs="Times New Roman"/>
          <w:color w:val="auto"/>
          <w:kern w:val="0"/>
          <w:szCs w:val="24"/>
          <w:highlight w:val="none"/>
          <w:lang w:bidi="ar"/>
        </w:rPr>
        <w:t>本评价以保守估计为原则，假定在泄漏废水直接进入浅层地下水情形下进行预测，预测计算结果见下表。</w:t>
      </w:r>
    </w:p>
    <w:p w14:paraId="20FFD07F">
      <w:pPr>
        <w:widowControl/>
        <w:spacing w:before="163" w:beforeLines="50" w:line="240" w:lineRule="auto"/>
        <w:ind w:firstLine="0" w:firstLineChars="0"/>
        <w:jc w:val="center"/>
        <w:rPr>
          <w:rFonts w:cs="Times New Roman"/>
          <w:b/>
          <w:bCs/>
          <w:color w:val="auto"/>
          <w:kern w:val="0"/>
          <w:szCs w:val="24"/>
          <w:highlight w:val="none"/>
          <w:lang w:bidi="ar"/>
        </w:rPr>
      </w:pPr>
      <w:r>
        <w:rPr>
          <w:rFonts w:cs="Times New Roman"/>
          <w:b/>
          <w:bCs/>
          <w:color w:val="auto"/>
          <w:kern w:val="0"/>
          <w:szCs w:val="24"/>
          <w:highlight w:val="none"/>
          <w:lang w:bidi="ar"/>
        </w:rPr>
        <w:t>表5</w:t>
      </w:r>
      <w:r>
        <w:rPr>
          <w:rFonts w:hint="eastAsia" w:cs="Times New Roman"/>
          <w:b/>
          <w:bCs/>
          <w:color w:val="auto"/>
          <w:kern w:val="0"/>
          <w:szCs w:val="24"/>
          <w:highlight w:val="none"/>
          <w:lang w:val="en-US" w:eastAsia="zh-CN" w:bidi="ar"/>
        </w:rPr>
        <w:t>.</w:t>
      </w:r>
      <w:r>
        <w:rPr>
          <w:rFonts w:cs="Times New Roman"/>
          <w:b/>
          <w:bCs/>
          <w:color w:val="auto"/>
          <w:kern w:val="0"/>
          <w:szCs w:val="24"/>
          <w:highlight w:val="none"/>
          <w:lang w:bidi="ar"/>
        </w:rPr>
        <w:t>2-</w:t>
      </w:r>
      <w:r>
        <w:rPr>
          <w:rFonts w:hint="eastAsia" w:cs="Times New Roman"/>
          <w:b/>
          <w:bCs/>
          <w:color w:val="auto"/>
          <w:kern w:val="0"/>
          <w:szCs w:val="24"/>
          <w:highlight w:val="none"/>
          <w:lang w:val="en-US" w:eastAsia="zh-CN" w:bidi="ar"/>
        </w:rPr>
        <w:t>8</w:t>
      </w:r>
      <w:r>
        <w:rPr>
          <w:rFonts w:cs="Times New Roman"/>
          <w:b/>
          <w:bCs/>
          <w:color w:val="auto"/>
          <w:kern w:val="0"/>
          <w:szCs w:val="24"/>
          <w:highlight w:val="none"/>
          <w:lang w:bidi="ar"/>
        </w:rPr>
        <w:t xml:space="preserve">  污染物超标扩散距离表</w:t>
      </w:r>
    </w:p>
    <w:tbl>
      <w:tblPr>
        <w:tblStyle w:val="48"/>
        <w:tblW w:w="481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1740"/>
        <w:gridCol w:w="1641"/>
        <w:gridCol w:w="1924"/>
        <w:gridCol w:w="1926"/>
      </w:tblGrid>
      <w:tr w14:paraId="0CB875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599" w:type="pct"/>
            <w:tcBorders>
              <w:tl2br w:val="nil"/>
              <w:tr2bl w:val="nil"/>
            </w:tcBorders>
            <w:vAlign w:val="center"/>
          </w:tcPr>
          <w:p w14:paraId="7C25E8DC">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污染物</w:t>
            </w:r>
          </w:p>
        </w:tc>
        <w:tc>
          <w:tcPr>
            <w:tcW w:w="1058" w:type="pct"/>
            <w:tcBorders>
              <w:tl2br w:val="nil"/>
              <w:tr2bl w:val="nil"/>
            </w:tcBorders>
            <w:vAlign w:val="center"/>
          </w:tcPr>
          <w:p w14:paraId="0E298586">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标准值（mg/L）</w:t>
            </w:r>
          </w:p>
        </w:tc>
        <w:tc>
          <w:tcPr>
            <w:tcW w:w="998" w:type="pct"/>
            <w:tcBorders>
              <w:tl2br w:val="nil"/>
              <w:tr2bl w:val="nil"/>
            </w:tcBorders>
            <w:vAlign w:val="center"/>
          </w:tcPr>
          <w:p w14:paraId="3E660883">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时间（d）</w:t>
            </w:r>
          </w:p>
        </w:tc>
        <w:tc>
          <w:tcPr>
            <w:tcW w:w="1170" w:type="pct"/>
            <w:tcBorders>
              <w:tl2br w:val="nil"/>
              <w:tr2bl w:val="nil"/>
            </w:tcBorders>
            <w:vAlign w:val="center"/>
          </w:tcPr>
          <w:p w14:paraId="0B9C922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达标距离（m）</w:t>
            </w:r>
          </w:p>
        </w:tc>
        <w:tc>
          <w:tcPr>
            <w:tcW w:w="1171" w:type="pct"/>
            <w:tcBorders>
              <w:tl2br w:val="nil"/>
              <w:tr2bl w:val="nil"/>
            </w:tcBorders>
            <w:vAlign w:val="center"/>
          </w:tcPr>
          <w:p w14:paraId="63754BF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最大迁移距离（m）</w:t>
            </w:r>
          </w:p>
        </w:tc>
      </w:tr>
      <w:tr w14:paraId="436DAB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599" w:type="pct"/>
            <w:vMerge w:val="restart"/>
            <w:tcBorders>
              <w:tl2br w:val="nil"/>
              <w:tr2bl w:val="nil"/>
            </w:tcBorders>
            <w:vAlign w:val="center"/>
          </w:tcPr>
          <w:p w14:paraId="33B0CE55">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COD</w:t>
            </w:r>
          </w:p>
        </w:tc>
        <w:tc>
          <w:tcPr>
            <w:tcW w:w="1058" w:type="pct"/>
            <w:vMerge w:val="restart"/>
            <w:tcBorders>
              <w:tl2br w:val="nil"/>
              <w:tr2bl w:val="nil"/>
            </w:tcBorders>
            <w:vAlign w:val="center"/>
          </w:tcPr>
          <w:p w14:paraId="01542962">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w:t>
            </w:r>
          </w:p>
        </w:tc>
        <w:tc>
          <w:tcPr>
            <w:tcW w:w="998" w:type="pct"/>
            <w:tcBorders>
              <w:tl2br w:val="nil"/>
              <w:tr2bl w:val="nil"/>
            </w:tcBorders>
            <w:vAlign w:val="center"/>
          </w:tcPr>
          <w:p w14:paraId="267F301B">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100</w:t>
            </w:r>
          </w:p>
        </w:tc>
        <w:tc>
          <w:tcPr>
            <w:tcW w:w="1170" w:type="pct"/>
            <w:tcBorders>
              <w:tl2br w:val="nil"/>
              <w:tr2bl w:val="nil"/>
            </w:tcBorders>
            <w:vAlign w:val="center"/>
          </w:tcPr>
          <w:p w14:paraId="7CC84B34">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14</w:t>
            </w:r>
          </w:p>
        </w:tc>
        <w:tc>
          <w:tcPr>
            <w:tcW w:w="1171" w:type="pct"/>
            <w:tcBorders>
              <w:tl2br w:val="nil"/>
              <w:tr2bl w:val="nil"/>
            </w:tcBorders>
            <w:vAlign w:val="center"/>
          </w:tcPr>
          <w:p w14:paraId="3DC2D8C6">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21</w:t>
            </w:r>
          </w:p>
        </w:tc>
      </w:tr>
      <w:tr w14:paraId="767E97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599" w:type="pct"/>
            <w:vMerge w:val="continue"/>
            <w:tcBorders>
              <w:tl2br w:val="nil"/>
              <w:tr2bl w:val="nil"/>
            </w:tcBorders>
            <w:vAlign w:val="center"/>
          </w:tcPr>
          <w:p w14:paraId="2C5B2227">
            <w:pPr>
              <w:spacing w:line="240" w:lineRule="auto"/>
              <w:ind w:firstLine="0" w:firstLineChars="0"/>
              <w:jc w:val="center"/>
              <w:rPr>
                <w:rFonts w:cs="Times New Roman"/>
                <w:color w:val="auto"/>
                <w:sz w:val="21"/>
                <w:szCs w:val="21"/>
                <w:highlight w:val="none"/>
              </w:rPr>
            </w:pPr>
          </w:p>
        </w:tc>
        <w:tc>
          <w:tcPr>
            <w:tcW w:w="1058" w:type="pct"/>
            <w:vMerge w:val="continue"/>
            <w:tcBorders>
              <w:tl2br w:val="nil"/>
              <w:tr2bl w:val="nil"/>
            </w:tcBorders>
            <w:vAlign w:val="center"/>
          </w:tcPr>
          <w:p w14:paraId="74B65BB8">
            <w:pPr>
              <w:spacing w:line="240" w:lineRule="auto"/>
              <w:ind w:firstLine="0" w:firstLineChars="0"/>
              <w:jc w:val="center"/>
              <w:rPr>
                <w:rFonts w:cs="Times New Roman"/>
                <w:color w:val="auto"/>
                <w:sz w:val="21"/>
                <w:szCs w:val="21"/>
                <w:highlight w:val="none"/>
              </w:rPr>
            </w:pPr>
          </w:p>
        </w:tc>
        <w:tc>
          <w:tcPr>
            <w:tcW w:w="998" w:type="pct"/>
            <w:tcBorders>
              <w:tl2br w:val="nil"/>
              <w:tr2bl w:val="nil"/>
            </w:tcBorders>
            <w:vAlign w:val="center"/>
          </w:tcPr>
          <w:p w14:paraId="53C13F95">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w:t>
            </w:r>
          </w:p>
        </w:tc>
        <w:tc>
          <w:tcPr>
            <w:tcW w:w="1170" w:type="pct"/>
            <w:tcBorders>
              <w:tl2br w:val="nil"/>
              <w:tr2bl w:val="nil"/>
            </w:tcBorders>
            <w:vAlign w:val="center"/>
          </w:tcPr>
          <w:p w14:paraId="00FB22AC">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69</w:t>
            </w:r>
          </w:p>
        </w:tc>
        <w:tc>
          <w:tcPr>
            <w:tcW w:w="1171" w:type="pct"/>
            <w:tcBorders>
              <w:tl2br w:val="nil"/>
              <w:tr2bl w:val="nil"/>
            </w:tcBorders>
            <w:vAlign w:val="center"/>
          </w:tcPr>
          <w:p w14:paraId="7C0BA60D">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89</w:t>
            </w:r>
          </w:p>
        </w:tc>
      </w:tr>
      <w:tr w14:paraId="28F13D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599" w:type="pct"/>
            <w:vMerge w:val="continue"/>
            <w:tcBorders>
              <w:tl2br w:val="nil"/>
              <w:tr2bl w:val="nil"/>
            </w:tcBorders>
            <w:vAlign w:val="center"/>
          </w:tcPr>
          <w:p w14:paraId="5A77612D">
            <w:pPr>
              <w:spacing w:line="240" w:lineRule="auto"/>
              <w:ind w:firstLine="0" w:firstLineChars="0"/>
              <w:jc w:val="center"/>
              <w:rPr>
                <w:rFonts w:cs="Times New Roman"/>
                <w:color w:val="auto"/>
                <w:sz w:val="21"/>
                <w:szCs w:val="21"/>
                <w:highlight w:val="none"/>
              </w:rPr>
            </w:pPr>
          </w:p>
        </w:tc>
        <w:tc>
          <w:tcPr>
            <w:tcW w:w="1058" w:type="pct"/>
            <w:vMerge w:val="continue"/>
            <w:tcBorders>
              <w:tl2br w:val="nil"/>
              <w:tr2bl w:val="nil"/>
            </w:tcBorders>
            <w:vAlign w:val="center"/>
          </w:tcPr>
          <w:p w14:paraId="2838DF09">
            <w:pPr>
              <w:spacing w:line="240" w:lineRule="auto"/>
              <w:ind w:firstLine="0" w:firstLineChars="0"/>
              <w:jc w:val="center"/>
              <w:rPr>
                <w:rFonts w:cs="Times New Roman"/>
                <w:color w:val="auto"/>
                <w:sz w:val="21"/>
                <w:szCs w:val="21"/>
                <w:highlight w:val="none"/>
              </w:rPr>
            </w:pPr>
          </w:p>
        </w:tc>
        <w:tc>
          <w:tcPr>
            <w:tcW w:w="998" w:type="pct"/>
            <w:tcBorders>
              <w:tl2br w:val="nil"/>
              <w:tr2bl w:val="nil"/>
            </w:tcBorders>
            <w:vAlign w:val="center"/>
          </w:tcPr>
          <w:p w14:paraId="42C4BC26">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3650</w:t>
            </w:r>
          </w:p>
        </w:tc>
        <w:tc>
          <w:tcPr>
            <w:tcW w:w="1170" w:type="pct"/>
            <w:tcBorders>
              <w:tl2br w:val="nil"/>
              <w:tr2bl w:val="nil"/>
            </w:tcBorders>
            <w:vAlign w:val="center"/>
          </w:tcPr>
          <w:p w14:paraId="3F6B4178">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190</w:t>
            </w:r>
          </w:p>
        </w:tc>
        <w:tc>
          <w:tcPr>
            <w:tcW w:w="1171" w:type="pct"/>
            <w:tcBorders>
              <w:tl2br w:val="nil"/>
              <w:tr2bl w:val="nil"/>
            </w:tcBorders>
            <w:vAlign w:val="center"/>
          </w:tcPr>
          <w:p w14:paraId="11EE16F8">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232</w:t>
            </w:r>
          </w:p>
        </w:tc>
      </w:tr>
      <w:tr w14:paraId="5B0C82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599" w:type="pct"/>
            <w:vMerge w:val="restart"/>
            <w:tcBorders>
              <w:tl2br w:val="nil"/>
              <w:tr2bl w:val="nil"/>
            </w:tcBorders>
            <w:vAlign w:val="center"/>
          </w:tcPr>
          <w:p w14:paraId="4AC9B64E">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氨氮</w:t>
            </w:r>
          </w:p>
        </w:tc>
        <w:tc>
          <w:tcPr>
            <w:tcW w:w="1058" w:type="pct"/>
            <w:vMerge w:val="restart"/>
            <w:tcBorders>
              <w:tl2br w:val="nil"/>
              <w:tr2bl w:val="nil"/>
            </w:tcBorders>
            <w:vAlign w:val="center"/>
          </w:tcPr>
          <w:p w14:paraId="346AC042">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0.5</w:t>
            </w:r>
          </w:p>
        </w:tc>
        <w:tc>
          <w:tcPr>
            <w:tcW w:w="998" w:type="pct"/>
            <w:tcBorders>
              <w:tl2br w:val="nil"/>
              <w:tr2bl w:val="nil"/>
            </w:tcBorders>
            <w:vAlign w:val="center"/>
          </w:tcPr>
          <w:p w14:paraId="6A9FB6DD">
            <w:pPr>
              <w:spacing w:line="240" w:lineRule="auto"/>
              <w:ind w:firstLine="0" w:firstLineChars="0"/>
              <w:jc w:val="center"/>
              <w:rPr>
                <w:rFonts w:cs="Times New Roman"/>
                <w:color w:val="auto"/>
                <w:sz w:val="21"/>
                <w:szCs w:val="21"/>
                <w:highlight w:val="none"/>
              </w:rPr>
            </w:pPr>
            <w:r>
              <w:rPr>
                <w:rFonts w:cs="Times New Roman"/>
                <w:color w:val="auto"/>
                <w:sz w:val="21"/>
                <w:szCs w:val="21"/>
                <w:highlight w:val="none"/>
              </w:rPr>
              <w:t>100</w:t>
            </w:r>
          </w:p>
        </w:tc>
        <w:tc>
          <w:tcPr>
            <w:tcW w:w="1170" w:type="pct"/>
            <w:tcBorders>
              <w:tl2br w:val="nil"/>
              <w:tr2bl w:val="nil"/>
            </w:tcBorders>
            <w:vAlign w:val="center"/>
          </w:tcPr>
          <w:p w14:paraId="60C3387A">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15</w:t>
            </w:r>
          </w:p>
        </w:tc>
        <w:tc>
          <w:tcPr>
            <w:tcW w:w="1171" w:type="pct"/>
            <w:tcBorders>
              <w:tl2br w:val="nil"/>
              <w:tr2bl w:val="nil"/>
            </w:tcBorders>
            <w:vAlign w:val="center"/>
          </w:tcPr>
          <w:p w14:paraId="7009E9DB">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17</w:t>
            </w:r>
          </w:p>
        </w:tc>
      </w:tr>
      <w:tr w14:paraId="179048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599" w:type="pct"/>
            <w:vMerge w:val="continue"/>
            <w:tcBorders>
              <w:tl2br w:val="nil"/>
              <w:tr2bl w:val="nil"/>
            </w:tcBorders>
            <w:vAlign w:val="center"/>
          </w:tcPr>
          <w:p w14:paraId="330B5E60">
            <w:pPr>
              <w:spacing w:line="240" w:lineRule="auto"/>
              <w:ind w:firstLine="0" w:firstLineChars="0"/>
              <w:jc w:val="center"/>
              <w:rPr>
                <w:rFonts w:cs="Times New Roman"/>
                <w:color w:val="auto"/>
                <w:sz w:val="21"/>
                <w:szCs w:val="21"/>
                <w:highlight w:val="none"/>
              </w:rPr>
            </w:pPr>
          </w:p>
        </w:tc>
        <w:tc>
          <w:tcPr>
            <w:tcW w:w="1058" w:type="pct"/>
            <w:vMerge w:val="continue"/>
            <w:tcBorders>
              <w:tl2br w:val="nil"/>
              <w:tr2bl w:val="nil"/>
            </w:tcBorders>
            <w:vAlign w:val="center"/>
          </w:tcPr>
          <w:p w14:paraId="6733FD63">
            <w:pPr>
              <w:spacing w:line="240" w:lineRule="auto"/>
              <w:ind w:firstLine="0" w:firstLineChars="0"/>
              <w:jc w:val="center"/>
              <w:rPr>
                <w:rFonts w:cs="Times New Roman"/>
                <w:color w:val="auto"/>
                <w:sz w:val="21"/>
                <w:szCs w:val="21"/>
                <w:highlight w:val="none"/>
              </w:rPr>
            </w:pPr>
          </w:p>
        </w:tc>
        <w:tc>
          <w:tcPr>
            <w:tcW w:w="998" w:type="pct"/>
            <w:tcBorders>
              <w:tl2br w:val="nil"/>
              <w:tr2bl w:val="nil"/>
            </w:tcBorders>
            <w:vAlign w:val="center"/>
          </w:tcPr>
          <w:p w14:paraId="6A04DE00">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w:t>
            </w:r>
          </w:p>
        </w:tc>
        <w:tc>
          <w:tcPr>
            <w:tcW w:w="1170" w:type="pct"/>
            <w:tcBorders>
              <w:tl2br w:val="nil"/>
              <w:tr2bl w:val="nil"/>
            </w:tcBorders>
            <w:vAlign w:val="center"/>
          </w:tcPr>
          <w:p w14:paraId="445129C3">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71</w:t>
            </w:r>
          </w:p>
        </w:tc>
        <w:tc>
          <w:tcPr>
            <w:tcW w:w="1171" w:type="pct"/>
            <w:tcBorders>
              <w:tl2br w:val="nil"/>
              <w:tr2bl w:val="nil"/>
            </w:tcBorders>
            <w:vAlign w:val="center"/>
          </w:tcPr>
          <w:p w14:paraId="1677068A">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78</w:t>
            </w:r>
          </w:p>
        </w:tc>
      </w:tr>
      <w:tr w14:paraId="68A804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599" w:type="pct"/>
            <w:vMerge w:val="continue"/>
            <w:tcBorders>
              <w:tl2br w:val="nil"/>
              <w:tr2bl w:val="nil"/>
            </w:tcBorders>
            <w:vAlign w:val="center"/>
          </w:tcPr>
          <w:p w14:paraId="20A47132">
            <w:pPr>
              <w:spacing w:line="240" w:lineRule="auto"/>
              <w:ind w:firstLine="0" w:firstLineChars="0"/>
              <w:jc w:val="center"/>
              <w:rPr>
                <w:rFonts w:cs="Times New Roman"/>
                <w:color w:val="auto"/>
                <w:sz w:val="21"/>
                <w:szCs w:val="21"/>
                <w:highlight w:val="none"/>
              </w:rPr>
            </w:pPr>
          </w:p>
        </w:tc>
        <w:tc>
          <w:tcPr>
            <w:tcW w:w="1058" w:type="pct"/>
            <w:vMerge w:val="continue"/>
            <w:tcBorders>
              <w:tl2br w:val="nil"/>
              <w:tr2bl w:val="nil"/>
            </w:tcBorders>
            <w:vAlign w:val="center"/>
          </w:tcPr>
          <w:p w14:paraId="31683928">
            <w:pPr>
              <w:spacing w:line="240" w:lineRule="auto"/>
              <w:ind w:firstLine="0" w:firstLineChars="0"/>
              <w:jc w:val="center"/>
              <w:rPr>
                <w:rFonts w:cs="Times New Roman"/>
                <w:color w:val="auto"/>
                <w:sz w:val="21"/>
                <w:szCs w:val="21"/>
                <w:highlight w:val="none"/>
              </w:rPr>
            </w:pPr>
          </w:p>
        </w:tc>
        <w:tc>
          <w:tcPr>
            <w:tcW w:w="998" w:type="pct"/>
            <w:tcBorders>
              <w:tl2br w:val="nil"/>
              <w:tr2bl w:val="nil"/>
            </w:tcBorders>
            <w:vAlign w:val="center"/>
          </w:tcPr>
          <w:p w14:paraId="3B06DCF2">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3650</w:t>
            </w:r>
          </w:p>
        </w:tc>
        <w:tc>
          <w:tcPr>
            <w:tcW w:w="1170" w:type="pct"/>
            <w:tcBorders>
              <w:tl2br w:val="nil"/>
              <w:tr2bl w:val="nil"/>
            </w:tcBorders>
            <w:vAlign w:val="center"/>
          </w:tcPr>
          <w:p w14:paraId="74E6598A">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194</w:t>
            </w:r>
          </w:p>
        </w:tc>
        <w:tc>
          <w:tcPr>
            <w:tcW w:w="1171" w:type="pct"/>
            <w:tcBorders>
              <w:tl2br w:val="nil"/>
              <w:tr2bl w:val="nil"/>
            </w:tcBorders>
            <w:vAlign w:val="center"/>
          </w:tcPr>
          <w:p w14:paraId="11586702">
            <w:pPr>
              <w:spacing w:line="240" w:lineRule="auto"/>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208</w:t>
            </w:r>
          </w:p>
        </w:tc>
      </w:tr>
    </w:tbl>
    <w:p w14:paraId="2886598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auto"/>
          <w:highlight w:val="none"/>
        </w:rPr>
      </w:pPr>
    </w:p>
    <w:p w14:paraId="4EA98BA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cs="Times New Roman"/>
          <w:color w:val="auto"/>
          <w:highlight w:val="none"/>
        </w:rPr>
      </w:pPr>
      <w:r>
        <w:rPr>
          <w:color w:val="auto"/>
          <w:highlight w:val="none"/>
        </w:rPr>
        <w:drawing>
          <wp:inline distT="0" distB="0" distL="114300" distR="114300">
            <wp:extent cx="4695825" cy="2028825"/>
            <wp:effectExtent l="0" t="0" r="9525" b="952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
                    <pic:cNvPicPr>
                      <a:picLocks noChangeAspect="1"/>
                    </pic:cNvPicPr>
                  </pic:nvPicPr>
                  <pic:blipFill>
                    <a:blip r:embed="rId49"/>
                    <a:stretch>
                      <a:fillRect/>
                    </a:stretch>
                  </pic:blipFill>
                  <pic:spPr>
                    <a:xfrm>
                      <a:off x="0" y="0"/>
                      <a:ext cx="4695825" cy="2028825"/>
                    </a:xfrm>
                    <a:prstGeom prst="rect">
                      <a:avLst/>
                    </a:prstGeom>
                    <a:noFill/>
                    <a:ln>
                      <a:noFill/>
                    </a:ln>
                  </pic:spPr>
                </pic:pic>
              </a:graphicData>
            </a:graphic>
          </wp:inline>
        </w:drawing>
      </w:r>
    </w:p>
    <w:p w14:paraId="0D4FB3E4">
      <w:pPr>
        <w:ind w:firstLine="0" w:firstLineChars="0"/>
        <w:jc w:val="center"/>
        <w:rPr>
          <w:rFonts w:cs="Times New Roman"/>
          <w:b/>
          <w:color w:val="auto"/>
          <w:kern w:val="0"/>
          <w:highlight w:val="none"/>
        </w:rPr>
      </w:pPr>
      <w:r>
        <w:rPr>
          <w:rFonts w:cs="Times New Roman"/>
          <w:b/>
          <w:color w:val="auto"/>
          <w:kern w:val="0"/>
          <w:highlight w:val="none"/>
        </w:rPr>
        <w:t>图5</w:t>
      </w:r>
      <w:r>
        <w:rPr>
          <w:rFonts w:hint="eastAsia" w:cs="Times New Roman"/>
          <w:b/>
          <w:color w:val="auto"/>
          <w:kern w:val="0"/>
          <w:highlight w:val="none"/>
          <w:lang w:val="en-US" w:eastAsia="zh-CN"/>
        </w:rPr>
        <w:t>.</w:t>
      </w:r>
      <w:r>
        <w:rPr>
          <w:rFonts w:cs="Times New Roman"/>
          <w:b/>
          <w:color w:val="auto"/>
          <w:kern w:val="0"/>
          <w:highlight w:val="none"/>
        </w:rPr>
        <w:t>2-2 废水泄漏后的100天预测图（COD）</w:t>
      </w:r>
    </w:p>
    <w:p w14:paraId="3643BB42">
      <w:pPr>
        <w:pStyle w:val="36"/>
        <w:ind w:left="0"/>
        <w:jc w:val="center"/>
        <w:rPr>
          <w:color w:val="auto"/>
          <w:highlight w:val="none"/>
        </w:rPr>
      </w:pPr>
      <w:r>
        <w:rPr>
          <w:rFonts w:hint="eastAsia"/>
          <w:color w:val="auto"/>
          <w:highlight w:val="none"/>
          <w:lang w:val="en-US" w:eastAsia="zh-CN"/>
        </w:rPr>
        <w:t xml:space="preserve"> </w:t>
      </w:r>
      <w:r>
        <w:rPr>
          <w:color w:val="auto"/>
          <w:highlight w:val="none"/>
        </w:rPr>
        <w:drawing>
          <wp:inline distT="0" distB="0" distL="114300" distR="114300">
            <wp:extent cx="4705350" cy="2019300"/>
            <wp:effectExtent l="0" t="0" r="0" b="0"/>
            <wp:docPr id="1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4"/>
                    <pic:cNvPicPr>
                      <a:picLocks noChangeAspect="1"/>
                    </pic:cNvPicPr>
                  </pic:nvPicPr>
                  <pic:blipFill>
                    <a:blip r:embed="rId50"/>
                    <a:stretch>
                      <a:fillRect/>
                    </a:stretch>
                  </pic:blipFill>
                  <pic:spPr>
                    <a:xfrm>
                      <a:off x="0" y="0"/>
                      <a:ext cx="4705350" cy="2019300"/>
                    </a:xfrm>
                    <a:prstGeom prst="rect">
                      <a:avLst/>
                    </a:prstGeom>
                    <a:noFill/>
                    <a:ln>
                      <a:noFill/>
                    </a:ln>
                  </pic:spPr>
                </pic:pic>
              </a:graphicData>
            </a:graphic>
          </wp:inline>
        </w:drawing>
      </w:r>
    </w:p>
    <w:p w14:paraId="4CC0B973">
      <w:pPr>
        <w:ind w:firstLine="482"/>
        <w:jc w:val="center"/>
        <w:rPr>
          <w:rFonts w:cs="Times New Roman"/>
          <w:b/>
          <w:color w:val="auto"/>
          <w:kern w:val="0"/>
          <w:highlight w:val="none"/>
        </w:rPr>
      </w:pPr>
      <w:r>
        <w:rPr>
          <w:rFonts w:cs="Times New Roman"/>
          <w:b/>
          <w:color w:val="auto"/>
          <w:kern w:val="0"/>
          <w:highlight w:val="none"/>
        </w:rPr>
        <w:t>图5</w:t>
      </w:r>
      <w:r>
        <w:rPr>
          <w:rFonts w:hint="eastAsia" w:cs="Times New Roman"/>
          <w:b/>
          <w:color w:val="auto"/>
          <w:kern w:val="0"/>
          <w:highlight w:val="none"/>
          <w:lang w:val="en-US" w:eastAsia="zh-CN"/>
        </w:rPr>
        <w:t>.</w:t>
      </w:r>
      <w:r>
        <w:rPr>
          <w:rFonts w:cs="Times New Roman"/>
          <w:b/>
          <w:color w:val="auto"/>
          <w:kern w:val="0"/>
          <w:highlight w:val="none"/>
        </w:rPr>
        <w:t>2-3 废水泄漏后的</w:t>
      </w:r>
      <w:r>
        <w:rPr>
          <w:rFonts w:hint="eastAsia" w:cs="Times New Roman"/>
          <w:b/>
          <w:color w:val="auto"/>
          <w:kern w:val="0"/>
          <w:highlight w:val="none"/>
          <w:lang w:val="en-US" w:eastAsia="zh-CN"/>
        </w:rPr>
        <w:t>1000</w:t>
      </w:r>
      <w:r>
        <w:rPr>
          <w:rFonts w:cs="Times New Roman"/>
          <w:b/>
          <w:color w:val="auto"/>
          <w:kern w:val="0"/>
          <w:highlight w:val="none"/>
        </w:rPr>
        <w:t>天预测图（COD）</w:t>
      </w:r>
    </w:p>
    <w:p w14:paraId="6B31958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cs="Times New Roman"/>
          <w:b/>
          <w:color w:val="auto"/>
          <w:kern w:val="0"/>
          <w:highlight w:val="none"/>
        </w:rPr>
      </w:pPr>
      <w:r>
        <w:rPr>
          <w:color w:val="auto"/>
          <w:highlight w:val="none"/>
        </w:rPr>
        <w:drawing>
          <wp:inline distT="0" distB="0" distL="114300" distR="114300">
            <wp:extent cx="4705350" cy="2066925"/>
            <wp:effectExtent l="0" t="0" r="0" b="9525"/>
            <wp:docPr id="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pic:cNvPicPr>
                      <a:picLocks noChangeAspect="1"/>
                    </pic:cNvPicPr>
                  </pic:nvPicPr>
                  <pic:blipFill>
                    <a:blip r:embed="rId51"/>
                    <a:stretch>
                      <a:fillRect/>
                    </a:stretch>
                  </pic:blipFill>
                  <pic:spPr>
                    <a:xfrm>
                      <a:off x="0" y="0"/>
                      <a:ext cx="4705350" cy="2066925"/>
                    </a:xfrm>
                    <a:prstGeom prst="rect">
                      <a:avLst/>
                    </a:prstGeom>
                    <a:noFill/>
                    <a:ln>
                      <a:noFill/>
                    </a:ln>
                  </pic:spPr>
                </pic:pic>
              </a:graphicData>
            </a:graphic>
          </wp:inline>
        </w:drawing>
      </w:r>
    </w:p>
    <w:p w14:paraId="721D9E0E">
      <w:pPr>
        <w:ind w:firstLine="482"/>
        <w:jc w:val="center"/>
        <w:rPr>
          <w:rFonts w:cs="Times New Roman"/>
          <w:b/>
          <w:color w:val="auto"/>
          <w:kern w:val="0"/>
          <w:highlight w:val="none"/>
        </w:rPr>
      </w:pPr>
      <w:r>
        <w:rPr>
          <w:rFonts w:cs="Times New Roman"/>
          <w:b/>
          <w:color w:val="auto"/>
          <w:kern w:val="0"/>
          <w:highlight w:val="none"/>
        </w:rPr>
        <w:t>图5</w:t>
      </w:r>
      <w:r>
        <w:rPr>
          <w:rFonts w:hint="eastAsia" w:cs="Times New Roman"/>
          <w:b/>
          <w:color w:val="auto"/>
          <w:kern w:val="0"/>
          <w:highlight w:val="none"/>
          <w:lang w:val="en-US" w:eastAsia="zh-CN"/>
        </w:rPr>
        <w:t>.</w:t>
      </w:r>
      <w:r>
        <w:rPr>
          <w:rFonts w:cs="Times New Roman"/>
          <w:b/>
          <w:color w:val="auto"/>
          <w:kern w:val="0"/>
          <w:highlight w:val="none"/>
        </w:rPr>
        <w:t>2-</w:t>
      </w:r>
      <w:r>
        <w:rPr>
          <w:rFonts w:hint="eastAsia" w:cs="Times New Roman"/>
          <w:b/>
          <w:color w:val="auto"/>
          <w:kern w:val="0"/>
          <w:highlight w:val="none"/>
          <w:lang w:val="en-US" w:eastAsia="zh-CN"/>
        </w:rPr>
        <w:t>4</w:t>
      </w:r>
      <w:r>
        <w:rPr>
          <w:rFonts w:cs="Times New Roman"/>
          <w:b/>
          <w:color w:val="auto"/>
          <w:kern w:val="0"/>
          <w:highlight w:val="none"/>
        </w:rPr>
        <w:t xml:space="preserve"> 废水泄漏后的</w:t>
      </w:r>
      <w:r>
        <w:rPr>
          <w:rFonts w:hint="eastAsia" w:cs="Times New Roman"/>
          <w:b/>
          <w:color w:val="auto"/>
          <w:kern w:val="0"/>
          <w:highlight w:val="none"/>
          <w:lang w:val="en-US" w:eastAsia="zh-CN"/>
        </w:rPr>
        <w:t>365</w:t>
      </w:r>
      <w:r>
        <w:rPr>
          <w:rFonts w:cs="Times New Roman"/>
          <w:b/>
          <w:color w:val="auto"/>
          <w:kern w:val="0"/>
          <w:highlight w:val="none"/>
        </w:rPr>
        <w:t>0天预测图（COD）</w:t>
      </w:r>
    </w:p>
    <w:p w14:paraId="7EE56577">
      <w:pPr>
        <w:pStyle w:val="36"/>
        <w:ind w:left="0"/>
        <w:jc w:val="center"/>
        <w:rPr>
          <w:color w:val="auto"/>
          <w:highlight w:val="none"/>
        </w:rPr>
      </w:pPr>
      <w:r>
        <w:rPr>
          <w:color w:val="auto"/>
          <w:highlight w:val="none"/>
        </w:rPr>
        <w:drawing>
          <wp:inline distT="0" distB="0" distL="114300" distR="114300">
            <wp:extent cx="4705350" cy="2038350"/>
            <wp:effectExtent l="0" t="0" r="0" b="0"/>
            <wp:docPr id="1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6"/>
                    <pic:cNvPicPr>
                      <a:picLocks noChangeAspect="1"/>
                    </pic:cNvPicPr>
                  </pic:nvPicPr>
                  <pic:blipFill>
                    <a:blip r:embed="rId52"/>
                    <a:stretch>
                      <a:fillRect/>
                    </a:stretch>
                  </pic:blipFill>
                  <pic:spPr>
                    <a:xfrm>
                      <a:off x="0" y="0"/>
                      <a:ext cx="4705350" cy="2038350"/>
                    </a:xfrm>
                    <a:prstGeom prst="rect">
                      <a:avLst/>
                    </a:prstGeom>
                    <a:noFill/>
                    <a:ln>
                      <a:noFill/>
                    </a:ln>
                  </pic:spPr>
                </pic:pic>
              </a:graphicData>
            </a:graphic>
          </wp:inline>
        </w:drawing>
      </w:r>
    </w:p>
    <w:p w14:paraId="701161DD">
      <w:pPr>
        <w:ind w:firstLine="482"/>
        <w:jc w:val="center"/>
        <w:rPr>
          <w:rFonts w:cs="Times New Roman"/>
          <w:color w:val="auto"/>
          <w:highlight w:val="none"/>
        </w:rPr>
      </w:pPr>
      <w:r>
        <w:rPr>
          <w:rFonts w:cs="Times New Roman"/>
          <w:b/>
          <w:color w:val="auto"/>
          <w:kern w:val="0"/>
          <w:highlight w:val="none"/>
        </w:rPr>
        <w:t>图5</w:t>
      </w:r>
      <w:r>
        <w:rPr>
          <w:rFonts w:hint="eastAsia" w:cs="Times New Roman"/>
          <w:b/>
          <w:color w:val="auto"/>
          <w:kern w:val="0"/>
          <w:highlight w:val="none"/>
          <w:lang w:val="en-US" w:eastAsia="zh-CN"/>
        </w:rPr>
        <w:t>.</w:t>
      </w:r>
      <w:r>
        <w:rPr>
          <w:rFonts w:cs="Times New Roman"/>
          <w:b/>
          <w:color w:val="auto"/>
          <w:kern w:val="0"/>
          <w:highlight w:val="none"/>
        </w:rPr>
        <w:t>2-</w:t>
      </w:r>
      <w:r>
        <w:rPr>
          <w:rFonts w:hint="eastAsia" w:cs="Times New Roman"/>
          <w:b/>
          <w:color w:val="auto"/>
          <w:kern w:val="0"/>
          <w:highlight w:val="none"/>
          <w:lang w:val="en-US" w:eastAsia="zh-CN"/>
        </w:rPr>
        <w:t>5</w:t>
      </w:r>
      <w:r>
        <w:rPr>
          <w:rFonts w:cs="Times New Roman"/>
          <w:b/>
          <w:color w:val="auto"/>
          <w:kern w:val="0"/>
          <w:highlight w:val="none"/>
        </w:rPr>
        <w:t xml:space="preserve"> 废水泄漏后的100天预测图（氨氮）</w:t>
      </w:r>
    </w:p>
    <w:p w14:paraId="405D825F">
      <w:pPr>
        <w:pStyle w:val="36"/>
        <w:ind w:left="0"/>
        <w:jc w:val="center"/>
        <w:rPr>
          <w:color w:val="auto"/>
          <w:highlight w:val="none"/>
        </w:rPr>
      </w:pPr>
      <w:r>
        <w:rPr>
          <w:color w:val="auto"/>
          <w:highlight w:val="none"/>
        </w:rPr>
        <w:drawing>
          <wp:inline distT="0" distB="0" distL="114300" distR="114300">
            <wp:extent cx="4705350" cy="2066925"/>
            <wp:effectExtent l="0" t="0" r="0" b="9525"/>
            <wp:docPr id="1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7"/>
                    <pic:cNvPicPr>
                      <a:picLocks noChangeAspect="1"/>
                    </pic:cNvPicPr>
                  </pic:nvPicPr>
                  <pic:blipFill>
                    <a:blip r:embed="rId53"/>
                    <a:stretch>
                      <a:fillRect/>
                    </a:stretch>
                  </pic:blipFill>
                  <pic:spPr>
                    <a:xfrm>
                      <a:off x="0" y="0"/>
                      <a:ext cx="4705350" cy="2066925"/>
                    </a:xfrm>
                    <a:prstGeom prst="rect">
                      <a:avLst/>
                    </a:prstGeom>
                    <a:noFill/>
                    <a:ln>
                      <a:noFill/>
                    </a:ln>
                  </pic:spPr>
                </pic:pic>
              </a:graphicData>
            </a:graphic>
          </wp:inline>
        </w:drawing>
      </w:r>
    </w:p>
    <w:p w14:paraId="166AB36D">
      <w:pPr>
        <w:ind w:firstLine="482"/>
        <w:jc w:val="center"/>
        <w:rPr>
          <w:rFonts w:cs="Times New Roman"/>
          <w:b/>
          <w:color w:val="auto"/>
          <w:kern w:val="0"/>
          <w:highlight w:val="none"/>
        </w:rPr>
      </w:pPr>
      <w:r>
        <w:rPr>
          <w:rFonts w:cs="Times New Roman"/>
          <w:b/>
          <w:color w:val="auto"/>
          <w:kern w:val="0"/>
          <w:highlight w:val="none"/>
        </w:rPr>
        <w:t>图5</w:t>
      </w:r>
      <w:r>
        <w:rPr>
          <w:rFonts w:hint="eastAsia" w:cs="Times New Roman"/>
          <w:b/>
          <w:color w:val="auto"/>
          <w:kern w:val="0"/>
          <w:highlight w:val="none"/>
          <w:lang w:val="en-US" w:eastAsia="zh-CN"/>
        </w:rPr>
        <w:t>.</w:t>
      </w:r>
      <w:r>
        <w:rPr>
          <w:rFonts w:cs="Times New Roman"/>
          <w:b/>
          <w:color w:val="auto"/>
          <w:kern w:val="0"/>
          <w:highlight w:val="none"/>
        </w:rPr>
        <w:t>2-</w:t>
      </w:r>
      <w:r>
        <w:rPr>
          <w:rFonts w:hint="eastAsia" w:cs="Times New Roman"/>
          <w:b/>
          <w:color w:val="auto"/>
          <w:kern w:val="0"/>
          <w:highlight w:val="none"/>
          <w:lang w:val="en-US" w:eastAsia="zh-CN"/>
        </w:rPr>
        <w:t>6</w:t>
      </w:r>
      <w:r>
        <w:rPr>
          <w:rFonts w:cs="Times New Roman"/>
          <w:b/>
          <w:color w:val="auto"/>
          <w:kern w:val="0"/>
          <w:highlight w:val="none"/>
        </w:rPr>
        <w:t xml:space="preserve"> 废水泄漏后的</w:t>
      </w:r>
      <w:r>
        <w:rPr>
          <w:rFonts w:hint="eastAsia" w:cs="Times New Roman"/>
          <w:b/>
          <w:color w:val="auto"/>
          <w:kern w:val="0"/>
          <w:highlight w:val="none"/>
          <w:lang w:val="en-US" w:eastAsia="zh-CN"/>
        </w:rPr>
        <w:t>1000</w:t>
      </w:r>
      <w:r>
        <w:rPr>
          <w:rFonts w:cs="Times New Roman"/>
          <w:b/>
          <w:color w:val="auto"/>
          <w:kern w:val="0"/>
          <w:highlight w:val="none"/>
        </w:rPr>
        <w:t>天预测图（氨氮）</w:t>
      </w:r>
    </w:p>
    <w:p w14:paraId="4FCD48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cs="Times New Roman"/>
          <w:b/>
          <w:color w:val="auto"/>
          <w:kern w:val="0"/>
          <w:highlight w:val="none"/>
        </w:rPr>
      </w:pPr>
      <w:r>
        <w:rPr>
          <w:color w:val="auto"/>
          <w:highlight w:val="none"/>
        </w:rPr>
        <w:drawing>
          <wp:inline distT="0" distB="0" distL="114300" distR="114300">
            <wp:extent cx="4743450" cy="2076450"/>
            <wp:effectExtent l="0" t="0" r="0" b="0"/>
            <wp:docPr id="15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
                    <pic:cNvPicPr>
                      <a:picLocks noChangeAspect="1"/>
                    </pic:cNvPicPr>
                  </pic:nvPicPr>
                  <pic:blipFill>
                    <a:blip r:embed="rId54"/>
                    <a:stretch>
                      <a:fillRect/>
                    </a:stretch>
                  </pic:blipFill>
                  <pic:spPr>
                    <a:xfrm>
                      <a:off x="0" y="0"/>
                      <a:ext cx="4743450" cy="2076450"/>
                    </a:xfrm>
                    <a:prstGeom prst="rect">
                      <a:avLst/>
                    </a:prstGeom>
                    <a:noFill/>
                    <a:ln>
                      <a:noFill/>
                    </a:ln>
                  </pic:spPr>
                </pic:pic>
              </a:graphicData>
            </a:graphic>
          </wp:inline>
        </w:drawing>
      </w:r>
    </w:p>
    <w:p w14:paraId="06FE7295">
      <w:pPr>
        <w:ind w:firstLine="482"/>
        <w:jc w:val="center"/>
        <w:rPr>
          <w:rFonts w:cs="Times New Roman"/>
          <w:b/>
          <w:color w:val="auto"/>
          <w:kern w:val="0"/>
          <w:highlight w:val="none"/>
        </w:rPr>
      </w:pPr>
      <w:r>
        <w:rPr>
          <w:rFonts w:cs="Times New Roman"/>
          <w:b/>
          <w:color w:val="auto"/>
          <w:kern w:val="0"/>
          <w:highlight w:val="none"/>
        </w:rPr>
        <w:t>图5</w:t>
      </w:r>
      <w:r>
        <w:rPr>
          <w:rFonts w:hint="eastAsia" w:cs="Times New Roman"/>
          <w:b/>
          <w:color w:val="auto"/>
          <w:kern w:val="0"/>
          <w:highlight w:val="none"/>
          <w:lang w:val="en-US" w:eastAsia="zh-CN"/>
        </w:rPr>
        <w:t>.</w:t>
      </w:r>
      <w:r>
        <w:rPr>
          <w:rFonts w:cs="Times New Roman"/>
          <w:b/>
          <w:color w:val="auto"/>
          <w:kern w:val="0"/>
          <w:highlight w:val="none"/>
        </w:rPr>
        <w:t>2-</w:t>
      </w:r>
      <w:r>
        <w:rPr>
          <w:rFonts w:hint="eastAsia" w:cs="Times New Roman"/>
          <w:b/>
          <w:color w:val="auto"/>
          <w:kern w:val="0"/>
          <w:highlight w:val="none"/>
          <w:lang w:val="en-US" w:eastAsia="zh-CN"/>
        </w:rPr>
        <w:t>7</w:t>
      </w:r>
      <w:r>
        <w:rPr>
          <w:rFonts w:cs="Times New Roman"/>
          <w:b/>
          <w:color w:val="auto"/>
          <w:kern w:val="0"/>
          <w:highlight w:val="none"/>
        </w:rPr>
        <w:t xml:space="preserve"> 废水泄漏后的</w:t>
      </w:r>
      <w:r>
        <w:rPr>
          <w:rFonts w:hint="eastAsia" w:cs="Times New Roman"/>
          <w:b/>
          <w:color w:val="auto"/>
          <w:kern w:val="0"/>
          <w:highlight w:val="none"/>
          <w:lang w:val="en-US" w:eastAsia="zh-CN"/>
        </w:rPr>
        <w:t>3650</w:t>
      </w:r>
      <w:r>
        <w:rPr>
          <w:rFonts w:cs="Times New Roman"/>
          <w:b/>
          <w:color w:val="auto"/>
          <w:kern w:val="0"/>
          <w:highlight w:val="none"/>
        </w:rPr>
        <w:t>天预测图（氨氮）</w:t>
      </w:r>
    </w:p>
    <w:p w14:paraId="6ACAFC81">
      <w:pPr>
        <w:rPr>
          <w:rFonts w:cs="Times New Roman"/>
          <w:color w:val="auto"/>
          <w:szCs w:val="24"/>
          <w:highlight w:val="none"/>
        </w:rPr>
      </w:pPr>
      <w:r>
        <w:rPr>
          <w:rFonts w:cs="Times New Roman"/>
          <w:color w:val="auto"/>
          <w:szCs w:val="24"/>
          <w:highlight w:val="none"/>
        </w:rPr>
        <w:t>根据预测结果可知，本项目污水处理站非正常工况下，COD运移100d时，下游</w:t>
      </w:r>
      <w:r>
        <w:rPr>
          <w:rFonts w:hint="eastAsia" w:cs="Times New Roman"/>
          <w:color w:val="auto"/>
          <w:szCs w:val="24"/>
          <w:highlight w:val="none"/>
          <w:lang w:val="en-US" w:eastAsia="zh-CN"/>
        </w:rPr>
        <w:t>14</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21</w:t>
      </w:r>
      <w:r>
        <w:rPr>
          <w:rFonts w:cs="Times New Roman"/>
          <w:color w:val="auto"/>
          <w:szCs w:val="24"/>
          <w:highlight w:val="none"/>
        </w:rPr>
        <w:t>m范围内；运移</w:t>
      </w:r>
      <w:r>
        <w:rPr>
          <w:rFonts w:hint="eastAsia" w:cs="Times New Roman"/>
          <w:color w:val="auto"/>
          <w:szCs w:val="24"/>
          <w:highlight w:val="none"/>
          <w:lang w:val="en-US" w:eastAsia="zh-CN"/>
        </w:rPr>
        <w:t>1000</w:t>
      </w:r>
      <w:r>
        <w:rPr>
          <w:rFonts w:cs="Times New Roman"/>
          <w:color w:val="auto"/>
          <w:szCs w:val="24"/>
          <w:highlight w:val="none"/>
        </w:rPr>
        <w:t>d时，下游</w:t>
      </w:r>
      <w:r>
        <w:rPr>
          <w:rFonts w:hint="eastAsia" w:cs="Times New Roman"/>
          <w:color w:val="auto"/>
          <w:szCs w:val="24"/>
          <w:highlight w:val="none"/>
          <w:lang w:val="en-US" w:eastAsia="zh-CN"/>
        </w:rPr>
        <w:t>69</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89</w:t>
      </w:r>
      <w:r>
        <w:rPr>
          <w:rFonts w:cs="Times New Roman"/>
          <w:color w:val="auto"/>
          <w:szCs w:val="24"/>
          <w:highlight w:val="none"/>
        </w:rPr>
        <w:t>m范围内；运移</w:t>
      </w:r>
      <w:r>
        <w:rPr>
          <w:rFonts w:hint="eastAsia" w:cs="Times New Roman"/>
          <w:color w:val="auto"/>
          <w:szCs w:val="24"/>
          <w:highlight w:val="none"/>
          <w:lang w:val="en-US" w:eastAsia="zh-CN"/>
        </w:rPr>
        <w:t>3650</w:t>
      </w:r>
      <w:r>
        <w:rPr>
          <w:rFonts w:cs="Times New Roman"/>
          <w:color w:val="auto"/>
          <w:szCs w:val="24"/>
          <w:highlight w:val="none"/>
        </w:rPr>
        <w:t>时，下游</w:t>
      </w:r>
      <w:r>
        <w:rPr>
          <w:rFonts w:hint="eastAsia" w:cs="Times New Roman"/>
          <w:color w:val="auto"/>
          <w:szCs w:val="24"/>
          <w:highlight w:val="none"/>
          <w:lang w:val="en-US" w:eastAsia="zh-CN"/>
        </w:rPr>
        <w:t>190</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232</w:t>
      </w:r>
      <w:r>
        <w:rPr>
          <w:rFonts w:cs="Times New Roman"/>
          <w:color w:val="auto"/>
          <w:szCs w:val="24"/>
          <w:highlight w:val="none"/>
        </w:rPr>
        <w:t>m范围内。氨氮运移100d时，下游</w:t>
      </w:r>
      <w:r>
        <w:rPr>
          <w:rFonts w:hint="eastAsia" w:cs="Times New Roman"/>
          <w:color w:val="auto"/>
          <w:szCs w:val="24"/>
          <w:highlight w:val="none"/>
          <w:lang w:val="en-US" w:eastAsia="zh-CN"/>
        </w:rPr>
        <w:t>15</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17</w:t>
      </w:r>
      <w:r>
        <w:rPr>
          <w:rFonts w:cs="Times New Roman"/>
          <w:color w:val="auto"/>
          <w:szCs w:val="24"/>
          <w:highlight w:val="none"/>
        </w:rPr>
        <w:t>m范围内；运移</w:t>
      </w:r>
      <w:r>
        <w:rPr>
          <w:rFonts w:hint="eastAsia" w:cs="Times New Roman"/>
          <w:color w:val="auto"/>
          <w:szCs w:val="24"/>
          <w:highlight w:val="none"/>
          <w:lang w:val="en-US" w:eastAsia="zh-CN"/>
        </w:rPr>
        <w:t>1000</w:t>
      </w:r>
      <w:r>
        <w:rPr>
          <w:rFonts w:cs="Times New Roman"/>
          <w:color w:val="auto"/>
          <w:szCs w:val="24"/>
          <w:highlight w:val="none"/>
        </w:rPr>
        <w:t>d时，下游</w:t>
      </w:r>
      <w:r>
        <w:rPr>
          <w:rFonts w:hint="eastAsia" w:cs="Times New Roman"/>
          <w:color w:val="auto"/>
          <w:szCs w:val="24"/>
          <w:highlight w:val="none"/>
          <w:lang w:val="en-US" w:eastAsia="zh-CN"/>
        </w:rPr>
        <w:t>71</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78</w:t>
      </w:r>
      <w:r>
        <w:rPr>
          <w:rFonts w:cs="Times New Roman"/>
          <w:color w:val="auto"/>
          <w:szCs w:val="24"/>
          <w:highlight w:val="none"/>
        </w:rPr>
        <w:t>m范围内；运移</w:t>
      </w:r>
      <w:r>
        <w:rPr>
          <w:rFonts w:hint="eastAsia" w:cs="Times New Roman"/>
          <w:color w:val="auto"/>
          <w:szCs w:val="24"/>
          <w:highlight w:val="none"/>
          <w:lang w:val="en-US" w:eastAsia="zh-CN"/>
        </w:rPr>
        <w:t>3650</w:t>
      </w:r>
      <w:r>
        <w:rPr>
          <w:rFonts w:cs="Times New Roman"/>
          <w:color w:val="auto"/>
          <w:szCs w:val="24"/>
          <w:highlight w:val="none"/>
        </w:rPr>
        <w:t>d时，下游</w:t>
      </w:r>
      <w:r>
        <w:rPr>
          <w:rFonts w:hint="eastAsia" w:cs="Times New Roman"/>
          <w:color w:val="auto"/>
          <w:szCs w:val="24"/>
          <w:highlight w:val="none"/>
          <w:lang w:val="en-US" w:eastAsia="zh-CN"/>
        </w:rPr>
        <w:t>194</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208</w:t>
      </w:r>
      <w:r>
        <w:rPr>
          <w:rFonts w:cs="Times New Roman"/>
          <w:color w:val="auto"/>
          <w:szCs w:val="24"/>
          <w:highlight w:val="none"/>
        </w:rPr>
        <w:t>m范围内。COD</w:t>
      </w:r>
      <w:r>
        <w:rPr>
          <w:rFonts w:hint="eastAsia" w:cs="Times New Roman"/>
          <w:color w:val="auto"/>
          <w:szCs w:val="24"/>
          <w:highlight w:val="none"/>
          <w:lang w:eastAsia="zh-CN"/>
        </w:rPr>
        <w:t>、</w:t>
      </w:r>
      <w:r>
        <w:rPr>
          <w:rFonts w:hint="eastAsia" w:cs="Times New Roman"/>
          <w:color w:val="auto"/>
          <w:szCs w:val="24"/>
          <w:highlight w:val="none"/>
          <w:lang w:val="en-US" w:eastAsia="zh-CN"/>
        </w:rPr>
        <w:t>氨氮运移3650d后超标点位于厂界内</w:t>
      </w:r>
      <w:r>
        <w:rPr>
          <w:rFonts w:cs="Times New Roman"/>
          <w:color w:val="auto"/>
          <w:szCs w:val="24"/>
          <w:highlight w:val="none"/>
        </w:rPr>
        <w:t>，</w:t>
      </w:r>
      <w:r>
        <w:rPr>
          <w:rFonts w:hint="eastAsia" w:cs="Times New Roman"/>
          <w:color w:val="auto"/>
          <w:szCs w:val="24"/>
          <w:highlight w:val="none"/>
          <w:lang w:val="en-US" w:eastAsia="zh-CN"/>
        </w:rPr>
        <w:t>经预测，在地下水最大影响范围208m内无环境保护敏感目标，</w:t>
      </w:r>
      <w:r>
        <w:rPr>
          <w:rFonts w:cs="Times New Roman"/>
          <w:color w:val="auto"/>
          <w:szCs w:val="24"/>
          <w:highlight w:val="none"/>
        </w:rPr>
        <w:t>因此项目建设对区域地下水环境影响较小。</w:t>
      </w:r>
    </w:p>
    <w:p w14:paraId="65C3E605">
      <w:pPr>
        <w:pStyle w:val="4"/>
        <w:spacing w:after="163"/>
        <w:rPr>
          <w:rFonts w:cs="Times New Roman"/>
          <w:color w:val="auto"/>
          <w:highlight w:val="none"/>
        </w:rPr>
      </w:pPr>
      <w:bookmarkStart w:id="304" w:name="_Toc20647"/>
      <w:r>
        <w:rPr>
          <w:rFonts w:cs="Times New Roman"/>
          <w:color w:val="auto"/>
          <w:highlight w:val="none"/>
        </w:rPr>
        <w:t>5.2.4声环境影响预测评价</w:t>
      </w:r>
      <w:bookmarkEnd w:id="304"/>
    </w:p>
    <w:p w14:paraId="64BF1E75">
      <w:pPr>
        <w:ind w:firstLine="482"/>
        <w:rPr>
          <w:rFonts w:cs="Times New Roman"/>
          <w:b/>
          <w:bCs/>
          <w:color w:val="auto"/>
          <w:highlight w:val="none"/>
        </w:rPr>
      </w:pPr>
      <w:r>
        <w:rPr>
          <w:rFonts w:cs="Times New Roman"/>
          <w:b/>
          <w:bCs/>
          <w:color w:val="auto"/>
          <w:highlight w:val="none"/>
        </w:rPr>
        <w:t>1、预测内容</w:t>
      </w:r>
    </w:p>
    <w:p w14:paraId="07C4636A">
      <w:pPr>
        <w:rPr>
          <w:rFonts w:cs="Times New Roman"/>
          <w:color w:val="auto"/>
          <w:highlight w:val="none"/>
        </w:rPr>
      </w:pPr>
      <w:r>
        <w:rPr>
          <w:rFonts w:cs="Times New Roman"/>
          <w:color w:val="auto"/>
          <w:highlight w:val="none"/>
        </w:rPr>
        <w:t>本项目运营期噪声主要为设备噪声和牛、羊嚎叫，噪声源强在70dB（A）~80（A）之间，项目运营期采取的降噪措施主要为厂房隔声、选用低噪声设备、安装减振垫、消声器等。车间外的降噪效果可达20dB（A）。预测噪声源对厂界外1m处的影响程度。</w:t>
      </w:r>
    </w:p>
    <w:p w14:paraId="5685F357">
      <w:pPr>
        <w:ind w:firstLine="482"/>
        <w:rPr>
          <w:rFonts w:cs="Times New Roman"/>
          <w:b/>
          <w:bCs/>
          <w:color w:val="auto"/>
          <w:highlight w:val="none"/>
        </w:rPr>
      </w:pPr>
      <w:r>
        <w:rPr>
          <w:rFonts w:cs="Times New Roman"/>
          <w:b/>
          <w:bCs/>
          <w:color w:val="auto"/>
          <w:highlight w:val="none"/>
        </w:rPr>
        <w:t>2、预测模式</w:t>
      </w:r>
    </w:p>
    <w:p w14:paraId="7A2B99CF">
      <w:pPr>
        <w:rPr>
          <w:rFonts w:cs="Times New Roman"/>
          <w:color w:val="auto"/>
          <w:highlight w:val="none"/>
        </w:rPr>
      </w:pPr>
      <w:r>
        <w:rPr>
          <w:rFonts w:cs="Times New Roman"/>
          <w:color w:val="auto"/>
          <w:highlight w:val="none"/>
        </w:rPr>
        <w:t>噪声预测采用HJ2.4-2021附录典型行业噪声噪声预测模型。</w:t>
      </w:r>
    </w:p>
    <w:p w14:paraId="57CC26AA">
      <w:pPr>
        <w:rPr>
          <w:rFonts w:cs="Times New Roman"/>
          <w:color w:val="auto"/>
          <w:highlight w:val="none"/>
        </w:rPr>
      </w:pPr>
      <w:r>
        <w:rPr>
          <w:rFonts w:cs="Times New Roman"/>
          <w:color w:val="auto"/>
          <w:highlight w:val="none"/>
        </w:rPr>
        <w:t>本项目设备声源主要为室内声源，故按照室内点声源模式进行预测。</w:t>
      </w:r>
    </w:p>
    <w:p w14:paraId="26092D7F">
      <w:pPr>
        <w:rPr>
          <w:rFonts w:cs="Times New Roman"/>
          <w:color w:val="auto"/>
          <w:highlight w:val="none"/>
        </w:rPr>
      </w:pPr>
      <w:r>
        <w:rPr>
          <w:rFonts w:cs="Times New Roman"/>
          <w:color w:val="auto"/>
          <w:highlight w:val="none"/>
        </w:rPr>
        <w:t>1）室内点声源</w:t>
      </w:r>
    </w:p>
    <w:p w14:paraId="6DD57400">
      <w:pPr>
        <w:rPr>
          <w:rFonts w:cs="Times New Roman"/>
          <w:color w:val="auto"/>
          <w:highlight w:val="none"/>
        </w:rPr>
      </w:pPr>
      <w:r>
        <w:rPr>
          <w:rFonts w:cs="Times New Roman"/>
          <w:color w:val="auto"/>
          <w:highlight w:val="none"/>
        </w:rPr>
        <w:t>室内声源采用等效室外声源声功率级法进行计算。先计算出某个室内靠近围护结构处产生的倍频带声压级：</w:t>
      </w:r>
    </w:p>
    <w:p w14:paraId="3D0083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cs="Times New Roman"/>
          <w:color w:val="auto"/>
          <w:highlight w:val="none"/>
        </w:rPr>
      </w:pPr>
      <w:r>
        <w:rPr>
          <w:rFonts w:cs="Times New Roman"/>
          <w:color w:val="auto"/>
          <w:highlight w:val="none"/>
        </w:rPr>
        <w:drawing>
          <wp:inline distT="0" distB="0" distL="114300" distR="114300">
            <wp:extent cx="1750060" cy="444500"/>
            <wp:effectExtent l="0" t="0" r="2540" b="13335"/>
            <wp:docPr id="1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3"/>
                    <pic:cNvPicPr>
                      <a:picLocks noChangeAspect="1"/>
                    </pic:cNvPicPr>
                  </pic:nvPicPr>
                  <pic:blipFill>
                    <a:blip r:embed="rId55"/>
                    <a:stretch>
                      <a:fillRect/>
                    </a:stretch>
                  </pic:blipFill>
                  <pic:spPr>
                    <a:xfrm>
                      <a:off x="0" y="0"/>
                      <a:ext cx="1750060" cy="444500"/>
                    </a:xfrm>
                    <a:prstGeom prst="rect">
                      <a:avLst/>
                    </a:prstGeom>
                    <a:noFill/>
                    <a:ln>
                      <a:noFill/>
                    </a:ln>
                  </pic:spPr>
                </pic:pic>
              </a:graphicData>
            </a:graphic>
          </wp:inline>
        </w:drawing>
      </w:r>
    </w:p>
    <w:p w14:paraId="13E5855C">
      <w:pPr>
        <w:rPr>
          <w:rFonts w:cs="Times New Roman"/>
          <w:color w:val="auto"/>
          <w:highlight w:val="none"/>
        </w:rPr>
      </w:pPr>
      <w:r>
        <w:rPr>
          <w:rFonts w:cs="Times New Roman"/>
          <w:color w:val="auto"/>
          <w:highlight w:val="none"/>
        </w:rPr>
        <w:t>然后计算出所有室内声源在围护结构处产生的i倍频带叠加声压级：</w:t>
      </w:r>
    </w:p>
    <w:p w14:paraId="6AEC00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cs="Times New Roman"/>
          <w:color w:val="auto"/>
          <w:highlight w:val="none"/>
        </w:rPr>
      </w:pPr>
      <w:r>
        <w:rPr>
          <w:rFonts w:cs="Times New Roman"/>
          <w:color w:val="auto"/>
          <w:highlight w:val="none"/>
        </w:rPr>
        <w:drawing>
          <wp:inline distT="0" distB="0" distL="114300" distR="114300">
            <wp:extent cx="1687195" cy="523875"/>
            <wp:effectExtent l="0" t="0" r="8255" b="8890"/>
            <wp:docPr id="10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4"/>
                    <pic:cNvPicPr>
                      <a:picLocks noChangeAspect="1"/>
                    </pic:cNvPicPr>
                  </pic:nvPicPr>
                  <pic:blipFill>
                    <a:blip r:embed="rId56"/>
                    <a:stretch>
                      <a:fillRect/>
                    </a:stretch>
                  </pic:blipFill>
                  <pic:spPr>
                    <a:xfrm>
                      <a:off x="0" y="0"/>
                      <a:ext cx="1687195" cy="523875"/>
                    </a:xfrm>
                    <a:prstGeom prst="rect">
                      <a:avLst/>
                    </a:prstGeom>
                    <a:noFill/>
                    <a:ln>
                      <a:noFill/>
                    </a:ln>
                  </pic:spPr>
                </pic:pic>
              </a:graphicData>
            </a:graphic>
          </wp:inline>
        </w:drawing>
      </w:r>
    </w:p>
    <w:p w14:paraId="25DE0710">
      <w:pPr>
        <w:rPr>
          <w:rFonts w:cs="Times New Roman"/>
          <w:color w:val="auto"/>
          <w:highlight w:val="none"/>
        </w:rPr>
      </w:pPr>
      <w:r>
        <w:rPr>
          <w:rFonts w:cs="Times New Roman"/>
          <w:color w:val="auto"/>
          <w:highlight w:val="none"/>
        </w:rPr>
        <w:t>在室内近似为扩散声场时，按下式计算出靠近室外围护结构处的声压级：</w:t>
      </w:r>
    </w:p>
    <w:p w14:paraId="229752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cs="Times New Roman"/>
          <w:color w:val="auto"/>
          <w:highlight w:val="none"/>
        </w:rPr>
      </w:pPr>
      <w:r>
        <w:rPr>
          <w:rFonts w:cs="Times New Roman"/>
          <w:color w:val="auto"/>
          <w:highlight w:val="none"/>
        </w:rPr>
        <w:drawing>
          <wp:inline distT="0" distB="0" distL="114300" distR="114300">
            <wp:extent cx="1750060" cy="222250"/>
            <wp:effectExtent l="0" t="0" r="0" b="5080"/>
            <wp:docPr id="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5"/>
                    <pic:cNvPicPr>
                      <a:picLocks noChangeAspect="1"/>
                    </pic:cNvPicPr>
                  </pic:nvPicPr>
                  <pic:blipFill>
                    <a:blip r:embed="rId57"/>
                    <a:stretch>
                      <a:fillRect/>
                    </a:stretch>
                  </pic:blipFill>
                  <pic:spPr>
                    <a:xfrm>
                      <a:off x="0" y="0"/>
                      <a:ext cx="1750060" cy="222250"/>
                    </a:xfrm>
                    <a:prstGeom prst="rect">
                      <a:avLst/>
                    </a:prstGeom>
                    <a:noFill/>
                    <a:ln>
                      <a:noFill/>
                    </a:ln>
                  </pic:spPr>
                </pic:pic>
              </a:graphicData>
            </a:graphic>
          </wp:inline>
        </w:drawing>
      </w:r>
    </w:p>
    <w:p w14:paraId="51F544A6">
      <w:pPr>
        <w:rPr>
          <w:rFonts w:cs="Times New Roman"/>
          <w:color w:val="auto"/>
          <w:highlight w:val="none"/>
        </w:rPr>
      </w:pPr>
      <w:r>
        <w:rPr>
          <w:rFonts w:cs="Times New Roman"/>
          <w:color w:val="auto"/>
          <w:highlight w:val="none"/>
        </w:rPr>
        <w:t>将室外声源的声压级和透过面积换算成等效的室外声源，计算出中心位置位于透声面积处的等效声源的倍频带声功率级：</w:t>
      </w:r>
    </w:p>
    <w:p w14:paraId="0C1F7625">
      <w:pPr>
        <w:jc w:val="center"/>
        <w:rPr>
          <w:rFonts w:cs="Times New Roman"/>
          <w:color w:val="auto"/>
          <w:highlight w:val="none"/>
        </w:rPr>
      </w:pPr>
      <w:r>
        <w:rPr>
          <w:rFonts w:cs="Times New Roman"/>
          <w:color w:val="auto"/>
          <w:highlight w:val="none"/>
        </w:rPr>
        <w:drawing>
          <wp:inline distT="0" distB="0" distL="114300" distR="114300">
            <wp:extent cx="1327785" cy="222250"/>
            <wp:effectExtent l="0" t="0" r="0" b="5080"/>
            <wp:docPr id="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6"/>
                    <pic:cNvPicPr>
                      <a:picLocks noChangeAspect="1"/>
                    </pic:cNvPicPr>
                  </pic:nvPicPr>
                  <pic:blipFill>
                    <a:blip r:embed="rId58"/>
                    <a:stretch>
                      <a:fillRect/>
                    </a:stretch>
                  </pic:blipFill>
                  <pic:spPr>
                    <a:xfrm>
                      <a:off x="0" y="0"/>
                      <a:ext cx="1327785" cy="222250"/>
                    </a:xfrm>
                    <a:prstGeom prst="rect">
                      <a:avLst/>
                    </a:prstGeom>
                    <a:noFill/>
                    <a:ln>
                      <a:noFill/>
                    </a:ln>
                  </pic:spPr>
                </pic:pic>
              </a:graphicData>
            </a:graphic>
          </wp:inline>
        </w:drawing>
      </w:r>
    </w:p>
    <w:p w14:paraId="1EEEBDF5">
      <w:pPr>
        <w:rPr>
          <w:rFonts w:cs="Times New Roman"/>
          <w:color w:val="auto"/>
          <w:highlight w:val="none"/>
        </w:rPr>
      </w:pPr>
      <w:r>
        <w:rPr>
          <w:rFonts w:cs="Times New Roman"/>
          <w:color w:val="auto"/>
          <w:highlight w:val="none"/>
        </w:rPr>
        <w:t>然后按室外声源预测方法计算预测点处的A声级。</w:t>
      </w:r>
    </w:p>
    <w:p w14:paraId="26C164B2">
      <w:pPr>
        <w:rPr>
          <w:rFonts w:cs="Times New Roman"/>
          <w:color w:val="auto"/>
          <w:highlight w:val="none"/>
        </w:rPr>
      </w:pPr>
      <w:r>
        <w:rPr>
          <w:rFonts w:cs="Times New Roman"/>
          <w:color w:val="auto"/>
          <w:highlight w:val="none"/>
        </w:rPr>
        <w:t>2）室外声源</w:t>
      </w:r>
    </w:p>
    <w:p w14:paraId="3E12F2F8">
      <w:pPr>
        <w:rPr>
          <w:rFonts w:cs="Times New Roman"/>
          <w:color w:val="auto"/>
          <w:highlight w:val="none"/>
        </w:rPr>
      </w:pPr>
      <w:r>
        <w:rPr>
          <w:rFonts w:cs="Times New Roman"/>
          <w:color w:val="auto"/>
          <w:highlight w:val="none"/>
        </w:rPr>
        <w:t>在不能取得声源倍频带声功率级或倍频带声压级，只能获得A声功率级或某点的A声级时，可按下式作近似计算：</w:t>
      </w:r>
    </w:p>
    <w:p w14:paraId="2791F9B0">
      <w:pPr>
        <w:jc w:val="center"/>
        <w:rPr>
          <w:rFonts w:cs="Times New Roman"/>
          <w:color w:val="auto"/>
          <w:highlight w:val="none"/>
        </w:rPr>
      </w:pPr>
      <w:r>
        <w:rPr>
          <w:rFonts w:cs="Times New Roman"/>
          <w:color w:val="auto"/>
          <w:highlight w:val="none"/>
        </w:rPr>
        <w:drawing>
          <wp:inline distT="0" distB="0" distL="114300" distR="114300">
            <wp:extent cx="1294765" cy="222250"/>
            <wp:effectExtent l="0" t="0" r="635" b="5080"/>
            <wp:docPr id="16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7"/>
                    <pic:cNvPicPr>
                      <a:picLocks noChangeAspect="1"/>
                    </pic:cNvPicPr>
                  </pic:nvPicPr>
                  <pic:blipFill>
                    <a:blip r:embed="rId59"/>
                    <a:stretch>
                      <a:fillRect/>
                    </a:stretch>
                  </pic:blipFill>
                  <pic:spPr>
                    <a:xfrm>
                      <a:off x="0" y="0"/>
                      <a:ext cx="1294765" cy="222250"/>
                    </a:xfrm>
                    <a:prstGeom prst="rect">
                      <a:avLst/>
                    </a:prstGeom>
                    <a:noFill/>
                    <a:ln>
                      <a:noFill/>
                    </a:ln>
                  </pic:spPr>
                </pic:pic>
              </a:graphicData>
            </a:graphic>
          </wp:inline>
        </w:drawing>
      </w:r>
    </w:p>
    <w:p w14:paraId="3D84608E">
      <w:pPr>
        <w:jc w:val="center"/>
        <w:rPr>
          <w:rFonts w:cs="Times New Roman"/>
          <w:color w:val="auto"/>
          <w:highlight w:val="none"/>
        </w:rPr>
      </w:pPr>
      <w:r>
        <w:rPr>
          <w:rFonts w:cs="Times New Roman"/>
          <w:color w:val="auto"/>
          <w:highlight w:val="none"/>
        </w:rPr>
        <w:drawing>
          <wp:inline distT="0" distB="0" distL="114300" distR="114300">
            <wp:extent cx="1988820" cy="222250"/>
            <wp:effectExtent l="0" t="0" r="11430" b="5080"/>
            <wp:docPr id="1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8"/>
                    <pic:cNvPicPr>
                      <a:picLocks noChangeAspect="1"/>
                    </pic:cNvPicPr>
                  </pic:nvPicPr>
                  <pic:blipFill>
                    <a:blip r:embed="rId60"/>
                    <a:stretch>
                      <a:fillRect/>
                    </a:stretch>
                  </pic:blipFill>
                  <pic:spPr>
                    <a:xfrm>
                      <a:off x="0" y="0"/>
                      <a:ext cx="1988820" cy="222250"/>
                    </a:xfrm>
                    <a:prstGeom prst="rect">
                      <a:avLst/>
                    </a:prstGeom>
                    <a:noFill/>
                    <a:ln>
                      <a:noFill/>
                    </a:ln>
                  </pic:spPr>
                </pic:pic>
              </a:graphicData>
            </a:graphic>
          </wp:inline>
        </w:drawing>
      </w:r>
    </w:p>
    <w:p w14:paraId="5483C183">
      <w:pPr>
        <w:rPr>
          <w:rFonts w:cs="Times New Roman"/>
          <w:color w:val="auto"/>
          <w:highlight w:val="none"/>
        </w:rPr>
      </w:pPr>
      <w:r>
        <w:rPr>
          <w:rFonts w:cs="Times New Roman"/>
          <w:color w:val="auto"/>
          <w:highlight w:val="none"/>
        </w:rPr>
        <w:t>室外线源可分为若干线的分区，而每个线的分区可用处于中心位置的点声源表示。</w:t>
      </w:r>
    </w:p>
    <w:p w14:paraId="65AD3521">
      <w:pPr>
        <w:rPr>
          <w:rFonts w:cs="Times New Roman"/>
          <w:color w:val="auto"/>
          <w:highlight w:val="none"/>
        </w:rPr>
      </w:pPr>
      <w:r>
        <w:rPr>
          <w:rFonts w:cs="Times New Roman"/>
          <w:color w:val="auto"/>
          <w:highlight w:val="none"/>
        </w:rPr>
        <w:t>3）工业企业噪声计算</w:t>
      </w:r>
    </w:p>
    <w:p w14:paraId="470E1B97">
      <w:pPr>
        <w:rPr>
          <w:rFonts w:cs="Times New Roman"/>
          <w:color w:val="auto"/>
          <w:highlight w:val="none"/>
        </w:rPr>
      </w:pPr>
      <w:r>
        <w:rPr>
          <w:rFonts w:cs="Times New Roman"/>
          <w:color w:val="auto"/>
          <w:highlight w:val="none"/>
        </w:rPr>
        <w:t>设第i个室外声源在预测点产生的A声级为L</w:t>
      </w:r>
      <w:r>
        <w:rPr>
          <w:rFonts w:cs="Times New Roman"/>
          <w:color w:val="auto"/>
          <w:highlight w:val="none"/>
          <w:vertAlign w:val="subscript"/>
        </w:rPr>
        <w:t>Ai</w:t>
      </w:r>
      <w:r>
        <w:rPr>
          <w:rFonts w:cs="Times New Roman"/>
          <w:color w:val="auto"/>
          <w:highlight w:val="none"/>
        </w:rPr>
        <w:t>，在T时间内该声源工作时间为t</w:t>
      </w:r>
      <w:r>
        <w:rPr>
          <w:rFonts w:cs="Times New Roman"/>
          <w:color w:val="auto"/>
          <w:highlight w:val="none"/>
          <w:vertAlign w:val="subscript"/>
        </w:rPr>
        <w:t>i</w:t>
      </w:r>
      <w:r>
        <w:rPr>
          <w:rFonts w:cs="Times New Roman"/>
          <w:color w:val="auto"/>
          <w:highlight w:val="none"/>
        </w:rPr>
        <w:t>；第j个等效室外声源在预测点产生的A声级为L</w:t>
      </w:r>
      <w:r>
        <w:rPr>
          <w:rFonts w:cs="Times New Roman"/>
          <w:color w:val="auto"/>
          <w:highlight w:val="none"/>
          <w:vertAlign w:val="subscript"/>
        </w:rPr>
        <w:t>Aj</w:t>
      </w:r>
      <w:r>
        <w:rPr>
          <w:rFonts w:cs="Times New Roman"/>
          <w:color w:val="auto"/>
          <w:highlight w:val="none"/>
        </w:rPr>
        <w:t>，在T时间内该声源工作时间为t</w:t>
      </w:r>
      <w:r>
        <w:rPr>
          <w:rFonts w:cs="Times New Roman"/>
          <w:color w:val="auto"/>
          <w:highlight w:val="none"/>
          <w:vertAlign w:val="subscript"/>
        </w:rPr>
        <w:t>j</w:t>
      </w:r>
      <w:r>
        <w:rPr>
          <w:rFonts w:cs="Times New Roman"/>
          <w:color w:val="auto"/>
          <w:highlight w:val="none"/>
        </w:rPr>
        <w:t>，则拟建工程声源对预测点产生的贡献值为：</w:t>
      </w:r>
    </w:p>
    <w:p w14:paraId="27BB001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cs="Times New Roman"/>
          <w:color w:val="auto"/>
          <w:highlight w:val="none"/>
        </w:rPr>
      </w:pPr>
      <w:r>
        <w:rPr>
          <w:rFonts w:cs="Times New Roman"/>
          <w:color w:val="auto"/>
          <w:highlight w:val="none"/>
        </w:rPr>
        <w:drawing>
          <wp:inline distT="0" distB="0" distL="114300" distR="114300">
            <wp:extent cx="2608580" cy="523875"/>
            <wp:effectExtent l="0" t="0" r="1270" b="8890"/>
            <wp:docPr id="1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9"/>
                    <pic:cNvPicPr>
                      <a:picLocks noChangeAspect="1"/>
                    </pic:cNvPicPr>
                  </pic:nvPicPr>
                  <pic:blipFill>
                    <a:blip r:embed="rId61"/>
                    <a:stretch>
                      <a:fillRect/>
                    </a:stretch>
                  </pic:blipFill>
                  <pic:spPr>
                    <a:xfrm>
                      <a:off x="0" y="0"/>
                      <a:ext cx="2608580" cy="523875"/>
                    </a:xfrm>
                    <a:prstGeom prst="rect">
                      <a:avLst/>
                    </a:prstGeom>
                    <a:noFill/>
                    <a:ln>
                      <a:noFill/>
                    </a:ln>
                  </pic:spPr>
                </pic:pic>
              </a:graphicData>
            </a:graphic>
          </wp:inline>
        </w:drawing>
      </w:r>
    </w:p>
    <w:p w14:paraId="08941CC9">
      <w:pPr>
        <w:rPr>
          <w:rFonts w:cs="Times New Roman"/>
          <w:color w:val="auto"/>
          <w:highlight w:val="none"/>
        </w:rPr>
      </w:pPr>
      <w:r>
        <w:rPr>
          <w:rFonts w:cs="Times New Roman"/>
          <w:color w:val="auto"/>
          <w:highlight w:val="none"/>
        </w:rPr>
        <w:t>4）预测值计算</w:t>
      </w:r>
    </w:p>
    <w:p w14:paraId="3E1369C8">
      <w:pPr>
        <w:rPr>
          <w:rFonts w:cs="Times New Roman"/>
          <w:color w:val="auto"/>
          <w:highlight w:val="none"/>
        </w:rPr>
      </w:pPr>
      <w:r>
        <w:rPr>
          <w:rFonts w:cs="Times New Roman"/>
          <w:color w:val="auto"/>
          <w:highlight w:val="none"/>
        </w:rPr>
        <w:t>预测点的预测等效声级为：</w:t>
      </w:r>
    </w:p>
    <w:p w14:paraId="695DED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cs="Times New Roman"/>
          <w:color w:val="auto"/>
          <w:highlight w:val="none"/>
        </w:rPr>
      </w:pPr>
      <w:r>
        <w:rPr>
          <w:rFonts w:cs="Times New Roman"/>
          <w:color w:val="auto"/>
          <w:highlight w:val="none"/>
        </w:rPr>
        <w:drawing>
          <wp:inline distT="0" distB="0" distL="114300" distR="114300">
            <wp:extent cx="1750060" cy="318135"/>
            <wp:effectExtent l="0" t="0" r="2540" b="4445"/>
            <wp:docPr id="16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30"/>
                    <pic:cNvPicPr>
                      <a:picLocks noChangeAspect="1"/>
                    </pic:cNvPicPr>
                  </pic:nvPicPr>
                  <pic:blipFill>
                    <a:blip r:embed="rId62"/>
                    <a:stretch>
                      <a:fillRect/>
                    </a:stretch>
                  </pic:blipFill>
                  <pic:spPr>
                    <a:xfrm>
                      <a:off x="0" y="0"/>
                      <a:ext cx="1750060" cy="318135"/>
                    </a:xfrm>
                    <a:prstGeom prst="rect">
                      <a:avLst/>
                    </a:prstGeom>
                    <a:noFill/>
                    <a:ln>
                      <a:noFill/>
                    </a:ln>
                  </pic:spPr>
                </pic:pic>
              </a:graphicData>
            </a:graphic>
          </wp:inline>
        </w:drawing>
      </w:r>
    </w:p>
    <w:p w14:paraId="67C15B9A">
      <w:pPr>
        <w:rPr>
          <w:rFonts w:cs="Times New Roman"/>
          <w:color w:val="auto"/>
          <w:highlight w:val="none"/>
        </w:rPr>
      </w:pPr>
      <w:r>
        <w:rPr>
          <w:rFonts w:cs="Times New Roman"/>
          <w:color w:val="auto"/>
          <w:highlight w:val="none"/>
        </w:rPr>
        <w:t>上式中各符号的意义和单位见HJ2.4-2021。</w:t>
      </w:r>
    </w:p>
    <w:p w14:paraId="54BF2A78">
      <w:pPr>
        <w:ind w:firstLine="482"/>
        <w:rPr>
          <w:rFonts w:cs="Times New Roman"/>
          <w:b/>
          <w:bCs/>
          <w:color w:val="auto"/>
          <w:highlight w:val="none"/>
        </w:rPr>
      </w:pPr>
      <w:r>
        <w:rPr>
          <w:rFonts w:cs="Times New Roman"/>
          <w:b/>
          <w:bCs/>
          <w:color w:val="auto"/>
          <w:highlight w:val="none"/>
        </w:rPr>
        <w:t>3、预测参数</w:t>
      </w:r>
    </w:p>
    <w:p w14:paraId="531480CB">
      <w:pPr>
        <w:rPr>
          <w:rFonts w:cs="Times New Roman"/>
          <w:color w:val="auto"/>
          <w:highlight w:val="none"/>
        </w:rPr>
      </w:pPr>
      <w:r>
        <w:rPr>
          <w:rFonts w:hint="eastAsia" w:cs="Times New Roman"/>
          <w:color w:val="auto"/>
          <w:highlight w:val="none"/>
          <w:lang w:val="en-US" w:eastAsia="zh-CN"/>
        </w:rPr>
        <w:t>本项目仅昼间运行，夜间不生产，</w:t>
      </w:r>
      <w:r>
        <w:rPr>
          <w:rFonts w:cs="Times New Roman"/>
          <w:color w:val="auto"/>
          <w:highlight w:val="none"/>
        </w:rPr>
        <w:t>考虑最不利影响，所有设备同时运行，本项目噪声预测参数见表3</w:t>
      </w:r>
      <w:r>
        <w:rPr>
          <w:rFonts w:hint="eastAsia" w:cs="Times New Roman"/>
          <w:color w:val="auto"/>
          <w:highlight w:val="none"/>
          <w:lang w:val="en-US" w:eastAsia="zh-CN"/>
        </w:rPr>
        <w:t>.</w:t>
      </w:r>
      <w:r>
        <w:rPr>
          <w:rFonts w:cs="Times New Roman"/>
          <w:color w:val="auto"/>
          <w:highlight w:val="none"/>
        </w:rPr>
        <w:t>4-1</w:t>
      </w:r>
      <w:r>
        <w:rPr>
          <w:rFonts w:hint="eastAsia" w:cs="Times New Roman"/>
          <w:color w:val="auto"/>
          <w:highlight w:val="none"/>
          <w:lang w:val="en-US" w:eastAsia="zh-CN"/>
        </w:rPr>
        <w:t>5，3.4-16</w:t>
      </w:r>
      <w:r>
        <w:rPr>
          <w:rFonts w:cs="Times New Roman"/>
          <w:color w:val="auto"/>
          <w:highlight w:val="none"/>
        </w:rPr>
        <w:t>。</w:t>
      </w:r>
    </w:p>
    <w:p w14:paraId="14A038F7">
      <w:pPr>
        <w:ind w:firstLine="482"/>
        <w:rPr>
          <w:rFonts w:cs="Times New Roman"/>
          <w:b/>
          <w:bCs/>
          <w:color w:val="auto"/>
          <w:highlight w:val="none"/>
        </w:rPr>
      </w:pPr>
      <w:r>
        <w:rPr>
          <w:rFonts w:cs="Times New Roman"/>
          <w:b/>
          <w:bCs/>
          <w:color w:val="auto"/>
          <w:highlight w:val="none"/>
        </w:rPr>
        <w:t>4、预测结果</w:t>
      </w:r>
    </w:p>
    <w:p w14:paraId="76417020">
      <w:pPr>
        <w:widowControl/>
        <w:spacing w:line="240" w:lineRule="auto"/>
        <w:ind w:firstLine="0" w:firstLineChars="0"/>
        <w:jc w:val="center"/>
        <w:rPr>
          <w:rFonts w:cs="Times New Roman"/>
          <w:b/>
          <w:bCs/>
          <w:color w:val="auto"/>
          <w:kern w:val="0"/>
          <w:szCs w:val="24"/>
          <w:highlight w:val="none"/>
          <w:lang w:bidi="ar"/>
        </w:rPr>
      </w:pPr>
      <w:r>
        <w:rPr>
          <w:rFonts w:cs="Times New Roman"/>
          <w:b/>
          <w:bCs/>
          <w:color w:val="auto"/>
          <w:kern w:val="0"/>
          <w:szCs w:val="24"/>
          <w:highlight w:val="none"/>
          <w:lang w:bidi="ar"/>
        </w:rPr>
        <w:t>表5</w:t>
      </w:r>
      <w:r>
        <w:rPr>
          <w:rFonts w:hint="eastAsia" w:cs="Times New Roman"/>
          <w:b/>
          <w:bCs/>
          <w:color w:val="auto"/>
          <w:kern w:val="0"/>
          <w:szCs w:val="24"/>
          <w:highlight w:val="none"/>
          <w:lang w:val="en-US" w:eastAsia="zh-CN" w:bidi="ar"/>
        </w:rPr>
        <w:t>.</w:t>
      </w:r>
      <w:r>
        <w:rPr>
          <w:rFonts w:cs="Times New Roman"/>
          <w:b/>
          <w:bCs/>
          <w:color w:val="auto"/>
          <w:kern w:val="0"/>
          <w:szCs w:val="24"/>
          <w:highlight w:val="none"/>
          <w:lang w:bidi="ar"/>
        </w:rPr>
        <w:t>2-</w:t>
      </w:r>
      <w:r>
        <w:rPr>
          <w:rFonts w:hint="eastAsia" w:cs="Times New Roman"/>
          <w:b/>
          <w:bCs/>
          <w:color w:val="auto"/>
          <w:kern w:val="0"/>
          <w:szCs w:val="24"/>
          <w:highlight w:val="none"/>
          <w:lang w:val="en-US" w:eastAsia="zh-CN" w:bidi="ar"/>
        </w:rPr>
        <w:t>9</w:t>
      </w:r>
      <w:r>
        <w:rPr>
          <w:rFonts w:cs="Times New Roman"/>
          <w:b/>
          <w:bCs/>
          <w:color w:val="auto"/>
          <w:kern w:val="0"/>
          <w:szCs w:val="24"/>
          <w:highlight w:val="none"/>
          <w:lang w:bidi="ar"/>
        </w:rPr>
        <w:t xml:space="preserve">  </w:t>
      </w:r>
      <w:r>
        <w:rPr>
          <w:rFonts w:hint="eastAsia" w:cs="Times New Roman"/>
          <w:b/>
          <w:bCs/>
          <w:color w:val="auto"/>
          <w:kern w:val="0"/>
          <w:szCs w:val="24"/>
          <w:highlight w:val="none"/>
          <w:lang w:val="en-US" w:eastAsia="zh-CN" w:bidi="ar"/>
        </w:rPr>
        <w:t>厂界</w:t>
      </w:r>
      <w:r>
        <w:rPr>
          <w:rFonts w:cs="Times New Roman"/>
          <w:b/>
          <w:bCs/>
          <w:color w:val="auto"/>
          <w:kern w:val="0"/>
          <w:szCs w:val="24"/>
          <w:highlight w:val="none"/>
          <w:lang w:bidi="ar"/>
        </w:rPr>
        <w:t>噪声环境影响预测结果   单位：dB（A）</w:t>
      </w:r>
    </w:p>
    <w:tbl>
      <w:tblPr>
        <w:tblStyle w:val="47"/>
        <w:tblW w:w="4998"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1347"/>
        <w:gridCol w:w="1076"/>
        <w:gridCol w:w="1228"/>
        <w:gridCol w:w="1272"/>
        <w:gridCol w:w="1516"/>
        <w:gridCol w:w="2086"/>
      </w:tblGrid>
      <w:tr w14:paraId="178165A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90" w:type="pct"/>
            <w:tcBorders>
              <w:tl2br w:val="nil"/>
              <w:tr2bl w:val="nil"/>
            </w:tcBorders>
            <w:noWrap w:val="0"/>
            <w:vAlign w:val="center"/>
          </w:tcPr>
          <w:p w14:paraId="2D47B909">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预测点</w:t>
            </w:r>
          </w:p>
        </w:tc>
        <w:tc>
          <w:tcPr>
            <w:tcW w:w="631" w:type="pct"/>
            <w:tcBorders>
              <w:tl2br w:val="nil"/>
              <w:tr2bl w:val="nil"/>
            </w:tcBorders>
            <w:noWrap w:val="0"/>
            <w:vAlign w:val="center"/>
          </w:tcPr>
          <w:p w14:paraId="23C136B7">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贡献值</w:t>
            </w:r>
          </w:p>
        </w:tc>
        <w:tc>
          <w:tcPr>
            <w:tcW w:w="720" w:type="pct"/>
            <w:tcBorders>
              <w:tl2br w:val="nil"/>
              <w:tr2bl w:val="nil"/>
            </w:tcBorders>
            <w:noWrap w:val="0"/>
            <w:vAlign w:val="center"/>
          </w:tcPr>
          <w:p w14:paraId="196D2C64">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背景值</w:t>
            </w:r>
          </w:p>
        </w:tc>
        <w:tc>
          <w:tcPr>
            <w:tcW w:w="746" w:type="pct"/>
            <w:tcBorders>
              <w:tl2br w:val="nil"/>
              <w:tr2bl w:val="nil"/>
            </w:tcBorders>
            <w:noWrap w:val="0"/>
            <w:vAlign w:val="center"/>
          </w:tcPr>
          <w:p w14:paraId="20610A76">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预测值</w:t>
            </w:r>
          </w:p>
        </w:tc>
        <w:tc>
          <w:tcPr>
            <w:tcW w:w="889" w:type="pct"/>
            <w:tcBorders>
              <w:tl2br w:val="nil"/>
              <w:tr2bl w:val="nil"/>
            </w:tcBorders>
            <w:noWrap w:val="0"/>
            <w:vAlign w:val="center"/>
          </w:tcPr>
          <w:p w14:paraId="14EBF8DE">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s="Times New Roman"/>
                <w:color w:val="auto"/>
                <w:sz w:val="21"/>
                <w:szCs w:val="21"/>
                <w:highlight w:val="none"/>
              </w:rPr>
              <w:t>相对厂界距离/m</w:t>
            </w:r>
          </w:p>
        </w:tc>
        <w:tc>
          <w:tcPr>
            <w:tcW w:w="1223" w:type="pct"/>
            <w:tcBorders>
              <w:tl2br w:val="nil"/>
              <w:tr2bl w:val="nil"/>
            </w:tcBorders>
            <w:noWrap w:val="0"/>
            <w:vAlign w:val="center"/>
          </w:tcPr>
          <w:p w14:paraId="04249C56">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标准（昼间）</w:t>
            </w:r>
          </w:p>
        </w:tc>
      </w:tr>
      <w:tr w14:paraId="1FF08C9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90" w:type="pct"/>
            <w:tcBorders>
              <w:tl2br w:val="nil"/>
              <w:tr2bl w:val="nil"/>
            </w:tcBorders>
            <w:noWrap w:val="0"/>
            <w:vAlign w:val="center"/>
          </w:tcPr>
          <w:p w14:paraId="232F3E71">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东</w:t>
            </w:r>
            <w:r>
              <w:rPr>
                <w:rFonts w:hint="eastAsia" w:ascii="Times New Roman" w:hAnsi="Times New Roman" w:eastAsia="宋体" w:cs="Times New Roman"/>
                <w:color w:val="auto"/>
                <w:sz w:val="21"/>
                <w:szCs w:val="21"/>
                <w:highlight w:val="none"/>
                <w:lang w:val="en-US" w:eastAsia="zh-CN"/>
              </w:rPr>
              <w:t>侧</w:t>
            </w:r>
            <w:r>
              <w:rPr>
                <w:rFonts w:hint="default" w:ascii="Times New Roman" w:hAnsi="Times New Roman" w:eastAsia="宋体" w:cs="Times New Roman"/>
                <w:color w:val="auto"/>
                <w:sz w:val="21"/>
                <w:szCs w:val="21"/>
                <w:highlight w:val="none"/>
              </w:rPr>
              <w:t>厂界</w:t>
            </w:r>
          </w:p>
        </w:tc>
        <w:tc>
          <w:tcPr>
            <w:tcW w:w="631" w:type="pct"/>
            <w:tcBorders>
              <w:tl2br w:val="nil"/>
              <w:tr2bl w:val="nil"/>
            </w:tcBorders>
            <w:noWrap w:val="0"/>
            <w:vAlign w:val="center"/>
          </w:tcPr>
          <w:p w14:paraId="7B66AA58">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25.6</w:t>
            </w:r>
          </w:p>
        </w:tc>
        <w:tc>
          <w:tcPr>
            <w:tcW w:w="720" w:type="pct"/>
            <w:tcBorders>
              <w:tl2br w:val="nil"/>
              <w:tr2bl w:val="nil"/>
            </w:tcBorders>
            <w:noWrap w:val="0"/>
            <w:vAlign w:val="center"/>
          </w:tcPr>
          <w:p w14:paraId="2CFD742B">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746" w:type="pct"/>
            <w:tcBorders>
              <w:tl2br w:val="nil"/>
              <w:tr2bl w:val="nil"/>
            </w:tcBorders>
            <w:noWrap w:val="0"/>
            <w:vAlign w:val="center"/>
          </w:tcPr>
          <w:p w14:paraId="26416E1C">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889" w:type="pct"/>
            <w:tcBorders>
              <w:tl2br w:val="nil"/>
              <w:tr2bl w:val="nil"/>
            </w:tcBorders>
            <w:noWrap w:val="0"/>
            <w:vAlign w:val="center"/>
          </w:tcPr>
          <w:p w14:paraId="55B09351">
            <w:pPr>
              <w:spacing w:line="30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1223" w:type="pct"/>
            <w:vMerge w:val="restart"/>
            <w:tcBorders>
              <w:tl2br w:val="nil"/>
              <w:tr2bl w:val="nil"/>
            </w:tcBorders>
            <w:noWrap w:val="0"/>
            <w:vAlign w:val="center"/>
          </w:tcPr>
          <w:p w14:paraId="0F1B4643">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60</w:t>
            </w:r>
          </w:p>
        </w:tc>
      </w:tr>
      <w:tr w14:paraId="2340609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90" w:type="pct"/>
            <w:tcBorders>
              <w:tl2br w:val="nil"/>
              <w:tr2bl w:val="nil"/>
            </w:tcBorders>
            <w:noWrap w:val="0"/>
            <w:vAlign w:val="center"/>
          </w:tcPr>
          <w:p w14:paraId="304A30CF">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南</w:t>
            </w:r>
            <w:r>
              <w:rPr>
                <w:rFonts w:hint="eastAsia" w:ascii="Times New Roman" w:hAnsi="Times New Roman" w:eastAsia="宋体" w:cs="Times New Roman"/>
                <w:color w:val="auto"/>
                <w:sz w:val="21"/>
                <w:szCs w:val="21"/>
                <w:highlight w:val="none"/>
                <w:lang w:val="en-US" w:eastAsia="zh-CN"/>
              </w:rPr>
              <w:t>侧</w:t>
            </w:r>
            <w:r>
              <w:rPr>
                <w:rFonts w:hint="default" w:ascii="Times New Roman" w:hAnsi="Times New Roman" w:eastAsia="宋体" w:cs="Times New Roman"/>
                <w:color w:val="auto"/>
                <w:sz w:val="21"/>
                <w:szCs w:val="21"/>
                <w:highlight w:val="none"/>
              </w:rPr>
              <w:t>厂界</w:t>
            </w:r>
          </w:p>
        </w:tc>
        <w:tc>
          <w:tcPr>
            <w:tcW w:w="631" w:type="pct"/>
            <w:tcBorders>
              <w:tl2br w:val="nil"/>
              <w:tr2bl w:val="nil"/>
            </w:tcBorders>
            <w:noWrap w:val="0"/>
            <w:vAlign w:val="center"/>
          </w:tcPr>
          <w:p w14:paraId="6209886C">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49.3</w:t>
            </w:r>
          </w:p>
        </w:tc>
        <w:tc>
          <w:tcPr>
            <w:tcW w:w="720" w:type="pct"/>
            <w:tcBorders>
              <w:tl2br w:val="nil"/>
              <w:tr2bl w:val="nil"/>
            </w:tcBorders>
            <w:noWrap w:val="0"/>
            <w:vAlign w:val="center"/>
          </w:tcPr>
          <w:p w14:paraId="74ED6735">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746" w:type="pct"/>
            <w:tcBorders>
              <w:tl2br w:val="nil"/>
              <w:tr2bl w:val="nil"/>
            </w:tcBorders>
            <w:noWrap w:val="0"/>
            <w:vAlign w:val="center"/>
          </w:tcPr>
          <w:p w14:paraId="63FEF558">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889" w:type="pct"/>
            <w:tcBorders>
              <w:tl2br w:val="nil"/>
              <w:tr2bl w:val="nil"/>
            </w:tcBorders>
            <w:noWrap w:val="0"/>
            <w:vAlign w:val="center"/>
          </w:tcPr>
          <w:p w14:paraId="389268F6">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1223" w:type="pct"/>
            <w:vMerge w:val="continue"/>
            <w:tcBorders>
              <w:tl2br w:val="nil"/>
              <w:tr2bl w:val="nil"/>
            </w:tcBorders>
            <w:noWrap w:val="0"/>
            <w:vAlign w:val="center"/>
          </w:tcPr>
          <w:p w14:paraId="08A94ED3">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p>
        </w:tc>
      </w:tr>
      <w:tr w14:paraId="019D98B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90" w:type="pct"/>
            <w:tcBorders>
              <w:tl2br w:val="nil"/>
              <w:tr2bl w:val="nil"/>
            </w:tcBorders>
            <w:noWrap w:val="0"/>
            <w:vAlign w:val="center"/>
          </w:tcPr>
          <w:p w14:paraId="7F443267">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西</w:t>
            </w:r>
            <w:r>
              <w:rPr>
                <w:rFonts w:hint="eastAsia" w:ascii="Times New Roman" w:hAnsi="Times New Roman" w:eastAsia="宋体" w:cs="Times New Roman"/>
                <w:color w:val="auto"/>
                <w:sz w:val="21"/>
                <w:szCs w:val="21"/>
                <w:highlight w:val="none"/>
                <w:lang w:val="en-US" w:eastAsia="zh-CN"/>
              </w:rPr>
              <w:t>侧</w:t>
            </w:r>
            <w:r>
              <w:rPr>
                <w:rFonts w:hint="default" w:ascii="Times New Roman" w:hAnsi="Times New Roman" w:eastAsia="宋体" w:cs="Times New Roman"/>
                <w:color w:val="auto"/>
                <w:sz w:val="21"/>
                <w:szCs w:val="21"/>
                <w:highlight w:val="none"/>
              </w:rPr>
              <w:t>厂界</w:t>
            </w:r>
          </w:p>
        </w:tc>
        <w:tc>
          <w:tcPr>
            <w:tcW w:w="631" w:type="pct"/>
            <w:tcBorders>
              <w:tl2br w:val="nil"/>
              <w:tr2bl w:val="nil"/>
            </w:tcBorders>
            <w:noWrap w:val="0"/>
            <w:vAlign w:val="center"/>
          </w:tcPr>
          <w:p w14:paraId="450BD0F1">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41.2</w:t>
            </w:r>
          </w:p>
        </w:tc>
        <w:tc>
          <w:tcPr>
            <w:tcW w:w="720" w:type="pct"/>
            <w:tcBorders>
              <w:tl2br w:val="nil"/>
              <w:tr2bl w:val="nil"/>
            </w:tcBorders>
            <w:noWrap w:val="0"/>
            <w:vAlign w:val="center"/>
          </w:tcPr>
          <w:p w14:paraId="1BE0BB21">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746" w:type="pct"/>
            <w:tcBorders>
              <w:tl2br w:val="nil"/>
              <w:tr2bl w:val="nil"/>
            </w:tcBorders>
            <w:noWrap w:val="0"/>
            <w:vAlign w:val="center"/>
          </w:tcPr>
          <w:p w14:paraId="7B64DD06">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889" w:type="pct"/>
            <w:tcBorders>
              <w:tl2br w:val="nil"/>
              <w:tr2bl w:val="nil"/>
            </w:tcBorders>
            <w:noWrap w:val="0"/>
            <w:vAlign w:val="center"/>
          </w:tcPr>
          <w:p w14:paraId="7F926DFC">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w:t>
            </w:r>
          </w:p>
        </w:tc>
        <w:tc>
          <w:tcPr>
            <w:tcW w:w="1223" w:type="pct"/>
            <w:vMerge w:val="continue"/>
            <w:tcBorders>
              <w:tl2br w:val="nil"/>
              <w:tr2bl w:val="nil"/>
            </w:tcBorders>
            <w:noWrap w:val="0"/>
            <w:vAlign w:val="center"/>
          </w:tcPr>
          <w:p w14:paraId="099BE84B">
            <w:pPr>
              <w:spacing w:line="300" w:lineRule="atLeast"/>
              <w:ind w:firstLine="0" w:firstLineChars="0"/>
              <w:jc w:val="center"/>
              <w:rPr>
                <w:rFonts w:hint="default" w:ascii="Times New Roman" w:hAnsi="Times New Roman" w:eastAsia="宋体" w:cs="Times New Roman"/>
                <w:color w:val="auto"/>
                <w:sz w:val="21"/>
                <w:szCs w:val="21"/>
                <w:highlight w:val="none"/>
              </w:rPr>
            </w:pPr>
          </w:p>
        </w:tc>
      </w:tr>
      <w:tr w14:paraId="3F964751">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90" w:type="pct"/>
            <w:tcBorders>
              <w:tl2br w:val="nil"/>
              <w:tr2bl w:val="nil"/>
            </w:tcBorders>
            <w:noWrap w:val="0"/>
            <w:vAlign w:val="center"/>
          </w:tcPr>
          <w:p w14:paraId="45241233">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北</w:t>
            </w:r>
            <w:r>
              <w:rPr>
                <w:rFonts w:hint="eastAsia" w:ascii="Times New Roman" w:hAnsi="Times New Roman" w:eastAsia="宋体" w:cs="Times New Roman"/>
                <w:color w:val="auto"/>
                <w:sz w:val="21"/>
                <w:szCs w:val="21"/>
                <w:highlight w:val="none"/>
                <w:lang w:val="en-US" w:eastAsia="zh-CN"/>
              </w:rPr>
              <w:t>侧</w:t>
            </w:r>
            <w:r>
              <w:rPr>
                <w:rFonts w:hint="default" w:ascii="Times New Roman" w:hAnsi="Times New Roman" w:eastAsia="宋体" w:cs="Times New Roman"/>
                <w:color w:val="auto"/>
                <w:sz w:val="21"/>
                <w:szCs w:val="21"/>
                <w:highlight w:val="none"/>
              </w:rPr>
              <w:t>厂界</w:t>
            </w:r>
          </w:p>
        </w:tc>
        <w:tc>
          <w:tcPr>
            <w:tcW w:w="631" w:type="pct"/>
            <w:tcBorders>
              <w:tl2br w:val="nil"/>
              <w:tr2bl w:val="nil"/>
            </w:tcBorders>
            <w:noWrap w:val="0"/>
            <w:vAlign w:val="center"/>
          </w:tcPr>
          <w:p w14:paraId="41B70210">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10.6</w:t>
            </w:r>
          </w:p>
        </w:tc>
        <w:tc>
          <w:tcPr>
            <w:tcW w:w="720" w:type="pct"/>
            <w:tcBorders>
              <w:tl2br w:val="nil"/>
              <w:tr2bl w:val="nil"/>
            </w:tcBorders>
            <w:noWrap w:val="0"/>
            <w:vAlign w:val="center"/>
          </w:tcPr>
          <w:p w14:paraId="6F0EDD8A">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746" w:type="pct"/>
            <w:tcBorders>
              <w:bottom w:val="single" w:color="auto" w:sz="4" w:space="0"/>
              <w:tl2br w:val="nil"/>
              <w:tr2bl w:val="nil"/>
            </w:tcBorders>
            <w:noWrap w:val="0"/>
            <w:vAlign w:val="center"/>
          </w:tcPr>
          <w:p w14:paraId="511F7A86">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889" w:type="pct"/>
            <w:tcBorders>
              <w:bottom w:val="single" w:color="auto" w:sz="4" w:space="0"/>
              <w:tl2br w:val="nil"/>
              <w:tr2bl w:val="nil"/>
            </w:tcBorders>
            <w:noWrap w:val="0"/>
            <w:vAlign w:val="center"/>
          </w:tcPr>
          <w:p w14:paraId="6DDF3290">
            <w:pPr>
              <w:spacing w:line="300" w:lineRule="atLeast"/>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w:t>
            </w:r>
          </w:p>
        </w:tc>
        <w:tc>
          <w:tcPr>
            <w:tcW w:w="1223" w:type="pct"/>
            <w:vMerge w:val="continue"/>
            <w:tcBorders>
              <w:bottom w:val="single" w:color="auto" w:sz="4" w:space="0"/>
              <w:tl2br w:val="nil"/>
              <w:tr2bl w:val="nil"/>
            </w:tcBorders>
            <w:noWrap w:val="0"/>
            <w:vAlign w:val="center"/>
          </w:tcPr>
          <w:p w14:paraId="036B05BD">
            <w:pPr>
              <w:spacing w:line="300" w:lineRule="atLeast"/>
              <w:ind w:firstLine="0" w:firstLineChars="0"/>
              <w:jc w:val="center"/>
              <w:rPr>
                <w:rFonts w:hint="default" w:ascii="Times New Roman" w:hAnsi="Times New Roman" w:eastAsia="宋体" w:cs="Times New Roman"/>
                <w:color w:val="auto"/>
                <w:sz w:val="21"/>
                <w:szCs w:val="21"/>
                <w:highlight w:val="none"/>
              </w:rPr>
            </w:pPr>
          </w:p>
        </w:tc>
      </w:tr>
      <w:tr w14:paraId="45623AF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790" w:type="pct"/>
            <w:tcBorders>
              <w:tl2br w:val="nil"/>
              <w:tr2bl w:val="nil"/>
            </w:tcBorders>
            <w:noWrap w:val="0"/>
            <w:vAlign w:val="center"/>
          </w:tcPr>
          <w:p w14:paraId="0CA76610">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西侧居民区</w:t>
            </w:r>
          </w:p>
        </w:tc>
        <w:tc>
          <w:tcPr>
            <w:tcW w:w="631" w:type="pct"/>
            <w:tcBorders>
              <w:tl2br w:val="nil"/>
              <w:tr2bl w:val="nil"/>
            </w:tcBorders>
            <w:noWrap w:val="0"/>
            <w:vAlign w:val="center"/>
          </w:tcPr>
          <w:p w14:paraId="7FAB7F46">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24.1</w:t>
            </w:r>
          </w:p>
        </w:tc>
        <w:tc>
          <w:tcPr>
            <w:tcW w:w="720" w:type="pct"/>
            <w:tcBorders>
              <w:tl2br w:val="nil"/>
              <w:tr2bl w:val="nil"/>
            </w:tcBorders>
            <w:noWrap w:val="0"/>
            <w:vAlign w:val="center"/>
          </w:tcPr>
          <w:p w14:paraId="3566CA74">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w:t>
            </w:r>
            <w:r>
              <w:rPr>
                <w:rFonts w:hint="eastAsia" w:cs="Times New Roman"/>
                <w:color w:val="auto"/>
                <w:sz w:val="21"/>
                <w:szCs w:val="21"/>
                <w:highlight w:val="none"/>
                <w:lang w:val="en-US" w:eastAsia="zh-CN"/>
              </w:rPr>
              <w:t>2</w:t>
            </w:r>
          </w:p>
        </w:tc>
        <w:tc>
          <w:tcPr>
            <w:tcW w:w="746" w:type="pct"/>
            <w:tcBorders>
              <w:top w:val="single" w:color="auto" w:sz="4" w:space="0"/>
              <w:tl2br w:val="nil"/>
              <w:tr2bl w:val="nil"/>
            </w:tcBorders>
            <w:noWrap w:val="0"/>
            <w:vAlign w:val="center"/>
          </w:tcPr>
          <w:p w14:paraId="1582622F">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53</w:t>
            </w:r>
          </w:p>
        </w:tc>
        <w:tc>
          <w:tcPr>
            <w:tcW w:w="889" w:type="pct"/>
            <w:tcBorders>
              <w:top w:val="single" w:color="auto" w:sz="4" w:space="0"/>
              <w:tl2br w:val="nil"/>
              <w:tr2bl w:val="nil"/>
            </w:tcBorders>
            <w:noWrap w:val="0"/>
            <w:vAlign w:val="center"/>
          </w:tcPr>
          <w:p w14:paraId="683CD839">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100</w:t>
            </w:r>
          </w:p>
        </w:tc>
        <w:tc>
          <w:tcPr>
            <w:tcW w:w="1223" w:type="pct"/>
            <w:tcBorders>
              <w:top w:val="single" w:color="auto" w:sz="4" w:space="0"/>
              <w:tl2br w:val="nil"/>
              <w:tr2bl w:val="nil"/>
            </w:tcBorders>
            <w:noWrap w:val="0"/>
            <w:vAlign w:val="center"/>
          </w:tcPr>
          <w:p w14:paraId="14977E0B">
            <w:pPr>
              <w:spacing w:line="30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55</w:t>
            </w:r>
          </w:p>
        </w:tc>
      </w:tr>
    </w:tbl>
    <w:p w14:paraId="5DD93429">
      <w:pPr>
        <w:spacing w:line="500" w:lineRule="exact"/>
        <w:rPr>
          <w:rFonts w:hint="default" w:cs="Times New Roman"/>
          <w:b/>
          <w:bCs/>
          <w:color w:val="auto"/>
          <w:sz w:val="21"/>
          <w:szCs w:val="21"/>
          <w:highlight w:val="none"/>
          <w:lang w:val="en-US"/>
        </w:rPr>
      </w:pPr>
      <w:r>
        <w:rPr>
          <w:rFonts w:cs="Times New Roman"/>
          <w:color w:val="auto"/>
          <w:szCs w:val="24"/>
          <w:highlight w:val="none"/>
        </w:rPr>
        <w:t>由上表可知，本项目运营后，经选用低噪声设备、利用厂房进行隔声、安装减振垫、加强管理和优化平面布置等措施后，项目各厂界噪声均能够达到《工业企业厂界环境噪声排放标准》（GB12348-2008）中</w:t>
      </w:r>
      <w:r>
        <w:rPr>
          <w:rFonts w:hint="eastAsia" w:cs="Times New Roman"/>
          <w:color w:val="auto"/>
          <w:szCs w:val="24"/>
          <w:highlight w:val="none"/>
          <w:lang w:val="en-US" w:eastAsia="zh-CN"/>
        </w:rPr>
        <w:t>2</w:t>
      </w:r>
      <w:r>
        <w:rPr>
          <w:rFonts w:cs="Times New Roman"/>
          <w:color w:val="auto"/>
          <w:szCs w:val="24"/>
          <w:highlight w:val="none"/>
        </w:rPr>
        <w:t>类区标准，实现厂界达标，对周边的影响很小</w:t>
      </w:r>
      <w:r>
        <w:rPr>
          <w:rFonts w:hint="eastAsia" w:cs="Times New Roman"/>
          <w:color w:val="auto"/>
          <w:szCs w:val="24"/>
          <w:highlight w:val="none"/>
          <w:lang w:eastAsia="zh-CN"/>
        </w:rPr>
        <w:t>。</w:t>
      </w:r>
      <w:r>
        <w:rPr>
          <w:rFonts w:hint="eastAsia" w:cs="Times New Roman"/>
          <w:color w:val="auto"/>
          <w:szCs w:val="24"/>
          <w:highlight w:val="none"/>
          <w:lang w:val="en-US" w:eastAsia="zh-CN"/>
        </w:rPr>
        <w:t>厂区西侧敏感点距离本项目100m，经预测其噪声值能达到《声环境质量标准》（GB3096-2008）中2类标准，项目可行。</w:t>
      </w:r>
    </w:p>
    <w:p w14:paraId="29E3D5A2">
      <w:pPr>
        <w:keepNext/>
        <w:keepLines/>
        <w:adjustRightInd/>
        <w:snapToGrid/>
        <w:spacing w:line="500" w:lineRule="exact"/>
        <w:ind w:firstLine="0" w:firstLineChars="0"/>
        <w:jc w:val="left"/>
        <w:outlineLvl w:val="2"/>
        <w:rPr>
          <w:rFonts w:eastAsia="黑体" w:cs="Times New Roman"/>
          <w:bCs/>
          <w:snapToGrid w:val="0"/>
          <w:color w:val="auto"/>
          <w:kern w:val="0"/>
          <w:szCs w:val="32"/>
          <w:highlight w:val="none"/>
        </w:rPr>
      </w:pPr>
      <w:bookmarkStart w:id="305" w:name="_Toc29634"/>
      <w:r>
        <w:rPr>
          <w:rFonts w:eastAsia="黑体" w:cs="Times New Roman"/>
          <w:bCs/>
          <w:snapToGrid w:val="0"/>
          <w:color w:val="auto"/>
          <w:kern w:val="0"/>
          <w:szCs w:val="32"/>
          <w:highlight w:val="none"/>
        </w:rPr>
        <w:t>5.2.5固体废物环境影响评价</w:t>
      </w:r>
      <w:bookmarkEnd w:id="305"/>
    </w:p>
    <w:p w14:paraId="060A15E9">
      <w:pPr>
        <w:pStyle w:val="117"/>
        <w:rPr>
          <w:rFonts w:cs="Times New Roman"/>
          <w:b/>
          <w:bCs/>
          <w:color w:val="auto"/>
          <w:kern w:val="0"/>
          <w:szCs w:val="24"/>
          <w:highlight w:val="none"/>
          <w:lang w:bidi="ar"/>
        </w:rPr>
      </w:pPr>
      <w:r>
        <w:rPr>
          <w:rFonts w:cs="Times New Roman"/>
          <w:snapToGrid w:val="0"/>
          <w:color w:val="auto"/>
          <w:kern w:val="0"/>
          <w:szCs w:val="24"/>
          <w:highlight w:val="none"/>
        </w:rPr>
        <w:t>本项目运营期产生的固体废物为一般固体废物及危险废物，一般固体废物主要包括检疫不合格品、病死牛羊、粪便、边角料、胃容物及肠内物、</w:t>
      </w:r>
      <w:r>
        <w:rPr>
          <w:rFonts w:hint="eastAsia" w:cs="Times New Roman"/>
          <w:snapToGrid w:val="0"/>
          <w:color w:val="auto"/>
          <w:kern w:val="0"/>
          <w:szCs w:val="24"/>
          <w:highlight w:val="none"/>
          <w:lang w:val="en-US" w:eastAsia="zh-CN"/>
        </w:rPr>
        <w:t>隔油池废油脂、</w:t>
      </w:r>
      <w:r>
        <w:rPr>
          <w:rFonts w:cs="Times New Roman"/>
          <w:snapToGrid w:val="0"/>
          <w:color w:val="auto"/>
          <w:kern w:val="0"/>
          <w:szCs w:val="24"/>
          <w:highlight w:val="none"/>
        </w:rPr>
        <w:t>污泥（含栅渣）、废包装以及生活垃圾；</w:t>
      </w:r>
      <w:r>
        <w:rPr>
          <w:rFonts w:hint="eastAsia" w:cs="Times New Roman"/>
          <w:snapToGrid w:val="0"/>
          <w:color w:val="auto"/>
          <w:kern w:val="0"/>
          <w:szCs w:val="24"/>
          <w:highlight w:val="none"/>
          <w:lang w:eastAsia="zh-CN"/>
        </w:rPr>
        <w:t>危险废物主要为检疫废物</w:t>
      </w:r>
      <w:r>
        <w:rPr>
          <w:rFonts w:cs="Times New Roman"/>
          <w:snapToGrid w:val="0"/>
          <w:color w:val="auto"/>
          <w:kern w:val="0"/>
          <w:szCs w:val="24"/>
          <w:highlight w:val="none"/>
        </w:rPr>
        <w:t>、废活性炭</w:t>
      </w:r>
      <w:r>
        <w:rPr>
          <w:rFonts w:hint="eastAsia" w:cs="Times New Roman"/>
          <w:snapToGrid w:val="0"/>
          <w:color w:val="auto"/>
          <w:kern w:val="0"/>
          <w:szCs w:val="24"/>
          <w:highlight w:val="none"/>
          <w:lang w:eastAsia="zh-CN"/>
        </w:rPr>
        <w:t>、废润滑油及含油抹布、</w:t>
      </w:r>
      <w:r>
        <w:rPr>
          <w:rFonts w:hint="eastAsia" w:cs="Times New Roman"/>
          <w:snapToGrid w:val="0"/>
          <w:color w:val="auto"/>
          <w:kern w:val="0"/>
          <w:szCs w:val="24"/>
          <w:highlight w:val="none"/>
          <w:lang w:val="en-US" w:eastAsia="zh-CN"/>
        </w:rPr>
        <w:t>在线监测废液、</w:t>
      </w:r>
      <w:r>
        <w:rPr>
          <w:rFonts w:hint="eastAsia" w:cs="Times New Roman"/>
          <w:snapToGrid w:val="0"/>
          <w:color w:val="auto"/>
          <w:kern w:val="0"/>
          <w:szCs w:val="24"/>
          <w:highlight w:val="none"/>
          <w:lang w:eastAsia="zh-CN"/>
        </w:rPr>
        <w:t>劳保手套</w:t>
      </w:r>
      <w:r>
        <w:rPr>
          <w:rFonts w:cs="Times New Roman"/>
          <w:snapToGrid w:val="0"/>
          <w:color w:val="auto"/>
          <w:kern w:val="0"/>
          <w:szCs w:val="24"/>
          <w:highlight w:val="none"/>
        </w:rPr>
        <w:t>。</w:t>
      </w:r>
      <w:bookmarkStart w:id="306" w:name="_Hlk15372908"/>
    </w:p>
    <w:p w14:paraId="32CC68E4">
      <w:pPr>
        <w:widowControl/>
        <w:spacing w:before="163" w:beforeLines="50" w:line="240" w:lineRule="auto"/>
        <w:ind w:firstLine="0" w:firstLineChars="0"/>
        <w:jc w:val="center"/>
        <w:rPr>
          <w:rFonts w:cs="Times New Roman"/>
          <w:b/>
          <w:bCs/>
          <w:color w:val="auto"/>
          <w:kern w:val="0"/>
          <w:szCs w:val="24"/>
          <w:highlight w:val="none"/>
          <w:lang w:bidi="ar"/>
        </w:rPr>
      </w:pPr>
      <w:r>
        <w:rPr>
          <w:rFonts w:cs="Times New Roman"/>
          <w:b/>
          <w:bCs/>
          <w:color w:val="auto"/>
          <w:kern w:val="0"/>
          <w:szCs w:val="24"/>
          <w:highlight w:val="none"/>
          <w:lang w:bidi="ar"/>
        </w:rPr>
        <w:t>表5</w:t>
      </w:r>
      <w:r>
        <w:rPr>
          <w:rFonts w:hint="eastAsia" w:cs="Times New Roman"/>
          <w:b/>
          <w:bCs/>
          <w:color w:val="auto"/>
          <w:kern w:val="0"/>
          <w:szCs w:val="24"/>
          <w:highlight w:val="none"/>
          <w:lang w:val="en-US" w:eastAsia="zh-CN" w:bidi="ar"/>
        </w:rPr>
        <w:t>.</w:t>
      </w:r>
      <w:r>
        <w:rPr>
          <w:rFonts w:cs="Times New Roman"/>
          <w:b/>
          <w:bCs/>
          <w:color w:val="auto"/>
          <w:kern w:val="0"/>
          <w:szCs w:val="24"/>
          <w:highlight w:val="none"/>
          <w:lang w:bidi="ar"/>
        </w:rPr>
        <w:t>2-</w:t>
      </w:r>
      <w:r>
        <w:rPr>
          <w:rFonts w:hint="eastAsia" w:cs="Times New Roman"/>
          <w:b/>
          <w:bCs/>
          <w:color w:val="auto"/>
          <w:kern w:val="0"/>
          <w:szCs w:val="24"/>
          <w:highlight w:val="none"/>
          <w:lang w:val="en-US" w:eastAsia="zh-CN" w:bidi="ar"/>
        </w:rPr>
        <w:t>10</w:t>
      </w:r>
      <w:r>
        <w:rPr>
          <w:rFonts w:cs="Times New Roman"/>
          <w:b/>
          <w:bCs/>
          <w:color w:val="auto"/>
          <w:kern w:val="0"/>
          <w:szCs w:val="24"/>
          <w:highlight w:val="none"/>
          <w:lang w:bidi="ar"/>
        </w:rPr>
        <w:t xml:space="preserve">  固体废物产生量汇总   单位t/a</w:t>
      </w:r>
    </w:p>
    <w:tbl>
      <w:tblPr>
        <w:tblStyle w:val="47"/>
        <w:tblW w:w="5099" w:type="pct"/>
        <w:jc w:val="center"/>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597"/>
        <w:gridCol w:w="1932"/>
        <w:gridCol w:w="1295"/>
        <w:gridCol w:w="1408"/>
        <w:gridCol w:w="940"/>
        <w:gridCol w:w="2525"/>
      </w:tblGrid>
      <w:tr w14:paraId="735DF8F7">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61" w:hRule="atLeast"/>
          <w:jc w:val="center"/>
        </w:trPr>
        <w:tc>
          <w:tcPr>
            <w:tcW w:w="343" w:type="pct"/>
            <w:tcBorders>
              <w:tl2br w:val="nil"/>
              <w:tr2bl w:val="nil"/>
            </w:tcBorders>
            <w:vAlign w:val="center"/>
          </w:tcPr>
          <w:p w14:paraId="57236F3E">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1110" w:type="pct"/>
            <w:tcBorders>
              <w:tl2br w:val="nil"/>
              <w:tr2bl w:val="nil"/>
            </w:tcBorders>
            <w:vAlign w:val="center"/>
          </w:tcPr>
          <w:p w14:paraId="0A1696FB">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固体废物名称</w:t>
            </w:r>
          </w:p>
        </w:tc>
        <w:tc>
          <w:tcPr>
            <w:tcW w:w="744" w:type="pct"/>
            <w:tcBorders>
              <w:tl2br w:val="nil"/>
              <w:tr2bl w:val="nil"/>
            </w:tcBorders>
            <w:vAlign w:val="center"/>
          </w:tcPr>
          <w:p w14:paraId="16EC2677">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产生环节</w:t>
            </w:r>
          </w:p>
        </w:tc>
        <w:tc>
          <w:tcPr>
            <w:tcW w:w="809" w:type="pct"/>
            <w:tcBorders>
              <w:tl2br w:val="nil"/>
              <w:tr2bl w:val="nil"/>
            </w:tcBorders>
            <w:vAlign w:val="center"/>
          </w:tcPr>
          <w:p w14:paraId="05369A0F">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固废属性</w:t>
            </w:r>
          </w:p>
        </w:tc>
        <w:tc>
          <w:tcPr>
            <w:tcW w:w="540" w:type="pct"/>
            <w:tcBorders>
              <w:tl2br w:val="nil"/>
              <w:tr2bl w:val="nil"/>
            </w:tcBorders>
            <w:vAlign w:val="center"/>
          </w:tcPr>
          <w:p w14:paraId="5349873D">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产生量（t/a）</w:t>
            </w:r>
          </w:p>
        </w:tc>
        <w:tc>
          <w:tcPr>
            <w:tcW w:w="1451" w:type="pct"/>
            <w:tcBorders>
              <w:tl2br w:val="nil"/>
              <w:tr2bl w:val="nil"/>
            </w:tcBorders>
            <w:vAlign w:val="center"/>
          </w:tcPr>
          <w:p w14:paraId="5CE49C4B">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最终去向</w:t>
            </w:r>
          </w:p>
        </w:tc>
      </w:tr>
      <w:tr w14:paraId="138D26E4">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17" w:hRule="atLeast"/>
          <w:jc w:val="center"/>
        </w:trPr>
        <w:tc>
          <w:tcPr>
            <w:tcW w:w="343" w:type="pct"/>
            <w:tcBorders>
              <w:tl2br w:val="nil"/>
              <w:tr2bl w:val="nil"/>
            </w:tcBorders>
            <w:vAlign w:val="center"/>
          </w:tcPr>
          <w:p w14:paraId="2935100B">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1110" w:type="pct"/>
            <w:tcBorders>
              <w:tl2br w:val="nil"/>
              <w:tr2bl w:val="nil"/>
            </w:tcBorders>
            <w:vAlign w:val="center"/>
          </w:tcPr>
          <w:p w14:paraId="21B8949E">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744" w:type="pct"/>
            <w:tcBorders>
              <w:tl2br w:val="nil"/>
              <w:tr2bl w:val="nil"/>
            </w:tcBorders>
            <w:vAlign w:val="center"/>
          </w:tcPr>
          <w:p w14:paraId="59F30A9A">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员工</w:t>
            </w:r>
          </w:p>
        </w:tc>
        <w:tc>
          <w:tcPr>
            <w:tcW w:w="809" w:type="pct"/>
            <w:tcBorders>
              <w:tl2br w:val="nil"/>
              <w:tr2bl w:val="nil"/>
            </w:tcBorders>
            <w:vAlign w:val="center"/>
          </w:tcPr>
          <w:p w14:paraId="63BB4031">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540" w:type="pct"/>
            <w:tcBorders>
              <w:tl2br w:val="nil"/>
              <w:tr2bl w:val="nil"/>
            </w:tcBorders>
            <w:vAlign w:val="center"/>
          </w:tcPr>
          <w:p w14:paraId="0B13866F">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4.65</w:t>
            </w:r>
          </w:p>
        </w:tc>
        <w:tc>
          <w:tcPr>
            <w:tcW w:w="1451" w:type="pct"/>
            <w:tcBorders>
              <w:tl2br w:val="nil"/>
              <w:tr2bl w:val="nil"/>
            </w:tcBorders>
            <w:vAlign w:val="center"/>
          </w:tcPr>
          <w:p w14:paraId="430F7C1F">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由市政环卫部门统一清运</w:t>
            </w:r>
          </w:p>
        </w:tc>
      </w:tr>
      <w:tr w14:paraId="69D7ECFB">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74" w:hRule="atLeast"/>
          <w:jc w:val="center"/>
        </w:trPr>
        <w:tc>
          <w:tcPr>
            <w:tcW w:w="343" w:type="pct"/>
            <w:tcBorders>
              <w:tl2br w:val="nil"/>
              <w:tr2bl w:val="nil"/>
            </w:tcBorders>
            <w:vAlign w:val="center"/>
          </w:tcPr>
          <w:p w14:paraId="1289479F">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1110" w:type="pct"/>
            <w:tcBorders>
              <w:tl2br w:val="nil"/>
              <w:tr2bl w:val="nil"/>
            </w:tcBorders>
            <w:vAlign w:val="center"/>
          </w:tcPr>
          <w:p w14:paraId="603F8A9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检疫不合格品</w:t>
            </w:r>
          </w:p>
        </w:tc>
        <w:tc>
          <w:tcPr>
            <w:tcW w:w="744" w:type="pct"/>
            <w:vMerge w:val="restart"/>
            <w:tcBorders>
              <w:tl2br w:val="nil"/>
              <w:tr2bl w:val="nil"/>
            </w:tcBorders>
            <w:vAlign w:val="center"/>
          </w:tcPr>
          <w:p w14:paraId="7EFFE89C">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车间</w:t>
            </w:r>
          </w:p>
        </w:tc>
        <w:tc>
          <w:tcPr>
            <w:tcW w:w="809" w:type="pct"/>
            <w:tcBorders>
              <w:tl2br w:val="nil"/>
              <w:tr2bl w:val="nil"/>
            </w:tcBorders>
            <w:vAlign w:val="center"/>
          </w:tcPr>
          <w:p w14:paraId="39036D0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47D9C07B">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130</w:t>
            </w:r>
          </w:p>
        </w:tc>
        <w:tc>
          <w:tcPr>
            <w:tcW w:w="1451" w:type="pct"/>
            <w:vMerge w:val="restart"/>
            <w:tcBorders>
              <w:tl2br w:val="nil"/>
              <w:tr2bl w:val="nil"/>
            </w:tcBorders>
            <w:vAlign w:val="center"/>
          </w:tcPr>
          <w:p w14:paraId="687C468A">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由双鸭山百奥迈斯生物科技有限公司</w:t>
            </w:r>
          </w:p>
        </w:tc>
      </w:tr>
      <w:tr w14:paraId="677DC05D">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vAlign w:val="center"/>
          </w:tcPr>
          <w:p w14:paraId="2DCE6C34">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3</w:t>
            </w:r>
          </w:p>
        </w:tc>
        <w:tc>
          <w:tcPr>
            <w:tcW w:w="1110" w:type="pct"/>
            <w:tcBorders>
              <w:tl2br w:val="nil"/>
              <w:tr2bl w:val="nil"/>
            </w:tcBorders>
            <w:vAlign w:val="center"/>
          </w:tcPr>
          <w:p w14:paraId="533E610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病死牛羊</w:t>
            </w:r>
          </w:p>
        </w:tc>
        <w:tc>
          <w:tcPr>
            <w:tcW w:w="744" w:type="pct"/>
            <w:vMerge w:val="continue"/>
            <w:tcBorders>
              <w:tl2br w:val="nil"/>
              <w:tr2bl w:val="nil"/>
            </w:tcBorders>
            <w:vAlign w:val="center"/>
          </w:tcPr>
          <w:p w14:paraId="51F1B073">
            <w:pPr>
              <w:spacing w:line="360" w:lineRule="atLeast"/>
              <w:ind w:firstLine="0" w:firstLineChars="0"/>
              <w:jc w:val="center"/>
              <w:rPr>
                <w:rFonts w:cs="Times New Roman"/>
                <w:color w:val="auto"/>
                <w:sz w:val="21"/>
                <w:szCs w:val="21"/>
                <w:highlight w:val="none"/>
              </w:rPr>
            </w:pPr>
          </w:p>
        </w:tc>
        <w:tc>
          <w:tcPr>
            <w:tcW w:w="809" w:type="pct"/>
            <w:tcBorders>
              <w:tl2br w:val="nil"/>
              <w:tr2bl w:val="nil"/>
            </w:tcBorders>
            <w:vAlign w:val="center"/>
          </w:tcPr>
          <w:p w14:paraId="70B4011D">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505D3C41">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150</w:t>
            </w:r>
          </w:p>
        </w:tc>
        <w:tc>
          <w:tcPr>
            <w:tcW w:w="1451" w:type="pct"/>
            <w:vMerge w:val="continue"/>
            <w:tcBorders>
              <w:tl2br w:val="nil"/>
              <w:tr2bl w:val="nil"/>
            </w:tcBorders>
            <w:vAlign w:val="center"/>
          </w:tcPr>
          <w:p w14:paraId="081EA56E">
            <w:pPr>
              <w:spacing w:line="360" w:lineRule="atLeast"/>
              <w:ind w:firstLine="0" w:firstLineChars="0"/>
              <w:jc w:val="center"/>
              <w:rPr>
                <w:rFonts w:cs="Times New Roman"/>
                <w:color w:val="auto"/>
                <w:sz w:val="21"/>
                <w:szCs w:val="21"/>
                <w:highlight w:val="none"/>
              </w:rPr>
            </w:pPr>
          </w:p>
        </w:tc>
      </w:tr>
      <w:tr w14:paraId="7F909F16">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vAlign w:val="center"/>
          </w:tcPr>
          <w:p w14:paraId="75385FFC">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4</w:t>
            </w:r>
          </w:p>
        </w:tc>
        <w:tc>
          <w:tcPr>
            <w:tcW w:w="1110" w:type="pct"/>
            <w:tcBorders>
              <w:tl2br w:val="nil"/>
              <w:tr2bl w:val="nil"/>
            </w:tcBorders>
            <w:vAlign w:val="center"/>
          </w:tcPr>
          <w:p w14:paraId="39D93F8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边角料</w:t>
            </w:r>
          </w:p>
        </w:tc>
        <w:tc>
          <w:tcPr>
            <w:tcW w:w="744" w:type="pct"/>
            <w:vMerge w:val="continue"/>
            <w:tcBorders>
              <w:tl2br w:val="nil"/>
              <w:tr2bl w:val="nil"/>
            </w:tcBorders>
            <w:vAlign w:val="center"/>
          </w:tcPr>
          <w:p w14:paraId="499BDA79">
            <w:pPr>
              <w:spacing w:line="360" w:lineRule="atLeast"/>
              <w:ind w:firstLine="0" w:firstLineChars="0"/>
              <w:jc w:val="center"/>
              <w:rPr>
                <w:rFonts w:cs="Times New Roman"/>
                <w:color w:val="auto"/>
                <w:sz w:val="21"/>
                <w:szCs w:val="21"/>
                <w:highlight w:val="none"/>
              </w:rPr>
            </w:pPr>
          </w:p>
        </w:tc>
        <w:tc>
          <w:tcPr>
            <w:tcW w:w="809" w:type="pct"/>
            <w:tcBorders>
              <w:tl2br w:val="nil"/>
              <w:tr2bl w:val="nil"/>
            </w:tcBorders>
            <w:vAlign w:val="center"/>
          </w:tcPr>
          <w:p w14:paraId="7798CE22">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65746271">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225</w:t>
            </w:r>
          </w:p>
        </w:tc>
        <w:tc>
          <w:tcPr>
            <w:tcW w:w="1451" w:type="pct"/>
            <w:vMerge w:val="restart"/>
            <w:tcBorders>
              <w:tl2br w:val="nil"/>
              <w:tr2bl w:val="nil"/>
            </w:tcBorders>
            <w:vAlign w:val="center"/>
          </w:tcPr>
          <w:p w14:paraId="32646536">
            <w:pPr>
              <w:spacing w:line="360" w:lineRule="exact"/>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外售作为</w:t>
            </w:r>
            <w:r>
              <w:rPr>
                <w:rFonts w:hint="eastAsia" w:ascii="Times New Roman" w:hAnsi="Times New Roman" w:eastAsia="宋体" w:cs="Times New Roman"/>
                <w:color w:val="auto"/>
                <w:sz w:val="21"/>
                <w:szCs w:val="21"/>
                <w:highlight w:val="none"/>
                <w:lang w:eastAsia="zh-CN"/>
              </w:rPr>
              <w:t>优质的有机肥原料</w:t>
            </w:r>
          </w:p>
        </w:tc>
      </w:tr>
      <w:tr w14:paraId="184E7EBE">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vAlign w:val="center"/>
          </w:tcPr>
          <w:p w14:paraId="53924801">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5</w:t>
            </w:r>
          </w:p>
        </w:tc>
        <w:tc>
          <w:tcPr>
            <w:tcW w:w="1110" w:type="pct"/>
            <w:tcBorders>
              <w:tl2br w:val="nil"/>
              <w:tr2bl w:val="nil"/>
            </w:tcBorders>
            <w:vAlign w:val="center"/>
          </w:tcPr>
          <w:p w14:paraId="2ED213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胃容物及肠内物</w:t>
            </w:r>
          </w:p>
        </w:tc>
        <w:tc>
          <w:tcPr>
            <w:tcW w:w="744" w:type="pct"/>
            <w:vMerge w:val="continue"/>
            <w:tcBorders>
              <w:tl2br w:val="nil"/>
              <w:tr2bl w:val="nil"/>
            </w:tcBorders>
            <w:vAlign w:val="center"/>
          </w:tcPr>
          <w:p w14:paraId="5028B0F1">
            <w:pPr>
              <w:spacing w:line="360" w:lineRule="atLeast"/>
              <w:ind w:firstLine="0" w:firstLineChars="0"/>
              <w:jc w:val="center"/>
              <w:rPr>
                <w:rFonts w:cs="Times New Roman"/>
                <w:color w:val="auto"/>
                <w:sz w:val="21"/>
                <w:szCs w:val="21"/>
                <w:highlight w:val="none"/>
              </w:rPr>
            </w:pPr>
          </w:p>
        </w:tc>
        <w:tc>
          <w:tcPr>
            <w:tcW w:w="809" w:type="pct"/>
            <w:tcBorders>
              <w:tl2br w:val="nil"/>
              <w:tr2bl w:val="nil"/>
            </w:tcBorders>
            <w:vAlign w:val="center"/>
          </w:tcPr>
          <w:p w14:paraId="630B6205">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5E4DEACF">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595</w:t>
            </w:r>
          </w:p>
        </w:tc>
        <w:tc>
          <w:tcPr>
            <w:tcW w:w="1451" w:type="pct"/>
            <w:vMerge w:val="continue"/>
            <w:tcBorders>
              <w:tl2br w:val="nil"/>
              <w:tr2bl w:val="nil"/>
            </w:tcBorders>
            <w:vAlign w:val="center"/>
          </w:tcPr>
          <w:p w14:paraId="246CEDE7">
            <w:pPr>
              <w:spacing w:line="360" w:lineRule="atLeast"/>
              <w:ind w:firstLine="0" w:firstLineChars="0"/>
              <w:jc w:val="center"/>
              <w:rPr>
                <w:rFonts w:cs="Times New Roman"/>
                <w:color w:val="auto"/>
                <w:sz w:val="21"/>
                <w:szCs w:val="21"/>
                <w:highlight w:val="none"/>
              </w:rPr>
            </w:pPr>
          </w:p>
        </w:tc>
      </w:tr>
      <w:tr w14:paraId="2542A0F3">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vAlign w:val="center"/>
          </w:tcPr>
          <w:p w14:paraId="1B31DB0B">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6</w:t>
            </w:r>
          </w:p>
        </w:tc>
        <w:tc>
          <w:tcPr>
            <w:tcW w:w="1110" w:type="pct"/>
            <w:tcBorders>
              <w:tl2br w:val="nil"/>
              <w:tr2bl w:val="nil"/>
            </w:tcBorders>
            <w:vAlign w:val="center"/>
          </w:tcPr>
          <w:p w14:paraId="02E2142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粪便</w:t>
            </w:r>
          </w:p>
        </w:tc>
        <w:tc>
          <w:tcPr>
            <w:tcW w:w="744" w:type="pct"/>
            <w:vMerge w:val="continue"/>
            <w:tcBorders>
              <w:tl2br w:val="nil"/>
              <w:tr2bl w:val="nil"/>
            </w:tcBorders>
            <w:vAlign w:val="center"/>
          </w:tcPr>
          <w:p w14:paraId="1DBE5F8B">
            <w:pPr>
              <w:spacing w:line="360" w:lineRule="atLeast"/>
              <w:ind w:firstLine="0" w:firstLineChars="0"/>
              <w:jc w:val="center"/>
              <w:rPr>
                <w:rFonts w:cs="Times New Roman"/>
                <w:color w:val="auto"/>
                <w:sz w:val="21"/>
                <w:szCs w:val="21"/>
                <w:highlight w:val="none"/>
              </w:rPr>
            </w:pPr>
          </w:p>
        </w:tc>
        <w:tc>
          <w:tcPr>
            <w:tcW w:w="809" w:type="pct"/>
            <w:tcBorders>
              <w:tl2br w:val="nil"/>
              <w:tr2bl w:val="nil"/>
            </w:tcBorders>
            <w:vAlign w:val="center"/>
          </w:tcPr>
          <w:p w14:paraId="681BB680">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4C0B756E">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650</w:t>
            </w:r>
          </w:p>
        </w:tc>
        <w:tc>
          <w:tcPr>
            <w:tcW w:w="1451" w:type="pct"/>
            <w:vMerge w:val="continue"/>
            <w:tcBorders>
              <w:tl2br w:val="nil"/>
              <w:tr2bl w:val="nil"/>
            </w:tcBorders>
            <w:vAlign w:val="center"/>
          </w:tcPr>
          <w:p w14:paraId="195E19B2">
            <w:pPr>
              <w:spacing w:line="360" w:lineRule="atLeast"/>
              <w:ind w:firstLine="0" w:firstLineChars="0"/>
              <w:jc w:val="center"/>
              <w:rPr>
                <w:rFonts w:cs="Times New Roman"/>
                <w:color w:val="auto"/>
                <w:sz w:val="21"/>
                <w:szCs w:val="21"/>
                <w:highlight w:val="none"/>
              </w:rPr>
            </w:pPr>
          </w:p>
        </w:tc>
      </w:tr>
      <w:tr w14:paraId="125A1714">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vAlign w:val="center"/>
          </w:tcPr>
          <w:p w14:paraId="7C0E3960">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7</w:t>
            </w:r>
          </w:p>
        </w:tc>
        <w:tc>
          <w:tcPr>
            <w:tcW w:w="1110" w:type="pct"/>
            <w:tcBorders>
              <w:tl2br w:val="nil"/>
              <w:tr2bl w:val="nil"/>
            </w:tcBorders>
            <w:vAlign w:val="center"/>
          </w:tcPr>
          <w:p w14:paraId="54D4725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废包装</w:t>
            </w:r>
          </w:p>
        </w:tc>
        <w:tc>
          <w:tcPr>
            <w:tcW w:w="744" w:type="pct"/>
            <w:vMerge w:val="continue"/>
            <w:tcBorders>
              <w:tl2br w:val="nil"/>
              <w:tr2bl w:val="nil"/>
            </w:tcBorders>
            <w:vAlign w:val="center"/>
          </w:tcPr>
          <w:p w14:paraId="79FD6B26">
            <w:pPr>
              <w:spacing w:line="360" w:lineRule="atLeast"/>
              <w:ind w:firstLine="0" w:firstLineChars="0"/>
              <w:jc w:val="center"/>
              <w:rPr>
                <w:rFonts w:cs="Times New Roman"/>
                <w:color w:val="auto"/>
                <w:sz w:val="21"/>
                <w:szCs w:val="21"/>
                <w:highlight w:val="none"/>
              </w:rPr>
            </w:pPr>
          </w:p>
        </w:tc>
        <w:tc>
          <w:tcPr>
            <w:tcW w:w="809" w:type="pct"/>
            <w:tcBorders>
              <w:tl2br w:val="nil"/>
              <w:tr2bl w:val="nil"/>
            </w:tcBorders>
            <w:vAlign w:val="center"/>
          </w:tcPr>
          <w:p w14:paraId="186A3A4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65884927">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1.6</w:t>
            </w:r>
          </w:p>
        </w:tc>
        <w:tc>
          <w:tcPr>
            <w:tcW w:w="1451" w:type="pct"/>
            <w:tcBorders>
              <w:tl2br w:val="nil"/>
              <w:tr2bl w:val="nil"/>
            </w:tcBorders>
            <w:vAlign w:val="center"/>
          </w:tcPr>
          <w:p w14:paraId="317C11E3">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外售综合利用</w:t>
            </w:r>
          </w:p>
        </w:tc>
      </w:tr>
      <w:tr w14:paraId="2DE672AA">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vAlign w:val="center"/>
          </w:tcPr>
          <w:p w14:paraId="0DADF3A2">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8</w:t>
            </w:r>
          </w:p>
        </w:tc>
        <w:tc>
          <w:tcPr>
            <w:tcW w:w="1110" w:type="pct"/>
            <w:tcBorders>
              <w:tl2br w:val="nil"/>
              <w:tr2bl w:val="nil"/>
            </w:tcBorders>
            <w:vAlign w:val="center"/>
          </w:tcPr>
          <w:p w14:paraId="6FB3F8D2">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脱水污泥（含栅渣）</w:t>
            </w:r>
          </w:p>
        </w:tc>
        <w:tc>
          <w:tcPr>
            <w:tcW w:w="744" w:type="pct"/>
            <w:vMerge w:val="restart"/>
            <w:tcBorders>
              <w:tl2br w:val="nil"/>
              <w:tr2bl w:val="nil"/>
            </w:tcBorders>
            <w:vAlign w:val="center"/>
          </w:tcPr>
          <w:p w14:paraId="2384D8A2">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污水处理站</w:t>
            </w:r>
          </w:p>
        </w:tc>
        <w:tc>
          <w:tcPr>
            <w:tcW w:w="809" w:type="pct"/>
            <w:tcBorders>
              <w:tl2br w:val="nil"/>
              <w:tr2bl w:val="nil"/>
            </w:tcBorders>
            <w:vAlign w:val="center"/>
          </w:tcPr>
          <w:p w14:paraId="753F7B5C">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044BFA45">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249.7</w:t>
            </w:r>
          </w:p>
        </w:tc>
        <w:tc>
          <w:tcPr>
            <w:tcW w:w="1451" w:type="pct"/>
            <w:tcBorders>
              <w:tl2br w:val="nil"/>
              <w:tr2bl w:val="nil"/>
            </w:tcBorders>
            <w:vAlign w:val="center"/>
          </w:tcPr>
          <w:p w14:paraId="34F534CB">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送</w:t>
            </w:r>
            <w:r>
              <w:rPr>
                <w:rFonts w:hint="eastAsia" w:cs="Times New Roman"/>
                <w:color w:val="auto"/>
                <w:sz w:val="21"/>
                <w:szCs w:val="21"/>
                <w:highlight w:val="none"/>
                <w:lang w:val="en-US" w:eastAsia="zh-CN"/>
              </w:rPr>
              <w:t>至有资质处置单位进行处理</w:t>
            </w:r>
          </w:p>
        </w:tc>
      </w:tr>
      <w:tr w14:paraId="13D1923F">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343" w:type="pct"/>
            <w:tcBorders>
              <w:tl2br w:val="nil"/>
              <w:tr2bl w:val="nil"/>
            </w:tcBorders>
            <w:shd w:val="clear" w:color="auto" w:fill="auto"/>
            <w:vAlign w:val="center"/>
          </w:tcPr>
          <w:p w14:paraId="78199CE1">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9</w:t>
            </w:r>
          </w:p>
        </w:tc>
        <w:tc>
          <w:tcPr>
            <w:tcW w:w="1110" w:type="pct"/>
            <w:tcBorders>
              <w:tl2br w:val="nil"/>
              <w:tr2bl w:val="nil"/>
            </w:tcBorders>
            <w:vAlign w:val="center"/>
          </w:tcPr>
          <w:p w14:paraId="689C69EE">
            <w:pPr>
              <w:spacing w:line="360" w:lineRule="atLeas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废油脂</w:t>
            </w:r>
          </w:p>
        </w:tc>
        <w:tc>
          <w:tcPr>
            <w:tcW w:w="744" w:type="pct"/>
            <w:vMerge w:val="continue"/>
            <w:tcBorders>
              <w:tl2br w:val="nil"/>
              <w:tr2bl w:val="nil"/>
            </w:tcBorders>
            <w:vAlign w:val="center"/>
          </w:tcPr>
          <w:p w14:paraId="478992E5">
            <w:pPr>
              <w:spacing w:line="360" w:lineRule="atLeast"/>
              <w:ind w:firstLine="0" w:firstLineChars="0"/>
              <w:jc w:val="center"/>
              <w:rPr>
                <w:rFonts w:cs="Times New Roman"/>
                <w:color w:val="auto"/>
                <w:sz w:val="21"/>
                <w:szCs w:val="21"/>
                <w:highlight w:val="none"/>
              </w:rPr>
            </w:pPr>
          </w:p>
        </w:tc>
        <w:tc>
          <w:tcPr>
            <w:tcW w:w="809" w:type="pct"/>
            <w:tcBorders>
              <w:tl2br w:val="nil"/>
              <w:tr2bl w:val="nil"/>
            </w:tcBorders>
            <w:vAlign w:val="center"/>
          </w:tcPr>
          <w:p w14:paraId="092D94B8">
            <w:pPr>
              <w:spacing w:line="360" w:lineRule="atLeast"/>
              <w:ind w:firstLine="0" w:firstLineChars="0"/>
              <w:jc w:val="center"/>
              <w:rPr>
                <w:rFonts w:cs="Times New Roman"/>
                <w:color w:val="auto"/>
                <w:sz w:val="21"/>
                <w:szCs w:val="21"/>
                <w:highlight w:val="none"/>
              </w:rPr>
            </w:pPr>
            <w:r>
              <w:rPr>
                <w:rFonts w:cs="Times New Roman"/>
                <w:color w:val="auto"/>
                <w:sz w:val="21"/>
                <w:szCs w:val="21"/>
                <w:highlight w:val="none"/>
              </w:rPr>
              <w:t>一般固废</w:t>
            </w:r>
          </w:p>
        </w:tc>
        <w:tc>
          <w:tcPr>
            <w:tcW w:w="540" w:type="pct"/>
            <w:tcBorders>
              <w:tl2br w:val="nil"/>
              <w:tr2bl w:val="nil"/>
            </w:tcBorders>
            <w:shd w:val="clear" w:color="auto" w:fill="auto"/>
            <w:vAlign w:val="center"/>
          </w:tcPr>
          <w:p w14:paraId="12FF9CD6">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0.8</w:t>
            </w:r>
          </w:p>
        </w:tc>
        <w:tc>
          <w:tcPr>
            <w:tcW w:w="1451" w:type="pct"/>
            <w:tcBorders>
              <w:tl2br w:val="nil"/>
              <w:tr2bl w:val="nil"/>
            </w:tcBorders>
            <w:vAlign w:val="center"/>
          </w:tcPr>
          <w:p w14:paraId="7263B86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交由有能力处置单位进行运输处理</w:t>
            </w:r>
          </w:p>
        </w:tc>
      </w:tr>
      <w:tr w14:paraId="067FF703">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4" w:hRule="atLeast"/>
          <w:jc w:val="center"/>
        </w:trPr>
        <w:tc>
          <w:tcPr>
            <w:tcW w:w="343" w:type="pct"/>
            <w:tcBorders>
              <w:tl2br w:val="nil"/>
              <w:tr2bl w:val="nil"/>
            </w:tcBorders>
            <w:shd w:val="clear" w:color="auto" w:fill="auto"/>
            <w:vAlign w:val="center"/>
          </w:tcPr>
          <w:p w14:paraId="0640FE1F">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10</w:t>
            </w:r>
          </w:p>
        </w:tc>
        <w:tc>
          <w:tcPr>
            <w:tcW w:w="1110" w:type="pct"/>
            <w:tcBorders>
              <w:tl2br w:val="nil"/>
              <w:tr2bl w:val="nil"/>
            </w:tcBorders>
            <w:vAlign w:val="center"/>
          </w:tcPr>
          <w:p w14:paraId="1A3FFAE0">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检疫废物</w:t>
            </w:r>
          </w:p>
        </w:tc>
        <w:tc>
          <w:tcPr>
            <w:tcW w:w="744" w:type="pct"/>
            <w:tcBorders>
              <w:tl2br w:val="nil"/>
              <w:tr2bl w:val="nil"/>
            </w:tcBorders>
            <w:vAlign w:val="center"/>
          </w:tcPr>
          <w:p w14:paraId="4F5821D9">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实验室</w:t>
            </w:r>
          </w:p>
        </w:tc>
        <w:tc>
          <w:tcPr>
            <w:tcW w:w="809" w:type="pct"/>
            <w:tcBorders>
              <w:tl2br w:val="nil"/>
              <w:tr2bl w:val="nil"/>
            </w:tcBorders>
            <w:vAlign w:val="center"/>
          </w:tcPr>
          <w:p w14:paraId="52A12D3E">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危险废物</w:t>
            </w:r>
          </w:p>
        </w:tc>
        <w:tc>
          <w:tcPr>
            <w:tcW w:w="540" w:type="pct"/>
            <w:tcBorders>
              <w:tl2br w:val="nil"/>
              <w:tr2bl w:val="nil"/>
            </w:tcBorders>
            <w:shd w:val="clear" w:color="auto" w:fill="auto"/>
            <w:vAlign w:val="center"/>
          </w:tcPr>
          <w:p w14:paraId="62225F5C">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3</w:t>
            </w:r>
          </w:p>
        </w:tc>
        <w:tc>
          <w:tcPr>
            <w:tcW w:w="1451" w:type="pct"/>
            <w:tcBorders>
              <w:tl2br w:val="nil"/>
              <w:tr2bl w:val="nil"/>
            </w:tcBorders>
            <w:vAlign w:val="center"/>
          </w:tcPr>
          <w:p w14:paraId="11134120">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34CDC36E">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4" w:hRule="atLeast"/>
          <w:jc w:val="center"/>
        </w:trPr>
        <w:tc>
          <w:tcPr>
            <w:tcW w:w="343" w:type="pct"/>
            <w:tcBorders>
              <w:tl2br w:val="nil"/>
              <w:tr2bl w:val="nil"/>
            </w:tcBorders>
            <w:shd w:val="clear" w:color="auto" w:fill="auto"/>
            <w:vAlign w:val="center"/>
          </w:tcPr>
          <w:p w14:paraId="170C3CC9">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11</w:t>
            </w:r>
          </w:p>
        </w:tc>
        <w:tc>
          <w:tcPr>
            <w:tcW w:w="1110" w:type="pct"/>
            <w:tcBorders>
              <w:tl2br w:val="nil"/>
              <w:tr2bl w:val="nil"/>
            </w:tcBorders>
            <w:vAlign w:val="center"/>
          </w:tcPr>
          <w:p w14:paraId="2487E1BA">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废润滑油</w:t>
            </w:r>
          </w:p>
        </w:tc>
        <w:tc>
          <w:tcPr>
            <w:tcW w:w="744" w:type="pct"/>
            <w:tcBorders>
              <w:tl2br w:val="nil"/>
              <w:tr2bl w:val="nil"/>
            </w:tcBorders>
            <w:vAlign w:val="center"/>
          </w:tcPr>
          <w:p w14:paraId="105C57AE">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生产车间</w:t>
            </w:r>
          </w:p>
        </w:tc>
        <w:tc>
          <w:tcPr>
            <w:tcW w:w="809" w:type="pct"/>
            <w:tcBorders>
              <w:tl2br w:val="nil"/>
              <w:tr2bl w:val="nil"/>
            </w:tcBorders>
            <w:vAlign w:val="center"/>
          </w:tcPr>
          <w:p w14:paraId="3B251D40">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危险废物</w:t>
            </w:r>
          </w:p>
        </w:tc>
        <w:tc>
          <w:tcPr>
            <w:tcW w:w="540" w:type="pct"/>
            <w:tcBorders>
              <w:tl2br w:val="nil"/>
              <w:tr2bl w:val="nil"/>
            </w:tcBorders>
            <w:shd w:val="clear" w:color="auto" w:fill="auto"/>
            <w:vAlign w:val="center"/>
          </w:tcPr>
          <w:p w14:paraId="070955BA">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0.0</w:t>
            </w:r>
            <w:r>
              <w:rPr>
                <w:rFonts w:hint="eastAsia" w:cs="Times New Roman"/>
                <w:color w:val="auto"/>
                <w:sz w:val="21"/>
                <w:szCs w:val="21"/>
                <w:highlight w:val="none"/>
                <w:lang w:val="en-US" w:eastAsia="zh-CN"/>
              </w:rPr>
              <w:t>8</w:t>
            </w:r>
          </w:p>
        </w:tc>
        <w:tc>
          <w:tcPr>
            <w:tcW w:w="1451" w:type="pct"/>
            <w:tcBorders>
              <w:tl2br w:val="nil"/>
              <w:tr2bl w:val="nil"/>
            </w:tcBorders>
            <w:vAlign w:val="center"/>
          </w:tcPr>
          <w:p w14:paraId="5BE0E8B2">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003D0B64">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4" w:hRule="atLeast"/>
          <w:jc w:val="center"/>
        </w:trPr>
        <w:tc>
          <w:tcPr>
            <w:tcW w:w="343" w:type="pct"/>
            <w:tcBorders>
              <w:tl2br w:val="nil"/>
              <w:tr2bl w:val="nil"/>
            </w:tcBorders>
            <w:shd w:val="clear" w:color="auto" w:fill="auto"/>
            <w:vAlign w:val="center"/>
          </w:tcPr>
          <w:p w14:paraId="31BC1FAD">
            <w:pPr>
              <w:spacing w:line="360" w:lineRule="exact"/>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12</w:t>
            </w:r>
          </w:p>
        </w:tc>
        <w:tc>
          <w:tcPr>
            <w:tcW w:w="1110" w:type="pct"/>
            <w:tcBorders>
              <w:tl2br w:val="nil"/>
              <w:tr2bl w:val="nil"/>
            </w:tcBorders>
            <w:vAlign w:val="center"/>
          </w:tcPr>
          <w:p w14:paraId="52BC27D9">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含油抹布、劳保手套</w:t>
            </w:r>
          </w:p>
        </w:tc>
        <w:tc>
          <w:tcPr>
            <w:tcW w:w="744" w:type="pct"/>
            <w:tcBorders>
              <w:tl2br w:val="nil"/>
              <w:tr2bl w:val="nil"/>
            </w:tcBorders>
            <w:vAlign w:val="center"/>
          </w:tcPr>
          <w:p w14:paraId="717C2D24">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生产车间</w:t>
            </w:r>
          </w:p>
        </w:tc>
        <w:tc>
          <w:tcPr>
            <w:tcW w:w="809" w:type="pct"/>
            <w:tcBorders>
              <w:tl2br w:val="nil"/>
              <w:tr2bl w:val="nil"/>
            </w:tcBorders>
            <w:vAlign w:val="center"/>
          </w:tcPr>
          <w:p w14:paraId="06218B85">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危险废物</w:t>
            </w:r>
          </w:p>
        </w:tc>
        <w:tc>
          <w:tcPr>
            <w:tcW w:w="540" w:type="pct"/>
            <w:tcBorders>
              <w:tl2br w:val="nil"/>
              <w:tr2bl w:val="nil"/>
            </w:tcBorders>
            <w:shd w:val="clear" w:color="auto" w:fill="auto"/>
            <w:vAlign w:val="center"/>
          </w:tcPr>
          <w:p w14:paraId="70D872EE">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15</w:t>
            </w:r>
          </w:p>
        </w:tc>
        <w:tc>
          <w:tcPr>
            <w:tcW w:w="1451" w:type="pct"/>
            <w:tcBorders>
              <w:tl2br w:val="nil"/>
              <w:tr2bl w:val="nil"/>
            </w:tcBorders>
            <w:vAlign w:val="center"/>
          </w:tcPr>
          <w:p w14:paraId="55831BDB">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tr w14:paraId="3D851C8F">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4" w:hRule="atLeast"/>
          <w:jc w:val="center"/>
        </w:trPr>
        <w:tc>
          <w:tcPr>
            <w:tcW w:w="343" w:type="pct"/>
            <w:tcBorders>
              <w:tl2br w:val="nil"/>
              <w:tr2bl w:val="nil"/>
            </w:tcBorders>
            <w:vAlign w:val="center"/>
          </w:tcPr>
          <w:p w14:paraId="3B1EB25F">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13</w:t>
            </w:r>
          </w:p>
        </w:tc>
        <w:tc>
          <w:tcPr>
            <w:tcW w:w="1110" w:type="pct"/>
            <w:tcBorders>
              <w:tl2br w:val="nil"/>
              <w:tr2bl w:val="nil"/>
            </w:tcBorders>
            <w:shd w:val="clear" w:color="auto" w:fill="auto"/>
            <w:vAlign w:val="center"/>
          </w:tcPr>
          <w:p w14:paraId="72E9DF29">
            <w:pPr>
              <w:spacing w:line="360" w:lineRule="atLeas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cs="Times New Roman"/>
                <w:color w:val="auto"/>
                <w:sz w:val="21"/>
                <w:szCs w:val="21"/>
                <w:highlight w:val="none"/>
              </w:rPr>
              <w:t>废活性炭</w:t>
            </w:r>
          </w:p>
        </w:tc>
        <w:tc>
          <w:tcPr>
            <w:tcW w:w="744" w:type="pct"/>
            <w:tcBorders>
              <w:tl2br w:val="nil"/>
              <w:tr2bl w:val="nil"/>
            </w:tcBorders>
            <w:shd w:val="clear" w:color="auto" w:fill="auto"/>
            <w:vAlign w:val="center"/>
          </w:tcPr>
          <w:p w14:paraId="305315A8">
            <w:pPr>
              <w:spacing w:line="360" w:lineRule="atLeas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生产车间</w:t>
            </w:r>
            <w:r>
              <w:rPr>
                <w:rFonts w:hint="eastAsia" w:cs="Times New Roman"/>
                <w:color w:val="auto"/>
                <w:sz w:val="21"/>
                <w:szCs w:val="21"/>
                <w:highlight w:val="none"/>
                <w:lang w:val="en-US" w:eastAsia="zh-CN"/>
              </w:rPr>
              <w:t>、</w:t>
            </w:r>
            <w:r>
              <w:rPr>
                <w:rFonts w:cs="Times New Roman"/>
                <w:color w:val="auto"/>
                <w:sz w:val="21"/>
                <w:szCs w:val="21"/>
                <w:highlight w:val="none"/>
              </w:rPr>
              <w:t>污水处理站</w:t>
            </w:r>
          </w:p>
        </w:tc>
        <w:tc>
          <w:tcPr>
            <w:tcW w:w="809" w:type="pct"/>
            <w:tcBorders>
              <w:tl2br w:val="nil"/>
              <w:tr2bl w:val="nil"/>
            </w:tcBorders>
            <w:shd w:val="clear" w:color="auto" w:fill="auto"/>
            <w:vAlign w:val="center"/>
          </w:tcPr>
          <w:p w14:paraId="60619C5E">
            <w:pPr>
              <w:spacing w:line="360" w:lineRule="atLeas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危险废物</w:t>
            </w:r>
          </w:p>
        </w:tc>
        <w:tc>
          <w:tcPr>
            <w:tcW w:w="540" w:type="pct"/>
            <w:tcBorders>
              <w:tl2br w:val="nil"/>
              <w:tr2bl w:val="nil"/>
            </w:tcBorders>
            <w:shd w:val="clear" w:color="auto" w:fill="auto"/>
            <w:vAlign w:val="center"/>
          </w:tcPr>
          <w:p w14:paraId="09DFC6A1">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w:t>
            </w:r>
          </w:p>
        </w:tc>
        <w:tc>
          <w:tcPr>
            <w:tcW w:w="1451" w:type="pct"/>
            <w:tcBorders>
              <w:tl2br w:val="nil"/>
              <w:tr2bl w:val="nil"/>
            </w:tcBorders>
            <w:shd w:val="clear" w:color="auto" w:fill="auto"/>
            <w:vAlign w:val="center"/>
          </w:tcPr>
          <w:p w14:paraId="26964625">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定期由有资质的单位处置</w:t>
            </w:r>
          </w:p>
        </w:tc>
      </w:tr>
      <w:tr w14:paraId="2BCA7B4A">
        <w:tblPrEx>
          <w:tblBorders>
            <w:top w:val="single" w:color="000000"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4" w:hRule="atLeast"/>
          <w:jc w:val="center"/>
        </w:trPr>
        <w:tc>
          <w:tcPr>
            <w:tcW w:w="343" w:type="pct"/>
            <w:tcBorders>
              <w:tl2br w:val="nil"/>
              <w:tr2bl w:val="nil"/>
            </w:tcBorders>
            <w:vAlign w:val="center"/>
          </w:tcPr>
          <w:p w14:paraId="07EC3DFA">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w:t>
            </w:r>
          </w:p>
        </w:tc>
        <w:tc>
          <w:tcPr>
            <w:tcW w:w="1110" w:type="pct"/>
            <w:tcBorders>
              <w:tl2br w:val="nil"/>
              <w:tr2bl w:val="nil"/>
            </w:tcBorders>
            <w:shd w:val="clear" w:color="auto" w:fill="auto"/>
            <w:vAlign w:val="center"/>
          </w:tcPr>
          <w:p w14:paraId="0D4F0232">
            <w:pPr>
              <w:spacing w:line="360" w:lineRule="atLeas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在线监测废液</w:t>
            </w:r>
          </w:p>
        </w:tc>
        <w:tc>
          <w:tcPr>
            <w:tcW w:w="744" w:type="pct"/>
            <w:tcBorders>
              <w:tl2br w:val="nil"/>
              <w:tr2bl w:val="nil"/>
            </w:tcBorders>
            <w:shd w:val="clear" w:color="auto" w:fill="auto"/>
            <w:vAlign w:val="center"/>
          </w:tcPr>
          <w:p w14:paraId="5F375D78">
            <w:pPr>
              <w:spacing w:line="360" w:lineRule="atLeas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污水总排口</w:t>
            </w:r>
          </w:p>
        </w:tc>
        <w:tc>
          <w:tcPr>
            <w:tcW w:w="809" w:type="pct"/>
            <w:tcBorders>
              <w:tl2br w:val="nil"/>
              <w:tr2bl w:val="nil"/>
            </w:tcBorders>
            <w:shd w:val="clear" w:color="auto" w:fill="auto"/>
            <w:vAlign w:val="center"/>
          </w:tcPr>
          <w:p w14:paraId="563BD26E">
            <w:pPr>
              <w:spacing w:line="360" w:lineRule="atLeas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危险废物</w:t>
            </w:r>
          </w:p>
        </w:tc>
        <w:tc>
          <w:tcPr>
            <w:tcW w:w="540" w:type="pct"/>
            <w:tcBorders>
              <w:tl2br w:val="nil"/>
              <w:tr2bl w:val="nil"/>
            </w:tcBorders>
            <w:shd w:val="clear" w:color="auto" w:fill="auto"/>
            <w:vAlign w:val="center"/>
          </w:tcPr>
          <w:p w14:paraId="52311F16">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1.24</w:t>
            </w:r>
          </w:p>
        </w:tc>
        <w:tc>
          <w:tcPr>
            <w:tcW w:w="1451" w:type="pct"/>
            <w:tcBorders>
              <w:tl2br w:val="nil"/>
              <w:tr2bl w:val="nil"/>
            </w:tcBorders>
            <w:shd w:val="clear" w:color="auto" w:fill="auto"/>
            <w:vAlign w:val="center"/>
          </w:tcPr>
          <w:p w14:paraId="4FE5ED12">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定期由有资质的单位处置</w:t>
            </w:r>
          </w:p>
        </w:tc>
      </w:tr>
      <w:bookmarkEnd w:id="306"/>
    </w:tbl>
    <w:p w14:paraId="374258A4">
      <w:pPr>
        <w:bidi w:val="0"/>
        <w:rPr>
          <w:color w:val="auto"/>
          <w:highlight w:val="none"/>
          <w:lang w:val="en-US" w:eastAsia="zh-CN"/>
        </w:rPr>
      </w:pPr>
      <w:r>
        <w:rPr>
          <w:rFonts w:hint="eastAsia"/>
          <w:color w:val="auto"/>
          <w:highlight w:val="none"/>
          <w:lang w:val="en-US" w:eastAsia="zh-CN"/>
        </w:rPr>
        <w:t>依据《建设项目危险废物环境影响评价指南》</w:t>
      </w:r>
      <w:r>
        <w:rPr>
          <w:color w:val="auto"/>
          <w:highlight w:val="none"/>
          <w:lang w:val="en-US" w:eastAsia="zh-CN"/>
        </w:rPr>
        <w:t>本</w:t>
      </w:r>
      <w:r>
        <w:rPr>
          <w:rFonts w:hint="eastAsia"/>
          <w:color w:val="auto"/>
          <w:highlight w:val="none"/>
          <w:lang w:val="en-US" w:eastAsia="zh-CN"/>
        </w:rPr>
        <w:t>项目</w:t>
      </w:r>
      <w:r>
        <w:rPr>
          <w:rFonts w:hint="default"/>
          <w:color w:val="auto"/>
          <w:highlight w:val="none"/>
          <w:lang w:val="en-US" w:eastAsia="zh-CN"/>
        </w:rPr>
        <w:t>危险废物贮存场所</w:t>
      </w:r>
      <w:r>
        <w:rPr>
          <w:rFonts w:hint="eastAsia"/>
          <w:color w:val="auto"/>
          <w:highlight w:val="none"/>
          <w:lang w:val="en-US" w:eastAsia="zh-CN"/>
        </w:rPr>
        <w:t>位于本项目厂区上风向，贮</w:t>
      </w:r>
      <w:r>
        <w:rPr>
          <w:rFonts w:hint="default"/>
          <w:color w:val="auto"/>
          <w:highlight w:val="none"/>
          <w:lang w:val="en-US" w:eastAsia="zh-CN"/>
        </w:rPr>
        <w:t>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w:t>
      </w:r>
      <w:r>
        <w:rPr>
          <w:rFonts w:hint="eastAsia"/>
          <w:color w:val="auto"/>
          <w:highlight w:val="none"/>
          <w:lang w:val="en-US" w:eastAsia="zh-CN"/>
        </w:rPr>
        <w:t>1</w:t>
      </w:r>
      <w:r>
        <w:rPr>
          <w:rFonts w:hint="default"/>
          <w:color w:val="auto"/>
          <w:highlight w:val="none"/>
          <w:lang w:val="en-US" w:eastAsia="zh-CN"/>
        </w:rPr>
        <w:t>m厚黏土层（渗透系数不大于10</w:t>
      </w:r>
      <w:r>
        <w:rPr>
          <w:rFonts w:hint="default"/>
          <w:color w:val="auto"/>
          <w:highlight w:val="none"/>
          <w:vertAlign w:val="superscript"/>
          <w:lang w:val="en-US" w:eastAsia="zh-CN"/>
        </w:rPr>
        <w:t>-7</w:t>
      </w:r>
      <w:r>
        <w:rPr>
          <w:rFonts w:hint="default"/>
          <w:color w:val="auto"/>
          <w:highlight w:val="none"/>
          <w:lang w:val="en-US" w:eastAsia="zh-CN"/>
        </w:rPr>
        <w:t>cm/s），或至少2mm厚高密度聚乙烯膜等人工防渗材料（渗透系数不大于10</w:t>
      </w:r>
      <w:r>
        <w:rPr>
          <w:rFonts w:hint="default"/>
          <w:color w:val="auto"/>
          <w:highlight w:val="none"/>
          <w:vertAlign w:val="superscript"/>
          <w:lang w:val="en-US" w:eastAsia="zh-CN"/>
        </w:rPr>
        <w:t>-1</w:t>
      </w:r>
      <w:r>
        <w:rPr>
          <w:rFonts w:hint="eastAsia"/>
          <w:color w:val="auto"/>
          <w:highlight w:val="none"/>
          <w:vertAlign w:val="superscript"/>
          <w:lang w:val="en-US" w:eastAsia="zh-CN"/>
        </w:rPr>
        <w:t>0</w:t>
      </w:r>
      <w:r>
        <w:rPr>
          <w:rFonts w:hint="default"/>
          <w:color w:val="auto"/>
          <w:highlight w:val="none"/>
          <w:lang w:val="en-US" w:eastAsia="zh-CN"/>
        </w:rPr>
        <w:t>cm/s），或其他防渗性能等效的材料。根据危险废物产生量、贮存期限等分析、危险废物贮存</w:t>
      </w:r>
      <w:r>
        <w:rPr>
          <w:rFonts w:hint="eastAsia"/>
          <w:color w:val="auto"/>
          <w:highlight w:val="none"/>
          <w:lang w:val="en-US" w:eastAsia="zh-CN"/>
        </w:rPr>
        <w:t>点</w:t>
      </w:r>
      <w:r>
        <w:rPr>
          <w:rFonts w:hint="default"/>
          <w:color w:val="auto"/>
          <w:highlight w:val="none"/>
          <w:lang w:val="en-US" w:eastAsia="zh-CN"/>
        </w:rPr>
        <w:t>的</w:t>
      </w:r>
      <w:r>
        <w:rPr>
          <w:rFonts w:hint="eastAsia"/>
          <w:color w:val="auto"/>
          <w:highlight w:val="none"/>
          <w:lang w:val="en-US" w:eastAsia="zh-CN"/>
        </w:rPr>
        <w:t>贮存</w:t>
      </w:r>
      <w:r>
        <w:rPr>
          <w:rFonts w:hint="default"/>
          <w:color w:val="auto"/>
          <w:highlight w:val="none"/>
          <w:lang w:val="en-US" w:eastAsia="zh-CN"/>
        </w:rPr>
        <w:t>能力</w:t>
      </w:r>
      <w:r>
        <w:rPr>
          <w:rFonts w:hint="eastAsia"/>
          <w:color w:val="auto"/>
          <w:highlight w:val="none"/>
          <w:lang w:val="en-US" w:eastAsia="zh-CN"/>
        </w:rPr>
        <w:t>能够</w:t>
      </w:r>
      <w:r>
        <w:rPr>
          <w:rFonts w:hint="default"/>
          <w:color w:val="auto"/>
          <w:highlight w:val="none"/>
          <w:lang w:val="en-US" w:eastAsia="zh-CN"/>
        </w:rPr>
        <w:t>满足要求</w:t>
      </w:r>
      <w:r>
        <w:rPr>
          <w:rFonts w:hint="eastAsia"/>
          <w:color w:val="auto"/>
          <w:highlight w:val="none"/>
          <w:lang w:val="en-US" w:eastAsia="zh-CN"/>
        </w:rPr>
        <w:t>。运输过程中应密闭运输，避免散落，按照以上措施</w:t>
      </w:r>
      <w:r>
        <w:rPr>
          <w:rFonts w:hint="default"/>
          <w:color w:val="auto"/>
          <w:highlight w:val="none"/>
          <w:lang w:val="en-US" w:eastAsia="zh-CN"/>
        </w:rPr>
        <w:t>危险废物贮存过程中</w:t>
      </w:r>
      <w:r>
        <w:rPr>
          <w:rFonts w:hint="eastAsia"/>
          <w:color w:val="auto"/>
          <w:highlight w:val="none"/>
          <w:lang w:val="en-US" w:eastAsia="zh-CN"/>
        </w:rPr>
        <w:t>不会</w:t>
      </w:r>
      <w:r>
        <w:rPr>
          <w:rFonts w:hint="default"/>
          <w:color w:val="auto"/>
          <w:highlight w:val="none"/>
          <w:lang w:val="en-US" w:eastAsia="zh-CN"/>
        </w:rPr>
        <w:t>对环境空气、地表水、地下水、土壤以及环境敏感保护目标造成影响。</w:t>
      </w:r>
      <w:r>
        <w:rPr>
          <w:rFonts w:hint="eastAsia"/>
          <w:color w:val="auto"/>
          <w:highlight w:val="none"/>
          <w:lang w:val="en-US" w:eastAsia="zh-CN"/>
        </w:rPr>
        <w:t>本项目</w:t>
      </w:r>
      <w:r>
        <w:rPr>
          <w:color w:val="auto"/>
          <w:highlight w:val="none"/>
          <w:lang w:val="en-US" w:eastAsia="zh-CN"/>
        </w:rPr>
        <w:t>固体废物100%处置，本项目运营期产生的固体废物对周围环境影响较小。</w:t>
      </w:r>
    </w:p>
    <w:p w14:paraId="57855BBD">
      <w:pPr>
        <w:pStyle w:val="4"/>
        <w:bidi w:val="0"/>
        <w:rPr>
          <w:color w:val="auto"/>
          <w:highlight w:val="none"/>
        </w:rPr>
      </w:pPr>
      <w:bookmarkStart w:id="307" w:name="_Toc3162"/>
      <w:r>
        <w:rPr>
          <w:color w:val="auto"/>
          <w:highlight w:val="none"/>
        </w:rPr>
        <w:t>5.2.6生态环境影响分析</w:t>
      </w:r>
      <w:bookmarkEnd w:id="307"/>
    </w:p>
    <w:p w14:paraId="65753657">
      <w:pPr>
        <w:bidi w:val="0"/>
        <w:rPr>
          <w:color w:val="auto"/>
          <w:highlight w:val="none"/>
        </w:rPr>
      </w:pPr>
      <w:r>
        <w:rPr>
          <w:color w:val="auto"/>
          <w:highlight w:val="none"/>
        </w:rPr>
        <w:t>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color w:val="auto"/>
          <w:highlight w:val="none"/>
        </w:rPr>
        <w:t>，项目占地类型为</w:t>
      </w:r>
      <w:r>
        <w:rPr>
          <w:rFonts w:hint="eastAsia"/>
          <w:color w:val="auto"/>
          <w:highlight w:val="none"/>
          <w:lang w:val="en-US" w:eastAsia="zh-CN"/>
        </w:rPr>
        <w:t>建设用地（街巷用地）</w:t>
      </w:r>
      <w:r>
        <w:rPr>
          <w:color w:val="auto"/>
          <w:highlight w:val="none"/>
        </w:rPr>
        <w:t>，区域内无珍稀、濒危动植物，生态环境比较简单，通过及时恢复地表植被、地面硬化措施，不会导致项目区的水土流失量增加。因此，从生态环境影响分析，本项目的建设是可行的。</w:t>
      </w:r>
    </w:p>
    <w:p w14:paraId="25F23D7B">
      <w:pPr>
        <w:keepNext/>
        <w:keepLines/>
        <w:ind w:firstLine="0" w:firstLineChars="0"/>
        <w:jc w:val="left"/>
        <w:outlineLvl w:val="2"/>
        <w:rPr>
          <w:rFonts w:cs="Times New Roman"/>
          <w:snapToGrid w:val="0"/>
          <w:color w:val="auto"/>
          <w:highlight w:val="none"/>
        </w:rPr>
      </w:pPr>
      <w:bookmarkStart w:id="308" w:name="_Toc16397"/>
      <w:r>
        <w:rPr>
          <w:rFonts w:eastAsia="黑体" w:cs="Times New Roman"/>
          <w:bCs/>
          <w:snapToGrid w:val="0"/>
          <w:color w:val="auto"/>
          <w:kern w:val="0"/>
          <w:szCs w:val="32"/>
          <w:highlight w:val="none"/>
        </w:rPr>
        <w:t>5.2.7风险环境影响分析</w:t>
      </w:r>
      <w:bookmarkEnd w:id="308"/>
      <w:bookmarkStart w:id="309" w:name="_Toc480447673"/>
    </w:p>
    <w:p w14:paraId="43496B38">
      <w:pPr>
        <w:rPr>
          <w:rFonts w:cs="Times New Roman"/>
          <w:color w:val="auto"/>
          <w:highlight w:val="none"/>
        </w:rPr>
      </w:pPr>
      <w:r>
        <w:rPr>
          <w:rFonts w:cs="Times New Roman"/>
          <w:snapToGrid w:val="0"/>
          <w:color w:val="auto"/>
          <w:highlight w:val="none"/>
        </w:rPr>
        <w:t>根据2.3.7小节，</w:t>
      </w:r>
      <w:r>
        <w:rPr>
          <w:rFonts w:cs="Times New Roman"/>
          <w:color w:val="auto"/>
          <w:highlight w:val="none"/>
        </w:rPr>
        <w:t>环境风险评价等级确定为简单分析</w:t>
      </w:r>
    </w:p>
    <w:p w14:paraId="4C42A47F">
      <w:pPr>
        <w:rPr>
          <w:rFonts w:cs="Times New Roman"/>
          <w:b/>
          <w:bCs/>
          <w:color w:val="auto"/>
          <w:kern w:val="0"/>
          <w:szCs w:val="24"/>
          <w:highlight w:val="none"/>
          <w:lang w:bidi="ar"/>
        </w:rPr>
      </w:pPr>
      <w:r>
        <w:rPr>
          <w:rFonts w:cs="Times New Roman"/>
          <w:color w:val="auto"/>
          <w:szCs w:val="24"/>
          <w:highlight w:val="none"/>
        </w:rPr>
        <w:t>根据《建设项目环境风险评价技术导则》（HJ169-2018）附录A，简单分析基本内容详见下表。</w:t>
      </w:r>
    </w:p>
    <w:p w14:paraId="66C2A71B">
      <w:pPr>
        <w:widowControl/>
        <w:spacing w:before="163" w:beforeLines="50" w:line="240" w:lineRule="auto"/>
        <w:ind w:firstLine="0" w:firstLineChars="0"/>
        <w:jc w:val="center"/>
        <w:rPr>
          <w:rFonts w:cs="Times New Roman"/>
          <w:b/>
          <w:bCs/>
          <w:color w:val="auto"/>
          <w:kern w:val="0"/>
          <w:szCs w:val="24"/>
          <w:highlight w:val="none"/>
          <w:lang w:bidi="ar"/>
        </w:rPr>
      </w:pPr>
      <w:r>
        <w:rPr>
          <w:rFonts w:cs="Times New Roman"/>
          <w:b/>
          <w:bCs/>
          <w:color w:val="auto"/>
          <w:kern w:val="0"/>
          <w:szCs w:val="24"/>
          <w:highlight w:val="none"/>
          <w:lang w:bidi="ar"/>
        </w:rPr>
        <w:t>表5</w:t>
      </w:r>
      <w:r>
        <w:rPr>
          <w:rFonts w:hint="eastAsia" w:cs="Times New Roman"/>
          <w:b/>
          <w:bCs/>
          <w:color w:val="auto"/>
          <w:kern w:val="0"/>
          <w:szCs w:val="24"/>
          <w:highlight w:val="none"/>
          <w:lang w:val="en-US" w:eastAsia="zh-CN" w:bidi="ar"/>
        </w:rPr>
        <w:t>.</w:t>
      </w:r>
      <w:r>
        <w:rPr>
          <w:rFonts w:cs="Times New Roman"/>
          <w:b/>
          <w:bCs/>
          <w:color w:val="auto"/>
          <w:kern w:val="0"/>
          <w:szCs w:val="24"/>
          <w:highlight w:val="none"/>
          <w:lang w:bidi="ar"/>
        </w:rPr>
        <w:t>2-</w:t>
      </w:r>
      <w:r>
        <w:rPr>
          <w:rFonts w:hint="eastAsia" w:cs="Times New Roman"/>
          <w:b/>
          <w:bCs/>
          <w:color w:val="auto"/>
          <w:kern w:val="0"/>
          <w:szCs w:val="24"/>
          <w:highlight w:val="none"/>
          <w:lang w:val="en-US" w:eastAsia="zh-CN" w:bidi="ar"/>
        </w:rPr>
        <w:t>11</w:t>
      </w:r>
      <w:r>
        <w:rPr>
          <w:rFonts w:cs="Times New Roman"/>
          <w:b/>
          <w:bCs/>
          <w:color w:val="auto"/>
          <w:kern w:val="0"/>
          <w:szCs w:val="24"/>
          <w:highlight w:val="none"/>
          <w:lang w:bidi="ar"/>
        </w:rPr>
        <w:t xml:space="preserve">   建设项目环境风险简单分析内容表</w:t>
      </w:r>
    </w:p>
    <w:tbl>
      <w:tblPr>
        <w:tblStyle w:val="47"/>
        <w:tblW w:w="849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1763"/>
        <w:gridCol w:w="1720"/>
        <w:gridCol w:w="1241"/>
        <w:gridCol w:w="1212"/>
        <w:gridCol w:w="1428"/>
      </w:tblGrid>
      <w:tr w14:paraId="273080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667" w:type="pct"/>
            <w:tcBorders>
              <w:top w:val="single" w:color="auto" w:sz="12" w:space="0"/>
              <w:left w:val="nil"/>
              <w:bottom w:val="single" w:color="auto" w:sz="4" w:space="0"/>
              <w:right w:val="single" w:color="auto" w:sz="4" w:space="0"/>
            </w:tcBorders>
            <w:vAlign w:val="center"/>
          </w:tcPr>
          <w:p w14:paraId="5C2DB4F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项目名称</w:t>
            </w:r>
          </w:p>
        </w:tc>
        <w:tc>
          <w:tcPr>
            <w:tcW w:w="4332" w:type="pct"/>
            <w:gridSpan w:val="5"/>
            <w:tcBorders>
              <w:top w:val="single" w:color="auto" w:sz="12" w:space="0"/>
              <w:left w:val="single" w:color="auto" w:sz="4" w:space="0"/>
              <w:bottom w:val="single" w:color="auto" w:sz="4" w:space="0"/>
              <w:right w:val="nil"/>
            </w:tcBorders>
            <w:vAlign w:val="center"/>
          </w:tcPr>
          <w:p w14:paraId="43910A9C">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双鸭山市兴昌屠宰有限公司建设项目</w:t>
            </w:r>
          </w:p>
        </w:tc>
      </w:tr>
      <w:tr w14:paraId="50BD22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667" w:type="pct"/>
            <w:tcBorders>
              <w:top w:val="single" w:color="auto" w:sz="4" w:space="0"/>
              <w:left w:val="nil"/>
              <w:bottom w:val="single" w:color="auto" w:sz="4" w:space="0"/>
              <w:right w:val="single" w:color="auto" w:sz="4" w:space="0"/>
            </w:tcBorders>
            <w:vAlign w:val="center"/>
          </w:tcPr>
          <w:p w14:paraId="0EEBAFC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建设地点</w:t>
            </w:r>
          </w:p>
        </w:tc>
        <w:tc>
          <w:tcPr>
            <w:tcW w:w="1037" w:type="pct"/>
            <w:tcBorders>
              <w:top w:val="single" w:color="auto" w:sz="4" w:space="0"/>
              <w:left w:val="single" w:color="auto" w:sz="4" w:space="0"/>
              <w:bottom w:val="single" w:color="auto" w:sz="4" w:space="0"/>
              <w:right w:val="single" w:color="auto" w:sz="4" w:space="0"/>
            </w:tcBorders>
            <w:vAlign w:val="center"/>
          </w:tcPr>
          <w:p w14:paraId="6933568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（黑龙江）省</w:t>
            </w:r>
          </w:p>
        </w:tc>
        <w:tc>
          <w:tcPr>
            <w:tcW w:w="1011" w:type="pct"/>
            <w:tcBorders>
              <w:top w:val="single" w:color="auto" w:sz="4" w:space="0"/>
              <w:left w:val="single" w:color="auto" w:sz="4" w:space="0"/>
              <w:bottom w:val="single" w:color="auto" w:sz="4" w:space="0"/>
              <w:right w:val="single" w:color="auto" w:sz="4" w:space="0"/>
            </w:tcBorders>
            <w:vAlign w:val="center"/>
          </w:tcPr>
          <w:p w14:paraId="3D58737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r>
              <w:rPr>
                <w:rFonts w:hint="eastAsia" w:cs="Times New Roman"/>
                <w:color w:val="auto"/>
                <w:sz w:val="21"/>
                <w:szCs w:val="21"/>
                <w:highlight w:val="none"/>
                <w:lang w:val="en-US" w:eastAsia="zh-CN"/>
              </w:rPr>
              <w:t>双鸭山</w:t>
            </w:r>
            <w:r>
              <w:rPr>
                <w:rFonts w:cs="Times New Roman"/>
                <w:color w:val="auto"/>
                <w:sz w:val="21"/>
                <w:szCs w:val="21"/>
                <w:highlight w:val="none"/>
              </w:rPr>
              <w:t>）市</w:t>
            </w:r>
          </w:p>
        </w:tc>
        <w:tc>
          <w:tcPr>
            <w:tcW w:w="730" w:type="pct"/>
            <w:tcBorders>
              <w:top w:val="single" w:color="auto" w:sz="4" w:space="0"/>
              <w:left w:val="single" w:color="auto" w:sz="4" w:space="0"/>
              <w:bottom w:val="single" w:color="auto" w:sz="4" w:space="0"/>
              <w:right w:val="single" w:color="auto" w:sz="4" w:space="0"/>
            </w:tcBorders>
            <w:vAlign w:val="center"/>
          </w:tcPr>
          <w:p w14:paraId="6E4246B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r>
              <w:rPr>
                <w:rFonts w:hint="eastAsia" w:cs="Times New Roman"/>
                <w:color w:val="auto"/>
                <w:sz w:val="21"/>
                <w:szCs w:val="21"/>
                <w:highlight w:val="none"/>
                <w:lang w:val="en-US" w:eastAsia="zh-CN"/>
              </w:rPr>
              <w:t>岭东</w:t>
            </w:r>
            <w:r>
              <w:rPr>
                <w:rFonts w:cs="Times New Roman"/>
                <w:color w:val="auto"/>
                <w:sz w:val="21"/>
                <w:szCs w:val="21"/>
                <w:highlight w:val="none"/>
              </w:rPr>
              <w:t>）区</w:t>
            </w:r>
          </w:p>
        </w:tc>
        <w:tc>
          <w:tcPr>
            <w:tcW w:w="713" w:type="pct"/>
            <w:tcBorders>
              <w:top w:val="single" w:color="auto" w:sz="4" w:space="0"/>
              <w:left w:val="single" w:color="auto" w:sz="4" w:space="0"/>
              <w:bottom w:val="single" w:color="auto" w:sz="4" w:space="0"/>
              <w:right w:val="single" w:color="auto" w:sz="4" w:space="0"/>
            </w:tcBorders>
            <w:vAlign w:val="center"/>
          </w:tcPr>
          <w:p w14:paraId="36C7F94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（）县</w:t>
            </w:r>
          </w:p>
        </w:tc>
        <w:tc>
          <w:tcPr>
            <w:tcW w:w="840" w:type="pct"/>
            <w:tcBorders>
              <w:top w:val="single" w:color="auto" w:sz="4" w:space="0"/>
              <w:left w:val="single" w:color="auto" w:sz="4" w:space="0"/>
              <w:bottom w:val="single" w:color="auto" w:sz="4" w:space="0"/>
              <w:right w:val="nil"/>
            </w:tcBorders>
            <w:vAlign w:val="center"/>
          </w:tcPr>
          <w:p w14:paraId="7E5627E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（）园区</w:t>
            </w:r>
          </w:p>
        </w:tc>
      </w:tr>
      <w:tr w14:paraId="691C79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667" w:type="pct"/>
            <w:tcBorders>
              <w:top w:val="single" w:color="auto" w:sz="4" w:space="0"/>
              <w:left w:val="nil"/>
              <w:bottom w:val="single" w:color="auto" w:sz="4" w:space="0"/>
              <w:right w:val="single" w:color="auto" w:sz="4" w:space="0"/>
            </w:tcBorders>
            <w:vAlign w:val="center"/>
          </w:tcPr>
          <w:p w14:paraId="3469880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地理坐标</w:t>
            </w:r>
          </w:p>
        </w:tc>
        <w:tc>
          <w:tcPr>
            <w:tcW w:w="1037" w:type="pct"/>
            <w:tcBorders>
              <w:top w:val="single" w:color="auto" w:sz="4" w:space="0"/>
              <w:left w:val="single" w:color="auto" w:sz="4" w:space="0"/>
              <w:bottom w:val="single" w:color="auto" w:sz="4" w:space="0"/>
              <w:right w:val="single" w:color="auto" w:sz="4" w:space="0"/>
            </w:tcBorders>
            <w:vAlign w:val="center"/>
          </w:tcPr>
          <w:p w14:paraId="6CD3B1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经度</w:t>
            </w:r>
          </w:p>
        </w:tc>
        <w:tc>
          <w:tcPr>
            <w:tcW w:w="1011" w:type="pct"/>
            <w:tcBorders>
              <w:top w:val="single" w:color="auto" w:sz="4" w:space="0"/>
              <w:left w:val="single" w:color="auto" w:sz="4" w:space="0"/>
              <w:bottom w:val="single" w:color="auto" w:sz="4" w:space="0"/>
              <w:right w:val="single" w:color="auto" w:sz="4" w:space="0"/>
            </w:tcBorders>
            <w:vAlign w:val="center"/>
          </w:tcPr>
          <w:p w14:paraId="26781CD6">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131.14963963°</w:t>
            </w:r>
          </w:p>
        </w:tc>
        <w:tc>
          <w:tcPr>
            <w:tcW w:w="730" w:type="pct"/>
            <w:tcBorders>
              <w:top w:val="single" w:color="auto" w:sz="4" w:space="0"/>
              <w:left w:val="single" w:color="auto" w:sz="4" w:space="0"/>
              <w:bottom w:val="single" w:color="auto" w:sz="4" w:space="0"/>
              <w:right w:val="single" w:color="auto" w:sz="4" w:space="0"/>
            </w:tcBorders>
            <w:vAlign w:val="center"/>
          </w:tcPr>
          <w:p w14:paraId="40899F5C">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纬度</w:t>
            </w:r>
          </w:p>
        </w:tc>
        <w:tc>
          <w:tcPr>
            <w:tcW w:w="1553" w:type="pct"/>
            <w:gridSpan w:val="2"/>
            <w:tcBorders>
              <w:top w:val="single" w:color="auto" w:sz="4" w:space="0"/>
              <w:left w:val="single" w:color="auto" w:sz="4" w:space="0"/>
              <w:bottom w:val="single" w:color="auto" w:sz="4" w:space="0"/>
              <w:right w:val="nil"/>
            </w:tcBorders>
            <w:vAlign w:val="center"/>
          </w:tcPr>
          <w:p w14:paraId="15C15C01">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46.55711658°</w:t>
            </w:r>
          </w:p>
        </w:tc>
      </w:tr>
      <w:tr w14:paraId="7F9D85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8" w:hRule="atLeast"/>
          <w:jc w:val="center"/>
        </w:trPr>
        <w:tc>
          <w:tcPr>
            <w:tcW w:w="667" w:type="pct"/>
            <w:tcBorders>
              <w:top w:val="single" w:color="auto" w:sz="4" w:space="0"/>
              <w:left w:val="nil"/>
              <w:bottom w:val="single" w:color="auto" w:sz="4" w:space="0"/>
              <w:right w:val="single" w:color="auto" w:sz="4" w:space="0"/>
            </w:tcBorders>
            <w:vAlign w:val="center"/>
          </w:tcPr>
          <w:p w14:paraId="57849A6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主要危险物质分布</w:t>
            </w:r>
          </w:p>
        </w:tc>
        <w:tc>
          <w:tcPr>
            <w:tcW w:w="4332" w:type="pct"/>
            <w:gridSpan w:val="5"/>
            <w:tcBorders>
              <w:top w:val="single" w:color="auto" w:sz="4" w:space="0"/>
              <w:left w:val="single" w:color="auto" w:sz="4" w:space="0"/>
              <w:bottom w:val="single" w:color="auto" w:sz="4" w:space="0"/>
              <w:right w:val="nil"/>
            </w:tcBorders>
            <w:vAlign w:val="center"/>
          </w:tcPr>
          <w:p w14:paraId="2292566C">
            <w:pPr>
              <w:pStyle w:val="117"/>
              <w:adjustRightInd w:val="0"/>
              <w:snapToGrid w:val="0"/>
              <w:spacing w:line="360" w:lineRule="exact"/>
              <w:ind w:firstLine="420"/>
              <w:rPr>
                <w:rFonts w:hint="eastAsia" w:cs="Times New Roman"/>
                <w:snapToGrid w:val="0"/>
                <w:color w:val="auto"/>
                <w:sz w:val="21"/>
                <w:szCs w:val="21"/>
                <w:highlight w:val="none"/>
                <w:lang w:eastAsia="zh-CN"/>
              </w:rPr>
            </w:pPr>
            <w:r>
              <w:rPr>
                <w:rFonts w:hint="eastAsia" w:cs="Times New Roman"/>
                <w:snapToGrid w:val="0"/>
                <w:color w:val="auto"/>
                <w:sz w:val="21"/>
                <w:szCs w:val="21"/>
                <w:highlight w:val="none"/>
                <w:lang w:val="en-US" w:eastAsia="zh-CN"/>
              </w:rPr>
              <w:t>污水处理站消毒工艺中使用的次氯酸钠，</w:t>
            </w:r>
            <w:r>
              <w:rPr>
                <w:rFonts w:hint="default" w:cs="Times New Roman"/>
                <w:snapToGrid w:val="0"/>
                <w:color w:val="auto"/>
                <w:sz w:val="21"/>
                <w:szCs w:val="21"/>
                <w:highlight w:val="none"/>
                <w:lang w:val="en-US" w:eastAsia="zh-CN"/>
              </w:rPr>
              <w:t>屠宰车间和待宰圈产生的氨气和硫化氢</w:t>
            </w:r>
            <w:r>
              <w:rPr>
                <w:rFonts w:hint="eastAsia" w:cs="Times New Roman"/>
                <w:snapToGrid w:val="0"/>
                <w:color w:val="auto"/>
                <w:sz w:val="21"/>
                <w:szCs w:val="21"/>
                <w:highlight w:val="none"/>
                <w:lang w:val="en-US" w:eastAsia="zh-CN"/>
              </w:rPr>
              <w:t>，危险废物（废润滑油）、在线监测废液</w:t>
            </w:r>
          </w:p>
        </w:tc>
      </w:tr>
      <w:tr w14:paraId="0B6314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48" w:hRule="atLeast"/>
          <w:jc w:val="center"/>
        </w:trPr>
        <w:tc>
          <w:tcPr>
            <w:tcW w:w="667" w:type="pct"/>
            <w:tcBorders>
              <w:top w:val="single" w:color="auto" w:sz="4" w:space="0"/>
              <w:left w:val="nil"/>
              <w:bottom w:val="single" w:color="auto" w:sz="4" w:space="0"/>
              <w:right w:val="single" w:color="auto" w:sz="4" w:space="0"/>
            </w:tcBorders>
            <w:vAlign w:val="center"/>
          </w:tcPr>
          <w:p w14:paraId="2EB090D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影响途径及危害后果</w:t>
            </w:r>
          </w:p>
        </w:tc>
        <w:tc>
          <w:tcPr>
            <w:tcW w:w="4332" w:type="pct"/>
            <w:gridSpan w:val="5"/>
            <w:tcBorders>
              <w:top w:val="single" w:color="auto" w:sz="4" w:space="0"/>
              <w:left w:val="single" w:color="auto" w:sz="4" w:space="0"/>
              <w:bottom w:val="single" w:color="auto" w:sz="4" w:space="0"/>
              <w:right w:val="nil"/>
            </w:tcBorders>
            <w:vAlign w:val="center"/>
          </w:tcPr>
          <w:p w14:paraId="3BD5EFF2">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当发生污水站突发性环境事故时，废水未经处理直接进入外环境造成地下水及土壤的污染，引起病毒细菌等有害物质的直接扩散，对接触人群造成感染性传播等危险。如果污水管道、池体防渗措施不到位，发生污水渗漏将对地下水造成严重污染。渗漏的污水中含有大量大肠杆菌、链球菌、葡萄球菌等与人体健康有关的细菌，将会污染到地下水，造成地下水中有机物、细菌病毒等超标，并通过人的饮用将对人体健康产生危害。</w:t>
            </w:r>
          </w:p>
          <w:p w14:paraId="3F9CE808">
            <w:pPr>
              <w:pStyle w:val="117"/>
              <w:adjustRightInd w:val="0"/>
              <w:snapToGrid w:val="0"/>
              <w:spacing w:line="360" w:lineRule="exact"/>
              <w:ind w:firstLine="420"/>
              <w:rPr>
                <w:rFonts w:hint="default" w:ascii="Times New Roman" w:hAnsi="Times New Roman" w:eastAsia="宋体" w:cs="Times New Roman"/>
                <w:snapToGrid w:val="0"/>
                <w:color w:val="auto"/>
                <w:sz w:val="21"/>
                <w:szCs w:val="21"/>
                <w:highlight w:val="none"/>
              </w:rPr>
            </w:pPr>
            <w:r>
              <w:rPr>
                <w:rFonts w:cs="Times New Roman"/>
                <w:snapToGrid w:val="0"/>
                <w:color w:val="auto"/>
                <w:sz w:val="21"/>
                <w:szCs w:val="21"/>
                <w:highlight w:val="none"/>
              </w:rPr>
              <w:t>事故状态下，</w:t>
            </w:r>
            <w:r>
              <w:rPr>
                <w:rFonts w:hint="eastAsia" w:cs="Times New Roman"/>
                <w:snapToGrid w:val="0"/>
                <w:color w:val="auto"/>
                <w:sz w:val="21"/>
                <w:szCs w:val="21"/>
                <w:highlight w:val="none"/>
                <w:lang w:val="en-US" w:eastAsia="zh-CN"/>
              </w:rPr>
              <w:t>次氯酸钠</w:t>
            </w:r>
            <w:r>
              <w:rPr>
                <w:rFonts w:cs="Times New Roman"/>
                <w:snapToGrid w:val="0"/>
                <w:color w:val="auto"/>
                <w:sz w:val="21"/>
                <w:szCs w:val="21"/>
                <w:highlight w:val="none"/>
              </w:rPr>
              <w:t>挥发，有毒性和刺激性，直接接触液体或高浓度蒸气可能引发</w:t>
            </w:r>
            <w:r>
              <w:rPr>
                <w:rFonts w:hint="default" w:cs="Times New Roman"/>
                <w:snapToGrid w:val="0"/>
                <w:color w:val="auto"/>
                <w:sz w:val="21"/>
                <w:szCs w:val="21"/>
                <w:highlight w:val="none"/>
              </w:rPr>
              <w:t>灼伤、红肿、疼痛，严重时导致组织坏死或视力损伤。</w:t>
            </w:r>
            <w:r>
              <w:rPr>
                <w:rFonts w:cs="Times New Roman"/>
                <w:snapToGrid w:val="0"/>
                <w:color w:val="auto"/>
                <w:sz w:val="21"/>
                <w:szCs w:val="21"/>
                <w:highlight w:val="none"/>
              </w:rPr>
              <w:t>吸入次氯酸钠挥发的气体（如氯气）会刺激呼吸道，引发咳嗽、呼吸困难，高浓度下可能导致</w:t>
            </w:r>
            <w:r>
              <w:rPr>
                <w:rFonts w:hint="default" w:cs="Times New Roman"/>
                <w:snapToGrid w:val="0"/>
                <w:color w:val="auto"/>
                <w:sz w:val="21"/>
                <w:szCs w:val="21"/>
                <w:highlight w:val="none"/>
              </w:rPr>
              <w:t>肺水肿。</w:t>
            </w:r>
            <w:r>
              <w:rPr>
                <w:rFonts w:cs="Times New Roman"/>
                <w:snapToGrid w:val="0"/>
                <w:color w:val="auto"/>
                <w:sz w:val="21"/>
                <w:szCs w:val="21"/>
                <w:highlight w:val="none"/>
              </w:rPr>
              <w:t>误服后可能灼伤口腔、食道和胃黏膜，引发恶心、呕吐、腹痛，严重时可导致</w:t>
            </w:r>
            <w:r>
              <w:rPr>
                <w:rFonts w:hint="default" w:cs="Times New Roman"/>
                <w:snapToGrid w:val="0"/>
                <w:color w:val="auto"/>
                <w:sz w:val="21"/>
                <w:szCs w:val="21"/>
                <w:highlight w:val="none"/>
              </w:rPr>
              <w:t>休克或器官</w:t>
            </w:r>
            <w:r>
              <w:rPr>
                <w:rFonts w:hint="default" w:ascii="Times New Roman" w:hAnsi="Times New Roman" w:eastAsia="宋体" w:cs="Times New Roman"/>
                <w:snapToGrid w:val="0"/>
                <w:color w:val="auto"/>
                <w:sz w:val="21"/>
                <w:szCs w:val="21"/>
                <w:highlight w:val="none"/>
              </w:rPr>
              <w:t>衰竭</w:t>
            </w:r>
          </w:p>
          <w:p w14:paraId="1032E743">
            <w:pPr>
              <w:pStyle w:val="117"/>
              <w:adjustRightInd w:val="0"/>
              <w:snapToGrid w:val="0"/>
              <w:spacing w:line="360" w:lineRule="exact"/>
              <w:ind w:firstLine="420"/>
              <w:rPr>
                <w:rFonts w:ascii="Times New Roman" w:hAnsi="Times New Roman" w:eastAsia="宋体" w:cs="Times New Roman"/>
                <w:snapToGrid w:val="0"/>
                <w:color w:val="auto"/>
                <w:sz w:val="21"/>
                <w:szCs w:val="21"/>
                <w:highlight w:val="none"/>
              </w:rPr>
            </w:pPr>
            <w:r>
              <w:rPr>
                <w:rFonts w:ascii="Times New Roman" w:hAnsi="Times New Roman" w:eastAsia="宋体" w:cs="Times New Roman"/>
                <w:snapToGrid w:val="0"/>
                <w:color w:val="auto"/>
                <w:sz w:val="21"/>
                <w:szCs w:val="21"/>
                <w:highlight w:val="none"/>
              </w:rPr>
              <w:t>氨气易溶于水，接触眼睛、鼻、喉的湿润黏膜后，迅速溶解形成碱性化合物，造成刺激和腐蚀。在高浓度环境下，可引起化学性支气管炎、肺炎、肺水肿，导致呼吸困难、窒息，甚至死亡。</w:t>
            </w:r>
          </w:p>
          <w:p w14:paraId="45F6C134">
            <w:pPr>
              <w:pStyle w:val="117"/>
              <w:adjustRightInd w:val="0"/>
              <w:snapToGrid w:val="0"/>
              <w:spacing w:line="360" w:lineRule="exact"/>
              <w:ind w:firstLine="420"/>
              <w:rPr>
                <w:rFonts w:ascii="Times New Roman" w:hAnsi="Times New Roman" w:eastAsia="宋体" w:cs="Times New Roman"/>
                <w:snapToGrid w:val="0"/>
                <w:color w:val="auto"/>
                <w:sz w:val="21"/>
                <w:szCs w:val="21"/>
                <w:highlight w:val="none"/>
              </w:rPr>
            </w:pPr>
            <w:r>
              <w:rPr>
                <w:rFonts w:ascii="Times New Roman" w:hAnsi="Times New Roman" w:eastAsia="宋体" w:cs="Times New Roman"/>
                <w:snapToGrid w:val="0"/>
                <w:color w:val="auto"/>
                <w:sz w:val="21"/>
                <w:szCs w:val="21"/>
                <w:highlight w:val="none"/>
              </w:rPr>
              <w:t>硫化氢是强烈的细胞窒息剂。它进入人体后与细胞色素氧化酶中的三价铁结合，抑制该酶的活性，使细胞氧化过程受阻，导致组织缺氧，尤其是对大脑最为敏感。长期接触低浓度硫化氢，可引起头痛、头晕、乏力、记忆力减退等神经衰弱综合征及慢性角膜炎、支气管炎等。</w:t>
            </w:r>
          </w:p>
          <w:p w14:paraId="6D06B6E3">
            <w:pPr>
              <w:pStyle w:val="117"/>
              <w:adjustRightInd w:val="0"/>
              <w:snapToGrid w:val="0"/>
              <w:spacing w:line="360" w:lineRule="exact"/>
              <w:ind w:firstLine="420"/>
              <w:rPr>
                <w:rFonts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废润滑油</w:t>
            </w:r>
            <w:r>
              <w:rPr>
                <w:rFonts w:ascii="Times New Roman" w:hAnsi="Times New Roman" w:eastAsia="宋体" w:cs="Times New Roman"/>
                <w:snapToGrid w:val="0"/>
                <w:color w:val="auto"/>
                <w:sz w:val="21"/>
                <w:szCs w:val="21"/>
                <w:highlight w:val="none"/>
              </w:rPr>
              <w:t>通过雨水冲刷或渗漏进入地表水（河流、湖泊）或地下水。油类物质在水面形成油膜，隔绝氧气，导致水生生物因缺氧而死亡。有毒物质溶于水，直接毒害水生生物，并通过食物链富集，最终影响人类。</w:t>
            </w:r>
          </w:p>
          <w:p w14:paraId="01DA1DB9">
            <w:pPr>
              <w:pStyle w:val="117"/>
              <w:adjustRightInd w:val="0"/>
              <w:snapToGrid w:val="0"/>
              <w:spacing w:line="360" w:lineRule="exact"/>
              <w:ind w:firstLine="420"/>
              <w:rPr>
                <w:rFonts w:hint="default" w:ascii="Segoe UI" w:hAnsi="Segoe UI" w:eastAsia="宋体" w:cs="Segoe UI"/>
                <w:i w:val="0"/>
                <w:iCs w:val="0"/>
                <w:caps w:val="0"/>
                <w:color w:val="auto"/>
                <w:spacing w:val="0"/>
                <w:sz w:val="24"/>
                <w:szCs w:val="24"/>
                <w:highlight w:val="none"/>
                <w:shd w:val="clear" w:fill="151517"/>
                <w:lang w:val="en-US" w:eastAsia="zh-CN"/>
              </w:rPr>
            </w:pPr>
            <w:r>
              <w:rPr>
                <w:rFonts w:hint="eastAsia" w:ascii="Times New Roman" w:hAnsi="Times New Roman" w:eastAsia="宋体" w:cs="Times New Roman"/>
                <w:snapToGrid w:val="0"/>
                <w:color w:val="auto"/>
                <w:sz w:val="21"/>
                <w:szCs w:val="21"/>
                <w:highlight w:val="none"/>
                <w:lang w:val="en-US" w:eastAsia="zh-CN"/>
              </w:rPr>
              <w:t>在线监测废液</w:t>
            </w:r>
            <w:r>
              <w:rPr>
                <w:rFonts w:ascii="Times New Roman" w:hAnsi="Times New Roman" w:eastAsia="宋体" w:cs="Times New Roman"/>
                <w:snapToGrid w:val="0"/>
                <w:color w:val="auto"/>
                <w:sz w:val="21"/>
                <w:szCs w:val="21"/>
                <w:highlight w:val="none"/>
              </w:rPr>
              <w:t>虽然总量不大，但浓度高、毒性大，对受纳水体的微生物和动植物是毁灭性的，可能</w:t>
            </w:r>
            <w:r>
              <w:rPr>
                <w:rFonts w:hint="default" w:ascii="Times New Roman" w:hAnsi="Times New Roman" w:eastAsia="宋体" w:cs="Times New Roman"/>
                <w:snapToGrid w:val="0"/>
                <w:color w:val="auto"/>
                <w:sz w:val="21"/>
                <w:szCs w:val="21"/>
                <w:highlight w:val="none"/>
              </w:rPr>
              <w:t>导致局部水域生态系统的崩溃。</w:t>
            </w:r>
          </w:p>
        </w:tc>
      </w:tr>
      <w:tr w14:paraId="66C926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667" w:type="pct"/>
            <w:tcBorders>
              <w:top w:val="single" w:color="auto" w:sz="4" w:space="0"/>
              <w:left w:val="nil"/>
              <w:bottom w:val="single" w:color="auto" w:sz="12" w:space="0"/>
              <w:right w:val="single" w:color="auto" w:sz="4" w:space="0"/>
            </w:tcBorders>
            <w:vAlign w:val="center"/>
          </w:tcPr>
          <w:p w14:paraId="2A2A1AE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风险防范措施</w:t>
            </w:r>
          </w:p>
        </w:tc>
        <w:tc>
          <w:tcPr>
            <w:tcW w:w="4332" w:type="pct"/>
            <w:gridSpan w:val="5"/>
            <w:tcBorders>
              <w:top w:val="single" w:color="auto" w:sz="4" w:space="0"/>
              <w:left w:val="single" w:color="auto" w:sz="4" w:space="0"/>
              <w:bottom w:val="single" w:color="auto" w:sz="12" w:space="0"/>
              <w:right w:val="nil"/>
            </w:tcBorders>
            <w:vAlign w:val="center"/>
          </w:tcPr>
          <w:p w14:paraId="566BD5C8">
            <w:pPr>
              <w:pStyle w:val="117"/>
              <w:adjustRightInd w:val="0"/>
              <w:snapToGrid w:val="0"/>
              <w:spacing w:line="360" w:lineRule="exact"/>
              <w:ind w:firstLine="422"/>
              <w:rPr>
                <w:rFonts w:cs="Times New Roman"/>
                <w:b/>
                <w:bCs/>
                <w:snapToGrid w:val="0"/>
                <w:color w:val="auto"/>
                <w:sz w:val="21"/>
                <w:szCs w:val="21"/>
                <w:highlight w:val="none"/>
              </w:rPr>
            </w:pPr>
            <w:r>
              <w:rPr>
                <w:rFonts w:cs="Times New Roman"/>
                <w:b/>
                <w:bCs/>
                <w:snapToGrid w:val="0"/>
                <w:color w:val="auto"/>
                <w:sz w:val="21"/>
                <w:szCs w:val="21"/>
                <w:highlight w:val="none"/>
              </w:rPr>
              <w:t>1、地表水环境风险防范措施</w:t>
            </w:r>
          </w:p>
          <w:p w14:paraId="19CF3852">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1）事故池及污水处理站各个池体均为地埋式，加盖密闭，避免雨水进入；</w:t>
            </w:r>
          </w:p>
          <w:p w14:paraId="5E5D3EC8">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2）沿厂区边界设置截洪沟，以防暴雨冲击；</w:t>
            </w:r>
          </w:p>
          <w:p w14:paraId="27410BE7">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3）密切关注天气变化情况，如有强降雨来临，应提前准备防雨防洪等拦截设置。</w:t>
            </w:r>
          </w:p>
          <w:p w14:paraId="3A226D06">
            <w:pPr>
              <w:rPr>
                <w:rFonts w:hint="default" w:eastAsia="宋体"/>
                <w:color w:val="auto"/>
                <w:highlight w:val="none"/>
                <w:lang w:val="en-US" w:eastAsia="zh-CN"/>
              </w:rPr>
            </w:pPr>
            <w:r>
              <w:rPr>
                <w:rFonts w:hint="eastAsia" w:cs="Times New Roman"/>
                <w:snapToGrid w:val="0"/>
                <w:color w:val="auto"/>
                <w:sz w:val="21"/>
                <w:szCs w:val="21"/>
                <w:highlight w:val="none"/>
                <w:lang w:val="en-US" w:eastAsia="zh-CN"/>
              </w:rPr>
              <w:t>4）应注重危险废物的存放与地面防渗，防止由于保存不当出现环境风险。</w:t>
            </w:r>
          </w:p>
          <w:p w14:paraId="3E2F24F2">
            <w:pPr>
              <w:pStyle w:val="117"/>
              <w:adjustRightInd w:val="0"/>
              <w:snapToGrid w:val="0"/>
              <w:spacing w:line="360" w:lineRule="exact"/>
              <w:ind w:firstLine="422"/>
              <w:rPr>
                <w:rFonts w:cs="Times New Roman"/>
                <w:snapToGrid w:val="0"/>
                <w:color w:val="auto"/>
                <w:sz w:val="21"/>
                <w:szCs w:val="21"/>
                <w:highlight w:val="none"/>
              </w:rPr>
            </w:pPr>
            <w:r>
              <w:rPr>
                <w:rFonts w:cs="Times New Roman"/>
                <w:b/>
                <w:bCs/>
                <w:color w:val="auto"/>
                <w:sz w:val="21"/>
                <w:szCs w:val="21"/>
                <w:highlight w:val="none"/>
              </w:rPr>
              <w:t>2、地下水环境及土壤环境风险防范措施</w:t>
            </w:r>
          </w:p>
          <w:p w14:paraId="1636100F">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1）</w:t>
            </w:r>
            <w:r>
              <w:rPr>
                <w:rFonts w:cs="Times New Roman"/>
                <w:snapToGrid w:val="0"/>
                <w:color w:val="auto"/>
                <w:kern w:val="0"/>
                <w:sz w:val="21"/>
                <w:szCs w:val="21"/>
                <w:highlight w:val="none"/>
              </w:rPr>
              <w:t>加强施工期的管理，提高施工质量，确保管线、池体的工程质量，减少泄漏事故的发生；发生泄漏事故时应及时采取措施，将影响将至最低；</w:t>
            </w:r>
          </w:p>
          <w:p w14:paraId="6BDF1791">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2）分区防渗</w:t>
            </w:r>
          </w:p>
          <w:p w14:paraId="29E440D1">
            <w:pPr>
              <w:pStyle w:val="117"/>
              <w:adjustRightInd w:val="0"/>
              <w:snapToGrid w:val="0"/>
              <w:spacing w:line="360" w:lineRule="exact"/>
              <w:ind w:firstLine="420"/>
              <w:rPr>
                <w:rFonts w:cs="Times New Roman"/>
                <w:snapToGrid w:val="0"/>
                <w:color w:val="auto"/>
                <w:kern w:val="0"/>
                <w:sz w:val="21"/>
                <w:szCs w:val="21"/>
                <w:highlight w:val="none"/>
              </w:rPr>
            </w:pPr>
            <w:r>
              <w:rPr>
                <w:rFonts w:hint="eastAsia" w:cs="Times New Roman"/>
                <w:snapToGrid w:val="0"/>
                <w:color w:val="auto"/>
                <w:kern w:val="0"/>
                <w:sz w:val="21"/>
                <w:szCs w:val="21"/>
                <w:highlight w:val="none"/>
                <w:lang w:val="en-US" w:eastAsia="zh-CN"/>
              </w:rPr>
              <w:t>危险废物贮存点</w:t>
            </w:r>
            <w:r>
              <w:rPr>
                <w:rFonts w:ascii="Times New Roman" w:hAnsi="Times New Roman" w:eastAsia="宋体" w:cs="Times New Roman"/>
                <w:snapToGrid w:val="0"/>
                <w:color w:val="auto"/>
                <w:kern w:val="0"/>
                <w:sz w:val="21"/>
                <w:szCs w:val="21"/>
                <w:highlight w:val="none"/>
              </w:rPr>
              <w:t>按重点防渗区采取防渗措施。</w:t>
            </w:r>
            <w:r>
              <w:rPr>
                <w:rFonts w:hint="eastAsia" w:ascii="Times New Roman" w:hAnsi="Times New Roman" w:eastAsia="宋体" w:cs="Times New Roman"/>
                <w:snapToGrid w:val="0"/>
                <w:color w:val="auto"/>
                <w:kern w:val="0"/>
                <w:sz w:val="21"/>
                <w:szCs w:val="21"/>
                <w:highlight w:val="none"/>
                <w:lang w:eastAsia="zh-CN"/>
              </w:rPr>
              <w:t>参照《危险废物贮存污染控制标准》（GB18597-20</w:t>
            </w:r>
            <w:r>
              <w:rPr>
                <w:rFonts w:hint="eastAsia" w:ascii="Times New Roman" w:hAnsi="Times New Roman" w:eastAsia="宋体" w:cs="Times New Roman"/>
                <w:snapToGrid w:val="0"/>
                <w:color w:val="auto"/>
                <w:kern w:val="0"/>
                <w:sz w:val="21"/>
                <w:szCs w:val="21"/>
                <w:highlight w:val="none"/>
                <w:lang w:val="en-US" w:eastAsia="zh-CN"/>
              </w:rPr>
              <w:t>23</w:t>
            </w:r>
            <w:r>
              <w:rPr>
                <w:rFonts w:hint="eastAsia" w:ascii="Times New Roman" w:hAnsi="Times New Roman" w:eastAsia="宋体" w:cs="Times New Roman"/>
                <w:snapToGrid w:val="0"/>
                <w:color w:val="auto"/>
                <w:kern w:val="0"/>
                <w:sz w:val="21"/>
                <w:szCs w:val="21"/>
                <w:highlight w:val="none"/>
                <w:lang w:eastAsia="zh-CN"/>
              </w:rPr>
              <w:t>）执行，基</w:t>
            </w:r>
            <w:r>
              <w:rPr>
                <w:rFonts w:hint="eastAsia" w:cs="Times New Roman"/>
                <w:snapToGrid w:val="0"/>
                <w:color w:val="auto"/>
                <w:kern w:val="0"/>
                <w:sz w:val="21"/>
                <w:szCs w:val="21"/>
                <w:highlight w:val="none"/>
                <w:lang w:eastAsia="zh-CN"/>
              </w:rPr>
              <w:t>础必须防渗，防渗层为至少1m厚粘土层（渗透系数≤10</w:t>
            </w:r>
            <w:r>
              <w:rPr>
                <w:rFonts w:hint="eastAsia" w:cs="Times New Roman"/>
                <w:snapToGrid w:val="0"/>
                <w:color w:val="auto"/>
                <w:kern w:val="0"/>
                <w:sz w:val="21"/>
                <w:szCs w:val="21"/>
                <w:highlight w:val="none"/>
                <w:vertAlign w:val="superscript"/>
                <w:lang w:eastAsia="zh-CN"/>
              </w:rPr>
              <w:t>-7</w:t>
            </w:r>
            <w:r>
              <w:rPr>
                <w:rFonts w:hint="eastAsia" w:cs="Times New Roman"/>
                <w:snapToGrid w:val="0"/>
                <w:color w:val="auto"/>
                <w:kern w:val="0"/>
                <w:sz w:val="21"/>
                <w:szCs w:val="21"/>
                <w:highlight w:val="none"/>
                <w:lang w:eastAsia="zh-CN"/>
              </w:rPr>
              <w:t>cm/s），或2mm厚高密度聚乙烯，或至少2mm厚的其它人工材料，渗透系数≤10</w:t>
            </w:r>
            <w:r>
              <w:rPr>
                <w:rFonts w:hint="eastAsia" w:cs="Times New Roman"/>
                <w:snapToGrid w:val="0"/>
                <w:color w:val="auto"/>
                <w:kern w:val="0"/>
                <w:sz w:val="21"/>
                <w:szCs w:val="21"/>
                <w:highlight w:val="none"/>
                <w:vertAlign w:val="superscript"/>
                <w:lang w:eastAsia="zh-CN"/>
              </w:rPr>
              <w:t>-10</w:t>
            </w:r>
            <w:r>
              <w:rPr>
                <w:rFonts w:hint="eastAsia" w:cs="Times New Roman"/>
                <w:snapToGrid w:val="0"/>
                <w:color w:val="auto"/>
                <w:kern w:val="0"/>
                <w:sz w:val="21"/>
                <w:szCs w:val="21"/>
                <w:highlight w:val="none"/>
                <w:lang w:eastAsia="zh-CN"/>
              </w:rPr>
              <w:t>cm/s</w:t>
            </w:r>
            <w:r>
              <w:rPr>
                <w:rFonts w:cs="Times New Roman"/>
                <w:snapToGrid w:val="0"/>
                <w:color w:val="auto"/>
                <w:kern w:val="0"/>
                <w:sz w:val="21"/>
                <w:szCs w:val="21"/>
                <w:highlight w:val="none"/>
              </w:rPr>
              <w:t>；</w:t>
            </w:r>
          </w:p>
          <w:p w14:paraId="3C025CFA">
            <w:pPr>
              <w:pStyle w:val="117"/>
              <w:adjustRightInd w:val="0"/>
              <w:snapToGrid w:val="0"/>
              <w:spacing w:line="360" w:lineRule="exact"/>
              <w:ind w:firstLine="420"/>
              <w:rPr>
                <w:rFonts w:cs="Times New Roman"/>
                <w:snapToGrid w:val="0"/>
                <w:color w:val="auto"/>
                <w:kern w:val="0"/>
                <w:sz w:val="21"/>
                <w:szCs w:val="21"/>
                <w:highlight w:val="none"/>
              </w:rPr>
            </w:pPr>
            <w:r>
              <w:rPr>
                <w:rFonts w:hint="eastAsia" w:cs="Times New Roman"/>
                <w:color w:val="auto"/>
                <w:sz w:val="21"/>
                <w:szCs w:val="21"/>
                <w:highlight w:val="none"/>
                <w:lang w:eastAsia="zh-CN"/>
              </w:rPr>
              <w:t>生产车间（包含冷库）、隔离圈、</w:t>
            </w:r>
            <w:r>
              <w:rPr>
                <w:rFonts w:hint="eastAsia" w:cs="Times New Roman"/>
                <w:color w:val="auto"/>
                <w:sz w:val="21"/>
                <w:szCs w:val="21"/>
                <w:highlight w:val="none"/>
                <w:lang w:val="en-US" w:eastAsia="zh-CN"/>
              </w:rPr>
              <w:t>急宰间、</w:t>
            </w:r>
            <w:r>
              <w:rPr>
                <w:rFonts w:hint="eastAsia" w:cs="Times New Roman"/>
                <w:color w:val="auto"/>
                <w:sz w:val="21"/>
                <w:szCs w:val="21"/>
                <w:highlight w:val="none"/>
                <w:lang w:eastAsia="zh-CN"/>
              </w:rPr>
              <w:t>污水处理站、事故池及固体废物暂存间按一般防渗区采取防渗措施。基础防渗</w:t>
            </w:r>
            <w:r>
              <w:rPr>
                <w:rFonts w:cs="Times New Roman"/>
                <w:snapToGrid w:val="0"/>
                <w:color w:val="auto"/>
                <w:kern w:val="0"/>
                <w:sz w:val="21"/>
                <w:szCs w:val="21"/>
                <w:highlight w:val="none"/>
              </w:rPr>
              <w:t>，</w:t>
            </w:r>
            <w:r>
              <w:rPr>
                <w:rFonts w:cs="Times New Roman"/>
                <w:snapToGrid w:val="0"/>
                <w:color w:val="auto"/>
                <w:kern w:val="0"/>
                <w:sz w:val="21"/>
                <w:szCs w:val="21"/>
                <w:highlight w:val="none"/>
                <w:lang w:val="zh-CN"/>
              </w:rPr>
              <w:t>防渗层为至少1m厚粘土层或2mm厚高密度聚乙烯，</w:t>
            </w:r>
            <w:r>
              <w:rPr>
                <w:rFonts w:cs="Times New Roman"/>
                <w:snapToGrid w:val="0"/>
                <w:color w:val="auto"/>
                <w:kern w:val="0"/>
                <w:sz w:val="21"/>
                <w:szCs w:val="21"/>
                <w:highlight w:val="none"/>
              </w:rPr>
              <w:t>需满足等效黏土防渗层Mb≥1.5m，K≤1×10</w:t>
            </w:r>
            <w:r>
              <w:rPr>
                <w:rFonts w:cs="Times New Roman"/>
                <w:snapToGrid w:val="0"/>
                <w:color w:val="auto"/>
                <w:kern w:val="0"/>
                <w:sz w:val="21"/>
                <w:szCs w:val="21"/>
                <w:highlight w:val="none"/>
                <w:vertAlign w:val="superscript"/>
              </w:rPr>
              <w:t>-7</w:t>
            </w:r>
            <w:r>
              <w:rPr>
                <w:rFonts w:cs="Times New Roman"/>
                <w:snapToGrid w:val="0"/>
                <w:color w:val="auto"/>
                <w:kern w:val="0"/>
                <w:sz w:val="21"/>
                <w:szCs w:val="21"/>
                <w:highlight w:val="none"/>
              </w:rPr>
              <w:t>cm/s的要求，在做好基层防渗的基础上进行水泥硬化；</w:t>
            </w:r>
          </w:p>
          <w:p w14:paraId="08E59283">
            <w:pPr>
              <w:pStyle w:val="117"/>
              <w:adjustRightInd w:val="0"/>
              <w:snapToGrid w:val="0"/>
              <w:spacing w:line="360" w:lineRule="exact"/>
              <w:ind w:firstLine="420"/>
              <w:rPr>
                <w:rFonts w:cs="Times New Roman"/>
                <w:snapToGrid w:val="0"/>
                <w:color w:val="auto"/>
                <w:kern w:val="0"/>
                <w:sz w:val="21"/>
                <w:szCs w:val="21"/>
                <w:highlight w:val="none"/>
              </w:rPr>
            </w:pPr>
            <w:r>
              <w:rPr>
                <w:rFonts w:cs="Times New Roman"/>
                <w:snapToGrid w:val="0"/>
                <w:color w:val="auto"/>
                <w:kern w:val="0"/>
                <w:sz w:val="21"/>
                <w:szCs w:val="21"/>
                <w:highlight w:val="none"/>
              </w:rPr>
              <w:t>其他建筑物及道路采取简单防渗，对其地面采用混凝土进行一般地面硬化；</w:t>
            </w:r>
          </w:p>
          <w:p w14:paraId="76DCD325">
            <w:pPr>
              <w:pStyle w:val="117"/>
              <w:adjustRightInd w:val="0"/>
              <w:snapToGrid w:val="0"/>
              <w:spacing w:line="360" w:lineRule="exact"/>
              <w:ind w:firstLine="420"/>
              <w:rPr>
                <w:rFonts w:cs="Times New Roman"/>
                <w:snapToGrid w:val="0"/>
                <w:color w:val="auto"/>
                <w:kern w:val="0"/>
                <w:sz w:val="21"/>
                <w:szCs w:val="21"/>
                <w:highlight w:val="none"/>
              </w:rPr>
            </w:pPr>
            <w:r>
              <w:rPr>
                <w:rFonts w:cs="Times New Roman"/>
                <w:snapToGrid w:val="0"/>
                <w:color w:val="auto"/>
                <w:kern w:val="0"/>
                <w:sz w:val="21"/>
                <w:szCs w:val="21"/>
                <w:highlight w:val="none"/>
              </w:rPr>
              <w:t>污水管道采取防渗漏措施；</w:t>
            </w:r>
          </w:p>
          <w:p w14:paraId="2E630D22">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3）要有专人管理污水处理设备，发现设备不能正常运转，立刻停止生产，组织人员抢修，待设备正常运转后，方可生产；</w:t>
            </w:r>
          </w:p>
          <w:p w14:paraId="1C9B6CFC">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4）加强和强化公司安全检查和巡查体系的建立，定期、定点、定向的对公司所有存在安全隐患和环境风险隐患的设备设施进行安全排出和检查。对排查出的风险隐患要得到及时的处理，并作相关的记录，以便做到风险防范有帐可查；</w:t>
            </w:r>
          </w:p>
          <w:p w14:paraId="1661992E">
            <w:pPr>
              <w:pStyle w:val="117"/>
              <w:adjustRightInd w:val="0"/>
              <w:snapToGrid w:val="0"/>
              <w:spacing w:line="360" w:lineRule="exact"/>
              <w:ind w:firstLine="420"/>
              <w:rPr>
                <w:rFonts w:cs="Times New Roman"/>
                <w:snapToGrid w:val="0"/>
                <w:color w:val="auto"/>
                <w:kern w:val="0"/>
                <w:sz w:val="21"/>
                <w:szCs w:val="21"/>
                <w:highlight w:val="none"/>
              </w:rPr>
            </w:pPr>
            <w:r>
              <w:rPr>
                <w:rFonts w:cs="Times New Roman"/>
                <w:snapToGrid w:val="0"/>
                <w:color w:val="auto"/>
                <w:sz w:val="21"/>
                <w:szCs w:val="21"/>
                <w:highlight w:val="none"/>
              </w:rPr>
              <w:t>5）</w:t>
            </w:r>
            <w:r>
              <w:rPr>
                <w:rFonts w:cs="Times New Roman"/>
                <w:snapToGrid w:val="0"/>
                <w:color w:val="auto"/>
                <w:kern w:val="0"/>
                <w:sz w:val="21"/>
                <w:szCs w:val="21"/>
                <w:highlight w:val="none"/>
              </w:rPr>
              <w:t>设置事故池，有效容积为</w:t>
            </w:r>
            <w:r>
              <w:rPr>
                <w:rFonts w:hint="eastAsia" w:cs="Times New Roman"/>
                <w:snapToGrid w:val="0"/>
                <w:color w:val="auto"/>
                <w:kern w:val="0"/>
                <w:sz w:val="21"/>
                <w:szCs w:val="21"/>
                <w:highlight w:val="none"/>
                <w:lang w:val="en-US" w:eastAsia="zh-CN"/>
              </w:rPr>
              <w:t>50</w:t>
            </w:r>
            <w:r>
              <w:rPr>
                <w:rFonts w:cs="Times New Roman"/>
                <w:snapToGrid w:val="0"/>
                <w:color w:val="auto"/>
                <w:kern w:val="0"/>
                <w:sz w:val="21"/>
                <w:szCs w:val="21"/>
                <w:highlight w:val="none"/>
              </w:rPr>
              <w:t>m</w:t>
            </w:r>
            <w:r>
              <w:rPr>
                <w:rFonts w:cs="Times New Roman"/>
                <w:snapToGrid w:val="0"/>
                <w:color w:val="auto"/>
                <w:kern w:val="0"/>
                <w:sz w:val="21"/>
                <w:szCs w:val="21"/>
                <w:highlight w:val="none"/>
                <w:vertAlign w:val="superscript"/>
              </w:rPr>
              <w:t>3</w:t>
            </w:r>
            <w:r>
              <w:rPr>
                <w:rFonts w:cs="Times New Roman"/>
                <w:snapToGrid w:val="0"/>
                <w:color w:val="auto"/>
                <w:kern w:val="0"/>
                <w:sz w:val="21"/>
                <w:szCs w:val="21"/>
                <w:highlight w:val="none"/>
              </w:rPr>
              <w:t>，尺寸</w:t>
            </w:r>
            <w:r>
              <w:rPr>
                <w:rFonts w:hint="eastAsia" w:cs="Times New Roman"/>
                <w:snapToGrid w:val="0"/>
                <w:color w:val="auto"/>
                <w:kern w:val="0"/>
                <w:sz w:val="21"/>
                <w:szCs w:val="21"/>
                <w:highlight w:val="none"/>
                <w:lang w:val="en-US" w:eastAsia="zh-CN"/>
              </w:rPr>
              <w:t>5</w:t>
            </w:r>
            <w:r>
              <w:rPr>
                <w:rFonts w:cs="Times New Roman"/>
                <w:snapToGrid w:val="0"/>
                <w:color w:val="auto"/>
                <w:kern w:val="0"/>
                <w:sz w:val="21"/>
                <w:szCs w:val="21"/>
                <w:highlight w:val="none"/>
              </w:rPr>
              <w:t>m×</w:t>
            </w:r>
            <w:r>
              <w:rPr>
                <w:rFonts w:hint="eastAsia" w:cs="Times New Roman"/>
                <w:snapToGrid w:val="0"/>
                <w:color w:val="auto"/>
                <w:kern w:val="0"/>
                <w:sz w:val="21"/>
                <w:szCs w:val="21"/>
                <w:highlight w:val="none"/>
                <w:lang w:val="en-US" w:eastAsia="zh-CN"/>
              </w:rPr>
              <w:t>2.5</w:t>
            </w:r>
            <w:r>
              <w:rPr>
                <w:rFonts w:cs="Times New Roman"/>
                <w:snapToGrid w:val="0"/>
                <w:color w:val="auto"/>
                <w:kern w:val="0"/>
                <w:sz w:val="21"/>
                <w:szCs w:val="21"/>
                <w:highlight w:val="none"/>
              </w:rPr>
              <w:t>m×</w:t>
            </w:r>
            <w:r>
              <w:rPr>
                <w:rFonts w:hint="eastAsia" w:cs="Times New Roman"/>
                <w:snapToGrid w:val="0"/>
                <w:color w:val="auto"/>
                <w:kern w:val="0"/>
                <w:sz w:val="21"/>
                <w:szCs w:val="21"/>
                <w:highlight w:val="none"/>
                <w:lang w:val="en-US" w:eastAsia="zh-CN"/>
              </w:rPr>
              <w:t>4</w:t>
            </w:r>
            <w:r>
              <w:rPr>
                <w:rFonts w:cs="Times New Roman"/>
                <w:snapToGrid w:val="0"/>
                <w:color w:val="auto"/>
                <w:kern w:val="0"/>
                <w:sz w:val="21"/>
                <w:szCs w:val="21"/>
                <w:highlight w:val="none"/>
              </w:rPr>
              <w:t>m，可容纳</w:t>
            </w:r>
            <w:r>
              <w:rPr>
                <w:rFonts w:hint="eastAsia" w:cs="Times New Roman"/>
                <w:snapToGrid w:val="0"/>
                <w:color w:val="auto"/>
                <w:kern w:val="0"/>
                <w:sz w:val="21"/>
                <w:szCs w:val="21"/>
                <w:highlight w:val="none"/>
                <w:lang w:val="en-US" w:eastAsia="zh-CN"/>
              </w:rPr>
              <w:t>5h</w:t>
            </w:r>
            <w:r>
              <w:rPr>
                <w:rFonts w:cs="Times New Roman"/>
                <w:snapToGrid w:val="0"/>
                <w:color w:val="auto"/>
                <w:kern w:val="0"/>
                <w:sz w:val="21"/>
                <w:szCs w:val="21"/>
                <w:highlight w:val="none"/>
              </w:rPr>
              <w:t>的废水，位于污水处理站内</w:t>
            </w:r>
            <w:r>
              <w:rPr>
                <w:rFonts w:hint="eastAsia" w:cs="Times New Roman"/>
                <w:snapToGrid w:val="0"/>
                <w:color w:val="auto"/>
                <w:kern w:val="0"/>
                <w:sz w:val="21"/>
                <w:szCs w:val="21"/>
                <w:highlight w:val="none"/>
                <w:lang w:val="en-US" w:eastAsia="zh-CN"/>
              </w:rPr>
              <w:t>与调节池分隔开来</w:t>
            </w:r>
            <w:r>
              <w:rPr>
                <w:rFonts w:cs="Times New Roman"/>
                <w:snapToGrid w:val="0"/>
                <w:color w:val="auto"/>
                <w:kern w:val="0"/>
                <w:sz w:val="21"/>
                <w:szCs w:val="21"/>
                <w:highlight w:val="none"/>
              </w:rPr>
              <w:t>，在污水处理系统检修或出现故障时存放废水，检修正常后将事故池存水引入厂区内污水处理站处理达标后排放。</w:t>
            </w:r>
          </w:p>
          <w:p w14:paraId="3BBF7E57">
            <w:pPr>
              <w:pStyle w:val="117"/>
              <w:adjustRightInd w:val="0"/>
              <w:snapToGrid w:val="0"/>
              <w:spacing w:line="360" w:lineRule="exact"/>
              <w:ind w:firstLine="422"/>
              <w:rPr>
                <w:rFonts w:cs="Times New Roman"/>
                <w:b/>
                <w:bCs/>
                <w:color w:val="auto"/>
                <w:sz w:val="21"/>
                <w:szCs w:val="21"/>
                <w:highlight w:val="none"/>
              </w:rPr>
            </w:pPr>
            <w:r>
              <w:rPr>
                <w:rFonts w:cs="Times New Roman"/>
                <w:b/>
                <w:bCs/>
                <w:color w:val="auto"/>
                <w:sz w:val="21"/>
                <w:szCs w:val="21"/>
                <w:highlight w:val="none"/>
              </w:rPr>
              <w:t>3、大气环境风险防范措施</w:t>
            </w:r>
          </w:p>
          <w:p w14:paraId="5C5916F8">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（1）</w:t>
            </w:r>
            <w:r>
              <w:rPr>
                <w:rFonts w:hint="eastAsia" w:cs="Times New Roman"/>
                <w:color w:val="auto"/>
                <w:sz w:val="21"/>
                <w:szCs w:val="21"/>
                <w:highlight w:val="none"/>
                <w:lang w:val="en-US" w:eastAsia="zh-CN"/>
              </w:rPr>
              <w:t>次氯酸钠</w:t>
            </w:r>
            <w:r>
              <w:rPr>
                <w:rFonts w:cs="Times New Roman"/>
                <w:color w:val="auto"/>
                <w:sz w:val="21"/>
                <w:szCs w:val="21"/>
                <w:highlight w:val="none"/>
              </w:rPr>
              <w:t>泄漏风险防范措施</w:t>
            </w:r>
          </w:p>
          <w:p w14:paraId="38F12DEB">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1）泄漏应急处理</w:t>
            </w:r>
          </w:p>
          <w:p w14:paraId="0BB7FD18">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疏散泄漏污染区人员至上风处，并隔离直至气体散尽。应急处理人员戴正压自给式呼吸器，穿化学防护服、切断火源、喷洒雾状水稀释，抽排(室内)或强力通风(室外)，漏气容器不能再用，且要经过技术处理以清除可能剩下的气体。</w:t>
            </w:r>
          </w:p>
          <w:p w14:paraId="2B900257">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2）防护措施</w:t>
            </w:r>
          </w:p>
          <w:p w14:paraId="778E07C0">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呼吸系统防护：空气中浓度较高时，应该佩戴防毒面具。紧急事态抢救或撤离时，建议佩戴正压自给式呼吸器。</w:t>
            </w:r>
          </w:p>
          <w:p w14:paraId="37ADF434">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眼睛防护：带化学安全防护眼镜。</w:t>
            </w:r>
          </w:p>
          <w:p w14:paraId="0984AEA7">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身体防护：穿防腐工作服。</w:t>
            </w:r>
          </w:p>
          <w:p w14:paraId="3FDE19F9">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手防护：可能接触毒物时</w:t>
            </w:r>
            <w:r>
              <w:rPr>
                <w:rFonts w:hint="eastAsia" w:cs="Times New Roman"/>
                <w:color w:val="auto"/>
                <w:sz w:val="21"/>
                <w:szCs w:val="21"/>
                <w:highlight w:val="none"/>
              </w:rPr>
              <w:t>，</w:t>
            </w:r>
            <w:r>
              <w:rPr>
                <w:rFonts w:cs="Times New Roman"/>
                <w:color w:val="auto"/>
                <w:sz w:val="21"/>
                <w:szCs w:val="21"/>
                <w:highlight w:val="none"/>
              </w:rPr>
              <w:t>戴防化学品手套。</w:t>
            </w:r>
          </w:p>
          <w:p w14:paraId="6356DC63">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其它：工作现场禁止吸烟。工作后，淋浴更衣。保持良好的卫生习惯。</w:t>
            </w:r>
          </w:p>
          <w:p w14:paraId="0CE6E658">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3）急救措施</w:t>
            </w:r>
          </w:p>
          <w:p w14:paraId="4233298B">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皮肤接触：脱去污染的衣着，立即用大量流动清水彻底冲洗至少15分钟。就医。</w:t>
            </w:r>
          </w:p>
          <w:p w14:paraId="7075A2F7">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眼睛接触：立即翻开上下眼睑</w:t>
            </w:r>
            <w:r>
              <w:rPr>
                <w:rFonts w:hint="eastAsia" w:cs="Times New Roman"/>
                <w:color w:val="auto"/>
                <w:sz w:val="21"/>
                <w:szCs w:val="21"/>
                <w:highlight w:val="none"/>
              </w:rPr>
              <w:t>，</w:t>
            </w:r>
            <w:r>
              <w:rPr>
                <w:rFonts w:cs="Times New Roman"/>
                <w:color w:val="auto"/>
                <w:sz w:val="21"/>
                <w:szCs w:val="21"/>
                <w:highlight w:val="none"/>
              </w:rPr>
              <w:t>用流动清水或生理盐水冲洗至少15分钟。就医。</w:t>
            </w:r>
          </w:p>
          <w:p w14:paraId="55327ED8">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吸入：迅速脱离现场至空气新鲜处。保持呼吸通畅。呼吸困难时给输氧。呼吸停止时，即进行人工呼吸。就医。</w:t>
            </w:r>
          </w:p>
          <w:p w14:paraId="13719D67">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食入：误服者漱口，饮牛奶或蛋清。就医。</w:t>
            </w:r>
          </w:p>
          <w:p w14:paraId="4B2C9ED1">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灭火方法：切断气源。喷水冷却容器，可能的话将容器从火场移至空旷处。</w:t>
            </w:r>
          </w:p>
          <w:p w14:paraId="764D409E">
            <w:pPr>
              <w:pStyle w:val="117"/>
              <w:adjustRightInd w:val="0"/>
              <w:snapToGrid w:val="0"/>
              <w:spacing w:line="360" w:lineRule="exact"/>
              <w:ind w:firstLine="422"/>
              <w:rPr>
                <w:rFonts w:cs="Times New Roman"/>
                <w:b/>
                <w:bCs/>
                <w:color w:val="auto"/>
                <w:sz w:val="21"/>
                <w:szCs w:val="21"/>
                <w:highlight w:val="none"/>
              </w:rPr>
            </w:pPr>
            <w:r>
              <w:rPr>
                <w:rFonts w:cs="Times New Roman"/>
                <w:b/>
                <w:bCs/>
                <w:color w:val="auto"/>
                <w:sz w:val="21"/>
                <w:szCs w:val="21"/>
                <w:highlight w:val="none"/>
              </w:rPr>
              <w:t>4、其他风险防范措施</w:t>
            </w:r>
          </w:p>
          <w:p w14:paraId="72D2D0F9">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1）为降低风险事故发生概率，企业应建立一套完善的安全管理制度，执行风险、工业安全卫生、劳动保护、环保、消防等相关规定；</w:t>
            </w:r>
          </w:p>
          <w:p w14:paraId="337F69C3">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2）加强对职工的安全教育及技术培训，提高职工的安全防护及环保意识，防患于未然；</w:t>
            </w:r>
          </w:p>
          <w:p w14:paraId="67B979BB">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3）应设有安全生产监督员，专门负责安全方面的检查监督工作，能处理突发事故，由监督员严格执行制定的各项安全生产规章制度；</w:t>
            </w:r>
          </w:p>
          <w:p w14:paraId="22C4C863">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4）确保所购设备及设施的安全性，根据生产工艺选用合理材质的设备、设施；</w:t>
            </w:r>
          </w:p>
          <w:p w14:paraId="7A133EE0">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5）企业必须设置强有力的安全生产管理机构，根据安全管理工作的需要，配备必要的人员进行安全管理工作，建立健全安生产责任制，制定并教育全体职工遵守《安全生产规程》；</w:t>
            </w:r>
          </w:p>
          <w:p w14:paraId="10833035">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6）加强对周围水环境的监测，对废水的泄露要及时掌握，防止废水的泄露对周围水环境造成危害；</w:t>
            </w:r>
          </w:p>
          <w:p w14:paraId="4DD09149">
            <w:pPr>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7）强化岗位责任制，严格各项操作规程和奖惩制度，除设置专门环保机构外，各生产单位都要设专人具体负责本单位的安全和环保问题，对易发事故的各生产环节必须经常检查，杜绝事故隐患，发现问题及时处置并立即向有关部门报告；</w:t>
            </w:r>
          </w:p>
          <w:p w14:paraId="68DDC266">
            <w:pPr>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8）加强和强化安全检查和巡查体系的建立，定期、定点、定向的对公司所有存在安全隐患和环境风险隐患的设备设施进行安全排出和检查。对排查出的风险隐患要得到及时的处理，并作相关的记录，以便做到风险防范有帐可查；</w:t>
            </w:r>
          </w:p>
          <w:p w14:paraId="49D9B2E8">
            <w:pPr>
              <w:shd w:val="clear"/>
              <w:spacing w:line="360" w:lineRule="exact"/>
              <w:ind w:firstLine="420"/>
              <w:rPr>
                <w:rFonts w:hint="eastAsia" w:ascii="Times New Roman" w:hAnsi="Times New Roman" w:eastAsia="宋体" w:cs="Times New Roman"/>
                <w:snapToGrid w:val="0"/>
                <w:color w:val="auto"/>
                <w:sz w:val="21"/>
                <w:szCs w:val="21"/>
                <w:highlight w:val="none"/>
                <w:lang w:eastAsia="zh-CN"/>
              </w:rPr>
            </w:pPr>
            <w:r>
              <w:rPr>
                <w:rFonts w:ascii="Times New Roman" w:hAnsi="Times New Roman" w:eastAsia="宋体" w:cs="Times New Roman"/>
                <w:snapToGrid w:val="0"/>
                <w:color w:val="auto"/>
                <w:sz w:val="21"/>
                <w:szCs w:val="21"/>
                <w:highlight w:val="none"/>
              </w:rPr>
              <w:t>9）进厂检疫</w:t>
            </w:r>
            <w:r>
              <w:rPr>
                <w:rFonts w:hint="eastAsia" w:ascii="Times New Roman" w:hAnsi="Times New Roman" w:eastAsia="宋体" w:cs="Times New Roman"/>
                <w:snapToGrid w:val="0"/>
                <w:color w:val="auto"/>
                <w:sz w:val="21"/>
                <w:szCs w:val="21"/>
                <w:highlight w:val="none"/>
                <w:lang w:eastAsia="zh-CN"/>
              </w:rPr>
              <w:t>，</w:t>
            </w:r>
            <w:r>
              <w:rPr>
                <w:rFonts w:ascii="Times New Roman" w:hAnsi="Times New Roman" w:eastAsia="宋体" w:cs="Times New Roman"/>
                <w:snapToGrid w:val="0"/>
                <w:color w:val="auto"/>
                <w:sz w:val="21"/>
                <w:szCs w:val="21"/>
                <w:highlight w:val="none"/>
              </w:rPr>
              <w:t>在</w:t>
            </w:r>
            <w:r>
              <w:rPr>
                <w:rFonts w:hint="eastAsia" w:ascii="Times New Roman" w:hAnsi="Times New Roman" w:eastAsia="宋体" w:cs="Times New Roman"/>
                <w:snapToGrid w:val="0"/>
                <w:color w:val="auto"/>
                <w:sz w:val="21"/>
                <w:szCs w:val="21"/>
                <w:highlight w:val="none"/>
                <w:lang w:val="en-US" w:eastAsia="zh-CN"/>
              </w:rPr>
              <w:t>牛、羊</w:t>
            </w:r>
            <w:r>
              <w:rPr>
                <w:rFonts w:ascii="Times New Roman" w:hAnsi="Times New Roman" w:eastAsia="宋体" w:cs="Times New Roman"/>
                <w:snapToGrid w:val="0"/>
                <w:color w:val="auto"/>
                <w:sz w:val="21"/>
                <w:szCs w:val="21"/>
                <w:highlight w:val="none"/>
              </w:rPr>
              <w:t>未卸车之前，检疫员向押运员索取检疫证或防疫注射证，以便了解产地疫情</w:t>
            </w:r>
            <w:r>
              <w:rPr>
                <w:rFonts w:hint="eastAsia" w:cs="Times New Roman"/>
                <w:snapToGrid w:val="0"/>
                <w:color w:val="auto"/>
                <w:sz w:val="21"/>
                <w:szCs w:val="21"/>
                <w:highlight w:val="none"/>
                <w:lang w:eastAsia="zh-CN"/>
              </w:rPr>
              <w:t>；</w:t>
            </w:r>
          </w:p>
          <w:p w14:paraId="37FC7F16">
            <w:pPr>
              <w:shd w:val="clear"/>
              <w:spacing w:line="360" w:lineRule="exact"/>
              <w:ind w:firstLine="420"/>
              <w:rPr>
                <w:rFonts w:hint="default" w:eastAsia="宋体" w:cs="Times New Roman"/>
                <w:snapToGrid w:val="0"/>
                <w:color w:val="auto"/>
                <w:sz w:val="21"/>
                <w:szCs w:val="21"/>
                <w:highlight w:val="none"/>
                <w:lang w:val="en-US" w:eastAsia="zh-CN"/>
              </w:rPr>
            </w:pPr>
            <w:r>
              <w:rPr>
                <w:rFonts w:ascii="Times New Roman" w:hAnsi="Times New Roman" w:eastAsia="宋体" w:cs="Times New Roman"/>
                <w:snapToGrid w:val="0"/>
                <w:color w:val="auto"/>
                <w:sz w:val="21"/>
                <w:szCs w:val="21"/>
                <w:highlight w:val="none"/>
              </w:rPr>
              <w:t>10）当确诊疫病时，及时封锁，上报疫情。同时立即采取措施，就地扑灭，确保人畜的安全</w:t>
            </w:r>
            <w:r>
              <w:rPr>
                <w:rFonts w:hint="eastAsia" w:cs="Times New Roman"/>
                <w:snapToGrid w:val="0"/>
                <w:color w:val="auto"/>
                <w:sz w:val="21"/>
                <w:szCs w:val="21"/>
                <w:highlight w:val="none"/>
                <w:lang w:eastAsia="zh-CN"/>
              </w:rPr>
              <w:t>。</w:t>
            </w:r>
            <w:r>
              <w:rPr>
                <w:rFonts w:hint="eastAsia" w:cs="Times New Roman"/>
                <w:snapToGrid w:val="0"/>
                <w:color w:val="auto"/>
                <w:sz w:val="21"/>
                <w:szCs w:val="21"/>
                <w:highlight w:val="none"/>
                <w:lang w:val="en-US" w:eastAsia="zh-CN"/>
              </w:rPr>
              <w:t>项目建设初期应预留消杀资金，以应对疫病时期，</w:t>
            </w:r>
          </w:p>
          <w:p w14:paraId="23D5EF06">
            <w:pPr>
              <w:spacing w:line="360" w:lineRule="exact"/>
              <w:ind w:firstLine="420"/>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11）疫情状态下，对隔离圈、急宰间进行消毒，消毒频率为3-5次/天，连续7天。</w:t>
            </w:r>
          </w:p>
          <w:p w14:paraId="50E96761">
            <w:pPr>
              <w:spacing w:line="360" w:lineRule="exact"/>
              <w:ind w:firstLine="420"/>
              <w:rPr>
                <w:rFonts w:cs="Times New Roman"/>
                <w:color w:val="auto"/>
                <w:sz w:val="21"/>
                <w:szCs w:val="21"/>
                <w:highlight w:val="none"/>
              </w:rPr>
            </w:pPr>
            <w:r>
              <w:rPr>
                <w:rFonts w:hint="eastAsia" w:cs="Times New Roman"/>
                <w:snapToGrid w:val="0"/>
                <w:color w:val="auto"/>
                <w:sz w:val="21"/>
                <w:szCs w:val="21"/>
                <w:highlight w:val="none"/>
                <w:lang w:val="en-US" w:eastAsia="zh-CN"/>
              </w:rPr>
              <w:t>12）</w:t>
            </w:r>
            <w:r>
              <w:rPr>
                <w:rFonts w:cs="Times New Roman"/>
                <w:snapToGrid w:val="0"/>
                <w:color w:val="auto"/>
                <w:sz w:val="21"/>
                <w:szCs w:val="21"/>
                <w:highlight w:val="none"/>
              </w:rPr>
              <w:t>应编制突发事件应急预案，并定期开展演练。</w:t>
            </w:r>
          </w:p>
        </w:tc>
      </w:tr>
    </w:tbl>
    <w:p w14:paraId="5427C62B">
      <w:pPr>
        <w:pStyle w:val="36"/>
        <w:rPr>
          <w:color w:val="auto"/>
          <w:highlight w:val="none"/>
        </w:rPr>
        <w:sectPr>
          <w:headerReference r:id="rId11" w:type="default"/>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1D555FF9">
      <w:pPr>
        <w:pStyle w:val="2"/>
        <w:spacing w:line="360" w:lineRule="auto"/>
        <w:rPr>
          <w:rFonts w:cs="Times New Roman"/>
          <w:snapToGrid w:val="0"/>
          <w:color w:val="auto"/>
          <w:highlight w:val="none"/>
        </w:rPr>
      </w:pPr>
      <w:bookmarkStart w:id="310" w:name="_Toc25332"/>
      <w:r>
        <w:rPr>
          <w:rFonts w:cs="Times New Roman"/>
          <w:snapToGrid w:val="0"/>
          <w:color w:val="auto"/>
          <w:highlight w:val="none"/>
        </w:rPr>
        <w:t>6</w:t>
      </w:r>
      <w:bookmarkEnd w:id="309"/>
      <w:r>
        <w:rPr>
          <w:rFonts w:cs="Times New Roman"/>
          <w:snapToGrid w:val="0"/>
          <w:color w:val="auto"/>
          <w:highlight w:val="none"/>
        </w:rPr>
        <w:t>环境保护措施及其可行性分析</w:t>
      </w:r>
      <w:bookmarkEnd w:id="310"/>
    </w:p>
    <w:p w14:paraId="638E9C59">
      <w:pPr>
        <w:keepNext/>
        <w:keepLines/>
        <w:ind w:firstLine="0" w:firstLineChars="0"/>
        <w:jc w:val="left"/>
        <w:outlineLvl w:val="1"/>
        <w:rPr>
          <w:rFonts w:eastAsia="黑体" w:cs="Times New Roman"/>
          <w:bCs/>
          <w:snapToGrid w:val="0"/>
          <w:color w:val="auto"/>
          <w:kern w:val="0"/>
          <w:sz w:val="28"/>
          <w:szCs w:val="32"/>
          <w:highlight w:val="none"/>
        </w:rPr>
      </w:pPr>
      <w:bookmarkStart w:id="311" w:name="_Toc480447674"/>
      <w:bookmarkStart w:id="312" w:name="_Toc241305662"/>
      <w:bookmarkStart w:id="313" w:name="_Toc255202308"/>
      <w:bookmarkStart w:id="314" w:name="_Toc277178439"/>
      <w:bookmarkStart w:id="315" w:name="_Toc225741621"/>
      <w:bookmarkStart w:id="316" w:name="_Toc237081935"/>
      <w:bookmarkStart w:id="317" w:name="_Toc23792"/>
      <w:bookmarkStart w:id="318" w:name="_Toc83525150"/>
      <w:bookmarkStart w:id="319" w:name="_Toc98920169"/>
      <w:r>
        <w:rPr>
          <w:rFonts w:eastAsia="黑体" w:cs="Times New Roman"/>
          <w:bCs/>
          <w:snapToGrid w:val="0"/>
          <w:color w:val="auto"/>
          <w:kern w:val="0"/>
          <w:sz w:val="28"/>
          <w:szCs w:val="32"/>
          <w:highlight w:val="none"/>
        </w:rPr>
        <w:t>6.1施工期</w:t>
      </w:r>
      <w:bookmarkEnd w:id="311"/>
      <w:bookmarkEnd w:id="312"/>
      <w:bookmarkEnd w:id="313"/>
      <w:bookmarkEnd w:id="314"/>
      <w:bookmarkEnd w:id="315"/>
      <w:bookmarkEnd w:id="316"/>
      <w:r>
        <w:rPr>
          <w:rFonts w:eastAsia="黑体" w:cs="Times New Roman"/>
          <w:bCs/>
          <w:snapToGrid w:val="0"/>
          <w:color w:val="auto"/>
          <w:kern w:val="0"/>
          <w:sz w:val="28"/>
          <w:szCs w:val="32"/>
          <w:highlight w:val="none"/>
        </w:rPr>
        <w:t>环境保护措施</w:t>
      </w:r>
      <w:bookmarkEnd w:id="317"/>
    </w:p>
    <w:p w14:paraId="55B9F8F3">
      <w:pPr>
        <w:keepNext/>
        <w:keepLines/>
        <w:ind w:firstLine="0" w:firstLineChars="0"/>
        <w:jc w:val="left"/>
        <w:outlineLvl w:val="2"/>
        <w:rPr>
          <w:rFonts w:eastAsia="黑体" w:cs="Times New Roman"/>
          <w:bCs/>
          <w:snapToGrid w:val="0"/>
          <w:color w:val="auto"/>
          <w:kern w:val="0"/>
          <w:szCs w:val="32"/>
          <w:highlight w:val="none"/>
        </w:rPr>
      </w:pPr>
      <w:bookmarkStart w:id="320" w:name="_Toc204572392"/>
      <w:bookmarkStart w:id="321" w:name="_Toc203113620"/>
      <w:bookmarkStart w:id="322" w:name="_Toc200162117"/>
      <w:bookmarkStart w:id="323" w:name="_Toc203373353"/>
      <w:bookmarkStart w:id="324" w:name="_Toc201330163"/>
      <w:bookmarkStart w:id="325" w:name="_Toc200952545"/>
      <w:bookmarkStart w:id="326" w:name="_Toc225741622"/>
      <w:bookmarkStart w:id="327" w:name="_Toc200162814"/>
      <w:bookmarkStart w:id="328" w:name="_Toc12502"/>
      <w:r>
        <w:rPr>
          <w:rFonts w:eastAsia="黑体" w:cs="Times New Roman"/>
          <w:bCs/>
          <w:snapToGrid w:val="0"/>
          <w:color w:val="auto"/>
          <w:kern w:val="0"/>
          <w:szCs w:val="32"/>
          <w:highlight w:val="none"/>
        </w:rPr>
        <w:t>6.1.1</w:t>
      </w:r>
      <w:bookmarkEnd w:id="320"/>
      <w:bookmarkEnd w:id="321"/>
      <w:bookmarkEnd w:id="322"/>
      <w:bookmarkEnd w:id="323"/>
      <w:bookmarkEnd w:id="324"/>
      <w:bookmarkEnd w:id="325"/>
      <w:bookmarkEnd w:id="326"/>
      <w:bookmarkEnd w:id="327"/>
      <w:r>
        <w:rPr>
          <w:rFonts w:eastAsia="黑体" w:cs="Times New Roman"/>
          <w:bCs/>
          <w:snapToGrid w:val="0"/>
          <w:color w:val="auto"/>
          <w:kern w:val="0"/>
          <w:szCs w:val="32"/>
          <w:highlight w:val="none"/>
        </w:rPr>
        <w:t>大气环境保护措施</w:t>
      </w:r>
      <w:bookmarkEnd w:id="328"/>
    </w:p>
    <w:p w14:paraId="091BE099">
      <w:pPr>
        <w:rPr>
          <w:rFonts w:cs="Times New Roman"/>
          <w:color w:val="auto"/>
          <w:szCs w:val="24"/>
          <w:highlight w:val="none"/>
        </w:rPr>
      </w:pPr>
      <w:r>
        <w:rPr>
          <w:rFonts w:cs="Times New Roman"/>
          <w:color w:val="auto"/>
          <w:szCs w:val="24"/>
          <w:highlight w:val="none"/>
        </w:rPr>
        <w:t>（1）扬尘</w:t>
      </w:r>
    </w:p>
    <w:p w14:paraId="4D9AD682">
      <w:pPr>
        <w:rPr>
          <w:rFonts w:cs="Times New Roman"/>
          <w:color w:val="auto"/>
          <w:szCs w:val="24"/>
          <w:highlight w:val="none"/>
        </w:rPr>
      </w:pPr>
      <w:r>
        <w:rPr>
          <w:rFonts w:cs="Times New Roman"/>
          <w:bCs/>
          <w:color w:val="auto"/>
          <w:szCs w:val="24"/>
          <w:highlight w:val="none"/>
        </w:rPr>
        <w:t>施工阶段汽车运输过程中，会产生扬尘污染。扬尘量、粒径大小等与多种因素有关，如路面状况、车辆行驶速度、载重量、天气情况等。</w:t>
      </w:r>
    </w:p>
    <w:p w14:paraId="27C32C9C">
      <w:pPr>
        <w:rPr>
          <w:rFonts w:cs="Times New Roman"/>
          <w:color w:val="auto"/>
          <w:szCs w:val="24"/>
          <w:highlight w:val="none"/>
        </w:rPr>
      </w:pPr>
      <w:r>
        <w:rPr>
          <w:rFonts w:cs="Times New Roman"/>
          <w:color w:val="auto"/>
          <w:szCs w:val="24"/>
          <w:highlight w:val="none"/>
        </w:rPr>
        <w:t>扬尘大多集中于距扬尘点100m范围，其中50m距离内扬尘浓度较高。在干燥、有风等气候条件下，如不注意施工管理，运输车辆导致的路面扬尘对临近空气环境必定会产生一定不利影响。</w:t>
      </w:r>
    </w:p>
    <w:p w14:paraId="3DB485C1">
      <w:pPr>
        <w:rPr>
          <w:rFonts w:cs="Times New Roman"/>
          <w:color w:val="auto"/>
          <w:szCs w:val="24"/>
          <w:highlight w:val="none"/>
        </w:rPr>
      </w:pPr>
      <w:r>
        <w:rPr>
          <w:rFonts w:cs="Times New Roman"/>
          <w:color w:val="auto"/>
          <w:szCs w:val="24"/>
          <w:highlight w:val="none"/>
        </w:rPr>
        <w:t>基本措施如下：</w:t>
      </w:r>
    </w:p>
    <w:p w14:paraId="6C787992">
      <w:pPr>
        <w:rPr>
          <w:rFonts w:cs="Times New Roman"/>
          <w:bCs/>
          <w:color w:val="auto"/>
          <w:szCs w:val="24"/>
          <w:highlight w:val="none"/>
        </w:rPr>
      </w:pPr>
      <w:r>
        <w:rPr>
          <w:rFonts w:cs="Times New Roman"/>
          <w:bCs/>
          <w:color w:val="auto"/>
          <w:szCs w:val="24"/>
          <w:highlight w:val="none"/>
        </w:rPr>
        <w:t>1）所有来往施工场地的多尘物料均应用帆布覆盖，工程弃土等运输采用密闭运输车辆；</w:t>
      </w:r>
    </w:p>
    <w:p w14:paraId="3FC5748B">
      <w:pPr>
        <w:rPr>
          <w:rFonts w:cs="Times New Roman"/>
          <w:bCs/>
          <w:color w:val="auto"/>
          <w:szCs w:val="24"/>
          <w:highlight w:val="none"/>
        </w:rPr>
      </w:pPr>
      <w:r>
        <w:rPr>
          <w:rFonts w:cs="Times New Roman"/>
          <w:bCs/>
          <w:color w:val="auto"/>
          <w:szCs w:val="24"/>
          <w:highlight w:val="none"/>
        </w:rPr>
        <w:t>2）运输道路应当及时洒水，保持湿润；采取喷雾洒水降尘后，自然水份挥发减缓，能保持一定的含水率（一般为15%~20%），则其启动风速很大，一般不会产生二次扬尘；</w:t>
      </w:r>
    </w:p>
    <w:p w14:paraId="58DAB022">
      <w:pPr>
        <w:rPr>
          <w:rFonts w:cs="Times New Roman"/>
          <w:bCs/>
          <w:color w:val="auto"/>
          <w:szCs w:val="24"/>
          <w:highlight w:val="none"/>
        </w:rPr>
      </w:pPr>
      <w:r>
        <w:rPr>
          <w:rFonts w:cs="Times New Roman"/>
          <w:bCs/>
          <w:color w:val="auto"/>
          <w:szCs w:val="24"/>
          <w:highlight w:val="none"/>
        </w:rPr>
        <w:t>3）应定期清扫施工场地减少扬尘产生量；</w:t>
      </w:r>
    </w:p>
    <w:p w14:paraId="3CF98CD9">
      <w:pPr>
        <w:rPr>
          <w:rFonts w:cs="Times New Roman"/>
          <w:bCs/>
          <w:color w:val="auto"/>
          <w:szCs w:val="24"/>
          <w:highlight w:val="none"/>
        </w:rPr>
      </w:pPr>
      <w:r>
        <w:rPr>
          <w:rFonts w:cs="Times New Roman"/>
          <w:bCs/>
          <w:color w:val="auto"/>
          <w:szCs w:val="24"/>
          <w:highlight w:val="none"/>
        </w:rPr>
        <w:t>4）应增设必要的防尘措施，在施工现场设置围挡，减少扬尘污染；</w:t>
      </w:r>
    </w:p>
    <w:p w14:paraId="46693277">
      <w:pPr>
        <w:rPr>
          <w:rFonts w:cs="Times New Roman"/>
          <w:bCs/>
          <w:color w:val="auto"/>
          <w:szCs w:val="24"/>
          <w:highlight w:val="none"/>
        </w:rPr>
      </w:pPr>
      <w:r>
        <w:rPr>
          <w:rFonts w:cs="Times New Roman"/>
          <w:bCs/>
          <w:color w:val="auto"/>
          <w:szCs w:val="24"/>
          <w:highlight w:val="none"/>
        </w:rPr>
        <w:t>5）物料运输车辆加盖篷布。</w:t>
      </w:r>
    </w:p>
    <w:p w14:paraId="4F1BE09B">
      <w:pPr>
        <w:rPr>
          <w:rFonts w:cs="Times New Roman"/>
          <w:bCs/>
          <w:color w:val="auto"/>
          <w:szCs w:val="24"/>
          <w:highlight w:val="none"/>
        </w:rPr>
      </w:pPr>
      <w:r>
        <w:rPr>
          <w:rFonts w:cs="Times New Roman"/>
          <w:bCs/>
          <w:color w:val="auto"/>
          <w:szCs w:val="24"/>
          <w:highlight w:val="none"/>
        </w:rPr>
        <w:t>由于汽车运输过程中产生的扬尘时间短、扬尘落地快、影响范围主要集中在运输道路两侧，故汽车运输扬尘对周边的环境空气影响程度和范围较小，影响时间也较短。</w:t>
      </w:r>
    </w:p>
    <w:p w14:paraId="79788C0E">
      <w:pPr>
        <w:rPr>
          <w:rFonts w:cs="Times New Roman"/>
          <w:color w:val="auto"/>
          <w:szCs w:val="24"/>
          <w:highlight w:val="none"/>
        </w:rPr>
      </w:pPr>
      <w:r>
        <w:rPr>
          <w:rFonts w:cs="Times New Roman"/>
          <w:color w:val="auto"/>
          <w:szCs w:val="24"/>
          <w:highlight w:val="none"/>
        </w:rPr>
        <w:t>（2）运输车辆尾气</w:t>
      </w:r>
    </w:p>
    <w:p w14:paraId="6A438876">
      <w:pPr>
        <w:rPr>
          <w:rFonts w:cs="Times New Roman"/>
          <w:color w:val="auto"/>
          <w:szCs w:val="24"/>
          <w:highlight w:val="none"/>
        </w:rPr>
      </w:pPr>
      <w:r>
        <w:rPr>
          <w:rFonts w:cs="Times New Roman"/>
          <w:color w:val="auto"/>
          <w:szCs w:val="24"/>
          <w:highlight w:val="none"/>
        </w:rPr>
        <w:t>运输车辆和其它燃油机械的尾气会导致局部空气中CO、NO</w:t>
      </w:r>
      <w:r>
        <w:rPr>
          <w:rFonts w:cs="Times New Roman"/>
          <w:color w:val="auto"/>
          <w:szCs w:val="24"/>
          <w:highlight w:val="none"/>
          <w:vertAlign w:val="subscript"/>
        </w:rPr>
        <w:t>X</w:t>
      </w:r>
      <w:r>
        <w:rPr>
          <w:rFonts w:cs="Times New Roman"/>
          <w:color w:val="auto"/>
          <w:szCs w:val="24"/>
          <w:highlight w:val="none"/>
        </w:rPr>
        <w:t>、HC等浓度的升高，一般情况下由于施工机械、车辆作业的流动性、阶段性和间断性的特点，施工场地平均单位时间排放的尾气污染物总量并不大。对周边环境影响较小。</w:t>
      </w:r>
    </w:p>
    <w:p w14:paraId="41157EBE">
      <w:pPr>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szCs w:val="24"/>
          <w:highlight w:val="none"/>
        </w:rPr>
      </w:pPr>
      <w:r>
        <w:rPr>
          <w:rFonts w:cs="Times New Roman"/>
          <w:color w:val="auto"/>
          <w:szCs w:val="24"/>
          <w:highlight w:val="none"/>
        </w:rPr>
        <w:t>施工单位须使用污染物排放符合国家标准的运输车辆和施工机械设备，定期对车辆设备进行维护保养，使其始终处于良好的工作状态，严禁使用报废车辆，以减少施工车辆尾气对周围环境的影响。以确保施工场地周围区域环境空气达到</w:t>
      </w:r>
      <w:r>
        <w:rPr>
          <w:rFonts w:cs="Times New Roman"/>
          <w:bCs/>
          <w:color w:val="auto"/>
          <w:szCs w:val="24"/>
          <w:highlight w:val="none"/>
        </w:rPr>
        <w:t>《大气污染物综合排放标准》(GB16297-1996)表2的无组织排放限值</w:t>
      </w:r>
      <w:r>
        <w:rPr>
          <w:rFonts w:cs="Times New Roman"/>
          <w:color w:val="auto"/>
          <w:szCs w:val="24"/>
          <w:highlight w:val="none"/>
        </w:rPr>
        <w:t>。评价建议缩短怠速、减速和加速的时间，另外建议施工人员作业时佩戴口罩，以减少CO、THC、NOx等汽车尾气对施工人员及周围环境的影响。</w:t>
      </w:r>
    </w:p>
    <w:p w14:paraId="27460633">
      <w:pPr>
        <w:keepNext/>
        <w:keepLines/>
        <w:pageBreakBefore w:val="0"/>
        <w:widowControl w:val="0"/>
        <w:kinsoku/>
        <w:wordWrap/>
        <w:overflowPunct/>
        <w:topLinePunct w:val="0"/>
        <w:autoSpaceDE/>
        <w:autoSpaceDN/>
        <w:bidi w:val="0"/>
        <w:adjustRightInd w:val="0"/>
        <w:snapToGrid w:val="0"/>
        <w:spacing w:line="520" w:lineRule="atLeast"/>
        <w:ind w:firstLine="0" w:firstLineChars="0"/>
        <w:jc w:val="left"/>
        <w:textAlignment w:val="auto"/>
        <w:outlineLvl w:val="2"/>
        <w:rPr>
          <w:rFonts w:eastAsia="黑体" w:cs="Times New Roman"/>
          <w:bCs/>
          <w:snapToGrid w:val="0"/>
          <w:color w:val="auto"/>
          <w:kern w:val="0"/>
          <w:szCs w:val="32"/>
          <w:highlight w:val="none"/>
        </w:rPr>
      </w:pPr>
      <w:bookmarkStart w:id="329" w:name="_Toc204572393"/>
      <w:bookmarkStart w:id="330" w:name="_Toc203373354"/>
      <w:bookmarkStart w:id="331" w:name="_Toc200162118"/>
      <w:bookmarkStart w:id="332" w:name="_Toc200162815"/>
      <w:bookmarkStart w:id="333" w:name="_Toc201330164"/>
      <w:bookmarkStart w:id="334" w:name="_Toc203113621"/>
      <w:bookmarkStart w:id="335" w:name="_Toc200952546"/>
      <w:bookmarkStart w:id="336" w:name="_Toc225741623"/>
      <w:bookmarkStart w:id="337" w:name="_Toc29123"/>
      <w:r>
        <w:rPr>
          <w:rFonts w:eastAsia="黑体" w:cs="Times New Roman"/>
          <w:bCs/>
          <w:snapToGrid w:val="0"/>
          <w:color w:val="auto"/>
          <w:kern w:val="0"/>
          <w:szCs w:val="32"/>
          <w:highlight w:val="none"/>
        </w:rPr>
        <w:t>6.1.2</w:t>
      </w:r>
      <w:bookmarkEnd w:id="329"/>
      <w:bookmarkEnd w:id="330"/>
      <w:bookmarkEnd w:id="331"/>
      <w:bookmarkEnd w:id="332"/>
      <w:bookmarkEnd w:id="333"/>
      <w:bookmarkEnd w:id="334"/>
      <w:bookmarkEnd w:id="335"/>
      <w:bookmarkEnd w:id="336"/>
      <w:r>
        <w:rPr>
          <w:rFonts w:eastAsia="黑体" w:cs="Times New Roman"/>
          <w:bCs/>
          <w:snapToGrid w:val="0"/>
          <w:color w:val="auto"/>
          <w:kern w:val="0"/>
          <w:szCs w:val="32"/>
          <w:highlight w:val="none"/>
        </w:rPr>
        <w:t>废水环境保护措施</w:t>
      </w:r>
      <w:bookmarkEnd w:id="337"/>
    </w:p>
    <w:p w14:paraId="025A34AD">
      <w:pPr>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szCs w:val="24"/>
          <w:highlight w:val="none"/>
        </w:rPr>
      </w:pPr>
      <w:r>
        <w:rPr>
          <w:rFonts w:cs="Times New Roman"/>
          <w:color w:val="auto"/>
          <w:szCs w:val="24"/>
          <w:highlight w:val="none"/>
        </w:rPr>
        <w:t>施工过程废水影响主要包括：施工废水及施工人员生活污水。具体措施如下：</w:t>
      </w:r>
    </w:p>
    <w:p w14:paraId="003F3A9F">
      <w:pPr>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szCs w:val="24"/>
          <w:highlight w:val="none"/>
        </w:rPr>
      </w:pPr>
      <w:r>
        <w:rPr>
          <w:rFonts w:cs="Times New Roman"/>
          <w:color w:val="auto"/>
          <w:szCs w:val="24"/>
          <w:highlight w:val="none"/>
        </w:rPr>
        <w:t>在施工现场设置沉淀池，施工废水经沉淀后用于洒水降尘和施工回用水。施工时生活污水排入防渗旱厕，对周围水环境影响较小。</w:t>
      </w:r>
    </w:p>
    <w:p w14:paraId="6787EDD6">
      <w:pPr>
        <w:pageBreakBefore w:val="0"/>
        <w:widowControl w:val="0"/>
        <w:kinsoku/>
        <w:wordWrap/>
        <w:overflowPunct/>
        <w:topLinePunct w:val="0"/>
        <w:autoSpaceDE/>
        <w:autoSpaceDN/>
        <w:bidi w:val="0"/>
        <w:adjustRightInd w:val="0"/>
        <w:snapToGrid w:val="0"/>
        <w:spacing w:line="520" w:lineRule="atLeast"/>
        <w:textAlignment w:val="auto"/>
        <w:rPr>
          <w:rFonts w:cs="Times New Roman"/>
          <w:snapToGrid w:val="0"/>
          <w:color w:val="auto"/>
          <w:kern w:val="0"/>
          <w:szCs w:val="24"/>
          <w:highlight w:val="none"/>
        </w:rPr>
      </w:pPr>
      <w:r>
        <w:rPr>
          <w:rFonts w:cs="Times New Roman"/>
          <w:color w:val="auto"/>
          <w:szCs w:val="24"/>
          <w:highlight w:val="none"/>
        </w:rPr>
        <w:t>施工期所用的物料在雨季时必须做好围挡和遮盖措施</w:t>
      </w:r>
    </w:p>
    <w:p w14:paraId="4395C8BC">
      <w:pPr>
        <w:keepNext/>
        <w:keepLines/>
        <w:pageBreakBefore w:val="0"/>
        <w:widowControl w:val="0"/>
        <w:kinsoku/>
        <w:wordWrap/>
        <w:overflowPunct/>
        <w:topLinePunct w:val="0"/>
        <w:autoSpaceDE/>
        <w:autoSpaceDN/>
        <w:bidi w:val="0"/>
        <w:adjustRightInd w:val="0"/>
        <w:snapToGrid w:val="0"/>
        <w:spacing w:line="520" w:lineRule="atLeast"/>
        <w:ind w:firstLine="0" w:firstLineChars="0"/>
        <w:jc w:val="left"/>
        <w:textAlignment w:val="auto"/>
        <w:outlineLvl w:val="2"/>
        <w:rPr>
          <w:rFonts w:eastAsia="黑体" w:cs="Times New Roman"/>
          <w:bCs/>
          <w:snapToGrid w:val="0"/>
          <w:color w:val="auto"/>
          <w:kern w:val="0"/>
          <w:szCs w:val="32"/>
          <w:highlight w:val="none"/>
        </w:rPr>
      </w:pPr>
      <w:bookmarkStart w:id="338" w:name="_Toc200162816"/>
      <w:bookmarkStart w:id="339" w:name="_Toc200162119"/>
      <w:bookmarkStart w:id="340" w:name="_Toc201330165"/>
      <w:bookmarkStart w:id="341" w:name="_Toc225741624"/>
      <w:bookmarkStart w:id="342" w:name="_Toc200952547"/>
      <w:bookmarkStart w:id="343" w:name="_Toc203113622"/>
      <w:bookmarkStart w:id="344" w:name="_Toc203373355"/>
      <w:bookmarkStart w:id="345" w:name="_Toc204572394"/>
      <w:bookmarkStart w:id="346" w:name="_Toc12940"/>
      <w:r>
        <w:rPr>
          <w:rFonts w:eastAsia="黑体" w:cs="Times New Roman"/>
          <w:bCs/>
          <w:snapToGrid w:val="0"/>
          <w:color w:val="auto"/>
          <w:kern w:val="0"/>
          <w:szCs w:val="32"/>
          <w:highlight w:val="none"/>
        </w:rPr>
        <w:t>6.1.3</w:t>
      </w:r>
      <w:bookmarkEnd w:id="338"/>
      <w:bookmarkEnd w:id="339"/>
      <w:bookmarkEnd w:id="340"/>
      <w:bookmarkEnd w:id="341"/>
      <w:bookmarkEnd w:id="342"/>
      <w:bookmarkEnd w:id="343"/>
      <w:bookmarkEnd w:id="344"/>
      <w:bookmarkEnd w:id="345"/>
      <w:r>
        <w:rPr>
          <w:rFonts w:eastAsia="黑体" w:cs="Times New Roman"/>
          <w:bCs/>
          <w:snapToGrid w:val="0"/>
          <w:color w:val="auto"/>
          <w:kern w:val="0"/>
          <w:szCs w:val="32"/>
          <w:highlight w:val="none"/>
        </w:rPr>
        <w:t>噪声环境保护措施</w:t>
      </w:r>
      <w:bookmarkEnd w:id="346"/>
    </w:p>
    <w:p w14:paraId="5E5A84B3">
      <w:pPr>
        <w:keepNext w:val="0"/>
        <w:keepLines w:val="0"/>
        <w:pageBreakBefore w:val="0"/>
        <w:widowControl w:val="0"/>
        <w:kinsoku/>
        <w:wordWrap/>
        <w:overflowPunct/>
        <w:topLinePunct w:val="0"/>
        <w:autoSpaceDE/>
        <w:autoSpaceDN/>
        <w:bidi w:val="0"/>
        <w:adjustRightInd w:val="0"/>
        <w:snapToGrid w:val="0"/>
        <w:spacing w:line="520" w:lineRule="atLeast"/>
        <w:textAlignment w:val="auto"/>
        <w:rPr>
          <w:rFonts w:cs="Times New Roman"/>
          <w:color w:val="auto"/>
          <w:szCs w:val="24"/>
          <w:highlight w:val="none"/>
        </w:rPr>
      </w:pPr>
      <w:r>
        <w:rPr>
          <w:rFonts w:cs="Times New Roman"/>
          <w:color w:val="auto"/>
          <w:szCs w:val="24"/>
          <w:highlight w:val="none"/>
        </w:rPr>
        <w:t>施工时噪声对施工现场及周围环境将产生一定影响。以《建筑施工场界环境噪声排放标准》（GB12523-2011）评价，施工机械噪声距其50m处的源强为44～67dB（A）可知，预测值超标；若夜间施工，则200m以内的环境噪声超过55dB（A）的夜间标准值。由此可见，施工噪声对施工场地周围50m范围内的环境影响较大，对50-100m范围也将产生一定的影响，特别是夜间施工时影响更为严重。</w:t>
      </w:r>
    </w:p>
    <w:p w14:paraId="2585BD25">
      <w:pPr>
        <w:rPr>
          <w:rFonts w:cs="Times New Roman"/>
          <w:color w:val="auto"/>
          <w:szCs w:val="24"/>
          <w:highlight w:val="none"/>
        </w:rPr>
      </w:pPr>
      <w:r>
        <w:rPr>
          <w:rFonts w:cs="Times New Roman"/>
          <w:color w:val="auto"/>
          <w:szCs w:val="24"/>
          <w:highlight w:val="none"/>
        </w:rPr>
        <w:t>因此，施工单位必须要采取必要的降噪措施，使施工噪声的影响降到最低。因此对一些重点噪声设备和声源，提出下面一些治理措施和建议：</w:t>
      </w:r>
    </w:p>
    <w:p w14:paraId="24F7B98D">
      <w:pPr>
        <w:rPr>
          <w:rFonts w:cs="Times New Roman"/>
          <w:color w:val="auto"/>
          <w:szCs w:val="24"/>
          <w:highlight w:val="none"/>
        </w:rPr>
      </w:pPr>
      <w:r>
        <w:rPr>
          <w:rFonts w:cs="Times New Roman"/>
          <w:color w:val="auto"/>
          <w:szCs w:val="24"/>
          <w:highlight w:val="none"/>
        </w:rPr>
        <w:t>（1）在施工过程中，设置围墙和临时隔声围障，噪声源应尽量设置在远离环境敏感目标。</w:t>
      </w:r>
    </w:p>
    <w:p w14:paraId="5920DC14">
      <w:pPr>
        <w:rPr>
          <w:rFonts w:cs="Times New Roman"/>
          <w:color w:val="auto"/>
          <w:szCs w:val="24"/>
          <w:highlight w:val="none"/>
        </w:rPr>
      </w:pPr>
      <w:r>
        <w:rPr>
          <w:rFonts w:cs="Times New Roman"/>
          <w:color w:val="auto"/>
          <w:szCs w:val="24"/>
          <w:highlight w:val="none"/>
        </w:rPr>
        <w:t>（2）从规范施工秩序着手，合理安排施工时间，如工艺需要连续施工，必须办理夜间施工许可证，合理布局施工场地，选用良好的施工设备，降低设备声级。</w:t>
      </w:r>
    </w:p>
    <w:p w14:paraId="63B96A25">
      <w:pPr>
        <w:rPr>
          <w:rFonts w:cs="Times New Roman"/>
          <w:color w:val="auto"/>
          <w:szCs w:val="24"/>
          <w:highlight w:val="none"/>
        </w:rPr>
      </w:pPr>
      <w:r>
        <w:rPr>
          <w:rFonts w:cs="Times New Roman"/>
          <w:color w:val="auto"/>
          <w:szCs w:val="24"/>
          <w:highlight w:val="none"/>
        </w:rPr>
        <w:t>（3）降低声源的噪声强度对基础施工过程中主要发声设备，在条件允许情况下，应考虑采用其他措施进行代替，这将都将大大降低噪声源强。</w:t>
      </w:r>
    </w:p>
    <w:p w14:paraId="48785F36">
      <w:pPr>
        <w:rPr>
          <w:rFonts w:cs="Times New Roman"/>
          <w:color w:val="auto"/>
          <w:szCs w:val="24"/>
          <w:highlight w:val="none"/>
        </w:rPr>
      </w:pPr>
      <w:r>
        <w:rPr>
          <w:rFonts w:cs="Times New Roman"/>
          <w:color w:val="auto"/>
          <w:szCs w:val="24"/>
          <w:highlight w:val="none"/>
        </w:rPr>
        <w:t>（4）减轻声源叠加影响，施工机械产生的噪声往往具有突发、无规则、不连续和高强度等特点，施工单位应采取合理安排施工机械操作时间的方法加以缓解，并减少同时作业的高噪声施工机械数量，尽可能减轻声源叠加影响。</w:t>
      </w:r>
    </w:p>
    <w:p w14:paraId="23114A80">
      <w:pPr>
        <w:rPr>
          <w:rFonts w:cs="Times New Roman"/>
          <w:color w:val="auto"/>
          <w:szCs w:val="24"/>
          <w:highlight w:val="none"/>
        </w:rPr>
      </w:pPr>
      <w:r>
        <w:rPr>
          <w:rFonts w:cs="Times New Roman"/>
          <w:color w:val="auto"/>
          <w:szCs w:val="24"/>
          <w:highlight w:val="none"/>
        </w:rPr>
        <w:t>（5）施工车辆，特别是重型运载车辆的运行线路和时间，应尽量避开噪声敏感区域和敏感时段。</w:t>
      </w:r>
    </w:p>
    <w:p w14:paraId="49E4C13B">
      <w:pPr>
        <w:rPr>
          <w:rFonts w:cs="Times New Roman"/>
          <w:snapToGrid w:val="0"/>
          <w:color w:val="auto"/>
          <w:kern w:val="0"/>
          <w:highlight w:val="none"/>
        </w:rPr>
      </w:pPr>
      <w:r>
        <w:rPr>
          <w:rFonts w:cs="Times New Roman"/>
          <w:color w:val="auto"/>
          <w:szCs w:val="24"/>
          <w:highlight w:val="none"/>
        </w:rPr>
        <w:t>经采取上述噪声防治措施后，能大大降低施工噪声对周围环境的影响，</w:t>
      </w:r>
      <w:r>
        <w:rPr>
          <w:rFonts w:cs="Times New Roman"/>
          <w:color w:val="auto"/>
          <w:highlight w:val="none"/>
        </w:rPr>
        <w:t>场界噪声能达到《建筑施工环境噪声排放标准》（GB 12523</w:t>
      </w:r>
      <w:r>
        <w:rPr>
          <w:rFonts w:hint="eastAsia" w:cs="Times New Roman"/>
          <w:color w:val="auto"/>
          <w:highlight w:val="none"/>
        </w:rPr>
        <w:t>-</w:t>
      </w:r>
      <w:r>
        <w:rPr>
          <w:rFonts w:cs="Times New Roman"/>
          <w:color w:val="auto"/>
          <w:highlight w:val="none"/>
        </w:rPr>
        <w:t>2011）要求</w:t>
      </w:r>
      <w:r>
        <w:rPr>
          <w:rFonts w:cs="Times New Roman"/>
          <w:color w:val="auto"/>
          <w:szCs w:val="24"/>
          <w:highlight w:val="none"/>
        </w:rPr>
        <w:t>。施工期噪声污染是短期的、暂时的，一旦施工结束，施工噪声即随之消失。</w:t>
      </w:r>
    </w:p>
    <w:p w14:paraId="6BFFAFC7">
      <w:pPr>
        <w:keepNext/>
        <w:keepLines/>
        <w:ind w:firstLine="0" w:firstLineChars="0"/>
        <w:jc w:val="left"/>
        <w:outlineLvl w:val="2"/>
        <w:rPr>
          <w:rFonts w:eastAsia="黑体" w:cs="Times New Roman"/>
          <w:bCs/>
          <w:snapToGrid w:val="0"/>
          <w:color w:val="auto"/>
          <w:kern w:val="0"/>
          <w:szCs w:val="32"/>
          <w:highlight w:val="none"/>
        </w:rPr>
      </w:pPr>
      <w:bookmarkStart w:id="347" w:name="_Toc203373356"/>
      <w:bookmarkStart w:id="348" w:name="_Toc200162817"/>
      <w:bookmarkStart w:id="349" w:name="_Toc200162120"/>
      <w:bookmarkStart w:id="350" w:name="_Toc225741625"/>
      <w:bookmarkStart w:id="351" w:name="_Toc200952548"/>
      <w:bookmarkStart w:id="352" w:name="_Toc204572395"/>
      <w:bookmarkStart w:id="353" w:name="_Toc203113623"/>
      <w:bookmarkStart w:id="354" w:name="_Toc201330166"/>
      <w:bookmarkStart w:id="355" w:name="_Toc31022"/>
      <w:r>
        <w:rPr>
          <w:rFonts w:eastAsia="黑体" w:cs="Times New Roman"/>
          <w:bCs/>
          <w:snapToGrid w:val="0"/>
          <w:color w:val="auto"/>
          <w:kern w:val="0"/>
          <w:szCs w:val="32"/>
          <w:highlight w:val="none"/>
        </w:rPr>
        <w:t>6.1.4</w:t>
      </w:r>
      <w:bookmarkEnd w:id="347"/>
      <w:bookmarkEnd w:id="348"/>
      <w:bookmarkEnd w:id="349"/>
      <w:bookmarkEnd w:id="350"/>
      <w:bookmarkEnd w:id="351"/>
      <w:bookmarkEnd w:id="352"/>
      <w:bookmarkEnd w:id="353"/>
      <w:bookmarkEnd w:id="354"/>
      <w:r>
        <w:rPr>
          <w:rFonts w:eastAsia="黑体" w:cs="Times New Roman"/>
          <w:bCs/>
          <w:snapToGrid w:val="0"/>
          <w:color w:val="auto"/>
          <w:kern w:val="0"/>
          <w:szCs w:val="32"/>
          <w:highlight w:val="none"/>
        </w:rPr>
        <w:t>固体废物环境保护措施</w:t>
      </w:r>
      <w:bookmarkEnd w:id="355"/>
    </w:p>
    <w:p w14:paraId="22970244">
      <w:pPr>
        <w:rPr>
          <w:rFonts w:cs="Times New Roman"/>
          <w:color w:val="auto"/>
          <w:szCs w:val="24"/>
          <w:highlight w:val="none"/>
        </w:rPr>
      </w:pPr>
      <w:r>
        <w:rPr>
          <w:rFonts w:cs="Times New Roman"/>
          <w:color w:val="auto"/>
          <w:szCs w:val="24"/>
          <w:highlight w:val="none"/>
        </w:rPr>
        <w:t>建设施工期固体废物主要为建筑垃圾及施工人员的少量生活垃圾等。</w:t>
      </w:r>
    </w:p>
    <w:p w14:paraId="47D2AC6D">
      <w:pPr>
        <w:rPr>
          <w:rFonts w:cs="Times New Roman"/>
          <w:color w:val="auto"/>
          <w:szCs w:val="24"/>
          <w:highlight w:val="none"/>
        </w:rPr>
      </w:pPr>
      <w:r>
        <w:rPr>
          <w:rFonts w:cs="Times New Roman"/>
          <w:color w:val="auto"/>
          <w:szCs w:val="24"/>
          <w:highlight w:val="none"/>
        </w:rPr>
        <w:t>（1）施工人员产生的生活垃圾量较少，可设置固定垃圾箱存放，统一清运，不得随意丢弃。</w:t>
      </w:r>
    </w:p>
    <w:p w14:paraId="58716A6E">
      <w:pPr>
        <w:pStyle w:val="117"/>
        <w:rPr>
          <w:rFonts w:cs="Times New Roman"/>
          <w:color w:val="auto"/>
          <w:szCs w:val="24"/>
          <w:highlight w:val="none"/>
        </w:rPr>
      </w:pPr>
      <w:r>
        <w:rPr>
          <w:rFonts w:cs="Times New Roman"/>
          <w:color w:val="auto"/>
          <w:szCs w:val="24"/>
          <w:highlight w:val="none"/>
        </w:rPr>
        <w:t>（2）建筑垃圾运至指定地点处理。对施工过程中产生的建筑材料，应考虑其能否利用，并且要尽快利用，以减少堆存时间。若在不能确保其全部利用时，需对不能利用部分运至指定地点处理。</w:t>
      </w:r>
      <w:r>
        <w:rPr>
          <w:rFonts w:hint="default" w:ascii="Times New Roman" w:hAnsi="Times New Roman" w:cs="Times New Roman"/>
          <w:snapToGrid w:val="0"/>
          <w:color w:val="auto"/>
          <w:highlight w:val="none"/>
        </w:rPr>
        <w:t>多余土方用于平整场地；项目占地范围内表土须按照《黑龙江省黑土地保护利用条例》与《建设占用耕地耕作层土壤剥离利用技术规范》（DB23-T2913-2021）的要求进行表土的剥离与利用；建筑垃圾严禁随意抛弃倾倒。</w:t>
      </w:r>
    </w:p>
    <w:p w14:paraId="646E4973">
      <w:pPr>
        <w:pStyle w:val="4"/>
        <w:bidi w:val="0"/>
        <w:rPr>
          <w:color w:val="auto"/>
          <w:highlight w:val="none"/>
        </w:rPr>
      </w:pPr>
      <w:bookmarkStart w:id="356" w:name="_Toc203113624"/>
      <w:bookmarkStart w:id="357" w:name="_Toc203373357"/>
      <w:bookmarkStart w:id="358" w:name="_Toc200162818"/>
      <w:bookmarkStart w:id="359" w:name="_Toc200952549"/>
      <w:bookmarkStart w:id="360" w:name="_Toc201330167"/>
      <w:bookmarkStart w:id="361" w:name="_Toc225741626"/>
      <w:bookmarkStart w:id="362" w:name="_Toc200162121"/>
      <w:bookmarkStart w:id="363" w:name="_Toc204572396"/>
      <w:bookmarkStart w:id="364" w:name="_Toc3906"/>
      <w:r>
        <w:rPr>
          <w:color w:val="auto"/>
          <w:highlight w:val="none"/>
        </w:rPr>
        <w:t>6.1.5</w:t>
      </w:r>
      <w:bookmarkEnd w:id="356"/>
      <w:bookmarkEnd w:id="357"/>
      <w:bookmarkEnd w:id="358"/>
      <w:bookmarkEnd w:id="359"/>
      <w:bookmarkEnd w:id="360"/>
      <w:bookmarkEnd w:id="361"/>
      <w:bookmarkEnd w:id="362"/>
      <w:bookmarkEnd w:id="363"/>
      <w:r>
        <w:rPr>
          <w:color w:val="auto"/>
          <w:highlight w:val="none"/>
        </w:rPr>
        <w:t>生态环境保护措施</w:t>
      </w:r>
      <w:bookmarkEnd w:id="364"/>
    </w:p>
    <w:p w14:paraId="38F649BA">
      <w:pPr>
        <w:pStyle w:val="117"/>
        <w:adjustRightInd w:val="0"/>
        <w:snapToGrid w:val="0"/>
        <w:spacing w:line="360" w:lineRule="auto"/>
        <w:rPr>
          <w:rFonts w:ascii="Times New Roman" w:hAnsi="Times New Roman" w:eastAsia="宋体" w:cs="Times New Roman"/>
          <w:snapToGrid w:val="0"/>
          <w:color w:val="auto"/>
          <w:highlight w:val="none"/>
        </w:rPr>
      </w:pPr>
      <w:bookmarkStart w:id="365" w:name="_Toc480447675"/>
      <w:bookmarkStart w:id="366" w:name="_Toc277178440"/>
      <w:bookmarkStart w:id="367" w:name="_Toc255202309"/>
      <w:r>
        <w:rPr>
          <w:rFonts w:cs="Times New Roman"/>
          <w:snapToGrid w:val="0"/>
          <w:color w:val="auto"/>
          <w:highlight w:val="none"/>
        </w:rPr>
        <w:t>建设期的生态影响主要是土地平整及土方挖运施工导致的水土流失，工程应加强施工道路的路面建设，创造施工场地良好的排水条件，减少雨水冲刷和停留时间，从而达到减少水土流失的目的。</w:t>
      </w:r>
      <w:r>
        <w:rPr>
          <w:rFonts w:hint="default" w:ascii="Times New Roman" w:hAnsi="Times New Roman" w:eastAsia="宋体" w:cs="Times New Roman"/>
          <w:snapToGrid w:val="0"/>
          <w:color w:val="auto"/>
          <w:highlight w:val="none"/>
        </w:rPr>
        <w:t>施工时弃土</w:t>
      </w:r>
      <w:r>
        <w:rPr>
          <w:rFonts w:hint="default" w:ascii="Times New Roman" w:hAnsi="Times New Roman" w:cs="Times New Roman"/>
          <w:snapToGrid w:val="0"/>
          <w:color w:val="auto"/>
          <w:highlight w:val="none"/>
        </w:rPr>
        <w:t>用于平整场地</w:t>
      </w:r>
      <w:r>
        <w:rPr>
          <w:rFonts w:hint="default" w:ascii="Times New Roman" w:hAnsi="Times New Roman" w:eastAsia="宋体" w:cs="Times New Roman"/>
          <w:snapToGrid w:val="0"/>
          <w:color w:val="auto"/>
          <w:highlight w:val="none"/>
        </w:rPr>
        <w:t>，直接送至填方处堆存，减少倒运次数，可减轻水土流失。施工结束后立即进行地表植被恢复，减少水土流失和扬尘污染。</w:t>
      </w:r>
    </w:p>
    <w:p w14:paraId="0583E124">
      <w:pPr>
        <w:pStyle w:val="117"/>
        <w:adjustRightInd w:val="0"/>
        <w:snapToGrid w:val="0"/>
        <w:spacing w:line="360" w:lineRule="auto"/>
        <w:rPr>
          <w:rFonts w:cs="Times New Roman"/>
          <w:snapToGrid w:val="0"/>
          <w:color w:val="auto"/>
          <w:highlight w:val="none"/>
        </w:rPr>
      </w:pPr>
      <w:r>
        <w:rPr>
          <w:rFonts w:ascii="Times New Roman" w:hAnsi="Times New Roman" w:eastAsia="宋体" w:cs="Times New Roman"/>
          <w:snapToGrid w:val="0"/>
          <w:color w:val="auto"/>
          <w:highlight w:val="none"/>
        </w:rPr>
        <w:t>1、加强管理及施工人</w:t>
      </w:r>
      <w:r>
        <w:rPr>
          <w:rFonts w:cs="Times New Roman"/>
          <w:snapToGrid w:val="0"/>
          <w:color w:val="auto"/>
          <w:highlight w:val="none"/>
        </w:rPr>
        <w:t>员生态保护意识教育，保护施工场地周围的生态环境。</w:t>
      </w:r>
    </w:p>
    <w:p w14:paraId="299FEE5A">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2、尽量减少工程占地，减轻对土壤及地面植被的破坏。</w:t>
      </w:r>
    </w:p>
    <w:p w14:paraId="7F5D11E8">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3、合理设置施工时段，最大限度缩短施工周期。涉及大量开挖的工程，尽量避开雨季、大风天气。</w:t>
      </w:r>
    </w:p>
    <w:p w14:paraId="4DEDE96A">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4、加强施工管理，严格按规程操作。</w:t>
      </w:r>
    </w:p>
    <w:p w14:paraId="21AA91D7">
      <w:pPr>
        <w:pStyle w:val="117"/>
        <w:adjustRightInd w:val="0"/>
        <w:snapToGrid w:val="0"/>
        <w:spacing w:line="360" w:lineRule="auto"/>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根据现场勘察，项目占地范围内，土地利用现状为交通服务场地用地（见附图5）。</w:t>
      </w:r>
    </w:p>
    <w:p w14:paraId="0B7866AB">
      <w:pPr>
        <w:pStyle w:val="117"/>
        <w:adjustRightInd w:val="0"/>
        <w:snapToGrid w:val="0"/>
        <w:spacing w:line="360" w:lineRule="auto"/>
        <w:rPr>
          <w:rFonts w:hint="eastAsia" w:cs="Times New Roman"/>
          <w:snapToGrid w:val="0"/>
          <w:color w:val="auto"/>
          <w:highlight w:val="none"/>
        </w:rPr>
      </w:pPr>
      <w:r>
        <w:rPr>
          <w:rFonts w:cs="Times New Roman"/>
          <w:snapToGrid w:val="0"/>
          <w:color w:val="auto"/>
          <w:highlight w:val="none"/>
        </w:rPr>
        <w:t>（1）项目占地范围内表土须按照《黑龙江省黑土地保护利用条例》与《建设占用耕地耕作层土壤剥离利用技术规范》（DB23-T2913-2021）的要求</w:t>
      </w:r>
      <w:r>
        <w:rPr>
          <w:rFonts w:hint="eastAsia" w:cs="Times New Roman"/>
          <w:snapToGrid w:val="0"/>
          <w:color w:val="auto"/>
          <w:highlight w:val="none"/>
          <w:lang w:val="en-US" w:eastAsia="zh-CN"/>
        </w:rPr>
        <w:t>编制剥离利用方案，对</w:t>
      </w:r>
      <w:r>
        <w:rPr>
          <w:rFonts w:cs="Times New Roman"/>
          <w:snapToGrid w:val="0"/>
          <w:color w:val="auto"/>
          <w:highlight w:val="none"/>
        </w:rPr>
        <w:t>表土</w:t>
      </w:r>
      <w:r>
        <w:rPr>
          <w:rFonts w:hint="eastAsia" w:cs="Times New Roman"/>
          <w:snapToGrid w:val="0"/>
          <w:color w:val="auto"/>
          <w:highlight w:val="none"/>
          <w:lang w:val="en-US" w:eastAsia="zh-CN"/>
        </w:rPr>
        <w:t>进行</w:t>
      </w:r>
      <w:r>
        <w:rPr>
          <w:rFonts w:cs="Times New Roman"/>
          <w:snapToGrid w:val="0"/>
          <w:color w:val="auto"/>
          <w:highlight w:val="none"/>
        </w:rPr>
        <w:t>剥离与利用。</w:t>
      </w:r>
    </w:p>
    <w:p w14:paraId="3CF97948">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lang w:val="en-US" w:eastAsia="zh-CN"/>
        </w:rPr>
        <w:t>1）表土剥离过程中</w:t>
      </w:r>
      <w:r>
        <w:rPr>
          <w:rFonts w:hint="eastAsia" w:cs="Times New Roman"/>
          <w:snapToGrid w:val="0"/>
          <w:color w:val="auto"/>
          <w:highlight w:val="none"/>
        </w:rPr>
        <w:t>应满足下列要求：</w:t>
      </w:r>
    </w:p>
    <w:p w14:paraId="76896D44">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a) 严格按照方案规定的工程内容、实施计划和质量要求施工；</w:t>
      </w:r>
    </w:p>
    <w:p w14:paraId="207B7D9A">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b) 土壤剥离、运输、储存的相关规定、施工方法与技术要求按照本标准规定要求执行；</w:t>
      </w:r>
    </w:p>
    <w:p w14:paraId="1B8E2044">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c) 收集剥离区、储存区工程施工前后的全景照片和关键部位的局部照片；</w:t>
      </w:r>
    </w:p>
    <w:p w14:paraId="70A64178">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d) 建立施工台账，准确记录土壤剥离、储存的土方量；</w:t>
      </w:r>
    </w:p>
    <w:p w14:paraId="50EC029A">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e) 根据天气情况确定施工时间，禁止雨天作业；</w:t>
      </w:r>
    </w:p>
    <w:p w14:paraId="669F2F5F">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f) 邻近城镇村庄、主要道路、水源地等作业场所，晴天应定期洒水降尘。运输车辆应盖好土壤，并在规定的运输路线和操作区域内行驶。</w:t>
      </w:r>
    </w:p>
    <w:p w14:paraId="6C9CC66B">
      <w:pPr>
        <w:pStyle w:val="117"/>
        <w:adjustRightInd w:val="0"/>
        <w:snapToGrid w:val="0"/>
        <w:spacing w:line="360" w:lineRule="auto"/>
        <w:rPr>
          <w:rFonts w:hint="eastAsia" w:cs="Times New Roman"/>
          <w:snapToGrid w:val="0"/>
          <w:color w:val="auto"/>
          <w:highlight w:val="none"/>
          <w:lang w:val="en-US" w:eastAsia="zh-CN"/>
        </w:rPr>
      </w:pPr>
      <w:r>
        <w:rPr>
          <w:rFonts w:hint="eastAsia" w:cs="Times New Roman"/>
          <w:snapToGrid w:val="0"/>
          <w:color w:val="auto"/>
          <w:highlight w:val="none"/>
          <w:lang w:val="en-US" w:eastAsia="zh-CN"/>
        </w:rPr>
        <w:t>2）作业参数满足下列要求：</w:t>
      </w:r>
    </w:p>
    <w:p w14:paraId="658BF228">
      <w:pPr>
        <w:pStyle w:val="117"/>
        <w:adjustRightInd w:val="0"/>
        <w:snapToGrid w:val="0"/>
        <w:spacing w:line="360" w:lineRule="auto"/>
        <w:rPr>
          <w:rFonts w:hint="eastAsia" w:cs="Times New Roman"/>
          <w:snapToGrid w:val="0"/>
          <w:color w:val="auto"/>
          <w:highlight w:val="none"/>
          <w:lang w:val="en-US" w:eastAsia="zh-CN"/>
        </w:rPr>
      </w:pPr>
      <w:r>
        <w:rPr>
          <w:rFonts w:hint="eastAsia" w:cs="Times New Roman"/>
          <w:snapToGrid w:val="0"/>
          <w:color w:val="auto"/>
          <w:highlight w:val="none"/>
          <w:lang w:val="en-US" w:eastAsia="zh-CN"/>
        </w:rPr>
        <w:t>a) 根据剥离机械设备性能，确定每次剥离的宽度和轴线及适宜剥离厚度，机械的剥离宽度2 m—4 m为宜；</w:t>
      </w:r>
    </w:p>
    <w:p w14:paraId="13E98D27">
      <w:pPr>
        <w:pStyle w:val="117"/>
        <w:adjustRightInd w:val="0"/>
        <w:snapToGrid w:val="0"/>
        <w:spacing w:line="360" w:lineRule="auto"/>
        <w:rPr>
          <w:rFonts w:hint="eastAsia" w:cs="Times New Roman"/>
          <w:snapToGrid w:val="0"/>
          <w:color w:val="auto"/>
          <w:highlight w:val="none"/>
          <w:lang w:val="en-US" w:eastAsia="zh-CN"/>
        </w:rPr>
      </w:pPr>
      <w:r>
        <w:rPr>
          <w:rFonts w:hint="eastAsia" w:cs="Times New Roman"/>
          <w:snapToGrid w:val="0"/>
          <w:color w:val="auto"/>
          <w:highlight w:val="none"/>
          <w:lang w:val="en-US" w:eastAsia="zh-CN"/>
        </w:rPr>
        <w:t>b) 根据耕作层土壤剥离利用方案，确定剥离单元与剥离厚度。基于土壤质量和剥离成本考虑，耕作层土壤剥离厚度宜在20cm～30cm。单次土壤剥离厚度不宜大于 30 cm；</w:t>
      </w:r>
    </w:p>
    <w:p w14:paraId="33544BD3">
      <w:pPr>
        <w:pStyle w:val="117"/>
        <w:adjustRightInd w:val="0"/>
        <w:snapToGrid w:val="0"/>
        <w:spacing w:line="360" w:lineRule="auto"/>
        <w:rPr>
          <w:rFonts w:hint="eastAsia" w:cs="Times New Roman"/>
          <w:snapToGrid w:val="0"/>
          <w:color w:val="auto"/>
          <w:highlight w:val="none"/>
          <w:lang w:val="en-US" w:eastAsia="zh-CN"/>
        </w:rPr>
      </w:pPr>
      <w:r>
        <w:rPr>
          <w:rFonts w:hint="eastAsia" w:cs="Times New Roman"/>
          <w:snapToGrid w:val="0"/>
          <w:color w:val="auto"/>
          <w:highlight w:val="none"/>
          <w:lang w:val="en-US" w:eastAsia="zh-CN"/>
        </w:rPr>
        <w:t>c) 耕作层较厚的区域可适当增加剥离厚度，原则上土壤剥离厚度不超过50cm。</w:t>
      </w:r>
    </w:p>
    <w:p w14:paraId="6EA68A7B">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lang w:val="en-US" w:eastAsia="zh-CN"/>
        </w:rPr>
        <w:t>3）</w:t>
      </w:r>
      <w:r>
        <w:rPr>
          <w:rFonts w:hint="eastAsia" w:cs="Times New Roman"/>
          <w:snapToGrid w:val="0"/>
          <w:color w:val="auto"/>
          <w:highlight w:val="none"/>
        </w:rPr>
        <w:t>土壤堆放应满足下列要求：</w:t>
      </w:r>
    </w:p>
    <w:p w14:paraId="3F74E3B0">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a) 储存区内土壤堆放应减少占地面积，合理紧凑。多种类型土壤储存宜采用棱台状堆放，堆高不超过5 m，每高1 m设置一个台阶，按1:1～1:1.5设置边坡；</w:t>
      </w:r>
    </w:p>
    <w:p w14:paraId="1F021B5E">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b) 每个储存区内道路宜环状或居中布置。大型储存区宜在下游设置机械停放、维修区域，该区域与土堆最近距离不宜小于 3 m，中间宜开挖隔油沟；</w:t>
      </w:r>
    </w:p>
    <w:p w14:paraId="6897A1CE">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c) 土壤堆放半年之内应用防尘网覆盖；堆放时间超过 1 年的，覆盖前宜播撒一年生或多年生浅根草类种子；</w:t>
      </w:r>
    </w:p>
    <w:p w14:paraId="308C6530">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d) 土壤堆放 2 年之内，土堆之间、土堆与道路之间用30 cm ～ 50 cm 装土的草袋或编织袋隔挡；</w:t>
      </w:r>
    </w:p>
    <w:p w14:paraId="64D136E6">
      <w:pPr>
        <w:pStyle w:val="117"/>
        <w:adjustRightInd w:val="0"/>
        <w:snapToGrid w:val="0"/>
        <w:spacing w:line="360" w:lineRule="auto"/>
        <w:rPr>
          <w:rFonts w:cs="Times New Roman"/>
          <w:snapToGrid w:val="0"/>
          <w:color w:val="auto"/>
          <w:highlight w:val="none"/>
        </w:rPr>
      </w:pPr>
      <w:r>
        <w:rPr>
          <w:rFonts w:hint="eastAsia" w:cs="Times New Roman"/>
          <w:snapToGrid w:val="0"/>
          <w:color w:val="auto"/>
          <w:highlight w:val="none"/>
        </w:rPr>
        <w:t>e) 堆放时间超过 2 年或地形坡度较大的，宜用干砌石或浆砌墙隔挡。土堆之间设置应 ≥ 4 m 机械通行过道，土堆与过道间应开挖隔油沟。</w:t>
      </w:r>
    </w:p>
    <w:p w14:paraId="561A34F2">
      <w:pPr>
        <w:pStyle w:val="117"/>
        <w:adjustRightInd w:val="0"/>
        <w:snapToGrid w:val="0"/>
        <w:spacing w:line="360" w:lineRule="auto"/>
        <w:rPr>
          <w:rFonts w:hint="default" w:eastAsia="宋体" w:cs="Times New Roman"/>
          <w:snapToGrid w:val="0"/>
          <w:color w:val="auto"/>
          <w:highlight w:val="none"/>
          <w:lang w:val="en-US" w:eastAsia="zh-CN"/>
        </w:rPr>
      </w:pPr>
      <w:r>
        <w:rPr>
          <w:rFonts w:hint="eastAsia" w:cs="Times New Roman"/>
          <w:snapToGrid w:val="0"/>
          <w:color w:val="auto"/>
          <w:highlight w:val="none"/>
          <w:lang w:val="en-US" w:eastAsia="zh-CN"/>
        </w:rPr>
        <w:t>4）利用方向</w:t>
      </w:r>
    </w:p>
    <w:p w14:paraId="12873BC4">
      <w:pPr>
        <w:pStyle w:val="117"/>
        <w:adjustRightInd w:val="0"/>
        <w:snapToGrid w:val="0"/>
        <w:spacing w:line="360" w:lineRule="auto"/>
        <w:rPr>
          <w:rFonts w:hint="eastAsia" w:cs="Times New Roman"/>
          <w:snapToGrid w:val="0"/>
          <w:color w:val="auto"/>
          <w:highlight w:val="none"/>
        </w:rPr>
      </w:pPr>
      <w:r>
        <w:rPr>
          <w:rFonts w:hint="eastAsia" w:cs="Times New Roman"/>
          <w:snapToGrid w:val="0"/>
          <w:color w:val="auto"/>
          <w:highlight w:val="none"/>
        </w:rPr>
        <w:t>剥离耕作层土壤质量较好的主要用于土地复垦，改良中、低产田，被污染耕地治理，新垦耕地和劣质耕地改良，高标准农田建设；土壤质量次之的主要用于国土空间生态保护修复工程、苗床用土，绿化等。</w:t>
      </w:r>
    </w:p>
    <w:p w14:paraId="34D6000C">
      <w:pPr>
        <w:pStyle w:val="117"/>
        <w:adjustRightInd w:val="0"/>
        <w:snapToGrid w:val="0"/>
        <w:spacing w:line="360" w:lineRule="auto"/>
        <w:rPr>
          <w:rFonts w:hint="eastAsia" w:eastAsia="宋体" w:cs="Times New Roman"/>
          <w:snapToGrid w:val="0"/>
          <w:color w:val="auto"/>
          <w:highlight w:val="none"/>
          <w:lang w:eastAsia="zh-CN"/>
        </w:rPr>
      </w:pPr>
      <w:r>
        <w:rPr>
          <w:rFonts w:hint="eastAsia" w:cs="Times New Roman"/>
          <w:snapToGrid w:val="0"/>
          <w:color w:val="auto"/>
          <w:highlight w:val="none"/>
          <w:lang w:eastAsia="zh-CN"/>
        </w:rPr>
        <w:t>（</w:t>
      </w:r>
      <w:r>
        <w:rPr>
          <w:rFonts w:hint="eastAsia" w:cs="Times New Roman"/>
          <w:snapToGrid w:val="0"/>
          <w:color w:val="auto"/>
          <w:highlight w:val="none"/>
          <w:lang w:val="en-US" w:eastAsia="zh-CN"/>
        </w:rPr>
        <w:t>1</w:t>
      </w:r>
      <w:r>
        <w:rPr>
          <w:rFonts w:hint="eastAsia" w:cs="Times New Roman"/>
          <w:snapToGrid w:val="0"/>
          <w:color w:val="auto"/>
          <w:highlight w:val="none"/>
          <w:lang w:eastAsia="zh-CN"/>
        </w:rPr>
        <w:t>）</w:t>
      </w:r>
      <w:r>
        <w:rPr>
          <w:rFonts w:hint="eastAsia" w:cs="Times New Roman"/>
          <w:snapToGrid w:val="0"/>
          <w:color w:val="auto"/>
          <w:highlight w:val="none"/>
        </w:rPr>
        <w:t>剥离土壤可以用于水稻育秧所用的苗床土，或者用于制作营养土用于水稻秧盘用土</w:t>
      </w:r>
      <w:r>
        <w:rPr>
          <w:rFonts w:hint="eastAsia" w:cs="Times New Roman"/>
          <w:snapToGrid w:val="0"/>
          <w:color w:val="auto"/>
          <w:highlight w:val="none"/>
          <w:lang w:eastAsia="zh-CN"/>
        </w:rPr>
        <w:t>。</w:t>
      </w:r>
    </w:p>
    <w:p w14:paraId="645D0AF1">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 xml:space="preserve">（2）在场区平整过程中做到边取土边平整，有计划取土，及时平整。在主体工程完成后及时对相关区域进行绿化。 </w:t>
      </w:r>
    </w:p>
    <w:p w14:paraId="1A1289A2">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（3）施工期间，修筑临时施工围挡，防止施工时随意破坏周围植被，防止水土流失。</w:t>
      </w:r>
    </w:p>
    <w:p w14:paraId="55F83C6D">
      <w:pPr>
        <w:pStyle w:val="117"/>
        <w:adjustRightInd w:val="0"/>
        <w:snapToGrid w:val="0"/>
        <w:spacing w:line="360" w:lineRule="auto"/>
        <w:rPr>
          <w:rFonts w:cs="Times New Roman"/>
          <w:snapToGrid w:val="0"/>
          <w:color w:val="auto"/>
          <w:highlight w:val="none"/>
        </w:rPr>
      </w:pPr>
      <w:r>
        <w:rPr>
          <w:rFonts w:cs="Times New Roman"/>
          <w:snapToGrid w:val="0"/>
          <w:color w:val="auto"/>
          <w:highlight w:val="none"/>
        </w:rPr>
        <w:t>（4）指定固定的行车路线，防止随意毁坏地表植被。</w:t>
      </w:r>
    </w:p>
    <w:p w14:paraId="4179EEA5">
      <w:pPr>
        <w:pStyle w:val="3"/>
        <w:bidi w:val="0"/>
        <w:rPr>
          <w:color w:val="auto"/>
          <w:highlight w:val="none"/>
        </w:rPr>
      </w:pPr>
      <w:bookmarkStart w:id="368" w:name="_Toc16455"/>
      <w:r>
        <w:rPr>
          <w:color w:val="auto"/>
          <w:highlight w:val="none"/>
        </w:rPr>
        <w:t>6.2运营期污染防治措施</w:t>
      </w:r>
      <w:bookmarkEnd w:id="365"/>
      <w:bookmarkEnd w:id="366"/>
      <w:bookmarkEnd w:id="367"/>
      <w:bookmarkEnd w:id="368"/>
    </w:p>
    <w:bookmarkEnd w:id="318"/>
    <w:bookmarkEnd w:id="319"/>
    <w:p w14:paraId="02E0C343">
      <w:pPr>
        <w:pStyle w:val="4"/>
        <w:bidi w:val="0"/>
        <w:rPr>
          <w:color w:val="auto"/>
          <w:highlight w:val="none"/>
        </w:rPr>
      </w:pPr>
      <w:bookmarkStart w:id="369" w:name="_Toc74537250"/>
      <w:bookmarkStart w:id="370" w:name="_Toc83525151"/>
      <w:bookmarkStart w:id="371" w:name="_Toc98920175"/>
      <w:bookmarkStart w:id="372" w:name="_Toc32743"/>
      <w:r>
        <w:rPr>
          <w:color w:val="auto"/>
          <w:highlight w:val="none"/>
        </w:rPr>
        <w:t>6.2.1</w:t>
      </w:r>
      <w:bookmarkEnd w:id="369"/>
      <w:bookmarkEnd w:id="370"/>
      <w:bookmarkEnd w:id="371"/>
      <w:r>
        <w:rPr>
          <w:color w:val="auto"/>
          <w:highlight w:val="none"/>
        </w:rPr>
        <w:t>大气环境保护措施</w:t>
      </w:r>
      <w:bookmarkEnd w:id="372"/>
    </w:p>
    <w:p w14:paraId="635D271A">
      <w:pPr>
        <w:pStyle w:val="117"/>
        <w:keepNext w:val="0"/>
        <w:keepLines w:val="0"/>
        <w:pageBreakBefore w:val="0"/>
        <w:widowControl w:val="0"/>
        <w:kinsoku/>
        <w:wordWrap/>
        <w:overflowPunct/>
        <w:topLinePunct w:val="0"/>
        <w:autoSpaceDE/>
        <w:autoSpaceDN/>
        <w:bidi w:val="0"/>
        <w:adjustRightInd w:val="0"/>
        <w:snapToGrid w:val="0"/>
        <w:spacing w:line="500" w:lineRule="exact"/>
        <w:textAlignment w:val="auto"/>
        <w:rPr>
          <w:rFonts w:ascii="Times New Roman" w:hAnsi="Times New Roman" w:eastAsia="宋体" w:cs="Times New Roman"/>
          <w:snapToGrid w:val="0"/>
          <w:color w:val="auto"/>
          <w:kern w:val="0"/>
          <w:highlight w:val="none"/>
          <w:lang w:val="zh-CN"/>
        </w:rPr>
      </w:pPr>
      <w:r>
        <w:rPr>
          <w:rFonts w:ascii="Times New Roman" w:hAnsi="Times New Roman" w:eastAsia="宋体" w:cs="Times New Roman"/>
          <w:snapToGrid w:val="0"/>
          <w:color w:val="auto"/>
          <w:kern w:val="0"/>
          <w:highlight w:val="none"/>
          <w:lang w:val="zh-CN"/>
        </w:rPr>
        <w:t>本项目运营期产生的废气主要包括</w:t>
      </w:r>
      <w:r>
        <w:rPr>
          <w:rFonts w:hint="eastAsia" w:cs="Times New Roman"/>
          <w:snapToGrid w:val="0"/>
          <w:color w:val="auto"/>
          <w:highlight w:val="none"/>
          <w:lang w:val="zh-CN"/>
        </w:rPr>
        <w:t>待宰圈</w:t>
      </w:r>
      <w:r>
        <w:rPr>
          <w:rFonts w:cs="Times New Roman"/>
          <w:snapToGrid w:val="0"/>
          <w:color w:val="auto"/>
          <w:highlight w:val="none"/>
          <w:lang w:val="zh-CN"/>
        </w:rPr>
        <w:t>、</w:t>
      </w:r>
      <w:r>
        <w:rPr>
          <w:rFonts w:hint="eastAsia" w:cs="Times New Roman"/>
          <w:snapToGrid w:val="0"/>
          <w:color w:val="auto"/>
          <w:highlight w:val="none"/>
          <w:lang w:val="en-US" w:eastAsia="zh-CN"/>
        </w:rPr>
        <w:t>急宰间、</w:t>
      </w:r>
      <w:r>
        <w:rPr>
          <w:rFonts w:cs="Times New Roman"/>
          <w:snapToGrid w:val="0"/>
          <w:color w:val="auto"/>
          <w:highlight w:val="none"/>
          <w:lang w:val="zh-CN"/>
        </w:rPr>
        <w:t>屠宰车间</w:t>
      </w:r>
      <w:r>
        <w:rPr>
          <w:rFonts w:hint="eastAsia" w:cs="Times New Roman"/>
          <w:snapToGrid w:val="0"/>
          <w:color w:val="auto"/>
          <w:highlight w:val="none"/>
          <w:lang w:val="en-US" w:eastAsia="zh-CN"/>
        </w:rPr>
        <w:t>、</w:t>
      </w:r>
      <w:r>
        <w:rPr>
          <w:rFonts w:cs="Times New Roman"/>
          <w:snapToGrid w:val="0"/>
          <w:color w:val="auto"/>
          <w:highlight w:val="none"/>
          <w:lang w:val="zh-CN"/>
        </w:rPr>
        <w:t>污水处理站</w:t>
      </w:r>
      <w:r>
        <w:rPr>
          <w:rFonts w:cs="Times New Roman"/>
          <w:color w:val="auto"/>
          <w:spacing w:val="12"/>
          <w:szCs w:val="24"/>
          <w:highlight w:val="none"/>
        </w:rPr>
        <w:t>、隔离</w:t>
      </w:r>
      <w:r>
        <w:rPr>
          <w:rFonts w:hint="eastAsia" w:cs="Times New Roman"/>
          <w:color w:val="auto"/>
          <w:spacing w:val="12"/>
          <w:szCs w:val="24"/>
          <w:highlight w:val="none"/>
          <w:lang w:val="en-US" w:eastAsia="zh-CN"/>
        </w:rPr>
        <w:t>间</w:t>
      </w:r>
      <w:r>
        <w:rPr>
          <w:rFonts w:cs="Times New Roman"/>
          <w:color w:val="auto"/>
          <w:spacing w:val="12"/>
          <w:szCs w:val="24"/>
          <w:highlight w:val="none"/>
        </w:rPr>
        <w:t>及</w:t>
      </w:r>
      <w:r>
        <w:rPr>
          <w:rFonts w:hint="eastAsia" w:cs="Times New Roman"/>
          <w:color w:val="auto"/>
          <w:spacing w:val="12"/>
          <w:szCs w:val="24"/>
          <w:highlight w:val="none"/>
          <w:lang w:val="en-US" w:eastAsia="zh-CN"/>
        </w:rPr>
        <w:t>固体废物</w:t>
      </w:r>
      <w:r>
        <w:rPr>
          <w:rFonts w:cs="Times New Roman"/>
          <w:snapToGrid w:val="0"/>
          <w:color w:val="auto"/>
          <w:highlight w:val="none"/>
        </w:rPr>
        <w:t>暂存间</w:t>
      </w:r>
      <w:r>
        <w:rPr>
          <w:rFonts w:cs="Times New Roman"/>
          <w:snapToGrid w:val="0"/>
          <w:color w:val="auto"/>
          <w:highlight w:val="none"/>
          <w:lang w:val="zh-CN"/>
        </w:rPr>
        <w:t>产生的恶臭废气</w:t>
      </w:r>
      <w:r>
        <w:rPr>
          <w:rFonts w:ascii="Times New Roman" w:hAnsi="Times New Roman" w:eastAsia="宋体" w:cs="Times New Roman"/>
          <w:snapToGrid w:val="0"/>
          <w:color w:val="auto"/>
          <w:kern w:val="0"/>
          <w:highlight w:val="none"/>
          <w:lang w:val="zh-CN"/>
        </w:rPr>
        <w:t>。</w:t>
      </w:r>
    </w:p>
    <w:p w14:paraId="0FE4E123">
      <w:pPr>
        <w:pStyle w:val="117"/>
        <w:keepNext w:val="0"/>
        <w:keepLines w:val="0"/>
        <w:pageBreakBefore w:val="0"/>
        <w:widowControl w:val="0"/>
        <w:kinsoku/>
        <w:wordWrap/>
        <w:overflowPunct/>
        <w:topLinePunct w:val="0"/>
        <w:autoSpaceDE/>
        <w:autoSpaceDN/>
        <w:bidi w:val="0"/>
        <w:adjustRightInd w:val="0"/>
        <w:snapToGrid w:val="0"/>
        <w:spacing w:line="500" w:lineRule="exact"/>
        <w:textAlignment w:val="auto"/>
        <w:rPr>
          <w:rFonts w:ascii="Times New Roman" w:hAnsi="Times New Roman" w:eastAsia="宋体" w:cs="Times New Roman"/>
          <w:b/>
          <w:bCs/>
          <w:snapToGrid w:val="0"/>
          <w:color w:val="auto"/>
          <w:kern w:val="0"/>
          <w:highlight w:val="none"/>
          <w:lang w:val="zh-CN"/>
        </w:rPr>
      </w:pPr>
      <w:r>
        <w:rPr>
          <w:rFonts w:hint="eastAsia" w:ascii="Times New Roman" w:hAnsi="Times New Roman" w:eastAsia="宋体" w:cs="Times New Roman"/>
          <w:b/>
          <w:bCs/>
          <w:snapToGrid w:val="0"/>
          <w:color w:val="auto"/>
          <w:kern w:val="0"/>
          <w:highlight w:val="none"/>
          <w:lang w:val="zh-CN"/>
        </w:rPr>
        <w:t>1、</w:t>
      </w:r>
      <w:r>
        <w:rPr>
          <w:rFonts w:ascii="Times New Roman" w:hAnsi="Times New Roman" w:eastAsia="宋体" w:cs="Times New Roman"/>
          <w:b/>
          <w:bCs/>
          <w:snapToGrid w:val="0"/>
          <w:color w:val="auto"/>
          <w:kern w:val="0"/>
          <w:highlight w:val="none"/>
          <w:lang w:val="zh-CN"/>
        </w:rPr>
        <w:t>有组织</w:t>
      </w:r>
    </w:p>
    <w:p w14:paraId="422CB7E5">
      <w:pPr>
        <w:pStyle w:val="117"/>
        <w:keepNext w:val="0"/>
        <w:keepLines w:val="0"/>
        <w:pageBreakBefore w:val="0"/>
        <w:widowControl w:val="0"/>
        <w:kinsoku/>
        <w:wordWrap/>
        <w:overflowPunct/>
        <w:topLinePunct w:val="0"/>
        <w:autoSpaceDE/>
        <w:autoSpaceDN/>
        <w:bidi w:val="0"/>
        <w:adjustRightInd w:val="0"/>
        <w:snapToGrid w:val="0"/>
        <w:spacing w:line="500" w:lineRule="exact"/>
        <w:textAlignment w:val="auto"/>
        <w:rPr>
          <w:rFonts w:ascii="Times New Roman" w:hAnsi="Times New Roman" w:eastAsia="宋体" w:cs="Times New Roman"/>
          <w:snapToGrid w:val="0"/>
          <w:color w:val="auto"/>
          <w:kern w:val="0"/>
          <w:highlight w:val="none"/>
          <w:lang w:val="zh-CN"/>
        </w:rPr>
      </w:pPr>
      <w:r>
        <w:rPr>
          <w:rFonts w:ascii="Times New Roman" w:hAnsi="Times New Roman" w:eastAsia="宋体" w:cs="Times New Roman"/>
          <w:snapToGrid w:val="0"/>
          <w:color w:val="auto"/>
          <w:kern w:val="0"/>
          <w:highlight w:val="none"/>
          <w:lang w:val="zh-CN"/>
        </w:rPr>
        <w:t>（1）</w:t>
      </w:r>
      <w:r>
        <w:rPr>
          <w:rFonts w:hint="eastAsia" w:ascii="Times New Roman" w:hAnsi="Times New Roman" w:eastAsia="宋体" w:cs="Times New Roman"/>
          <w:snapToGrid w:val="0"/>
          <w:color w:val="auto"/>
          <w:kern w:val="0"/>
          <w:highlight w:val="none"/>
          <w:lang w:val="zh-CN"/>
        </w:rPr>
        <w:t>恶臭废气</w:t>
      </w:r>
    </w:p>
    <w:p w14:paraId="49C884E7">
      <w:pPr>
        <w:pStyle w:val="117"/>
        <w:keepNext w:val="0"/>
        <w:keepLines w:val="0"/>
        <w:pageBreakBefore w:val="0"/>
        <w:widowControl w:val="0"/>
        <w:kinsoku/>
        <w:wordWrap/>
        <w:overflowPunct/>
        <w:topLinePunct w:val="0"/>
        <w:autoSpaceDE/>
        <w:autoSpaceDN/>
        <w:bidi w:val="0"/>
        <w:adjustRightInd w:val="0"/>
        <w:snapToGrid w:val="0"/>
        <w:spacing w:line="500" w:lineRule="exact"/>
        <w:textAlignment w:val="auto"/>
        <w:rPr>
          <w:rFonts w:ascii="Times New Roman" w:hAnsi="Times New Roman" w:eastAsia="宋体" w:cs="Times New Roman"/>
          <w:snapToGrid w:val="0"/>
          <w:color w:val="auto"/>
          <w:kern w:val="0"/>
          <w:highlight w:val="none"/>
          <w:lang w:val="zh-CN"/>
        </w:rPr>
      </w:pPr>
      <w:r>
        <w:rPr>
          <w:rFonts w:hint="eastAsia" w:cs="Times New Roman"/>
          <w:color w:val="auto"/>
          <w:highlight w:val="none"/>
          <w:lang w:val="en-US" w:eastAsia="zh-CN"/>
        </w:rPr>
        <w:t>急宰间、隔离间及固体废物暂存间</w:t>
      </w:r>
      <w:r>
        <w:rPr>
          <w:rFonts w:ascii="Times New Roman" w:hAnsi="Times New Roman" w:eastAsia="宋体" w:cs="Times New Roman"/>
          <w:snapToGrid w:val="0"/>
          <w:color w:val="auto"/>
          <w:kern w:val="0"/>
          <w:highlight w:val="none"/>
          <w:lang w:val="zh-CN"/>
        </w:rPr>
        <w:t>产生的恶臭</w:t>
      </w:r>
      <w:r>
        <w:rPr>
          <w:rFonts w:hint="eastAsia" w:cs="Times New Roman"/>
          <w:snapToGrid w:val="0"/>
          <w:color w:val="auto"/>
          <w:kern w:val="0"/>
          <w:highlight w:val="none"/>
          <w:lang w:val="zh-CN"/>
        </w:rPr>
        <w:t>采用</w:t>
      </w:r>
      <w:r>
        <w:rPr>
          <w:rFonts w:hint="eastAsia" w:cs="Times New Roman"/>
          <w:snapToGrid w:val="0"/>
          <w:color w:val="auto"/>
          <w:highlight w:val="none"/>
          <w:lang w:val="en-US" w:eastAsia="zh-CN"/>
        </w:rPr>
        <w:t>微负压</w:t>
      </w:r>
      <w:r>
        <w:rPr>
          <w:rFonts w:hint="eastAsia" w:cs="Times New Roman"/>
          <w:snapToGrid w:val="0"/>
          <w:color w:val="auto"/>
          <w:kern w:val="0"/>
          <w:highlight w:val="none"/>
          <w:lang w:val="zh-CN"/>
        </w:rPr>
        <w:t>集中收集后</w:t>
      </w:r>
      <w:r>
        <w:rPr>
          <w:rFonts w:ascii="Times New Roman" w:hAnsi="Times New Roman" w:eastAsia="宋体" w:cs="Times New Roman"/>
          <w:snapToGrid w:val="0"/>
          <w:color w:val="auto"/>
          <w:kern w:val="0"/>
          <w:highlight w:val="none"/>
          <w:lang w:val="zh-CN"/>
        </w:rPr>
        <w:t>（收集率约90%左右），通过活性炭净化装置（</w:t>
      </w:r>
      <w:r>
        <w:rPr>
          <w:rFonts w:hint="eastAsia" w:cs="Times New Roman"/>
          <w:snapToGrid w:val="0"/>
          <w:color w:val="auto"/>
          <w:kern w:val="0"/>
          <w:highlight w:val="none"/>
          <w:lang w:val="zh-CN"/>
        </w:rPr>
        <w:t>净化效率80%</w:t>
      </w:r>
      <w:r>
        <w:rPr>
          <w:rFonts w:ascii="Times New Roman" w:hAnsi="Times New Roman" w:eastAsia="宋体" w:cs="Times New Roman"/>
          <w:snapToGrid w:val="0"/>
          <w:color w:val="auto"/>
          <w:kern w:val="0"/>
          <w:highlight w:val="none"/>
          <w:lang w:val="zh-CN"/>
        </w:rPr>
        <w:t>）处理，处理后经15m高的排气筒DA00</w:t>
      </w:r>
      <w:r>
        <w:rPr>
          <w:rFonts w:hint="eastAsia" w:ascii="Times New Roman" w:hAnsi="Times New Roman" w:eastAsia="宋体" w:cs="Times New Roman"/>
          <w:snapToGrid w:val="0"/>
          <w:color w:val="auto"/>
          <w:kern w:val="0"/>
          <w:highlight w:val="none"/>
          <w:lang w:val="zh-CN"/>
        </w:rPr>
        <w:t>1</w:t>
      </w:r>
      <w:r>
        <w:rPr>
          <w:rFonts w:ascii="Times New Roman" w:hAnsi="Times New Roman" w:eastAsia="宋体" w:cs="Times New Roman"/>
          <w:snapToGrid w:val="0"/>
          <w:color w:val="auto"/>
          <w:kern w:val="0"/>
          <w:highlight w:val="none"/>
          <w:lang w:val="zh-CN"/>
        </w:rPr>
        <w:t>排放，排放速率及浓度均可满足《恶臭污染物排放标准》（GB14554-93）表2中排放标准限值。</w:t>
      </w:r>
    </w:p>
    <w:p w14:paraId="4888677E">
      <w:pPr>
        <w:pStyle w:val="117"/>
        <w:pageBreakBefore w:val="0"/>
        <w:widowControl w:val="0"/>
        <w:kinsoku/>
        <w:wordWrap/>
        <w:overflowPunct/>
        <w:topLinePunct w:val="0"/>
        <w:autoSpaceDE/>
        <w:autoSpaceDN/>
        <w:bidi w:val="0"/>
        <w:adjustRightInd w:val="0"/>
        <w:snapToGrid w:val="0"/>
        <w:spacing w:line="500" w:lineRule="exact"/>
        <w:textAlignment w:val="auto"/>
        <w:rPr>
          <w:color w:val="auto"/>
          <w:highlight w:val="none"/>
          <w:lang w:val="zh-CN"/>
        </w:rPr>
      </w:pPr>
      <w:r>
        <w:rPr>
          <w:rFonts w:cs="Times New Roman"/>
          <w:snapToGrid w:val="0"/>
          <w:color w:val="auto"/>
          <w:highlight w:val="none"/>
        </w:rPr>
        <w:t>屠宰车间产生的恶臭</w:t>
      </w:r>
      <w:r>
        <w:rPr>
          <w:rFonts w:hint="eastAsia" w:cs="Times New Roman"/>
          <w:snapToGrid w:val="0"/>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snapToGrid w:val="0"/>
          <w:color w:val="auto"/>
          <w:highlight w:val="none"/>
          <w:lang w:eastAsia="zh-CN"/>
        </w:rPr>
        <w:t>集中收集后</w:t>
      </w:r>
      <w:r>
        <w:rPr>
          <w:rFonts w:cs="Times New Roman"/>
          <w:color w:val="auto"/>
          <w:highlight w:val="none"/>
        </w:rPr>
        <w:t>（收集率约90%左右）</w:t>
      </w:r>
      <w:r>
        <w:rPr>
          <w:rFonts w:cs="Times New Roman"/>
          <w:snapToGrid w:val="0"/>
          <w:color w:val="auto"/>
          <w:highlight w:val="none"/>
        </w:rPr>
        <w:t>，通过</w:t>
      </w:r>
      <w:r>
        <w:rPr>
          <w:rFonts w:hint="eastAsia" w:cs="Times New Roman"/>
          <w:color w:val="auto"/>
          <w:highlight w:val="none"/>
          <w:lang w:val="en-US" w:eastAsia="zh-CN"/>
        </w:rPr>
        <w:t>冷凝除湿器+</w:t>
      </w:r>
      <w:r>
        <w:rPr>
          <w:rFonts w:cs="Times New Roman"/>
          <w:snapToGrid w:val="0"/>
          <w:color w:val="auto"/>
          <w:highlight w:val="none"/>
        </w:rPr>
        <w:t>活性炭净化装置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snapToGrid w:val="0"/>
          <w:color w:val="auto"/>
          <w:highlight w:val="none"/>
        </w:rPr>
        <w:t>处理，处理后经15m高的排气筒DA00</w:t>
      </w:r>
      <w:r>
        <w:rPr>
          <w:rFonts w:hint="eastAsia" w:cs="Times New Roman"/>
          <w:snapToGrid w:val="0"/>
          <w:color w:val="auto"/>
          <w:highlight w:val="none"/>
          <w:lang w:val="en-US" w:eastAsia="zh-CN"/>
        </w:rPr>
        <w:t>1</w:t>
      </w:r>
      <w:r>
        <w:rPr>
          <w:rFonts w:cs="Times New Roman"/>
          <w:snapToGrid w:val="0"/>
          <w:color w:val="auto"/>
          <w:highlight w:val="none"/>
        </w:rPr>
        <w:t>排放，排放速率及浓度均可满足《恶臭污染物排放标准》（GB14554-93）表2中排放标准限值</w:t>
      </w:r>
      <w:r>
        <w:rPr>
          <w:rFonts w:hint="eastAsia" w:cs="Times New Roman"/>
          <w:snapToGrid w:val="0"/>
          <w:color w:val="auto"/>
          <w:highlight w:val="none"/>
        </w:rPr>
        <w:t>。</w:t>
      </w:r>
    </w:p>
    <w:p w14:paraId="328393BB">
      <w:pPr>
        <w:pStyle w:val="117"/>
        <w:pageBreakBefore w:val="0"/>
        <w:widowControl w:val="0"/>
        <w:kinsoku/>
        <w:wordWrap/>
        <w:overflowPunct/>
        <w:topLinePunct w:val="0"/>
        <w:autoSpaceDE/>
        <w:autoSpaceDN/>
        <w:bidi w:val="0"/>
        <w:adjustRightInd w:val="0"/>
        <w:snapToGrid w:val="0"/>
        <w:spacing w:line="500" w:lineRule="exact"/>
        <w:textAlignment w:val="auto"/>
        <w:rPr>
          <w:rFonts w:cs="Times New Roman"/>
          <w:snapToGrid w:val="0"/>
          <w:color w:val="auto"/>
          <w:highlight w:val="none"/>
        </w:rPr>
      </w:pPr>
      <w:r>
        <w:rPr>
          <w:rFonts w:cs="Times New Roman"/>
          <w:snapToGrid w:val="0"/>
          <w:color w:val="auto"/>
          <w:highlight w:val="none"/>
        </w:rPr>
        <w:t>污水处理站产生的恶臭</w:t>
      </w:r>
      <w:r>
        <w:rPr>
          <w:rFonts w:hint="eastAsia" w:cs="Times New Roman"/>
          <w:snapToGrid w:val="0"/>
          <w:color w:val="auto"/>
          <w:highlight w:val="none"/>
          <w:lang w:eastAsia="zh-CN"/>
        </w:rPr>
        <w:t>采用</w:t>
      </w:r>
      <w:r>
        <w:rPr>
          <w:rFonts w:hint="eastAsia" w:cs="Times New Roman"/>
          <w:snapToGrid w:val="0"/>
          <w:color w:val="auto"/>
          <w:highlight w:val="none"/>
          <w:lang w:val="en-US" w:eastAsia="zh-CN"/>
        </w:rPr>
        <w:t>微负压</w:t>
      </w:r>
      <w:r>
        <w:rPr>
          <w:rFonts w:hint="eastAsia" w:cs="Times New Roman"/>
          <w:snapToGrid w:val="0"/>
          <w:color w:val="auto"/>
          <w:highlight w:val="none"/>
          <w:lang w:eastAsia="zh-CN"/>
        </w:rPr>
        <w:t>集中收集后</w:t>
      </w:r>
      <w:r>
        <w:rPr>
          <w:rFonts w:cs="Times New Roman"/>
          <w:color w:val="auto"/>
          <w:highlight w:val="none"/>
        </w:rPr>
        <w:t>（收集率约90%左右）</w:t>
      </w:r>
      <w:r>
        <w:rPr>
          <w:rFonts w:cs="Times New Roman"/>
          <w:snapToGrid w:val="0"/>
          <w:color w:val="auto"/>
          <w:highlight w:val="none"/>
        </w:rPr>
        <w:t>，通过活性炭净化装置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snapToGrid w:val="0"/>
          <w:color w:val="auto"/>
          <w:highlight w:val="none"/>
        </w:rPr>
        <w:t>处理，处理后经15m高的排气筒DA00</w:t>
      </w:r>
      <w:r>
        <w:rPr>
          <w:rFonts w:hint="eastAsia" w:cs="Times New Roman"/>
          <w:snapToGrid w:val="0"/>
          <w:color w:val="auto"/>
          <w:highlight w:val="none"/>
          <w:lang w:val="en-US" w:eastAsia="zh-CN"/>
        </w:rPr>
        <w:t>2</w:t>
      </w:r>
      <w:r>
        <w:rPr>
          <w:rFonts w:cs="Times New Roman"/>
          <w:snapToGrid w:val="0"/>
          <w:color w:val="auto"/>
          <w:highlight w:val="none"/>
        </w:rPr>
        <w:t>排放，排放速率及浓度均可满足《恶臭污染物排放标准》（GB14554-93）表2中排放标准限值。</w:t>
      </w:r>
    </w:p>
    <w:p w14:paraId="65A4E22A">
      <w:pPr>
        <w:pStyle w:val="117"/>
        <w:pageBreakBefore w:val="0"/>
        <w:widowControl w:val="0"/>
        <w:kinsoku/>
        <w:wordWrap/>
        <w:overflowPunct/>
        <w:topLinePunct w:val="0"/>
        <w:autoSpaceDE/>
        <w:autoSpaceDN/>
        <w:bidi w:val="0"/>
        <w:adjustRightInd w:val="0"/>
        <w:snapToGrid w:val="0"/>
        <w:spacing w:line="500" w:lineRule="exact"/>
        <w:textAlignment w:val="auto"/>
        <w:rPr>
          <w:rFonts w:hint="eastAsia" w:cs="Times New Roman"/>
          <w:snapToGrid w:val="0"/>
          <w:color w:val="auto"/>
          <w:highlight w:val="none"/>
          <w:lang w:val="en-US" w:eastAsia="zh-CN"/>
        </w:rPr>
      </w:pPr>
      <w:r>
        <w:rPr>
          <w:rFonts w:hint="eastAsia" w:cs="Times New Roman"/>
          <w:snapToGrid w:val="0"/>
          <w:color w:val="auto"/>
          <w:highlight w:val="none"/>
          <w:lang w:val="en-US" w:eastAsia="zh-CN"/>
        </w:rPr>
        <w:t>依据《</w:t>
      </w:r>
      <w:r>
        <w:rPr>
          <w:rFonts w:hint="eastAsia" w:cs="Times New Roman"/>
          <w:color w:val="auto"/>
          <w:highlight w:val="none"/>
          <w:lang w:val="zh-CN" w:eastAsia="zh-CN"/>
        </w:rPr>
        <w:fldChar w:fldCharType="begin"/>
      </w:r>
      <w:r>
        <w:rPr>
          <w:rFonts w:hint="eastAsia" w:cs="Times New Roman"/>
          <w:color w:val="auto"/>
          <w:highlight w:val="none"/>
          <w:lang w:val="zh-CN" w:eastAsia="zh-CN"/>
        </w:rPr>
        <w:instrText xml:space="preserve"> HYPERLINK "https://www.mee.gov.cn/ywgz/fgbz/bz/bzwb/kxxjszn/202302/W020230214378501545143.pdf" </w:instrText>
      </w:r>
      <w:r>
        <w:rPr>
          <w:rFonts w:hint="eastAsia" w:cs="Times New Roman"/>
          <w:color w:val="auto"/>
          <w:highlight w:val="none"/>
          <w:lang w:val="zh-CN" w:eastAsia="zh-CN"/>
        </w:rPr>
        <w:fldChar w:fldCharType="separate"/>
      </w:r>
      <w:r>
        <w:rPr>
          <w:rFonts w:hint="eastAsia" w:cs="Times New Roman"/>
          <w:color w:val="auto"/>
          <w:highlight w:val="none"/>
          <w:lang w:val="zh-CN" w:eastAsia="zh-CN"/>
        </w:rPr>
        <w:t>屠宰及肉类加工业污染防治可行技术指南》（HJ1285—2023）</w:t>
      </w:r>
      <w:r>
        <w:rPr>
          <w:rFonts w:hint="eastAsia" w:cs="Times New Roman"/>
          <w:color w:val="auto"/>
          <w:highlight w:val="none"/>
          <w:lang w:val="zh-CN" w:eastAsia="zh-CN"/>
        </w:rPr>
        <w:fldChar w:fldCharType="end"/>
      </w:r>
      <w:r>
        <w:rPr>
          <w:rFonts w:hint="eastAsia" w:cs="Times New Roman"/>
          <w:color w:val="auto"/>
          <w:highlight w:val="none"/>
          <w:lang w:val="en-US" w:eastAsia="zh-CN"/>
        </w:rPr>
        <w:t>废</w:t>
      </w:r>
      <w:r>
        <w:rPr>
          <w:rFonts w:hint="default" w:cs="Times New Roman"/>
          <w:color w:val="auto"/>
          <w:highlight w:val="none"/>
          <w:lang w:val="en-US" w:eastAsia="zh-CN"/>
        </w:rPr>
        <w:t>气污染防治可行技术</w:t>
      </w:r>
      <w:r>
        <w:rPr>
          <w:rFonts w:hint="eastAsia" w:cs="Times New Roman"/>
          <w:color w:val="auto"/>
          <w:highlight w:val="none"/>
          <w:lang w:val="en-US" w:eastAsia="zh-CN"/>
        </w:rPr>
        <w:t>中提及的待</w:t>
      </w:r>
      <w:r>
        <w:rPr>
          <w:rFonts w:hint="default" w:cs="Times New Roman"/>
          <w:color w:val="auto"/>
          <w:highlight w:val="none"/>
          <w:lang w:val="en-US" w:eastAsia="zh-CN"/>
        </w:rPr>
        <w:t>宰间、屠宰车间、固废暂存设施以及废水处理单元产生的恶臭</w:t>
      </w:r>
      <w:r>
        <w:rPr>
          <w:rFonts w:hint="eastAsia" w:cs="Times New Roman"/>
          <w:color w:val="auto"/>
          <w:highlight w:val="none"/>
          <w:lang w:val="en-US" w:eastAsia="zh-CN"/>
        </w:rPr>
        <w:t>可采用集</w:t>
      </w:r>
      <w:r>
        <w:rPr>
          <w:rFonts w:hint="default" w:cs="Times New Roman"/>
          <w:color w:val="auto"/>
          <w:highlight w:val="none"/>
          <w:lang w:val="en-US" w:eastAsia="zh-CN"/>
        </w:rPr>
        <w:t>中收集</w:t>
      </w:r>
      <w:r>
        <w:rPr>
          <w:rFonts w:hint="eastAsia" w:cs="Times New Roman"/>
          <w:color w:val="auto"/>
          <w:highlight w:val="none"/>
          <w:lang w:val="en-US" w:eastAsia="zh-CN"/>
        </w:rPr>
        <w:t>/</w:t>
      </w:r>
      <w:r>
        <w:rPr>
          <w:rFonts w:hint="default" w:cs="Times New Roman"/>
          <w:color w:val="auto"/>
          <w:highlight w:val="none"/>
          <w:lang w:val="en-US" w:eastAsia="zh-CN"/>
        </w:rPr>
        <w:t>加罩（盖）+生物除臭/物理除臭</w:t>
      </w:r>
      <w:r>
        <w:rPr>
          <w:rFonts w:hint="eastAsia" w:cs="Times New Roman"/>
          <w:color w:val="auto"/>
          <w:highlight w:val="none"/>
          <w:lang w:val="en-US" w:eastAsia="zh-CN"/>
        </w:rPr>
        <w:t>进行处置。本项目</w:t>
      </w:r>
      <w:r>
        <w:rPr>
          <w:rFonts w:hint="eastAsia" w:cs="Times New Roman"/>
          <w:color w:val="auto"/>
          <w:highlight w:val="none"/>
          <w:lang w:val="zh-CN" w:eastAsia="zh-CN"/>
        </w:rPr>
        <w:t>在</w:t>
      </w:r>
      <w:r>
        <w:rPr>
          <w:rFonts w:hint="eastAsia" w:cs="Times New Roman"/>
          <w:snapToGrid w:val="0"/>
          <w:color w:val="auto"/>
          <w:highlight w:val="none"/>
          <w:lang w:val="en-US" w:eastAsia="zh-CN"/>
        </w:rPr>
        <w:t>屠宰车间及污水处理间</w:t>
      </w:r>
      <w:r>
        <w:rPr>
          <w:rFonts w:hint="eastAsia" w:cs="Times New Roman"/>
          <w:snapToGrid w:val="0"/>
          <w:color w:val="auto"/>
          <w:highlight w:val="none"/>
          <w:lang w:val="zh-CN"/>
        </w:rPr>
        <w:t>的</w:t>
      </w:r>
      <w:r>
        <w:rPr>
          <w:rFonts w:hint="eastAsia" w:cs="Times New Roman"/>
          <w:snapToGrid w:val="0"/>
          <w:color w:val="auto"/>
          <w:highlight w:val="none"/>
          <w:lang w:val="en-US" w:eastAsia="zh-CN"/>
        </w:rPr>
        <w:t>产污操作台上设置风速大于0.5m/s的吸风罩，在车间顶部</w:t>
      </w:r>
      <w:r>
        <w:rPr>
          <w:rFonts w:hint="eastAsia" w:cs="Times New Roman"/>
          <w:snapToGrid w:val="0"/>
          <w:color w:val="auto"/>
          <w:highlight w:val="none"/>
          <w:lang w:val="zh-CN"/>
        </w:rPr>
        <w:t>顶部设置集气装置，整体负压换气，对</w:t>
      </w:r>
      <w:r>
        <w:rPr>
          <w:rFonts w:hint="eastAsia" w:cs="Times New Roman"/>
          <w:snapToGrid w:val="0"/>
          <w:color w:val="auto"/>
          <w:highlight w:val="none"/>
          <w:lang w:val="en-US" w:eastAsia="zh-CN"/>
        </w:rPr>
        <w:t>车间</w:t>
      </w:r>
      <w:r>
        <w:rPr>
          <w:rFonts w:hint="eastAsia" w:cs="Times New Roman"/>
          <w:snapToGrid w:val="0"/>
          <w:color w:val="auto"/>
          <w:highlight w:val="none"/>
          <w:lang w:val="zh-CN"/>
        </w:rPr>
        <w:t>产生的恶臭气体进行收集，并设置送风装置（送风装置主要设置在车间下部），集气装置位于车间上部，下部送风，上部抽风，使车间内空气形成对流，加强车间内废气流向的一致性，提高车间废气的收集率，送风量略小于抽风量，使得</w:t>
      </w:r>
      <w:r>
        <w:rPr>
          <w:rFonts w:hint="eastAsia" w:cs="Times New Roman"/>
          <w:snapToGrid w:val="0"/>
          <w:color w:val="auto"/>
          <w:highlight w:val="none"/>
          <w:lang w:val="en-US" w:eastAsia="zh-CN"/>
        </w:rPr>
        <w:t>车间</w:t>
      </w:r>
      <w:r>
        <w:rPr>
          <w:rFonts w:hint="eastAsia" w:cs="Times New Roman"/>
          <w:snapToGrid w:val="0"/>
          <w:color w:val="auto"/>
          <w:highlight w:val="none"/>
          <w:lang w:val="zh-CN"/>
        </w:rPr>
        <w:t>内处于微负压状态，将废气最大限度的收集（</w:t>
      </w:r>
      <w:r>
        <w:rPr>
          <w:rFonts w:hint="eastAsia" w:cs="Times New Roman"/>
          <w:snapToGrid w:val="0"/>
          <w:color w:val="auto"/>
          <w:highlight w:val="none"/>
          <w:lang w:val="en-US" w:eastAsia="zh-CN"/>
        </w:rPr>
        <w:t>收集效率90%</w:t>
      </w:r>
      <w:r>
        <w:rPr>
          <w:rFonts w:hint="eastAsia" w:cs="Times New Roman"/>
          <w:snapToGrid w:val="0"/>
          <w:color w:val="auto"/>
          <w:highlight w:val="none"/>
          <w:lang w:val="zh-CN"/>
        </w:rPr>
        <w:t>），</w:t>
      </w:r>
      <w:r>
        <w:rPr>
          <w:rFonts w:hint="eastAsia" w:cs="Times New Roman"/>
          <w:snapToGrid w:val="0"/>
          <w:color w:val="auto"/>
          <w:highlight w:val="none"/>
          <w:lang w:val="en-US" w:eastAsia="zh-CN"/>
        </w:rPr>
        <w:t>经</w:t>
      </w:r>
      <w:r>
        <w:rPr>
          <w:rFonts w:hint="eastAsia" w:cs="Times New Roman"/>
          <w:color w:val="auto"/>
          <w:highlight w:val="none"/>
          <w:lang w:val="en-US" w:eastAsia="zh-CN"/>
        </w:rPr>
        <w:t>冷凝除湿器+</w:t>
      </w:r>
      <w:r>
        <w:rPr>
          <w:rFonts w:hint="eastAsia" w:cs="Times New Roman"/>
          <w:snapToGrid w:val="0"/>
          <w:color w:val="auto"/>
          <w:highlight w:val="none"/>
          <w:lang w:val="en-US" w:eastAsia="zh-CN"/>
        </w:rPr>
        <w:t>活性炭吸附后通过排气筒（DA001）排放，措施可行。</w:t>
      </w:r>
    </w:p>
    <w:p w14:paraId="09FDE143">
      <w:pPr>
        <w:pStyle w:val="117"/>
        <w:pageBreakBefore w:val="0"/>
        <w:widowControl w:val="0"/>
        <w:kinsoku/>
        <w:wordWrap/>
        <w:overflowPunct/>
        <w:topLinePunct w:val="0"/>
        <w:autoSpaceDE/>
        <w:autoSpaceDN/>
        <w:bidi w:val="0"/>
        <w:adjustRightInd w:val="0"/>
        <w:snapToGrid w:val="0"/>
        <w:spacing w:line="500" w:lineRule="exact"/>
        <w:textAlignment w:val="auto"/>
        <w:rPr>
          <w:rFonts w:hint="default" w:cs="Times New Roman"/>
          <w:snapToGrid w:val="0"/>
          <w:color w:val="auto"/>
          <w:highlight w:val="none"/>
          <w:lang w:val="en-US" w:eastAsia="zh-CN"/>
        </w:rPr>
      </w:pPr>
      <w:r>
        <w:rPr>
          <w:rFonts w:hint="eastAsia" w:cs="Times New Roman"/>
          <w:snapToGrid w:val="0"/>
          <w:color w:val="auto"/>
          <w:highlight w:val="none"/>
          <w:lang w:val="en-US" w:eastAsia="zh-CN"/>
        </w:rPr>
        <w:t>经与企业核实，排气筒（DA001）位于生产车间南侧，待宰圈东侧，出于厂区布置协调及减少排气筒设立的美观考虑，将其设</w:t>
      </w:r>
      <w:r>
        <w:rPr>
          <w:rFonts w:hint="eastAsia" w:ascii="Times New Roman" w:hAnsi="Times New Roman" w:eastAsia="宋体" w:cs="Times New Roman"/>
          <w:snapToGrid w:val="0"/>
          <w:color w:val="auto"/>
          <w:highlight w:val="none"/>
          <w:lang w:val="en-US" w:eastAsia="zh-CN"/>
        </w:rPr>
        <w:t>置于屠宰车间与急宰间、隔离间、固体废物暂存间的中间位置，方便同时收集屠宰车间、急宰间、隔离间、固体废物暂存间产生的废气，从经济、美观及环保角度考虑，均可行。</w:t>
      </w:r>
      <w:r>
        <w:rPr>
          <w:rFonts w:hint="eastAsia" w:cs="Times New Roman"/>
          <w:snapToGrid w:val="0"/>
          <w:color w:val="auto"/>
          <w:highlight w:val="none"/>
          <w:lang w:val="en-US" w:eastAsia="zh-CN"/>
        </w:rPr>
        <w:t>依据《恶臭污染物排放标准》（GB14554-93）中6.1.1排气筒的最低高度不应低于15米。</w:t>
      </w:r>
    </w:p>
    <w:p w14:paraId="15D4E22E">
      <w:pPr>
        <w:pStyle w:val="117"/>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cs="Times New Roman"/>
          <w:color w:val="auto"/>
          <w:highlight w:val="none"/>
        </w:rPr>
        <w:t>活性碳吸附装置</w:t>
      </w:r>
      <w:r>
        <w:rPr>
          <w:rFonts w:hint="eastAsia" w:cs="Times New Roman"/>
          <w:color w:val="auto"/>
          <w:highlight w:val="none"/>
          <w:lang w:val="en-US" w:eastAsia="zh-CN"/>
        </w:rPr>
        <w:t>采用两级活性炭吸附，</w:t>
      </w:r>
      <w:r>
        <w:rPr>
          <w:rFonts w:cs="Times New Roman"/>
          <w:color w:val="auto"/>
          <w:highlight w:val="none"/>
        </w:rPr>
        <w:t>曲线进风、环状过滤、中间出风、上部加料、下部卸料的结构，恶臭气体经过滤器除去固体颗粒物质，由上而下进入吸附</w:t>
      </w:r>
      <w:r>
        <w:rPr>
          <w:rFonts w:hint="eastAsia" w:cs="Times New Roman"/>
          <w:color w:val="auto"/>
          <w:highlight w:val="none"/>
        </w:rPr>
        <w:t>装置</w:t>
      </w:r>
      <w:r>
        <w:rPr>
          <w:rFonts w:cs="Times New Roman"/>
          <w:color w:val="auto"/>
          <w:highlight w:val="none"/>
        </w:rPr>
        <w:t>，恶臭气体被活性炭捕集、吸附并浓缩，净化的空气从吸附</w:t>
      </w:r>
      <w:r>
        <w:rPr>
          <w:rFonts w:hint="eastAsia" w:cs="Times New Roman"/>
          <w:color w:val="auto"/>
          <w:highlight w:val="none"/>
        </w:rPr>
        <w:t>装置</w:t>
      </w:r>
      <w:r>
        <w:rPr>
          <w:rFonts w:cs="Times New Roman"/>
          <w:color w:val="auto"/>
          <w:highlight w:val="none"/>
        </w:rPr>
        <w:t>下部经主风机排入排气筒。</w:t>
      </w:r>
      <w:r>
        <w:rPr>
          <w:rFonts w:hint="eastAsia" w:cs="Times New Roman"/>
          <w:color w:val="auto"/>
          <w:highlight w:val="none"/>
          <w:lang w:val="en-US" w:eastAsia="zh-CN"/>
        </w:rPr>
        <w:t>活性炭吸附层数为2层，填充量约为3m</w:t>
      </w:r>
      <w:r>
        <w:rPr>
          <w:rFonts w:hint="eastAsia" w:cs="Times New Roman"/>
          <w:color w:val="auto"/>
          <w:highlight w:val="none"/>
          <w:vertAlign w:val="superscript"/>
          <w:lang w:val="en-US" w:eastAsia="zh-CN"/>
        </w:rPr>
        <w:t>3</w:t>
      </w:r>
      <w:r>
        <w:rPr>
          <w:rFonts w:hint="eastAsia" w:cs="Times New Roman"/>
          <w:color w:val="auto"/>
          <w:highlight w:val="none"/>
          <w:lang w:val="en-US" w:eastAsia="zh-CN"/>
        </w:rPr>
        <w:t>，</w:t>
      </w:r>
      <w:r>
        <w:rPr>
          <w:rFonts w:cs="Times New Roman"/>
          <w:color w:val="auto"/>
          <w:highlight w:val="none"/>
        </w:rPr>
        <w:t>选用碘值</w:t>
      </w:r>
      <w:r>
        <w:rPr>
          <w:rFonts w:hint="default" w:cs="Times New Roman"/>
          <w:color w:val="auto"/>
          <w:highlight w:val="none"/>
        </w:rPr>
        <w:t>≥</w:t>
      </w:r>
      <w:r>
        <w:rPr>
          <w:rFonts w:hint="eastAsia" w:cs="Times New Roman"/>
          <w:color w:val="auto"/>
          <w:highlight w:val="none"/>
          <w:lang w:val="en-US" w:eastAsia="zh-CN"/>
        </w:rPr>
        <w:t>800</w:t>
      </w:r>
      <w:r>
        <w:rPr>
          <w:rFonts w:hint="default" w:cs="Times New Roman"/>
          <w:color w:val="auto"/>
          <w:highlight w:val="none"/>
        </w:rPr>
        <w:t>mg/g的活性炭</w:t>
      </w:r>
      <w:r>
        <w:rPr>
          <w:rFonts w:hint="eastAsia" w:cs="Times New Roman"/>
          <w:color w:val="auto"/>
          <w:highlight w:val="none"/>
          <w:lang w:eastAsia="zh-CN"/>
        </w:rPr>
        <w:t>，</w:t>
      </w:r>
      <w:r>
        <w:rPr>
          <w:rFonts w:hint="eastAsia" w:cs="Times New Roman"/>
          <w:color w:val="auto"/>
          <w:highlight w:val="none"/>
          <w:lang w:val="en-US" w:eastAsia="zh-CN"/>
        </w:rPr>
        <w:t>更换周期为3个月，吸附效率为80%。</w:t>
      </w:r>
      <w:r>
        <w:rPr>
          <w:rFonts w:cs="Times New Roman"/>
          <w:color w:val="auto"/>
          <w:highlight w:val="none"/>
        </w:rPr>
        <w:t>曲线进风的活性碳除臭装置是等体积传统活性碳过滤面积的2-4倍，阻力只有其1/2~1/3，因此具有较高的处理效率，可以达到</w:t>
      </w:r>
      <w:r>
        <w:rPr>
          <w:rFonts w:hint="eastAsia" w:cs="Times New Roman"/>
          <w:color w:val="auto"/>
          <w:highlight w:val="none"/>
          <w:lang w:val="en-US" w:eastAsia="zh-CN"/>
        </w:rPr>
        <w:t>80</w:t>
      </w:r>
      <w:r>
        <w:rPr>
          <w:rFonts w:cs="Times New Roman"/>
          <w:color w:val="auto"/>
          <w:highlight w:val="none"/>
        </w:rPr>
        <w:t>%。同时该工艺属于干法工艺，工艺流程简单、无腐蚀性，在保证恶臭气体达标排放的前提下具有稳定运行的可靠性。</w:t>
      </w:r>
      <w:r>
        <w:rPr>
          <w:rFonts w:cs="Times New Roman"/>
          <w:snapToGrid w:val="0"/>
          <w:color w:val="auto"/>
          <w:kern w:val="0"/>
          <w:szCs w:val="24"/>
          <w:highlight w:val="none"/>
        </w:rPr>
        <w:t>本项目运营期产生的恶臭废气，采用活性炭进行处理，本项目</w:t>
      </w:r>
      <w:r>
        <w:rPr>
          <w:rFonts w:hint="eastAsia" w:cs="Times New Roman"/>
          <w:snapToGrid w:val="0"/>
          <w:color w:val="auto"/>
          <w:kern w:val="0"/>
          <w:szCs w:val="24"/>
          <w:highlight w:val="none"/>
          <w:lang w:val="en-US" w:eastAsia="zh-CN"/>
        </w:rPr>
        <w:t>共3个活性炭吸附装置，每个</w:t>
      </w:r>
      <w:r>
        <w:rPr>
          <w:rFonts w:cs="Times New Roman"/>
          <w:snapToGrid w:val="0"/>
          <w:color w:val="auto"/>
          <w:kern w:val="0"/>
          <w:szCs w:val="24"/>
          <w:highlight w:val="none"/>
        </w:rPr>
        <w:t>活性炭的使用量为</w:t>
      </w:r>
      <w:r>
        <w:rPr>
          <w:rFonts w:hint="eastAsia" w:cs="Times New Roman"/>
          <w:snapToGrid w:val="0"/>
          <w:color w:val="auto"/>
          <w:kern w:val="0"/>
          <w:szCs w:val="24"/>
          <w:highlight w:val="none"/>
          <w:lang w:val="en-US" w:eastAsia="zh-CN"/>
        </w:rPr>
        <w:t>1.72</w:t>
      </w:r>
      <w:r>
        <w:rPr>
          <w:rFonts w:cs="Times New Roman"/>
          <w:snapToGrid w:val="0"/>
          <w:color w:val="auto"/>
          <w:kern w:val="0"/>
          <w:szCs w:val="24"/>
          <w:highlight w:val="none"/>
        </w:rPr>
        <w:t>t/a，</w:t>
      </w:r>
      <w:r>
        <w:rPr>
          <w:rFonts w:hint="eastAsia" w:cs="Times New Roman"/>
          <w:snapToGrid w:val="0"/>
          <w:color w:val="auto"/>
          <w:kern w:val="0"/>
          <w:szCs w:val="24"/>
          <w:highlight w:val="none"/>
          <w:lang w:val="en-US" w:eastAsia="zh-CN"/>
        </w:rPr>
        <w:t>每个季度更换一次，废活性炭的产生量为5.16t/a，本项目废活性炭吸附恶臭气体，属于危险废物，</w:t>
      </w:r>
      <w:r>
        <w:rPr>
          <w:rFonts w:hint="eastAsia" w:cs="Times New Roman"/>
          <w:snapToGrid w:val="0"/>
          <w:color w:val="auto"/>
          <w:kern w:val="0"/>
          <w:szCs w:val="24"/>
          <w:highlight w:val="none"/>
          <w:lang w:eastAsia="zh-CN"/>
        </w:rPr>
        <w:t>定期</w:t>
      </w:r>
      <w:r>
        <w:rPr>
          <w:rFonts w:hint="eastAsia" w:cs="Times New Roman"/>
          <w:snapToGrid w:val="0"/>
          <w:color w:val="auto"/>
          <w:kern w:val="0"/>
          <w:szCs w:val="24"/>
          <w:highlight w:val="none"/>
          <w:lang w:val="en-US" w:eastAsia="zh-CN"/>
        </w:rPr>
        <w:t>交</w:t>
      </w:r>
      <w:r>
        <w:rPr>
          <w:rFonts w:hint="eastAsia" w:cs="Times New Roman"/>
          <w:snapToGrid w:val="0"/>
          <w:color w:val="auto"/>
          <w:kern w:val="0"/>
          <w:szCs w:val="24"/>
          <w:highlight w:val="none"/>
          <w:lang w:eastAsia="zh-CN"/>
        </w:rPr>
        <w:t>由有资质的单位处置。</w:t>
      </w:r>
    </w:p>
    <w:p w14:paraId="4A0C6A5F">
      <w:pPr>
        <w:pStyle w:val="117"/>
        <w:pageBreakBefore w:val="0"/>
        <w:widowControl w:val="0"/>
        <w:kinsoku/>
        <w:wordWrap/>
        <w:overflowPunct/>
        <w:topLinePunct w:val="0"/>
        <w:autoSpaceDE/>
        <w:autoSpaceDN/>
        <w:bidi w:val="0"/>
        <w:adjustRightInd w:val="0"/>
        <w:snapToGrid w:val="0"/>
        <w:spacing w:line="500" w:lineRule="exact"/>
        <w:ind w:firstLine="482"/>
        <w:textAlignment w:val="auto"/>
        <w:rPr>
          <w:rFonts w:cs="Times New Roman"/>
          <w:b/>
          <w:bCs/>
          <w:snapToGrid w:val="0"/>
          <w:color w:val="auto"/>
          <w:highlight w:val="none"/>
        </w:rPr>
      </w:pPr>
      <w:r>
        <w:rPr>
          <w:rFonts w:hint="eastAsia" w:cs="Times New Roman"/>
          <w:b/>
          <w:bCs/>
          <w:snapToGrid w:val="0"/>
          <w:color w:val="auto"/>
          <w:highlight w:val="none"/>
        </w:rPr>
        <w:t>2、</w:t>
      </w:r>
      <w:r>
        <w:rPr>
          <w:rFonts w:cs="Times New Roman"/>
          <w:b/>
          <w:bCs/>
          <w:snapToGrid w:val="0"/>
          <w:color w:val="auto"/>
          <w:highlight w:val="none"/>
        </w:rPr>
        <w:t>无组织</w:t>
      </w:r>
    </w:p>
    <w:p w14:paraId="12396967">
      <w:pPr>
        <w:pStyle w:val="117"/>
        <w:pageBreakBefore w:val="0"/>
        <w:widowControl w:val="0"/>
        <w:kinsoku/>
        <w:wordWrap/>
        <w:overflowPunct/>
        <w:topLinePunct w:val="0"/>
        <w:autoSpaceDE/>
        <w:autoSpaceDN/>
        <w:bidi w:val="0"/>
        <w:adjustRightInd w:val="0"/>
        <w:snapToGrid w:val="0"/>
        <w:spacing w:line="500" w:lineRule="exact"/>
        <w:textAlignment w:val="auto"/>
        <w:rPr>
          <w:rFonts w:cs="Times New Roman"/>
          <w:snapToGrid w:val="0"/>
          <w:color w:val="auto"/>
          <w:kern w:val="0"/>
          <w:highlight w:val="none"/>
          <w:lang w:val="zh-CN"/>
        </w:rPr>
      </w:pPr>
      <w:r>
        <w:rPr>
          <w:rFonts w:cs="Times New Roman"/>
          <w:color w:val="auto"/>
          <w:highlight w:val="none"/>
        </w:rPr>
        <w:t>本项目产生的无组织废气主要包括</w:t>
      </w:r>
      <w:r>
        <w:rPr>
          <w:rFonts w:hint="eastAsia" w:cs="Times New Roman"/>
          <w:color w:val="auto"/>
          <w:highlight w:val="none"/>
          <w:lang w:val="en-US" w:eastAsia="zh-CN"/>
        </w:rPr>
        <w:t>急宰间、隔离间及固体废物暂存间</w:t>
      </w:r>
      <w:r>
        <w:rPr>
          <w:rFonts w:cs="Times New Roman"/>
          <w:color w:val="auto"/>
          <w:highlight w:val="none"/>
        </w:rPr>
        <w:t>、屠宰车间产生的废气</w:t>
      </w:r>
      <w:r>
        <w:rPr>
          <w:rFonts w:hint="eastAsia" w:cs="Times New Roman"/>
          <w:color w:val="auto"/>
          <w:highlight w:val="none"/>
          <w:lang w:val="en-US" w:eastAsia="zh-CN"/>
        </w:rPr>
        <w:t>以及</w:t>
      </w:r>
      <w:r>
        <w:rPr>
          <w:rFonts w:cs="Times New Roman"/>
          <w:color w:val="auto"/>
          <w:highlight w:val="none"/>
        </w:rPr>
        <w:t>污水处理站运行废气。主要污染物为氨和硫化氢。</w:t>
      </w:r>
    </w:p>
    <w:p w14:paraId="550E4A0D">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hint="eastAsia" w:cs="Times New Roman"/>
          <w:color w:val="auto"/>
          <w:highlight w:val="none"/>
        </w:rPr>
        <w:t>（1）</w:t>
      </w:r>
      <w:r>
        <w:rPr>
          <w:rFonts w:hint="eastAsia" w:cs="Times New Roman"/>
          <w:color w:val="auto"/>
          <w:highlight w:val="none"/>
          <w:lang w:eastAsia="zh-CN"/>
        </w:rPr>
        <w:t>待宰圈</w:t>
      </w:r>
      <w:r>
        <w:rPr>
          <w:rFonts w:cs="Times New Roman"/>
          <w:color w:val="auto"/>
          <w:highlight w:val="none"/>
        </w:rPr>
        <w:t>恶臭</w:t>
      </w:r>
    </w:p>
    <w:p w14:paraId="33F553D1">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hint="eastAsia" w:cs="Times New Roman"/>
          <w:color w:val="auto"/>
          <w:highlight w:val="none"/>
          <w:lang w:eastAsia="zh-CN"/>
        </w:rPr>
        <w:t>待宰圈</w:t>
      </w:r>
      <w:r>
        <w:rPr>
          <w:rFonts w:cs="Times New Roman"/>
          <w:color w:val="auto"/>
          <w:highlight w:val="none"/>
        </w:rPr>
        <w:t>是为牛、羊提供存放、观察及休息的场所</w:t>
      </w:r>
      <w:r>
        <w:rPr>
          <w:rFonts w:hint="eastAsia" w:cs="Times New Roman"/>
          <w:color w:val="auto"/>
          <w:highlight w:val="none"/>
          <w:lang w:eastAsia="zh-CN"/>
        </w:rPr>
        <w:t>。</w:t>
      </w:r>
      <w:r>
        <w:rPr>
          <w:rFonts w:hint="eastAsia" w:cs="Times New Roman"/>
          <w:color w:val="auto"/>
          <w:highlight w:val="none"/>
        </w:rPr>
        <w:t>隔离圈主要用于疑似病牛羊进行隔离观察，</w:t>
      </w:r>
      <w:r>
        <w:rPr>
          <w:rFonts w:cs="Times New Roman"/>
          <w:color w:val="auto"/>
          <w:highlight w:val="none"/>
        </w:rPr>
        <w:t>恶臭主要来自牲畜尿液，主要会产生氨、硫化氢等恶臭气体，若未及时清除或清除后不能及时处理，将会使臭味成倍增加，并会孳生大量蚊蝇，影响环境卫生。本项目</w:t>
      </w:r>
      <w:r>
        <w:rPr>
          <w:rFonts w:hint="eastAsia" w:cs="Times New Roman"/>
          <w:color w:val="auto"/>
          <w:highlight w:val="none"/>
          <w:lang w:eastAsia="zh-CN"/>
        </w:rPr>
        <w:t>待宰圈</w:t>
      </w:r>
      <w:r>
        <w:rPr>
          <w:rFonts w:cs="Times New Roman"/>
          <w:color w:val="auto"/>
          <w:highlight w:val="none"/>
        </w:rPr>
        <w:t>、隔离圈设置专人管理，及时清理地面上的粪便及尿液，</w:t>
      </w:r>
      <w:r>
        <w:rPr>
          <w:rFonts w:hint="eastAsia" w:cs="Times New Roman"/>
          <w:color w:val="auto"/>
          <w:highlight w:val="none"/>
        </w:rPr>
        <w:t>定期冲洗待地面</w:t>
      </w:r>
      <w:r>
        <w:rPr>
          <w:rFonts w:cs="Times New Roman"/>
          <w:color w:val="auto"/>
          <w:highlight w:val="none"/>
        </w:rPr>
        <w:t>，同时定期喷洒除臭剂，减少恶臭源的散发。项目通过加强管理来降低这部分臭气对环境产生的影响。</w:t>
      </w:r>
    </w:p>
    <w:p w14:paraId="6A5B2D85">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hint="eastAsia" w:cs="Times New Roman"/>
          <w:color w:val="auto"/>
          <w:highlight w:val="none"/>
        </w:rPr>
        <w:t>（2）</w:t>
      </w:r>
      <w:r>
        <w:rPr>
          <w:rFonts w:cs="Times New Roman"/>
          <w:color w:val="auto"/>
          <w:highlight w:val="none"/>
        </w:rPr>
        <w:t>屠宰车间恶臭</w:t>
      </w:r>
    </w:p>
    <w:p w14:paraId="5C4E028A">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cs="Times New Roman"/>
          <w:color w:val="auto"/>
          <w:highlight w:val="none"/>
        </w:rPr>
        <w:t>为了保护环境，屠宰车间及时清洗清运，定期喷洒除臭剂，降低这部分臭气对环境产生的影响。</w:t>
      </w:r>
    </w:p>
    <w:p w14:paraId="29BC4AA6">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hint="eastAsia" w:cs="Times New Roman"/>
          <w:color w:val="auto"/>
          <w:highlight w:val="none"/>
        </w:rPr>
        <w:t>（3）</w:t>
      </w:r>
      <w:r>
        <w:rPr>
          <w:rFonts w:cs="Times New Roman"/>
          <w:color w:val="auto"/>
          <w:highlight w:val="none"/>
        </w:rPr>
        <w:t>污水处理站恶臭</w:t>
      </w:r>
    </w:p>
    <w:p w14:paraId="18621368">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cs="Times New Roman"/>
          <w:color w:val="auto"/>
          <w:highlight w:val="none"/>
        </w:rPr>
        <w:t>项目废水中有机物类物质多，浓度高，极易腐蚀发臭，因此在厂内收集系统、废水预处理及污泥脱水工序将不可避免地产生一些臭气，主要是通过在产生恶臭区域加盖，</w:t>
      </w:r>
      <w:r>
        <w:rPr>
          <w:rFonts w:eastAsia="新宋体" w:cs="Times New Roman"/>
          <w:snapToGrid w:val="0"/>
          <w:color w:val="auto"/>
          <w:szCs w:val="21"/>
          <w:highlight w:val="none"/>
        </w:rPr>
        <w:t>定期喷洒除臭剂</w:t>
      </w:r>
      <w:r>
        <w:rPr>
          <w:rFonts w:eastAsia="新宋体" w:cs="Times New Roman"/>
          <w:bCs/>
          <w:snapToGrid w:val="0"/>
          <w:color w:val="auto"/>
          <w:szCs w:val="21"/>
          <w:highlight w:val="none"/>
        </w:rPr>
        <w:t>，</w:t>
      </w:r>
      <w:r>
        <w:rPr>
          <w:rFonts w:cs="Times New Roman"/>
          <w:color w:val="auto"/>
          <w:highlight w:val="none"/>
        </w:rPr>
        <w:t>来降低污水处理站恶臭对厂区内外的影响。</w:t>
      </w:r>
    </w:p>
    <w:p w14:paraId="4AE6A52F">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hint="eastAsia" w:cs="Times New Roman"/>
          <w:color w:val="auto"/>
          <w:highlight w:val="none"/>
        </w:rPr>
        <w:t>（4）</w:t>
      </w:r>
      <w:r>
        <w:rPr>
          <w:rFonts w:cs="Times New Roman"/>
          <w:snapToGrid w:val="0"/>
          <w:color w:val="auto"/>
          <w:highlight w:val="none"/>
        </w:rPr>
        <w:t>固废暂存间恶臭</w:t>
      </w:r>
    </w:p>
    <w:p w14:paraId="36A6CCF3">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cs="Times New Roman"/>
          <w:color w:val="auto"/>
          <w:szCs w:val="24"/>
          <w:highlight w:val="none"/>
        </w:rPr>
        <w:t>检疫不合格品、病死牛羊，集中收集</w:t>
      </w:r>
      <w:r>
        <w:rPr>
          <w:rFonts w:hint="eastAsia" w:cs="Times New Roman"/>
          <w:color w:val="auto"/>
          <w:highlight w:val="none"/>
          <w:lang w:val="en-US" w:eastAsia="zh-CN"/>
        </w:rPr>
        <w:t>于固体废物暂存间冷藏箱内，</w:t>
      </w:r>
      <w:r>
        <w:rPr>
          <w:rFonts w:cs="Times New Roman"/>
          <w:color w:val="auto"/>
          <w:szCs w:val="24"/>
          <w:highlight w:val="none"/>
        </w:rPr>
        <w:t>当天</w:t>
      </w:r>
      <w:r>
        <w:rPr>
          <w:rFonts w:hint="eastAsia" w:cs="Times New Roman"/>
          <w:color w:val="auto"/>
          <w:szCs w:val="24"/>
          <w:highlight w:val="none"/>
          <w:lang w:eastAsia="zh-CN"/>
        </w:rPr>
        <w:t>由双</w:t>
      </w:r>
      <w:r>
        <w:rPr>
          <w:rFonts w:hint="eastAsia" w:cs="Times New Roman"/>
          <w:color w:val="auto"/>
          <w:szCs w:val="24"/>
          <w:highlight w:val="none"/>
          <w:lang w:val="en-US" w:eastAsia="zh-CN"/>
        </w:rPr>
        <w:t>鸭</w:t>
      </w:r>
      <w:r>
        <w:rPr>
          <w:rFonts w:hint="eastAsia" w:cs="Times New Roman"/>
          <w:color w:val="auto"/>
          <w:szCs w:val="24"/>
          <w:highlight w:val="none"/>
          <w:lang w:eastAsia="zh-CN"/>
        </w:rPr>
        <w:t>山百奥迈斯生物科技有限公司</w:t>
      </w:r>
      <w:r>
        <w:rPr>
          <w:rFonts w:hint="eastAsia" w:cs="Times New Roman"/>
          <w:color w:val="auto"/>
          <w:szCs w:val="24"/>
          <w:highlight w:val="none"/>
          <w:lang w:val="en-US" w:eastAsia="zh-CN"/>
        </w:rPr>
        <w:t>拉运处理</w:t>
      </w:r>
      <w:r>
        <w:rPr>
          <w:rFonts w:cs="Times New Roman"/>
          <w:color w:val="auto"/>
          <w:szCs w:val="24"/>
          <w:highlight w:val="none"/>
        </w:rPr>
        <w:t>，</w:t>
      </w:r>
      <w:r>
        <w:rPr>
          <w:rFonts w:hint="eastAsia" w:cs="Times New Roman"/>
          <w:color w:val="auto"/>
          <w:szCs w:val="24"/>
          <w:highlight w:val="none"/>
          <w:lang w:val="en-US" w:eastAsia="zh-CN"/>
        </w:rPr>
        <w:t>该</w:t>
      </w:r>
      <w:r>
        <w:rPr>
          <w:rFonts w:hint="eastAsia" w:cs="Times New Roman"/>
          <w:snapToGrid w:val="0"/>
          <w:color w:val="auto"/>
          <w:kern w:val="0"/>
          <w:szCs w:val="24"/>
          <w:highlight w:val="none"/>
          <w:lang w:val="en-US" w:eastAsia="zh-CN"/>
        </w:rPr>
        <w:t>公司主营</w:t>
      </w:r>
      <w:r>
        <w:rPr>
          <w:rFonts w:cs="Times New Roman"/>
          <w:snapToGrid w:val="0"/>
          <w:color w:val="auto"/>
          <w:kern w:val="0"/>
          <w:szCs w:val="24"/>
          <w:highlight w:val="none"/>
        </w:rPr>
        <w:t>生物科学技术研究服务，畜禽养殖废弃物无害化利用，畜禽尸体处理服</w:t>
      </w:r>
      <w:r>
        <w:rPr>
          <w:rFonts w:hint="eastAsia" w:cs="Times New Roman"/>
          <w:snapToGrid w:val="0"/>
          <w:color w:val="auto"/>
          <w:kern w:val="0"/>
          <w:szCs w:val="24"/>
          <w:highlight w:val="none"/>
          <w:lang w:val="en-US" w:eastAsia="zh-CN"/>
        </w:rPr>
        <w:t>务，病死畜禽收集暂存转运服务等。协议见附件5。</w:t>
      </w:r>
      <w:r>
        <w:rPr>
          <w:rFonts w:hint="eastAsia" w:cs="Times New Roman"/>
          <w:snapToGrid w:val="0"/>
          <w:color w:val="auto"/>
          <w:kern w:val="0"/>
          <w:szCs w:val="24"/>
          <w:highlight w:val="none"/>
          <w:lang w:val="en-US" w:eastAsia="zh-CN"/>
        </w:rPr>
        <w:t>处</w:t>
      </w:r>
      <w:r>
        <w:rPr>
          <w:rFonts w:cs="Times New Roman"/>
          <w:snapToGrid w:val="0"/>
          <w:color w:val="auto"/>
          <w:kern w:val="0"/>
          <w:szCs w:val="24"/>
          <w:highlight w:val="none"/>
        </w:rPr>
        <w:t>置方式需符合《病死及病害动物无害化处理技术规范》（农医发[2017]25号）</w:t>
      </w:r>
      <w:r>
        <w:rPr>
          <w:rFonts w:cs="Times New Roman"/>
          <w:color w:val="auto"/>
          <w:szCs w:val="24"/>
          <w:highlight w:val="none"/>
        </w:rPr>
        <w:t>；牛、羊粪、边角料、胃容物及肠内物分别储存在</w:t>
      </w:r>
      <w:r>
        <w:rPr>
          <w:rFonts w:hint="eastAsia" w:cs="Times New Roman"/>
          <w:color w:val="auto"/>
          <w:szCs w:val="24"/>
          <w:highlight w:val="none"/>
          <w:lang w:val="en-US" w:eastAsia="zh-CN"/>
        </w:rPr>
        <w:t>固体废物</w:t>
      </w:r>
      <w:r>
        <w:rPr>
          <w:rFonts w:cs="Times New Roman"/>
          <w:color w:val="auto"/>
          <w:szCs w:val="24"/>
          <w:highlight w:val="none"/>
        </w:rPr>
        <w:t>暂存</w:t>
      </w:r>
      <w:r>
        <w:rPr>
          <w:rFonts w:hint="eastAsia" w:cs="Times New Roman"/>
          <w:color w:val="auto"/>
          <w:szCs w:val="24"/>
          <w:highlight w:val="none"/>
          <w:lang w:val="en-US" w:eastAsia="zh-CN"/>
        </w:rPr>
        <w:t>库的翻盖周转桶</w:t>
      </w:r>
      <w:r>
        <w:rPr>
          <w:rFonts w:cs="Times New Roman"/>
          <w:color w:val="auto"/>
          <w:szCs w:val="24"/>
          <w:highlight w:val="none"/>
        </w:rPr>
        <w:t>内，</w:t>
      </w:r>
      <w:r>
        <w:rPr>
          <w:rFonts w:cs="Times New Roman"/>
          <w:color w:val="auto"/>
          <w:szCs w:val="24"/>
          <w:highlight w:val="none"/>
        </w:rPr>
        <w:t>牛羊粪便</w:t>
      </w:r>
      <w:r>
        <w:rPr>
          <w:rFonts w:hint="eastAsia" w:cs="Times New Roman"/>
          <w:color w:val="auto"/>
          <w:szCs w:val="24"/>
          <w:highlight w:val="none"/>
          <w:lang w:val="en-US" w:eastAsia="zh-CN"/>
        </w:rPr>
        <w:t>及边角料</w:t>
      </w:r>
      <w:r>
        <w:rPr>
          <w:rFonts w:cs="Times New Roman"/>
          <w:color w:val="auto"/>
          <w:szCs w:val="24"/>
          <w:highlight w:val="none"/>
        </w:rPr>
        <w:t>富含有机质、氮、磷、钾及多种微量元素，胃容物及肠内物纤维含量高、杂质多</w:t>
      </w:r>
      <w:r>
        <w:rPr>
          <w:rFonts w:hint="eastAsia" w:cs="Times New Roman"/>
          <w:color w:val="auto"/>
          <w:szCs w:val="24"/>
          <w:highlight w:val="none"/>
          <w:lang w:eastAsia="zh-CN"/>
        </w:rPr>
        <w:t>，</w:t>
      </w:r>
      <w:r>
        <w:rPr>
          <w:rFonts w:hint="eastAsia" w:cs="Times New Roman"/>
          <w:color w:val="auto"/>
          <w:szCs w:val="24"/>
          <w:highlight w:val="none"/>
          <w:lang w:val="en-US" w:eastAsia="zh-CN"/>
        </w:rPr>
        <w:t>以上均可外售作为</w:t>
      </w:r>
      <w:r>
        <w:rPr>
          <w:rFonts w:cs="Times New Roman"/>
          <w:color w:val="auto"/>
          <w:szCs w:val="24"/>
          <w:highlight w:val="none"/>
        </w:rPr>
        <w:t>优质的有机肥原料</w:t>
      </w:r>
      <w:r>
        <w:rPr>
          <w:rFonts w:cs="Times New Roman"/>
          <w:color w:val="auto"/>
          <w:szCs w:val="24"/>
          <w:highlight w:val="none"/>
        </w:rPr>
        <w:t>；脱水污泥（含栅渣）</w:t>
      </w:r>
      <w:r>
        <w:rPr>
          <w:rFonts w:hint="eastAsia" w:cs="Times New Roman"/>
          <w:color w:val="auto"/>
          <w:szCs w:val="24"/>
          <w:highlight w:val="none"/>
          <w:lang w:val="en-US" w:eastAsia="zh-CN"/>
        </w:rPr>
        <w:t>送至有能力处置单位进行处理</w:t>
      </w:r>
      <w:r>
        <w:rPr>
          <w:rFonts w:cs="Times New Roman"/>
          <w:color w:val="auto"/>
          <w:szCs w:val="24"/>
          <w:highlight w:val="none"/>
        </w:rPr>
        <w:t>；废包装集中收集，定期外售综合利用；生活垃圾分类收集于专用垃圾桶后，</w:t>
      </w:r>
      <w:r>
        <w:rPr>
          <w:rFonts w:hint="eastAsia" w:cs="Times New Roman"/>
          <w:color w:val="auto"/>
          <w:szCs w:val="24"/>
          <w:highlight w:val="none"/>
          <w:lang w:eastAsia="zh-CN"/>
        </w:rPr>
        <w:t>由市政环卫部门统一清运</w:t>
      </w:r>
      <w:r>
        <w:rPr>
          <w:rFonts w:cs="Times New Roman"/>
          <w:color w:val="auto"/>
          <w:szCs w:val="24"/>
          <w:highlight w:val="none"/>
        </w:rPr>
        <w:t>；</w:t>
      </w:r>
      <w:r>
        <w:rPr>
          <w:rFonts w:hint="eastAsia" w:cs="Times New Roman"/>
          <w:color w:val="auto"/>
          <w:szCs w:val="24"/>
          <w:highlight w:val="none"/>
          <w:lang w:val="en-US" w:eastAsia="zh-CN"/>
        </w:rPr>
        <w:t>隔油池产生的废油脂，收集后交由有能力处置单位运输处置；</w:t>
      </w:r>
      <w:r>
        <w:rPr>
          <w:rFonts w:cs="Times New Roman"/>
          <w:color w:val="auto"/>
          <w:szCs w:val="24"/>
          <w:highlight w:val="none"/>
        </w:rPr>
        <w:t>废活性炭</w:t>
      </w:r>
      <w:r>
        <w:rPr>
          <w:rFonts w:hint="eastAsia"/>
          <w:color w:val="auto"/>
          <w:highlight w:val="none"/>
          <w:lang w:eastAsia="zh-CN"/>
        </w:rPr>
        <w:t>、</w:t>
      </w:r>
      <w:r>
        <w:rPr>
          <w:rFonts w:hint="eastAsia"/>
          <w:color w:val="auto"/>
          <w:highlight w:val="none"/>
          <w:lang w:val="en-US" w:eastAsia="zh-CN"/>
        </w:rPr>
        <w:t>在线监测废液、</w:t>
      </w:r>
      <w:r>
        <w:rPr>
          <w:rFonts w:cs="Times New Roman"/>
          <w:color w:val="auto"/>
          <w:szCs w:val="24"/>
          <w:highlight w:val="none"/>
        </w:rPr>
        <w:t>检疫废物</w:t>
      </w:r>
      <w:r>
        <w:rPr>
          <w:rFonts w:hint="eastAsia" w:cs="Times New Roman"/>
          <w:color w:val="auto"/>
          <w:szCs w:val="24"/>
          <w:highlight w:val="none"/>
          <w:lang w:eastAsia="zh-CN"/>
        </w:rPr>
        <w:t>、</w:t>
      </w:r>
      <w:r>
        <w:rPr>
          <w:rFonts w:hint="eastAsia" w:cs="Times New Roman"/>
          <w:color w:val="auto"/>
          <w:szCs w:val="24"/>
          <w:highlight w:val="none"/>
          <w:lang w:val="en-US" w:eastAsia="zh-CN"/>
        </w:rPr>
        <w:t>废润滑油分别</w:t>
      </w:r>
      <w:r>
        <w:rPr>
          <w:rFonts w:cs="Times New Roman"/>
          <w:color w:val="auto"/>
          <w:szCs w:val="24"/>
          <w:highlight w:val="none"/>
        </w:rPr>
        <w:t>集中收集，定期由有资质的单位</w:t>
      </w:r>
      <w:r>
        <w:rPr>
          <w:rFonts w:hint="eastAsia" w:cs="Times New Roman"/>
          <w:snapToGrid w:val="0"/>
          <w:color w:val="auto"/>
          <w:kern w:val="0"/>
          <w:szCs w:val="24"/>
          <w:highlight w:val="none"/>
          <w:lang w:eastAsia="zh-CN"/>
        </w:rPr>
        <w:t>处置；含油抹布、劳保手套集中收集，暂存在</w:t>
      </w:r>
      <w:r>
        <w:rPr>
          <w:rFonts w:hint="eastAsia" w:cs="Times New Roman"/>
          <w:snapToGrid w:val="0"/>
          <w:color w:val="auto"/>
          <w:kern w:val="0"/>
          <w:szCs w:val="24"/>
          <w:highlight w:val="none"/>
          <w:lang w:val="en-US" w:eastAsia="zh-CN"/>
        </w:rPr>
        <w:t>危险废物贮存点</w:t>
      </w:r>
      <w:r>
        <w:rPr>
          <w:rFonts w:hint="eastAsia" w:cs="Times New Roman"/>
          <w:snapToGrid w:val="0"/>
          <w:color w:val="auto"/>
          <w:kern w:val="0"/>
          <w:szCs w:val="24"/>
          <w:highlight w:val="none"/>
          <w:lang w:eastAsia="zh-CN"/>
        </w:rPr>
        <w:t>内，定期</w:t>
      </w:r>
      <w:r>
        <w:rPr>
          <w:rFonts w:hint="eastAsia" w:cs="Times New Roman"/>
          <w:snapToGrid w:val="0"/>
          <w:color w:val="auto"/>
          <w:kern w:val="0"/>
          <w:szCs w:val="24"/>
          <w:highlight w:val="none"/>
          <w:lang w:val="en-US" w:eastAsia="zh-CN"/>
        </w:rPr>
        <w:t>交</w:t>
      </w:r>
      <w:r>
        <w:rPr>
          <w:rFonts w:hint="eastAsia" w:cs="Times New Roman"/>
          <w:snapToGrid w:val="0"/>
          <w:color w:val="auto"/>
          <w:kern w:val="0"/>
          <w:szCs w:val="24"/>
          <w:highlight w:val="none"/>
          <w:lang w:eastAsia="zh-CN"/>
        </w:rPr>
        <w:t>由有资质的单位处置。</w:t>
      </w:r>
    </w:p>
    <w:p w14:paraId="1259F48B">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cs="Times New Roman"/>
          <w:color w:val="auto"/>
          <w:highlight w:val="none"/>
        </w:rPr>
        <w:t>无组织废气采取以上措施后可满足《恶臭污染物排放标准》（GB14554-93）表1中二级标准要求。</w:t>
      </w:r>
    </w:p>
    <w:p w14:paraId="1969A04F">
      <w:pPr>
        <w:pageBreakBefore w:val="0"/>
        <w:widowControl w:val="0"/>
        <w:kinsoku/>
        <w:wordWrap/>
        <w:overflowPunct/>
        <w:topLinePunct w:val="0"/>
        <w:autoSpaceDE/>
        <w:autoSpaceDN/>
        <w:bidi w:val="0"/>
        <w:adjustRightInd w:val="0"/>
        <w:snapToGrid w:val="0"/>
        <w:spacing w:line="500" w:lineRule="exact"/>
        <w:textAlignment w:val="auto"/>
        <w:rPr>
          <w:rFonts w:cs="Times New Roman"/>
          <w:snapToGrid w:val="0"/>
          <w:color w:val="auto"/>
          <w:kern w:val="0"/>
          <w:highlight w:val="none"/>
          <w:lang w:val="zh-CN"/>
        </w:rPr>
      </w:pPr>
      <w:r>
        <w:rPr>
          <w:rFonts w:cs="Times New Roman"/>
          <w:color w:val="auto"/>
          <w:highlight w:val="none"/>
        </w:rPr>
        <w:t>综上，本项目采用的废气防治措施工艺、技术上可行、可靠，对周边影响较小。</w:t>
      </w:r>
    </w:p>
    <w:p w14:paraId="4B8D2655">
      <w:pPr>
        <w:pStyle w:val="4"/>
        <w:bidi w:val="0"/>
        <w:rPr>
          <w:color w:val="auto"/>
          <w:highlight w:val="none"/>
        </w:rPr>
      </w:pPr>
      <w:bookmarkStart w:id="373" w:name="_Toc940"/>
      <w:r>
        <w:rPr>
          <w:color w:val="auto"/>
          <w:highlight w:val="none"/>
        </w:rPr>
        <w:t>6.2.2地表水环境保护措施</w:t>
      </w:r>
      <w:bookmarkEnd w:id="373"/>
    </w:p>
    <w:p w14:paraId="183D04E5">
      <w:pPr>
        <w:pageBreakBefore w:val="0"/>
        <w:widowControl w:val="0"/>
        <w:kinsoku/>
        <w:wordWrap/>
        <w:overflowPunct/>
        <w:topLinePunct w:val="0"/>
        <w:autoSpaceDE/>
        <w:autoSpaceDN/>
        <w:bidi w:val="0"/>
        <w:adjustRightInd w:val="0"/>
        <w:snapToGrid w:val="0"/>
        <w:spacing w:line="500" w:lineRule="exact"/>
        <w:textAlignment w:val="auto"/>
        <w:rPr>
          <w:rFonts w:cs="Times New Roman"/>
          <w:color w:val="auto"/>
          <w:highlight w:val="none"/>
        </w:rPr>
      </w:pPr>
      <w:r>
        <w:rPr>
          <w:rFonts w:cs="Times New Roman"/>
          <w:color w:val="auto"/>
          <w:highlight w:val="none"/>
        </w:rPr>
        <w:t>本项目运营期产生的废水包括生产废水和生活污水。</w:t>
      </w:r>
      <w:r>
        <w:rPr>
          <w:rFonts w:cs="Times New Roman"/>
          <w:bCs/>
          <w:color w:val="auto"/>
          <w:szCs w:val="24"/>
          <w:highlight w:val="none"/>
        </w:rPr>
        <w:t>其中，生产废水</w:t>
      </w:r>
      <w:r>
        <w:rPr>
          <w:rFonts w:hint="eastAsia" w:cs="Times New Roman"/>
          <w:bCs/>
          <w:color w:val="auto"/>
          <w:szCs w:val="24"/>
          <w:highlight w:val="none"/>
          <w:lang w:eastAsia="zh-CN"/>
        </w:rPr>
        <w:t>包括</w:t>
      </w:r>
      <w:r>
        <w:rPr>
          <w:rFonts w:cs="Times New Roman"/>
          <w:bCs/>
          <w:color w:val="auto"/>
          <w:szCs w:val="24"/>
          <w:highlight w:val="none"/>
        </w:rPr>
        <w:t>屠宰废水</w:t>
      </w:r>
      <w:r>
        <w:rPr>
          <w:rFonts w:hint="eastAsia" w:cs="Times New Roman"/>
          <w:bCs/>
          <w:color w:val="auto"/>
          <w:szCs w:val="24"/>
          <w:highlight w:val="none"/>
          <w:lang w:eastAsia="zh-CN"/>
        </w:rPr>
        <w:t>、</w:t>
      </w:r>
      <w:r>
        <w:rPr>
          <w:rFonts w:hint="eastAsia" w:cs="Times New Roman"/>
          <w:bCs/>
          <w:color w:val="auto"/>
          <w:szCs w:val="24"/>
          <w:highlight w:val="none"/>
          <w:lang w:val="en-US" w:eastAsia="zh-CN"/>
        </w:rPr>
        <w:t>车辆冲洗废水</w:t>
      </w:r>
      <w:r>
        <w:rPr>
          <w:rFonts w:cs="Times New Roman"/>
          <w:bCs/>
          <w:color w:val="auto"/>
          <w:szCs w:val="24"/>
          <w:highlight w:val="none"/>
        </w:rPr>
        <w:t>，</w:t>
      </w:r>
      <w:r>
        <w:rPr>
          <w:rFonts w:cs="Times New Roman"/>
          <w:color w:val="auto"/>
          <w:highlight w:val="none"/>
        </w:rPr>
        <w:t>生活污水为</w:t>
      </w:r>
      <w:r>
        <w:rPr>
          <w:rFonts w:cs="Times New Roman"/>
          <w:bCs/>
          <w:color w:val="auto"/>
          <w:szCs w:val="24"/>
          <w:highlight w:val="none"/>
        </w:rPr>
        <w:t>员工日常生活污水。</w:t>
      </w:r>
      <w:r>
        <w:rPr>
          <w:rFonts w:hint="eastAsia" w:cs="Times New Roman"/>
          <w:bCs/>
          <w:color w:val="auto"/>
          <w:szCs w:val="24"/>
          <w:highlight w:val="none"/>
        </w:rPr>
        <w:t>屠宰</w:t>
      </w:r>
      <w:r>
        <w:rPr>
          <w:rFonts w:cs="Times New Roman"/>
          <w:bCs/>
          <w:color w:val="auto"/>
          <w:szCs w:val="24"/>
          <w:highlight w:val="none"/>
        </w:rPr>
        <w:t>废水经厂区自建的污水处理站进行处理，</w:t>
      </w:r>
      <w:r>
        <w:rPr>
          <w:rFonts w:cs="Times New Roman"/>
          <w:snapToGrid w:val="0"/>
          <w:color w:val="auto"/>
          <w:highlight w:val="none"/>
          <w:lang w:val="en-GB"/>
        </w:rPr>
        <w:t>处理达到《肉类加工工业水污染物排放标准》（GB13457-92）中畜类屠宰加工三级标准后</w:t>
      </w:r>
      <w:r>
        <w:rPr>
          <w:rFonts w:hint="eastAsia" w:cs="Times New Roman"/>
          <w:snapToGrid w:val="0"/>
          <w:color w:val="auto"/>
          <w:highlight w:val="none"/>
        </w:rPr>
        <w:t>同生活污</w:t>
      </w:r>
      <w:r>
        <w:rPr>
          <w:rFonts w:hint="eastAsia" w:cs="Times New Roman"/>
          <w:snapToGrid w:val="0"/>
          <w:color w:val="auto"/>
          <w:highlight w:val="none"/>
          <w:lang w:val="en-US" w:eastAsia="zh-CN"/>
        </w:rPr>
        <w:t>水</w:t>
      </w:r>
      <w:r>
        <w:rPr>
          <w:rFonts w:hint="eastAsia" w:cs="Times New Roman"/>
          <w:snapToGrid w:val="0"/>
          <w:color w:val="auto"/>
          <w:highlight w:val="none"/>
        </w:rPr>
        <w:t>一同</w:t>
      </w:r>
      <w:r>
        <w:rPr>
          <w:rFonts w:cs="Times New Roman"/>
          <w:snapToGrid w:val="0"/>
          <w:color w:val="auto"/>
          <w:highlight w:val="none"/>
          <w:lang w:val="en-GB"/>
        </w:rPr>
        <w:t>经市政污水管网排入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处理，达标后排入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r>
        <w:rPr>
          <w:rFonts w:cs="Times New Roman"/>
          <w:bCs/>
          <w:color w:val="auto"/>
          <w:szCs w:val="24"/>
          <w:highlight w:val="none"/>
        </w:rPr>
        <w:t>在采取经上述措施处理后，本项目废水对周围水环境影响较小。</w:t>
      </w:r>
    </w:p>
    <w:p w14:paraId="29C8C1E7">
      <w:pPr>
        <w:widowControl/>
        <w:ind w:firstLine="482"/>
        <w:rPr>
          <w:rFonts w:cs="Times New Roman"/>
          <w:b/>
          <w:bCs/>
          <w:color w:val="auto"/>
          <w:szCs w:val="24"/>
          <w:highlight w:val="none"/>
        </w:rPr>
      </w:pPr>
      <w:r>
        <w:rPr>
          <w:rFonts w:cs="Times New Roman"/>
          <w:b/>
          <w:bCs/>
          <w:color w:val="auto"/>
          <w:szCs w:val="24"/>
          <w:highlight w:val="none"/>
        </w:rPr>
        <w:t>1、废水治理可行性分析：</w:t>
      </w:r>
    </w:p>
    <w:p w14:paraId="4F11C264">
      <w:pPr>
        <w:rPr>
          <w:rFonts w:cs="Times New Roman"/>
          <w:color w:val="auto"/>
          <w:szCs w:val="24"/>
          <w:highlight w:val="none"/>
        </w:rPr>
      </w:pPr>
      <w:r>
        <w:rPr>
          <w:rFonts w:cs="Times New Roman"/>
          <w:color w:val="auto"/>
          <w:szCs w:val="24"/>
          <w:highlight w:val="none"/>
        </w:rPr>
        <w:t>本项目废水治理措施按照《排污许可证申请与核发技术规范农副食品加工工业-屠宰及肉类加工工业》（HJ 860.3-2018）中表7屠宰及肉类加工工业排污单位废水治理可行技术参照表及《屠宰与肉类加工废水治理工程技术规范》（HJ 2004-2010）做为论证依据。</w:t>
      </w:r>
    </w:p>
    <w:p w14:paraId="2CEC084A">
      <w:pPr>
        <w:spacing w:line="240" w:lineRule="auto"/>
        <w:ind w:left="0" w:leftChars="0" w:firstLine="0" w:firstLineChars="0"/>
        <w:jc w:val="both"/>
        <w:rPr>
          <w:rFonts w:cs="Times New Roman"/>
          <w:b/>
          <w:bCs/>
          <w:color w:val="auto"/>
          <w:szCs w:val="24"/>
          <w:highlight w:val="none"/>
        </w:rPr>
      </w:pPr>
    </w:p>
    <w:p w14:paraId="697AA082">
      <w:pPr>
        <w:spacing w:line="240" w:lineRule="auto"/>
        <w:ind w:firstLine="482"/>
        <w:jc w:val="center"/>
        <w:rPr>
          <w:rFonts w:cs="Times New Roman"/>
          <w:b/>
          <w:bCs/>
          <w:color w:val="auto"/>
          <w:szCs w:val="24"/>
          <w:highlight w:val="none"/>
        </w:rPr>
      </w:pPr>
      <w:r>
        <w:rPr>
          <w:rFonts w:cs="Times New Roman"/>
          <w:b/>
          <w:bCs/>
          <w:color w:val="auto"/>
          <w:szCs w:val="24"/>
          <w:highlight w:val="none"/>
        </w:rPr>
        <w:t>表6</w:t>
      </w:r>
      <w:r>
        <w:rPr>
          <w:rFonts w:hint="eastAsia" w:cs="Times New Roman"/>
          <w:b/>
          <w:bCs/>
          <w:color w:val="auto"/>
          <w:szCs w:val="24"/>
          <w:highlight w:val="none"/>
          <w:lang w:val="en-US" w:eastAsia="zh-CN"/>
        </w:rPr>
        <w:t>.</w:t>
      </w:r>
      <w:r>
        <w:rPr>
          <w:rFonts w:cs="Times New Roman"/>
          <w:b/>
          <w:bCs/>
          <w:color w:val="auto"/>
          <w:szCs w:val="24"/>
          <w:highlight w:val="none"/>
        </w:rPr>
        <w:t>2-1  屠宰及肉类加工工业排污单位废水治理可行技术参照表</w:t>
      </w:r>
    </w:p>
    <w:tbl>
      <w:tblPr>
        <w:tblStyle w:val="47"/>
        <w:tblW w:w="876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1462"/>
        <w:gridCol w:w="763"/>
        <w:gridCol w:w="702"/>
        <w:gridCol w:w="1023"/>
        <w:gridCol w:w="2987"/>
      </w:tblGrid>
      <w:tr w14:paraId="13CD78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27" w:type="dxa"/>
            <w:shd w:val="clear" w:color="auto" w:fill="auto"/>
            <w:vAlign w:val="center"/>
          </w:tcPr>
          <w:p w14:paraId="66E5317F">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废水类别</w:t>
            </w:r>
          </w:p>
        </w:tc>
        <w:tc>
          <w:tcPr>
            <w:tcW w:w="1462" w:type="dxa"/>
            <w:shd w:val="clear" w:color="auto" w:fill="auto"/>
            <w:vAlign w:val="center"/>
          </w:tcPr>
          <w:p w14:paraId="2CF88953">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污染物控制指标</w:t>
            </w:r>
          </w:p>
        </w:tc>
        <w:tc>
          <w:tcPr>
            <w:tcW w:w="763" w:type="dxa"/>
            <w:shd w:val="clear" w:color="auto" w:fill="auto"/>
            <w:vAlign w:val="center"/>
          </w:tcPr>
          <w:p w14:paraId="322EA3E4">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排放方式</w:t>
            </w:r>
          </w:p>
        </w:tc>
        <w:tc>
          <w:tcPr>
            <w:tcW w:w="702" w:type="dxa"/>
            <w:shd w:val="clear" w:color="auto" w:fill="auto"/>
            <w:vAlign w:val="center"/>
          </w:tcPr>
          <w:p w14:paraId="1E6FEEAC">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排放监控位置</w:t>
            </w:r>
          </w:p>
        </w:tc>
        <w:tc>
          <w:tcPr>
            <w:tcW w:w="1023" w:type="dxa"/>
            <w:shd w:val="clear" w:color="auto" w:fill="auto"/>
            <w:vAlign w:val="center"/>
          </w:tcPr>
          <w:p w14:paraId="54B49AE6">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执行标准</w:t>
            </w:r>
          </w:p>
        </w:tc>
        <w:tc>
          <w:tcPr>
            <w:tcW w:w="2987" w:type="dxa"/>
            <w:shd w:val="clear" w:color="auto" w:fill="auto"/>
            <w:vAlign w:val="center"/>
          </w:tcPr>
          <w:p w14:paraId="5DF769CF">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可行技术</w:t>
            </w:r>
          </w:p>
        </w:tc>
      </w:tr>
      <w:tr w14:paraId="007828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27" w:type="dxa"/>
            <w:shd w:val="clear" w:color="auto" w:fill="auto"/>
            <w:vAlign w:val="center"/>
          </w:tcPr>
          <w:p w14:paraId="52BA1631">
            <w:pPr>
              <w:spacing w:line="360" w:lineRule="exact"/>
              <w:ind w:firstLine="0" w:firstLineChars="0"/>
              <w:jc w:val="center"/>
              <w:rPr>
                <w:rFonts w:cs="Times New Roman"/>
                <w:color w:val="auto"/>
                <w:highlight w:val="none"/>
              </w:rPr>
            </w:pPr>
            <w:r>
              <w:rPr>
                <w:rFonts w:cs="Times New Roman"/>
                <w:color w:val="auto"/>
                <w:kern w:val="0"/>
                <w:sz w:val="18"/>
                <w:szCs w:val="18"/>
                <w:highlight w:val="none"/>
              </w:rPr>
              <w:t>厂内综合污水处理站的综合水、专门处理屠宰及肉类加工废水的集中式污水处理厂综合污水（屠宰及肉制品加工生产废、生活污水、初期雨水等）</w:t>
            </w:r>
          </w:p>
        </w:tc>
        <w:tc>
          <w:tcPr>
            <w:tcW w:w="1462" w:type="dxa"/>
            <w:shd w:val="clear" w:color="auto" w:fill="auto"/>
            <w:vAlign w:val="center"/>
          </w:tcPr>
          <w:p w14:paraId="3C947BA5">
            <w:pPr>
              <w:spacing w:line="360" w:lineRule="exact"/>
              <w:ind w:firstLine="0" w:firstLineChars="0"/>
              <w:jc w:val="center"/>
              <w:rPr>
                <w:rFonts w:cs="Times New Roman"/>
                <w:color w:val="auto"/>
                <w:highlight w:val="none"/>
              </w:rPr>
            </w:pPr>
            <w:r>
              <w:rPr>
                <w:rFonts w:cs="Times New Roman"/>
                <w:color w:val="auto"/>
                <w:kern w:val="0"/>
                <w:sz w:val="18"/>
                <w:szCs w:val="18"/>
                <w:highlight w:val="none"/>
              </w:rPr>
              <w:t>pH值、化学需氧量、五日生化需氧量、悬浮物、氨氮、动植物油、大肠菌群数</w:t>
            </w:r>
          </w:p>
        </w:tc>
        <w:tc>
          <w:tcPr>
            <w:tcW w:w="763" w:type="dxa"/>
            <w:shd w:val="clear" w:color="auto" w:fill="auto"/>
            <w:vAlign w:val="center"/>
          </w:tcPr>
          <w:p w14:paraId="4081FB70">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间接排放</w:t>
            </w:r>
          </w:p>
        </w:tc>
        <w:tc>
          <w:tcPr>
            <w:tcW w:w="702" w:type="dxa"/>
            <w:shd w:val="clear" w:color="auto" w:fill="auto"/>
            <w:vAlign w:val="center"/>
          </w:tcPr>
          <w:p w14:paraId="21A00596">
            <w:pPr>
              <w:spacing w:line="360" w:lineRule="exact"/>
              <w:ind w:firstLine="0" w:firstLineChars="0"/>
              <w:jc w:val="center"/>
              <w:rPr>
                <w:rFonts w:cs="Times New Roman"/>
                <w:color w:val="auto"/>
                <w:kern w:val="0"/>
                <w:sz w:val="18"/>
                <w:szCs w:val="18"/>
                <w:highlight w:val="none"/>
              </w:rPr>
            </w:pPr>
            <w:r>
              <w:rPr>
                <w:rFonts w:cs="Times New Roman"/>
                <w:color w:val="auto"/>
                <w:kern w:val="0"/>
                <w:sz w:val="18"/>
                <w:szCs w:val="18"/>
                <w:highlight w:val="none"/>
              </w:rPr>
              <w:t>废水总排放口</w:t>
            </w:r>
          </w:p>
        </w:tc>
        <w:tc>
          <w:tcPr>
            <w:tcW w:w="1023" w:type="dxa"/>
            <w:shd w:val="clear" w:color="auto" w:fill="auto"/>
            <w:vAlign w:val="center"/>
          </w:tcPr>
          <w:p w14:paraId="600F4B60">
            <w:pPr>
              <w:spacing w:line="360" w:lineRule="exact"/>
              <w:ind w:firstLine="0" w:firstLineChars="0"/>
              <w:jc w:val="center"/>
              <w:rPr>
                <w:rFonts w:cs="Times New Roman"/>
                <w:color w:val="auto"/>
                <w:highlight w:val="none"/>
              </w:rPr>
            </w:pPr>
            <w:r>
              <w:rPr>
                <w:rFonts w:cs="Times New Roman"/>
                <w:color w:val="auto"/>
                <w:kern w:val="0"/>
                <w:sz w:val="18"/>
                <w:szCs w:val="18"/>
                <w:highlight w:val="none"/>
              </w:rPr>
              <w:t>排入城镇污水集中处理设施：执行GB13457的三级限值</w:t>
            </w:r>
          </w:p>
        </w:tc>
        <w:tc>
          <w:tcPr>
            <w:tcW w:w="2987" w:type="dxa"/>
            <w:shd w:val="clear" w:color="auto" w:fill="auto"/>
            <w:vAlign w:val="center"/>
          </w:tcPr>
          <w:p w14:paraId="3F57C3FB">
            <w:pPr>
              <w:spacing w:line="360" w:lineRule="exact"/>
              <w:ind w:firstLine="0" w:firstLineChars="0"/>
              <w:rPr>
                <w:rFonts w:cs="Times New Roman"/>
                <w:color w:val="auto"/>
                <w:kern w:val="0"/>
                <w:sz w:val="18"/>
                <w:szCs w:val="18"/>
                <w:highlight w:val="none"/>
              </w:rPr>
            </w:pPr>
            <w:r>
              <w:rPr>
                <w:rFonts w:cs="Times New Roman"/>
                <w:color w:val="auto"/>
                <w:kern w:val="0"/>
                <w:sz w:val="18"/>
                <w:szCs w:val="18"/>
                <w:highlight w:val="none"/>
              </w:rPr>
              <w:t>1）预处理：粗（细）格栅；平流或旋流式沉砂、竖流或辐流式沉淀、混凝沉淀；斜板或平流式隔油池；气浮；其他。</w:t>
            </w:r>
          </w:p>
          <w:p w14:paraId="0C4B6046">
            <w:pPr>
              <w:spacing w:line="360" w:lineRule="exact"/>
              <w:ind w:firstLine="0" w:firstLineChars="0"/>
              <w:rPr>
                <w:rFonts w:cs="Times New Roman"/>
                <w:color w:val="auto"/>
                <w:kern w:val="0"/>
                <w:sz w:val="18"/>
                <w:szCs w:val="18"/>
                <w:highlight w:val="none"/>
              </w:rPr>
            </w:pPr>
            <w:r>
              <w:rPr>
                <w:rFonts w:cs="Times New Roman"/>
                <w:color w:val="auto"/>
                <w:kern w:val="0"/>
                <w:sz w:val="18"/>
                <w:szCs w:val="18"/>
                <w:highlight w:val="none"/>
              </w:rPr>
              <w:t>2）生化法处理：</w:t>
            </w:r>
          </w:p>
          <w:p w14:paraId="27DA131A">
            <w:pPr>
              <w:spacing w:line="360" w:lineRule="exact"/>
              <w:ind w:firstLine="0" w:firstLineChars="0"/>
              <w:rPr>
                <w:rFonts w:cs="Times New Roman"/>
                <w:color w:val="auto"/>
                <w:kern w:val="0"/>
                <w:sz w:val="18"/>
                <w:szCs w:val="18"/>
                <w:highlight w:val="none"/>
              </w:rPr>
            </w:pPr>
            <w:r>
              <w:rPr>
                <w:rFonts w:cs="Times New Roman"/>
                <w:color w:val="auto"/>
                <w:kern w:val="0"/>
                <w:sz w:val="18"/>
                <w:szCs w:val="18"/>
                <w:highlight w:val="none"/>
              </w:rPr>
              <w:t>升流式厌氧污泥床（UASB）；IC 反应器或水解酸化技术；活性污泥法、氧化沟法及其各类改型工艺；生物接触氧化法；序批式活性污泥法（SBR）；缺氧/好氧活性污泥法（A/O 法）；厌氧-缺氧-好氧活性污泥法（A 2 /O 法）；膜生物反应器（MBR）法；其他。</w:t>
            </w:r>
          </w:p>
          <w:p w14:paraId="01A2537D">
            <w:pPr>
              <w:spacing w:line="360" w:lineRule="exact"/>
              <w:ind w:firstLine="0" w:firstLineChars="0"/>
              <w:rPr>
                <w:rFonts w:cs="Times New Roman"/>
                <w:color w:val="auto"/>
                <w:kern w:val="0"/>
                <w:sz w:val="18"/>
                <w:szCs w:val="18"/>
                <w:highlight w:val="none"/>
              </w:rPr>
            </w:pPr>
            <w:r>
              <w:rPr>
                <w:rFonts w:cs="Times New Roman"/>
                <w:color w:val="auto"/>
                <w:kern w:val="0"/>
                <w:sz w:val="18"/>
                <w:szCs w:val="18"/>
                <w:highlight w:val="none"/>
              </w:rPr>
              <w:t>3）除磷处理：化学除磷（注明混凝剂）；生物除磷；生物与化学组合除磷；其他。</w:t>
            </w:r>
          </w:p>
          <w:p w14:paraId="431EAA14">
            <w:pPr>
              <w:spacing w:line="360" w:lineRule="exact"/>
              <w:ind w:firstLine="0" w:firstLineChars="0"/>
              <w:rPr>
                <w:rFonts w:cs="Times New Roman"/>
                <w:color w:val="auto"/>
                <w:kern w:val="0"/>
                <w:sz w:val="18"/>
                <w:szCs w:val="18"/>
                <w:highlight w:val="none"/>
              </w:rPr>
            </w:pPr>
            <w:r>
              <w:rPr>
                <w:rFonts w:cs="Times New Roman"/>
                <w:color w:val="auto"/>
                <w:kern w:val="0"/>
                <w:sz w:val="18"/>
                <w:szCs w:val="18"/>
                <w:highlight w:val="none"/>
              </w:rPr>
              <w:t>4）消毒处理：加氯（二氧化氯或次氯酸钠）消毒；臭氧消毒；紫外消毒；其他。</w:t>
            </w:r>
          </w:p>
          <w:p w14:paraId="7E50790C">
            <w:pPr>
              <w:spacing w:line="360" w:lineRule="exact"/>
              <w:ind w:firstLine="0" w:firstLineChars="0"/>
              <w:rPr>
                <w:rFonts w:cs="Times New Roman"/>
                <w:color w:val="auto"/>
                <w:highlight w:val="none"/>
              </w:rPr>
            </w:pPr>
            <w:r>
              <w:rPr>
                <w:rFonts w:cs="Times New Roman"/>
                <w:color w:val="auto"/>
                <w:kern w:val="0"/>
                <w:sz w:val="18"/>
                <w:szCs w:val="18"/>
                <w:highlight w:val="none"/>
              </w:rPr>
              <w:t>5）深度处理：V 型滤池；臭氧氧化；膜分离技术（超滤、反渗透等）；电渗析；人工湿地；其他。</w:t>
            </w:r>
          </w:p>
        </w:tc>
      </w:tr>
    </w:tbl>
    <w:p w14:paraId="6D7E8BAA">
      <w:pPr>
        <w:widowControl/>
        <w:spacing w:line="500" w:lineRule="exact"/>
        <w:ind w:firstLine="482"/>
        <w:rPr>
          <w:rFonts w:cs="Times New Roman"/>
          <w:b/>
          <w:color w:val="auto"/>
          <w:szCs w:val="24"/>
          <w:highlight w:val="none"/>
        </w:rPr>
      </w:pPr>
      <w:r>
        <w:rPr>
          <w:rFonts w:cs="Times New Roman"/>
          <w:b/>
          <w:color w:val="auto"/>
          <w:szCs w:val="24"/>
          <w:highlight w:val="none"/>
        </w:rPr>
        <w:t>2、废水治理措施论证分析</w:t>
      </w:r>
    </w:p>
    <w:p w14:paraId="7C17BC21">
      <w:pPr>
        <w:spacing w:line="500" w:lineRule="exact"/>
        <w:rPr>
          <w:rFonts w:cs="Times New Roman"/>
          <w:color w:val="auto"/>
          <w:highlight w:val="none"/>
        </w:rPr>
      </w:pPr>
      <w:r>
        <w:rPr>
          <w:rFonts w:cs="Times New Roman"/>
          <w:color w:val="auto"/>
          <w:szCs w:val="24"/>
          <w:highlight w:val="none"/>
        </w:rPr>
        <w:t>屠宰废水属于易生物降解的高悬浮物有机污水，只要有足够的生物群、供氧及水力停留时间，均能使处理后的污水达到国家排放标准。目前国内对这类污水的处理，均采用以生物法处理为主的处理工艺，包括好氧、厌氧、兼氧等处理系统，主要采用的技术有活性污泥法、生物滤池、生物转盘、生物接触氧化池、生物流化床、氧化塘等。</w:t>
      </w:r>
    </w:p>
    <w:p w14:paraId="56C4AFB2">
      <w:pPr>
        <w:spacing w:line="500" w:lineRule="exact"/>
        <w:rPr>
          <w:rFonts w:cs="Times New Roman"/>
          <w:color w:val="auto"/>
          <w:szCs w:val="24"/>
          <w:highlight w:val="none"/>
        </w:rPr>
      </w:pPr>
      <w:r>
        <w:rPr>
          <w:rFonts w:cs="Times New Roman"/>
          <w:color w:val="auto"/>
          <w:szCs w:val="24"/>
          <w:highlight w:val="none"/>
        </w:rPr>
        <w:t>传统活性污泥法经验丰富、运行可靠，但工艺流程较长、占地、投资较大， 且污泥处置问题突出；氧化沟法操作运行简单，污泥产量小，且易处理，同时可除P脱N，但占地面积较大；SBR法是目前机理先进、操作控制灵活、占地面积小、投资小、运行费用低且可实现除P脱N的新工艺，在国内外皆有大量应用实例，但此法对自动控制设备的依赖相当高，污泥量大且不易处置，现已很少单独使用。</w:t>
      </w:r>
    </w:p>
    <w:p w14:paraId="3FA1BF92">
      <w:pPr>
        <w:spacing w:line="500" w:lineRule="exact"/>
        <w:rPr>
          <w:rFonts w:hint="eastAsia" w:ascii="Times New Roman" w:hAnsi="Times New Roman" w:eastAsia="宋体" w:cs="Times New Roman"/>
          <w:color w:val="auto"/>
          <w:szCs w:val="24"/>
          <w:highlight w:val="none"/>
          <w:lang w:val="en-US" w:eastAsia="zh-CN"/>
        </w:rPr>
      </w:pPr>
      <w:r>
        <w:rPr>
          <w:rFonts w:cs="Times New Roman"/>
          <w:color w:val="auto"/>
          <w:szCs w:val="24"/>
          <w:highlight w:val="none"/>
        </w:rPr>
        <w:t>从国内肉类加工污水运行效果的统计资料看，各种生物处理装置均能有效的去除BOD</w:t>
      </w:r>
      <w:r>
        <w:rPr>
          <w:rFonts w:cs="Times New Roman"/>
          <w:color w:val="auto"/>
          <w:szCs w:val="24"/>
          <w:highlight w:val="none"/>
          <w:vertAlign w:val="subscript"/>
        </w:rPr>
        <w:t>5</w:t>
      </w:r>
      <w:r>
        <w:rPr>
          <w:rFonts w:cs="Times New Roman"/>
          <w:color w:val="auto"/>
          <w:szCs w:val="24"/>
          <w:highlight w:val="none"/>
        </w:rPr>
        <w:t>、COD、SS、油脂等污染物，达到《肉类加工工业水污染物排放标准》（GB13457-92）表3三级标准要求。但是，要在</w:t>
      </w:r>
      <w:r>
        <w:rPr>
          <w:rFonts w:hint="eastAsia" w:cs="Times New Roman"/>
          <w:color w:val="auto"/>
          <w:szCs w:val="24"/>
          <w:highlight w:val="none"/>
          <w:lang w:val="en-US" w:eastAsia="zh-CN"/>
        </w:rPr>
        <w:t xml:space="preserve"> </w:t>
      </w:r>
      <w:r>
        <w:rPr>
          <w:rFonts w:cs="Times New Roman"/>
          <w:color w:val="auto"/>
          <w:szCs w:val="24"/>
          <w:highlight w:val="none"/>
        </w:rPr>
        <w:t>最短时间内用最小的能耗达到预期的效果，就必须选择一套合理、有效、经济的工艺流程。针对本项目生产规模、特点以及污水水质，污水处理主体流程选用接触氧化工艺。</w:t>
      </w:r>
      <w:r>
        <w:rPr>
          <w:rFonts w:hint="eastAsia" w:ascii="Times New Roman" w:hAnsi="Times New Roman" w:eastAsia="宋体" w:cs="Times New Roman"/>
          <w:color w:val="auto"/>
          <w:szCs w:val="24"/>
          <w:highlight w:val="none"/>
          <w:lang w:val="en-US" w:eastAsia="zh-CN"/>
        </w:rPr>
        <w:t>次氯酸钠采用</w:t>
      </w:r>
      <w:r>
        <w:rPr>
          <w:rFonts w:ascii="Times New Roman" w:hAnsi="Times New Roman" w:eastAsia="宋体" w:cs="Times New Roman"/>
          <w:color w:val="auto"/>
          <w:szCs w:val="24"/>
          <w:highlight w:val="none"/>
        </w:rPr>
        <w:t>采用</w:t>
      </w:r>
      <w:r>
        <w:rPr>
          <w:rFonts w:hint="default" w:ascii="Times New Roman" w:hAnsi="Times New Roman" w:eastAsia="宋体" w:cs="Times New Roman"/>
          <w:color w:val="auto"/>
          <w:szCs w:val="24"/>
          <w:highlight w:val="none"/>
        </w:rPr>
        <w:t>“计量泵+管道静态混合器”的连续自动投加方式</w:t>
      </w:r>
      <w:r>
        <w:rPr>
          <w:rFonts w:hint="eastAsia" w:ascii="Times New Roman" w:hAnsi="Times New Roman" w:eastAsia="宋体" w:cs="Times New Roman"/>
          <w:color w:val="auto"/>
          <w:szCs w:val="24"/>
          <w:highlight w:val="none"/>
          <w:lang w:eastAsia="zh-CN"/>
        </w:rPr>
        <w:t>，</w:t>
      </w:r>
      <w:r>
        <w:rPr>
          <w:rFonts w:ascii="Times New Roman" w:hAnsi="Times New Roman" w:eastAsia="宋体" w:cs="Times New Roman"/>
          <w:color w:val="auto"/>
          <w:szCs w:val="24"/>
          <w:highlight w:val="none"/>
        </w:rPr>
        <w:t>可根据流量或余氯信号自动调节加药量。</w:t>
      </w:r>
    </w:p>
    <w:p w14:paraId="47910052">
      <w:pPr>
        <w:spacing w:line="500" w:lineRule="exact"/>
        <w:rPr>
          <w:rFonts w:ascii="Times New Roman" w:hAnsi="Times New Roman" w:eastAsia="宋体" w:cs="Times New Roman"/>
          <w:color w:val="auto"/>
          <w:szCs w:val="24"/>
          <w:highlight w:val="none"/>
        </w:rPr>
      </w:pPr>
      <w:r>
        <w:rPr>
          <w:rFonts w:cs="Times New Roman"/>
          <w:color w:val="auto"/>
          <w:szCs w:val="24"/>
          <w:highlight w:val="none"/>
        </w:rPr>
        <w:t>本项目间接排放，下游</w:t>
      </w:r>
      <w:r>
        <w:rPr>
          <w:rFonts w:hint="eastAsia" w:cs="Times New Roman"/>
          <w:color w:val="auto"/>
          <w:szCs w:val="24"/>
          <w:highlight w:val="none"/>
          <w:lang w:val="en-US" w:eastAsia="zh-CN"/>
        </w:rPr>
        <w:t>由当地</w:t>
      </w:r>
      <w:r>
        <w:rPr>
          <w:rFonts w:cs="Times New Roman"/>
          <w:color w:val="auto"/>
          <w:szCs w:val="24"/>
          <w:highlight w:val="none"/>
        </w:rPr>
        <w:t>污水处理厂</w:t>
      </w:r>
      <w:r>
        <w:rPr>
          <w:rFonts w:hint="eastAsia" w:cs="Times New Roman"/>
          <w:color w:val="auto"/>
          <w:szCs w:val="24"/>
          <w:highlight w:val="none"/>
          <w:lang w:val="en-US" w:eastAsia="zh-CN"/>
        </w:rPr>
        <w:t>承接</w:t>
      </w:r>
      <w:r>
        <w:rPr>
          <w:rFonts w:cs="Times New Roman"/>
          <w:color w:val="auto"/>
          <w:szCs w:val="24"/>
          <w:highlight w:val="none"/>
        </w:rPr>
        <w:t>，项目最终选择</w:t>
      </w:r>
      <w:r>
        <w:rPr>
          <w:rFonts w:cs="Times New Roman"/>
          <w:bCs/>
          <w:color w:val="auto"/>
          <w:szCs w:val="24"/>
          <w:highlight w:val="none"/>
        </w:rPr>
        <w:t>“</w:t>
      </w:r>
      <w:r>
        <w:rPr>
          <w:rFonts w:hint="eastAsia" w:cs="Times New Roman"/>
          <w:bCs/>
          <w:color w:val="auto"/>
          <w:szCs w:val="24"/>
          <w:highlight w:val="none"/>
          <w:lang w:eastAsia="zh-CN"/>
        </w:rPr>
        <w:t>格栅+</w:t>
      </w:r>
      <w:r>
        <w:rPr>
          <w:rFonts w:hint="eastAsia" w:cs="Times New Roman"/>
          <w:bCs/>
          <w:color w:val="auto"/>
          <w:szCs w:val="24"/>
          <w:highlight w:val="none"/>
          <w:lang w:val="en-US" w:eastAsia="zh-CN"/>
        </w:rPr>
        <w:t>隔油池+调节池</w:t>
      </w:r>
      <w:r>
        <w:rPr>
          <w:rFonts w:hint="eastAsia" w:cs="Times New Roman"/>
          <w:bCs/>
          <w:color w:val="auto"/>
          <w:szCs w:val="24"/>
          <w:highlight w:val="none"/>
          <w:lang w:eastAsia="zh-CN"/>
        </w:rPr>
        <w:t>+气浮+水解酸化+</w:t>
      </w:r>
      <w:r>
        <w:rPr>
          <w:rFonts w:hint="eastAsia" w:cs="Times New Roman"/>
          <w:bCs/>
          <w:color w:val="auto"/>
          <w:szCs w:val="24"/>
          <w:highlight w:val="none"/>
          <w:lang w:val="en-US" w:eastAsia="zh-CN"/>
        </w:rPr>
        <w:t>反硝化缺氧+好氧</w:t>
      </w:r>
      <w:r>
        <w:rPr>
          <w:rFonts w:hint="eastAsia" w:cs="Times New Roman"/>
          <w:bCs/>
          <w:color w:val="auto"/>
          <w:szCs w:val="24"/>
          <w:highlight w:val="none"/>
          <w:lang w:eastAsia="zh-CN"/>
        </w:rPr>
        <w:t>+沉淀+消毒（</w:t>
      </w:r>
      <w:r>
        <w:rPr>
          <w:rFonts w:hint="eastAsia" w:cs="Times New Roman"/>
          <w:bCs/>
          <w:color w:val="auto"/>
          <w:szCs w:val="24"/>
          <w:highlight w:val="none"/>
          <w:lang w:val="en-US" w:eastAsia="zh-CN"/>
        </w:rPr>
        <w:t>次氯酸钠）</w:t>
      </w:r>
      <w:r>
        <w:rPr>
          <w:rFonts w:cs="Times New Roman"/>
          <w:bCs/>
          <w:color w:val="auto"/>
          <w:szCs w:val="24"/>
          <w:highlight w:val="none"/>
        </w:rPr>
        <w:t>”</w:t>
      </w:r>
      <w:r>
        <w:rPr>
          <w:rFonts w:cs="Times New Roman"/>
          <w:color w:val="auto"/>
          <w:szCs w:val="24"/>
          <w:highlight w:val="none"/>
        </w:rPr>
        <w:t>工艺作为本项目的污水处理方案</w:t>
      </w:r>
      <w:r>
        <w:rPr>
          <w:rFonts w:hint="eastAsia" w:cs="Times New Roman"/>
          <w:color w:val="auto"/>
          <w:szCs w:val="24"/>
          <w:highlight w:val="none"/>
          <w:lang w:eastAsia="zh-CN"/>
        </w:rPr>
        <w:t>，</w:t>
      </w:r>
      <w:r>
        <w:rPr>
          <w:rFonts w:hint="eastAsia" w:cs="Times New Roman"/>
          <w:color w:val="auto"/>
          <w:szCs w:val="24"/>
          <w:highlight w:val="none"/>
          <w:lang w:val="en-US" w:eastAsia="zh-CN"/>
        </w:rPr>
        <w:t>处理规模250t/d。</w:t>
      </w:r>
      <w:r>
        <w:rPr>
          <w:rFonts w:cs="Times New Roman"/>
          <w:color w:val="auto"/>
          <w:szCs w:val="24"/>
          <w:highlight w:val="none"/>
        </w:rPr>
        <w:t>根据《排污许可证申请与核发技术规范农副食品加工工业-屠宰及肉类加工工业》（</w:t>
      </w:r>
      <w:r>
        <w:rPr>
          <w:rFonts w:ascii="Times New Roman" w:hAnsi="Times New Roman" w:eastAsia="宋体" w:cs="Times New Roman"/>
          <w:color w:val="auto"/>
          <w:szCs w:val="24"/>
          <w:highlight w:val="none"/>
        </w:rPr>
        <w:t>HJ 860.3-2018），本项目选用的污水处理工艺均为可行技术。</w:t>
      </w:r>
    </w:p>
    <w:p w14:paraId="49F689FB">
      <w:pPr>
        <w:spacing w:line="500" w:lineRule="exact"/>
        <w:rPr>
          <w:rFonts w:hint="default" w:ascii="Times New Roman" w:hAnsi="Times New Roman" w:eastAsia="宋体" w:cs="Times New Roman"/>
          <w:color w:val="auto"/>
          <w:sz w:val="24"/>
          <w:szCs w:val="24"/>
          <w:highlight w:val="none"/>
          <w:lang w:val="en-GB" w:eastAsia="zh-CN"/>
        </w:rPr>
      </w:pPr>
      <w:r>
        <w:rPr>
          <w:rFonts w:hint="eastAsia" w:ascii="Times New Roman" w:hAnsi="Times New Roman" w:eastAsia="宋体" w:cs="Times New Roman"/>
          <w:color w:val="auto"/>
          <w:szCs w:val="24"/>
          <w:highlight w:val="none"/>
          <w:lang w:val="en-US" w:eastAsia="zh-CN"/>
        </w:rPr>
        <w:t>该污水处理工艺工程案例：</w:t>
      </w:r>
      <w:r>
        <w:rPr>
          <w:rFonts w:hint="default" w:ascii="Times New Roman" w:hAnsi="Times New Roman" w:eastAsia="宋体" w:cs="Times New Roman"/>
          <w:color w:val="auto"/>
          <w:sz w:val="24"/>
          <w:szCs w:val="24"/>
          <w:highlight w:val="none"/>
        </w:rPr>
        <w:t>揭阳市广联牲畜屠宰有限公司年屠宰肉牛3万头、肉羊18万只生产线建设项目</w:t>
      </w:r>
      <w:r>
        <w:rPr>
          <w:rFonts w:hint="eastAsia" w:cs="Times New Roman"/>
          <w:snapToGrid w:val="0"/>
          <w:color w:val="auto"/>
          <w:highlight w:val="none"/>
          <w:lang w:val="zh-CN"/>
        </w:rPr>
        <w:t>（</w:t>
      </w:r>
      <w:r>
        <w:rPr>
          <w:rFonts w:hint="eastAsia" w:cs="Times New Roman"/>
          <w:snapToGrid w:val="0"/>
          <w:color w:val="auto"/>
          <w:highlight w:val="none"/>
          <w:lang w:val="en-US" w:eastAsia="zh-CN"/>
        </w:rPr>
        <w:t>202</w:t>
      </w:r>
      <w:r>
        <w:rPr>
          <w:rFonts w:hint="default" w:ascii="Times New Roman" w:hAnsi="Times New Roman" w:cs="Times New Roman"/>
          <w:snapToGrid w:val="0"/>
          <w:color w:val="auto"/>
          <w:highlight w:val="none"/>
          <w:lang w:val="en-US" w:eastAsia="zh-CN"/>
        </w:rPr>
        <w:t>3年11月通过</w:t>
      </w:r>
      <w:r>
        <w:rPr>
          <w:rFonts w:hint="default" w:ascii="Times New Roman" w:hAnsi="Times New Roman" w:eastAsia="宋体" w:cs="Times New Roman"/>
          <w:color w:val="auto"/>
          <w:sz w:val="24"/>
          <w:szCs w:val="24"/>
          <w:highlight w:val="none"/>
          <w:lang w:val="en-US" w:eastAsia="zh-CN"/>
        </w:rPr>
        <w:t>验收</w:t>
      </w:r>
      <w:r>
        <w:rPr>
          <w:rFonts w:hint="default" w:ascii="Times New Roman" w:hAnsi="Times New Roman" w:eastAsia="宋体" w:cs="Times New Roman"/>
          <w:color w:val="auto"/>
          <w:sz w:val="24"/>
          <w:szCs w:val="24"/>
          <w:highlight w:val="none"/>
          <w:lang w:val="zh-CN" w:eastAsia="zh-CN"/>
        </w:rPr>
        <w:t>），</w:t>
      </w:r>
      <w:r>
        <w:rPr>
          <w:rFonts w:hint="default" w:ascii="Times New Roman" w:hAnsi="Times New Roman" w:eastAsia="宋体" w:cs="Times New Roman"/>
          <w:color w:val="auto"/>
          <w:sz w:val="24"/>
          <w:szCs w:val="24"/>
          <w:highlight w:val="none"/>
          <w:lang w:val="en-US" w:eastAsia="zh-CN"/>
        </w:rPr>
        <w:t>阳新县农发食品有限公司阳新县畜禽屠宰加工厂项目（202</w:t>
      </w:r>
      <w:r>
        <w:rPr>
          <w:rFonts w:hint="default" w:ascii="Times New Roman" w:hAnsi="Times New Roman"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w:t>
      </w:r>
      <w:r>
        <w:rPr>
          <w:rFonts w:hint="default" w:ascii="Times New Roman" w:hAnsi="Times New Roman" w:cs="Times New Roman"/>
          <w:color w:val="auto"/>
          <w:sz w:val="24"/>
          <w:szCs w:val="24"/>
          <w:highlight w:val="none"/>
          <w:lang w:val="en-US" w:eastAsia="zh-CN"/>
        </w:rPr>
        <w:t>11</w:t>
      </w:r>
      <w:r>
        <w:rPr>
          <w:rFonts w:hint="default" w:ascii="Times New Roman" w:hAnsi="Times New Roman" w:eastAsia="宋体" w:cs="Times New Roman"/>
          <w:color w:val="auto"/>
          <w:sz w:val="24"/>
          <w:szCs w:val="24"/>
          <w:highlight w:val="none"/>
          <w:lang w:val="en-US" w:eastAsia="zh-CN"/>
        </w:rPr>
        <w:t>月通过验收</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均采用“水解酸化+接触氧化”工艺处理废水，出水均满足</w:t>
      </w:r>
      <w:r>
        <w:rPr>
          <w:rFonts w:hint="default" w:ascii="Times New Roman" w:hAnsi="Times New Roman" w:eastAsia="宋体" w:cs="Times New Roman"/>
          <w:color w:val="auto"/>
          <w:sz w:val="24"/>
          <w:szCs w:val="24"/>
          <w:highlight w:val="none"/>
          <w:lang w:val="en-GB" w:eastAsia="zh-CN"/>
        </w:rPr>
        <w:t>《肉类加工工业水污染物排放标准》（GB13457-92）中畜类屠宰加工三级标准。</w:t>
      </w:r>
    </w:p>
    <w:p w14:paraId="26D17DB1">
      <w:pPr>
        <w:spacing w:line="500" w:lineRule="exac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综上，本项目污水处理工艺选用“格栅+隔油池+调节池+气浮+水解酸化+反硝化缺氧+好氧+沉淀+消毒（次氯酸钠）”工艺可行且可靠，满足项目需求。</w:t>
      </w:r>
    </w:p>
    <w:p w14:paraId="4AB6C96E">
      <w:pPr>
        <w:widowControl/>
        <w:spacing w:line="500" w:lineRule="exact"/>
        <w:ind w:firstLine="482"/>
        <w:rPr>
          <w:rFonts w:cs="Times New Roman"/>
          <w:b/>
          <w:color w:val="auto"/>
          <w:szCs w:val="24"/>
          <w:highlight w:val="none"/>
        </w:rPr>
      </w:pPr>
      <w:r>
        <w:rPr>
          <w:rFonts w:cs="Times New Roman"/>
          <w:b/>
          <w:color w:val="auto"/>
          <w:szCs w:val="24"/>
          <w:highlight w:val="none"/>
        </w:rPr>
        <w:t>3、事故池</w:t>
      </w:r>
    </w:p>
    <w:p w14:paraId="3CFB15F9">
      <w:pPr>
        <w:pStyle w:val="66"/>
        <w:ind w:firstLine="480" w:firstLineChars="200"/>
        <w:jc w:val="both"/>
        <w:rPr>
          <w:rStyle w:val="220"/>
          <w:rFonts w:hint="default" w:eastAsia="宋体" w:cs="Times New Roman"/>
          <w:color w:val="auto"/>
          <w:sz w:val="24"/>
          <w:szCs w:val="24"/>
          <w:highlight w:val="none"/>
          <w:lang w:val="en-US" w:eastAsia="zh-CN"/>
        </w:rPr>
      </w:pPr>
      <w:r>
        <w:rPr>
          <w:rStyle w:val="220"/>
          <w:rFonts w:eastAsia="宋体" w:cs="Times New Roman"/>
          <w:color w:val="auto"/>
          <w:sz w:val="24"/>
          <w:szCs w:val="24"/>
          <w:highlight w:val="none"/>
        </w:rPr>
        <w:t>为了在检修等非正常情况下有效避免事故排水对周围水体的影响，项目建设了一个容积为</w:t>
      </w:r>
      <w:r>
        <w:rPr>
          <w:rStyle w:val="220"/>
          <w:rFonts w:hint="eastAsia" w:eastAsia="宋体" w:cs="Times New Roman"/>
          <w:color w:val="auto"/>
          <w:sz w:val="24"/>
          <w:szCs w:val="24"/>
          <w:highlight w:val="none"/>
          <w:lang w:val="en-US" w:eastAsia="zh-CN"/>
        </w:rPr>
        <w:t>50</w:t>
      </w:r>
      <w:r>
        <w:rPr>
          <w:rStyle w:val="220"/>
          <w:rFonts w:eastAsia="宋体" w:cs="Times New Roman"/>
          <w:color w:val="auto"/>
          <w:sz w:val="24"/>
          <w:szCs w:val="24"/>
          <w:highlight w:val="none"/>
        </w:rPr>
        <w:t>m</w:t>
      </w:r>
      <w:r>
        <w:rPr>
          <w:rStyle w:val="220"/>
          <w:rFonts w:eastAsia="宋体" w:cs="Times New Roman"/>
          <w:color w:val="auto"/>
          <w:sz w:val="24"/>
          <w:szCs w:val="24"/>
          <w:highlight w:val="none"/>
          <w:vertAlign w:val="superscript"/>
        </w:rPr>
        <w:t>3</w:t>
      </w:r>
      <w:r>
        <w:rPr>
          <w:rStyle w:val="220"/>
          <w:rFonts w:eastAsia="宋体" w:cs="Times New Roman"/>
          <w:color w:val="auto"/>
          <w:sz w:val="24"/>
          <w:szCs w:val="24"/>
          <w:highlight w:val="none"/>
        </w:rPr>
        <w:t>的</w:t>
      </w:r>
      <w:r>
        <w:rPr>
          <w:rStyle w:val="220"/>
          <w:rFonts w:hint="eastAsia" w:eastAsia="宋体" w:cs="Times New Roman"/>
          <w:color w:val="auto"/>
          <w:sz w:val="24"/>
          <w:szCs w:val="24"/>
          <w:highlight w:val="none"/>
          <w:lang w:val="en-US" w:eastAsia="zh-CN"/>
        </w:rPr>
        <w:t>调节池，于调节池内分隔出来，</w:t>
      </w:r>
      <w:r>
        <w:rPr>
          <w:rStyle w:val="220"/>
          <w:rFonts w:eastAsia="宋体" w:cs="Times New Roman"/>
          <w:color w:val="auto"/>
          <w:sz w:val="24"/>
          <w:szCs w:val="24"/>
          <w:highlight w:val="none"/>
        </w:rPr>
        <w:t>尺寸</w:t>
      </w:r>
      <w:r>
        <w:rPr>
          <w:rStyle w:val="220"/>
          <w:rFonts w:hint="eastAsia" w:eastAsia="宋体" w:cs="Times New Roman"/>
          <w:color w:val="auto"/>
          <w:sz w:val="24"/>
          <w:szCs w:val="24"/>
          <w:highlight w:val="none"/>
          <w:lang w:val="en-US" w:eastAsia="zh-CN"/>
        </w:rPr>
        <w:t>5</w:t>
      </w:r>
      <w:r>
        <w:rPr>
          <w:rStyle w:val="220"/>
          <w:rFonts w:eastAsia="宋体" w:cs="Times New Roman"/>
          <w:color w:val="auto"/>
          <w:sz w:val="24"/>
          <w:szCs w:val="24"/>
          <w:highlight w:val="none"/>
        </w:rPr>
        <w:t>m×</w:t>
      </w:r>
      <w:r>
        <w:rPr>
          <w:rStyle w:val="220"/>
          <w:rFonts w:hint="eastAsia" w:eastAsia="宋体" w:cs="Times New Roman"/>
          <w:color w:val="auto"/>
          <w:sz w:val="24"/>
          <w:szCs w:val="24"/>
          <w:highlight w:val="none"/>
          <w:lang w:val="en-US" w:eastAsia="zh-CN"/>
        </w:rPr>
        <w:t>2.</w:t>
      </w:r>
      <w:r>
        <w:rPr>
          <w:rStyle w:val="220"/>
          <w:rFonts w:eastAsia="宋体" w:cs="Times New Roman"/>
          <w:color w:val="auto"/>
          <w:sz w:val="24"/>
          <w:szCs w:val="24"/>
          <w:highlight w:val="none"/>
        </w:rPr>
        <w:t>5m×</w:t>
      </w:r>
      <w:r>
        <w:rPr>
          <w:rStyle w:val="220"/>
          <w:rFonts w:hint="eastAsia" w:eastAsia="宋体" w:cs="Times New Roman"/>
          <w:color w:val="auto"/>
          <w:sz w:val="24"/>
          <w:szCs w:val="24"/>
          <w:highlight w:val="none"/>
          <w:lang w:val="en-US" w:eastAsia="zh-CN"/>
        </w:rPr>
        <w:t>4</w:t>
      </w:r>
      <w:r>
        <w:rPr>
          <w:rStyle w:val="220"/>
          <w:rFonts w:eastAsia="宋体" w:cs="Times New Roman"/>
          <w:color w:val="auto"/>
          <w:sz w:val="24"/>
          <w:szCs w:val="24"/>
          <w:highlight w:val="none"/>
        </w:rPr>
        <w:t>m，能容纳</w:t>
      </w:r>
      <w:r>
        <w:rPr>
          <w:rStyle w:val="220"/>
          <w:rFonts w:hint="eastAsia" w:eastAsia="宋体" w:cs="Times New Roman"/>
          <w:color w:val="auto"/>
          <w:sz w:val="24"/>
          <w:szCs w:val="24"/>
          <w:highlight w:val="none"/>
          <w:lang w:val="en-US" w:eastAsia="zh-CN"/>
        </w:rPr>
        <w:t>5h</w:t>
      </w:r>
      <w:r>
        <w:rPr>
          <w:rStyle w:val="220"/>
          <w:rFonts w:eastAsia="宋体" w:cs="Times New Roman"/>
          <w:color w:val="auto"/>
          <w:sz w:val="24"/>
          <w:szCs w:val="24"/>
          <w:highlight w:val="none"/>
        </w:rPr>
        <w:t>污水量，事故池做防渗处理，在污水处理系统检修或出现故障时存放废水，检修正常后将事故池存水引入厂区内污水处理站处理达标后</w:t>
      </w:r>
      <w:r>
        <w:rPr>
          <w:rStyle w:val="220"/>
          <w:rFonts w:eastAsia="宋体" w:cs="Times New Roman"/>
          <w:color w:val="auto"/>
          <w:sz w:val="24"/>
          <w:szCs w:val="24"/>
          <w:highlight w:val="none"/>
          <w:lang w:val="en-US"/>
        </w:rPr>
        <w:t>排入市政管网</w:t>
      </w:r>
      <w:r>
        <w:rPr>
          <w:rStyle w:val="220"/>
          <w:rFonts w:eastAsia="宋体" w:cs="Times New Roman"/>
          <w:color w:val="auto"/>
          <w:sz w:val="24"/>
          <w:szCs w:val="24"/>
          <w:highlight w:val="none"/>
        </w:rPr>
        <w:t>。</w:t>
      </w:r>
      <w:r>
        <w:rPr>
          <w:rStyle w:val="220"/>
          <w:rFonts w:hint="eastAsia" w:eastAsia="宋体" w:cs="Times New Roman"/>
          <w:color w:val="auto"/>
          <w:sz w:val="24"/>
          <w:szCs w:val="24"/>
          <w:highlight w:val="none"/>
          <w:lang w:val="en-US" w:eastAsia="zh-CN"/>
        </w:rPr>
        <w:t>在污水总排口（DW001）处安装污水在线处理设备，对特征污染物进行实时监测，以避免事故废水直接排放。</w:t>
      </w:r>
    </w:p>
    <w:p w14:paraId="053D3C51">
      <w:pPr>
        <w:pStyle w:val="66"/>
        <w:ind w:firstLine="480" w:firstLineChars="200"/>
        <w:jc w:val="both"/>
        <w:rPr>
          <w:rStyle w:val="220"/>
          <w:rFonts w:eastAsia="宋体" w:cs="Times New Roman"/>
          <w:color w:val="auto"/>
          <w:sz w:val="24"/>
          <w:szCs w:val="24"/>
          <w:highlight w:val="none"/>
        </w:rPr>
      </w:pPr>
      <w:r>
        <w:rPr>
          <w:rStyle w:val="220"/>
          <w:rFonts w:eastAsia="宋体" w:cs="Times New Roman"/>
          <w:color w:val="auto"/>
          <w:sz w:val="24"/>
          <w:szCs w:val="24"/>
          <w:highlight w:val="none"/>
        </w:rPr>
        <w:t>综上，本项目产生的废水经以上措施处理后，对周围地表水环境影响较小，故该措施可行。</w:t>
      </w:r>
    </w:p>
    <w:p w14:paraId="5A04E983">
      <w:pPr>
        <w:keepNext/>
        <w:keepLines/>
        <w:spacing w:line="500" w:lineRule="exact"/>
        <w:ind w:firstLine="0" w:firstLineChars="0"/>
        <w:jc w:val="left"/>
        <w:outlineLvl w:val="2"/>
        <w:rPr>
          <w:rFonts w:eastAsia="黑体" w:cs="Times New Roman"/>
          <w:bCs/>
          <w:snapToGrid w:val="0"/>
          <w:color w:val="auto"/>
          <w:kern w:val="0"/>
          <w:szCs w:val="32"/>
          <w:highlight w:val="none"/>
        </w:rPr>
      </w:pPr>
      <w:bookmarkStart w:id="374" w:name="_Toc16483"/>
      <w:r>
        <w:rPr>
          <w:rFonts w:eastAsia="黑体" w:cs="Times New Roman"/>
          <w:bCs/>
          <w:snapToGrid w:val="0"/>
          <w:color w:val="auto"/>
          <w:kern w:val="0"/>
          <w:szCs w:val="32"/>
          <w:highlight w:val="none"/>
        </w:rPr>
        <w:t>6.2.3地下水环境保护措施</w:t>
      </w:r>
      <w:bookmarkEnd w:id="374"/>
    </w:p>
    <w:p w14:paraId="5B4E17DD">
      <w:pPr>
        <w:spacing w:line="500" w:lineRule="exact"/>
        <w:rPr>
          <w:rFonts w:cs="Times New Roman"/>
          <w:snapToGrid w:val="0"/>
          <w:color w:val="auto"/>
          <w:kern w:val="0"/>
          <w:highlight w:val="none"/>
        </w:rPr>
      </w:pPr>
      <w:r>
        <w:rPr>
          <w:rFonts w:cs="Times New Roman"/>
          <w:color w:val="auto"/>
          <w:szCs w:val="24"/>
          <w:highlight w:val="none"/>
        </w:rPr>
        <w:t>地下水环境保护措施与对策应符合《中华人民共和国水污染防治法》和《中华人民共和国环境影响评价法》的相关规定，按照“源头控制、分区防控、污染监控、应急响应”，重点突出饮用水水质安全的原则确定，从污染物的产生、入渗、扩散、应急响应全阶段进行控制。</w:t>
      </w:r>
    </w:p>
    <w:p w14:paraId="7A2AAEB7">
      <w:pPr>
        <w:spacing w:line="500" w:lineRule="exact"/>
        <w:ind w:firstLine="482"/>
        <w:rPr>
          <w:rFonts w:cs="Times New Roman"/>
          <w:b/>
          <w:bCs/>
          <w:color w:val="auto"/>
          <w:szCs w:val="24"/>
          <w:highlight w:val="none"/>
        </w:rPr>
      </w:pPr>
      <w:r>
        <w:rPr>
          <w:rFonts w:cs="Times New Roman"/>
          <w:b/>
          <w:bCs/>
          <w:color w:val="auto"/>
          <w:szCs w:val="24"/>
          <w:highlight w:val="none"/>
        </w:rPr>
        <w:t>1、源头控制措施</w:t>
      </w:r>
    </w:p>
    <w:p w14:paraId="710FB515">
      <w:pPr>
        <w:spacing w:line="500" w:lineRule="exact"/>
        <w:rPr>
          <w:rFonts w:cs="Times New Roman"/>
          <w:color w:val="auto"/>
          <w:szCs w:val="24"/>
          <w:highlight w:val="none"/>
        </w:rPr>
      </w:pPr>
      <w:r>
        <w:rPr>
          <w:rFonts w:cs="Times New Roman"/>
          <w:color w:val="auto"/>
          <w:szCs w:val="24"/>
          <w:highlight w:val="none"/>
        </w:rPr>
        <w:t>按地下水环境影响评价导则提出的“源头控制、末端防治、污染监控、应急响应”的地下水污染防治要求，结合本项目工程类型及污染源分布，提出以下防治原则：</w:t>
      </w:r>
    </w:p>
    <w:p w14:paraId="3578D07B">
      <w:pPr>
        <w:spacing w:line="500" w:lineRule="exact"/>
        <w:rPr>
          <w:rFonts w:cs="Times New Roman"/>
          <w:color w:val="auto"/>
          <w:szCs w:val="24"/>
          <w:highlight w:val="none"/>
        </w:rPr>
      </w:pPr>
      <w:r>
        <w:rPr>
          <w:rFonts w:cs="Times New Roman"/>
          <w:color w:val="auto"/>
          <w:szCs w:val="24"/>
          <w:highlight w:val="none"/>
        </w:rPr>
        <w:t>（1）主动控制原则</w:t>
      </w:r>
    </w:p>
    <w:p w14:paraId="2B7C9645">
      <w:pPr>
        <w:spacing w:line="500" w:lineRule="exact"/>
        <w:rPr>
          <w:rFonts w:cs="Times New Roman"/>
          <w:color w:val="auto"/>
          <w:szCs w:val="24"/>
          <w:highlight w:val="none"/>
        </w:rPr>
      </w:pPr>
      <w:r>
        <w:rPr>
          <w:rFonts w:cs="Times New Roman"/>
          <w:color w:val="auto"/>
          <w:szCs w:val="24"/>
          <w:highlight w:val="none"/>
        </w:rPr>
        <w:t>主动控制，即从源头控制措施，主要包括在工艺、管道、设备、污水贮存及处理构筑物采取相应措施，降低和防止污染物跑、冒、滴、漏，将污染物泄漏的环境风险事故降到最低程度；</w:t>
      </w:r>
    </w:p>
    <w:p w14:paraId="3E10B133">
      <w:pPr>
        <w:spacing w:line="500" w:lineRule="exact"/>
        <w:rPr>
          <w:rFonts w:cs="Times New Roman"/>
          <w:color w:val="auto"/>
          <w:szCs w:val="24"/>
          <w:highlight w:val="none"/>
        </w:rPr>
      </w:pPr>
      <w:r>
        <w:rPr>
          <w:rFonts w:cs="Times New Roman"/>
          <w:color w:val="auto"/>
          <w:szCs w:val="24"/>
          <w:highlight w:val="none"/>
        </w:rPr>
        <w:t>（2）被动控制原则</w:t>
      </w:r>
    </w:p>
    <w:p w14:paraId="19A43FEC">
      <w:pPr>
        <w:spacing w:line="500" w:lineRule="exact"/>
        <w:rPr>
          <w:rFonts w:cs="Times New Roman"/>
          <w:color w:val="auto"/>
          <w:szCs w:val="24"/>
          <w:highlight w:val="none"/>
        </w:rPr>
      </w:pPr>
      <w:r>
        <w:rPr>
          <w:rFonts w:cs="Times New Roman"/>
          <w:color w:val="auto"/>
          <w:szCs w:val="24"/>
          <w:highlight w:val="none"/>
        </w:rPr>
        <w:t>被动控制，即末端控制措施，主要包括项目区内污染区地面的防渗措施和泄漏、渗漏污染物收集措施，即在污染区地面进行防渗处理，防止洒落地面的污染物渗入地下，并把滞留在地面的污染物收集起来，集中送至污水处理站进行处理；</w:t>
      </w:r>
    </w:p>
    <w:p w14:paraId="186B6568">
      <w:pPr>
        <w:spacing w:line="500" w:lineRule="exact"/>
        <w:rPr>
          <w:rFonts w:cs="Times New Roman"/>
          <w:color w:val="auto"/>
          <w:szCs w:val="24"/>
          <w:highlight w:val="none"/>
        </w:rPr>
      </w:pPr>
      <w:r>
        <w:rPr>
          <w:rFonts w:cs="Times New Roman"/>
          <w:color w:val="auto"/>
          <w:szCs w:val="24"/>
          <w:highlight w:val="none"/>
        </w:rPr>
        <w:t>（3）坚持“可视化”原则</w:t>
      </w:r>
    </w:p>
    <w:p w14:paraId="729C18A7">
      <w:pPr>
        <w:spacing w:line="500" w:lineRule="exact"/>
        <w:rPr>
          <w:rFonts w:cs="Times New Roman"/>
          <w:color w:val="auto"/>
          <w:szCs w:val="24"/>
          <w:highlight w:val="none"/>
        </w:rPr>
      </w:pPr>
      <w:r>
        <w:rPr>
          <w:rFonts w:cs="Times New Roman"/>
          <w:color w:val="auto"/>
          <w:szCs w:val="24"/>
          <w:highlight w:val="none"/>
        </w:rPr>
        <w:t>坚持“可视化”原则，在满足工程和防渗层结构标准要求的前提下，尽量在地表面实施防渗措施，便于泄漏物质就地收集和及时发现破损的防渗层；</w:t>
      </w:r>
    </w:p>
    <w:p w14:paraId="63CAD445">
      <w:pPr>
        <w:spacing w:line="500" w:lineRule="exact"/>
        <w:rPr>
          <w:rFonts w:cs="Times New Roman"/>
          <w:color w:val="auto"/>
          <w:szCs w:val="24"/>
          <w:highlight w:val="none"/>
        </w:rPr>
      </w:pPr>
      <w:r>
        <w:rPr>
          <w:rFonts w:cs="Times New Roman"/>
          <w:color w:val="auto"/>
          <w:szCs w:val="24"/>
          <w:highlight w:val="none"/>
        </w:rPr>
        <w:t>（4）工程措施与污染监控相结合的原则</w:t>
      </w:r>
    </w:p>
    <w:p w14:paraId="27052F6B">
      <w:pPr>
        <w:spacing w:line="500" w:lineRule="exact"/>
        <w:rPr>
          <w:rFonts w:cs="Times New Roman"/>
          <w:color w:val="auto"/>
          <w:szCs w:val="24"/>
          <w:highlight w:val="none"/>
        </w:rPr>
      </w:pPr>
      <w:r>
        <w:rPr>
          <w:rFonts w:cs="Times New Roman"/>
          <w:color w:val="auto"/>
          <w:szCs w:val="24"/>
          <w:highlight w:val="none"/>
        </w:rPr>
        <w:t>采用先进的防渗材料、技术和实施手段，最大限度的强化防渗防污能力；同时实施覆盖生产区及周边一定范围的地下水污染监控系统，包括建立完善的监测报告制度，配备先进的检漏检测分析仪器设备，科学合理布设地下水污染监控井，及时发现污染，及时采取措施，及早消除不良影响。</w:t>
      </w:r>
    </w:p>
    <w:p w14:paraId="745FABDF">
      <w:pPr>
        <w:spacing w:line="500" w:lineRule="exact"/>
        <w:rPr>
          <w:rFonts w:cs="Times New Roman"/>
          <w:color w:val="auto"/>
          <w:szCs w:val="24"/>
          <w:highlight w:val="none"/>
        </w:rPr>
      </w:pPr>
      <w:r>
        <w:rPr>
          <w:rFonts w:cs="Times New Roman"/>
          <w:color w:val="auto"/>
          <w:szCs w:val="24"/>
          <w:highlight w:val="none"/>
        </w:rPr>
        <w:t>本项目加强厂区用水管理，节约用水，以尽可能从源头上减少污染物排放。为防止对地下水产生污染，本项目屠宰车间、</w:t>
      </w:r>
      <w:r>
        <w:rPr>
          <w:rFonts w:hint="eastAsia" w:cs="Times New Roman"/>
          <w:color w:val="auto"/>
          <w:szCs w:val="24"/>
          <w:highlight w:val="none"/>
          <w:lang w:eastAsia="zh-CN"/>
        </w:rPr>
        <w:t>待宰圈</w:t>
      </w:r>
      <w:r>
        <w:rPr>
          <w:rFonts w:cs="Times New Roman"/>
          <w:color w:val="auto"/>
          <w:szCs w:val="24"/>
          <w:highlight w:val="none"/>
        </w:rPr>
        <w:t>、事故池、污水处理站及污水管网均采取了防渗措施，杜绝污水渗漏，确保污水收集处理系统衔接良好，严格用水管理，防止污水“跑、冒、滴、漏”现象的发生，这样可以保证项目区内产生的全部废水汇集到污水处理站集中处理，可以很大程度的消除污染物排放对地下水环境的影响。</w:t>
      </w:r>
    </w:p>
    <w:p w14:paraId="56D7E42C">
      <w:pPr>
        <w:spacing w:line="500" w:lineRule="exact"/>
        <w:rPr>
          <w:rFonts w:cs="Times New Roman"/>
          <w:color w:val="auto"/>
          <w:szCs w:val="24"/>
          <w:highlight w:val="none"/>
        </w:rPr>
      </w:pPr>
      <w:r>
        <w:rPr>
          <w:rFonts w:cs="Times New Roman"/>
          <w:color w:val="auto"/>
          <w:szCs w:val="24"/>
          <w:highlight w:val="none"/>
        </w:rPr>
        <w:t>定期、不定期对一般防渗区进行检测，一旦发现其防渗能力下降，及时采取修补措施，防止污染物进入到地下水中。</w:t>
      </w:r>
    </w:p>
    <w:p w14:paraId="36CAE5E1">
      <w:pPr>
        <w:spacing w:line="500" w:lineRule="exact"/>
        <w:rPr>
          <w:rFonts w:cs="Times New Roman"/>
          <w:color w:val="auto"/>
          <w:szCs w:val="24"/>
          <w:highlight w:val="none"/>
        </w:rPr>
      </w:pPr>
      <w:r>
        <w:rPr>
          <w:rFonts w:cs="Times New Roman"/>
          <w:color w:val="auto"/>
          <w:szCs w:val="24"/>
          <w:highlight w:val="none"/>
        </w:rPr>
        <w:t>加强地下水污染事故应急处置，一旦发生污染，及时排查污染源，并保证周边地下水环境不受污染。</w:t>
      </w:r>
    </w:p>
    <w:p w14:paraId="52C8FA35">
      <w:pPr>
        <w:spacing w:line="500" w:lineRule="exact"/>
        <w:ind w:firstLine="482"/>
        <w:rPr>
          <w:rFonts w:cs="Times New Roman"/>
          <w:b/>
          <w:bCs/>
          <w:color w:val="auto"/>
          <w:szCs w:val="24"/>
          <w:highlight w:val="none"/>
        </w:rPr>
      </w:pPr>
      <w:bookmarkStart w:id="375" w:name="_Toc337581619"/>
      <w:bookmarkStart w:id="376" w:name="_Toc331258019"/>
      <w:r>
        <w:rPr>
          <w:rFonts w:cs="Times New Roman"/>
          <w:b/>
          <w:bCs/>
          <w:color w:val="auto"/>
          <w:szCs w:val="24"/>
          <w:highlight w:val="none"/>
        </w:rPr>
        <w:t>2、分区防控措施</w:t>
      </w:r>
      <w:bookmarkEnd w:id="375"/>
      <w:bookmarkEnd w:id="376"/>
    </w:p>
    <w:p w14:paraId="7C2EC46D">
      <w:pPr>
        <w:spacing w:line="500" w:lineRule="exact"/>
        <w:rPr>
          <w:rFonts w:cs="Times New Roman"/>
          <w:color w:val="auto"/>
          <w:szCs w:val="24"/>
          <w:highlight w:val="none"/>
        </w:rPr>
      </w:pPr>
      <w:r>
        <w:rPr>
          <w:rFonts w:cs="Times New Roman"/>
          <w:color w:val="auto"/>
          <w:szCs w:val="24"/>
          <w:highlight w:val="none"/>
        </w:rPr>
        <w:t>对本工程的地下水防控方案提出如下要求：</w:t>
      </w:r>
    </w:p>
    <w:p w14:paraId="5B38BB05">
      <w:pPr>
        <w:spacing w:line="500" w:lineRule="exact"/>
        <w:rPr>
          <w:rFonts w:cs="Times New Roman"/>
          <w:color w:val="auto"/>
          <w:szCs w:val="24"/>
          <w:highlight w:val="none"/>
        </w:rPr>
      </w:pPr>
      <w:r>
        <w:rPr>
          <w:rFonts w:cs="Times New Roman"/>
          <w:color w:val="auto"/>
          <w:szCs w:val="24"/>
          <w:highlight w:val="none"/>
        </w:rPr>
        <w:t>（1）应以水平防渗为主，防控措施应满足相关规范。</w:t>
      </w:r>
    </w:p>
    <w:p w14:paraId="6858528B">
      <w:pPr>
        <w:spacing w:line="500" w:lineRule="exact"/>
        <w:rPr>
          <w:rFonts w:cs="Times New Roman"/>
          <w:color w:val="auto"/>
          <w:szCs w:val="24"/>
          <w:highlight w:val="none"/>
        </w:rPr>
      </w:pPr>
      <w:r>
        <w:rPr>
          <w:rFonts w:cs="Times New Roman"/>
          <w:color w:val="auto"/>
          <w:szCs w:val="24"/>
          <w:highlight w:val="none"/>
        </w:rPr>
        <w:t>（2）根据建设项目场地天然包气带防污性能表6</w:t>
      </w:r>
      <w:r>
        <w:rPr>
          <w:rFonts w:hint="eastAsia" w:cs="Times New Roman"/>
          <w:color w:val="auto"/>
          <w:szCs w:val="24"/>
          <w:highlight w:val="none"/>
          <w:lang w:val="en-US" w:eastAsia="zh-CN"/>
        </w:rPr>
        <w:t>.</w:t>
      </w:r>
      <w:r>
        <w:rPr>
          <w:rFonts w:cs="Times New Roman"/>
          <w:color w:val="auto"/>
          <w:szCs w:val="24"/>
          <w:highlight w:val="none"/>
        </w:rPr>
        <w:t>2-</w:t>
      </w:r>
      <w:r>
        <w:rPr>
          <w:rFonts w:hint="eastAsia" w:cs="Times New Roman"/>
          <w:color w:val="auto"/>
          <w:szCs w:val="24"/>
          <w:highlight w:val="none"/>
          <w:lang w:val="en-US" w:eastAsia="zh-CN"/>
        </w:rPr>
        <w:t>2</w:t>
      </w:r>
      <w:r>
        <w:rPr>
          <w:rFonts w:cs="Times New Roman"/>
          <w:color w:val="auto"/>
          <w:szCs w:val="24"/>
          <w:highlight w:val="none"/>
        </w:rPr>
        <w:t>、污染控制难易程度表6</w:t>
      </w:r>
      <w:r>
        <w:rPr>
          <w:rFonts w:hint="eastAsia" w:cs="Times New Roman"/>
          <w:color w:val="auto"/>
          <w:szCs w:val="24"/>
          <w:highlight w:val="none"/>
          <w:lang w:val="en-US" w:eastAsia="zh-CN"/>
        </w:rPr>
        <w:t>.</w:t>
      </w:r>
      <w:r>
        <w:rPr>
          <w:rFonts w:cs="Times New Roman"/>
          <w:color w:val="auto"/>
          <w:szCs w:val="24"/>
          <w:highlight w:val="none"/>
        </w:rPr>
        <w:t>2-</w:t>
      </w:r>
      <w:r>
        <w:rPr>
          <w:rFonts w:hint="eastAsia" w:cs="Times New Roman"/>
          <w:color w:val="auto"/>
          <w:szCs w:val="24"/>
          <w:highlight w:val="none"/>
          <w:lang w:val="en-US" w:eastAsia="zh-CN"/>
        </w:rPr>
        <w:t>3</w:t>
      </w:r>
      <w:r>
        <w:rPr>
          <w:rFonts w:cs="Times New Roman"/>
          <w:color w:val="auto"/>
          <w:szCs w:val="24"/>
          <w:highlight w:val="none"/>
        </w:rPr>
        <w:t>和污染物特性，按表6</w:t>
      </w:r>
      <w:r>
        <w:rPr>
          <w:rFonts w:hint="eastAsia" w:cs="Times New Roman"/>
          <w:color w:val="auto"/>
          <w:szCs w:val="24"/>
          <w:highlight w:val="none"/>
          <w:lang w:val="en-US" w:eastAsia="zh-CN"/>
        </w:rPr>
        <w:t>.</w:t>
      </w:r>
      <w:r>
        <w:rPr>
          <w:rFonts w:cs="Times New Roman"/>
          <w:color w:val="auto"/>
          <w:szCs w:val="24"/>
          <w:highlight w:val="none"/>
        </w:rPr>
        <w:t>2-</w:t>
      </w:r>
      <w:r>
        <w:rPr>
          <w:rFonts w:hint="eastAsia" w:cs="Times New Roman"/>
          <w:color w:val="auto"/>
          <w:szCs w:val="24"/>
          <w:highlight w:val="none"/>
          <w:lang w:val="en-US" w:eastAsia="zh-CN"/>
        </w:rPr>
        <w:t>4</w:t>
      </w:r>
      <w:r>
        <w:rPr>
          <w:rFonts w:cs="Times New Roman"/>
          <w:color w:val="auto"/>
          <w:szCs w:val="24"/>
          <w:highlight w:val="none"/>
        </w:rPr>
        <w:t>采取防渗分区措施。</w:t>
      </w:r>
    </w:p>
    <w:p w14:paraId="6656BD75">
      <w:pPr>
        <w:spacing w:before="163" w:beforeLines="50" w:line="240" w:lineRule="auto"/>
        <w:ind w:firstLine="0" w:firstLineChars="0"/>
        <w:jc w:val="center"/>
        <w:rPr>
          <w:rFonts w:cs="Times New Roman"/>
          <w:color w:val="auto"/>
          <w:spacing w:val="12"/>
          <w:szCs w:val="24"/>
          <w:highlight w:val="none"/>
        </w:rPr>
      </w:pPr>
      <w:r>
        <w:rPr>
          <w:rFonts w:cs="Times New Roman"/>
          <w:b/>
          <w:bCs/>
          <w:color w:val="auto"/>
          <w:szCs w:val="24"/>
          <w:highlight w:val="none"/>
        </w:rPr>
        <w:t>表6</w:t>
      </w:r>
      <w:r>
        <w:rPr>
          <w:rFonts w:hint="eastAsia" w:cs="Times New Roman"/>
          <w:b/>
          <w:bCs/>
          <w:color w:val="auto"/>
          <w:szCs w:val="24"/>
          <w:highlight w:val="none"/>
          <w:lang w:val="en-US" w:eastAsia="zh-CN"/>
        </w:rPr>
        <w:t>.</w:t>
      </w:r>
      <w:r>
        <w:rPr>
          <w:rFonts w:cs="Times New Roman"/>
          <w:b/>
          <w:bCs/>
          <w:color w:val="auto"/>
          <w:szCs w:val="24"/>
          <w:highlight w:val="none"/>
        </w:rPr>
        <w:t>2-</w:t>
      </w:r>
      <w:r>
        <w:rPr>
          <w:rFonts w:hint="eastAsia" w:cs="Times New Roman"/>
          <w:b/>
          <w:bCs/>
          <w:color w:val="auto"/>
          <w:szCs w:val="24"/>
          <w:highlight w:val="none"/>
          <w:lang w:val="en-US" w:eastAsia="zh-CN"/>
        </w:rPr>
        <w:t>2</w:t>
      </w:r>
      <w:r>
        <w:rPr>
          <w:rFonts w:cs="Times New Roman"/>
          <w:b/>
          <w:bCs/>
          <w:color w:val="auto"/>
          <w:szCs w:val="24"/>
          <w:highlight w:val="none"/>
        </w:rPr>
        <w:t xml:space="preserve">  包气带防污性能分级</w:t>
      </w:r>
    </w:p>
    <w:tbl>
      <w:tblPr>
        <w:tblStyle w:val="47"/>
        <w:tblW w:w="839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5805"/>
        <w:gridCol w:w="1444"/>
      </w:tblGrid>
      <w:tr w14:paraId="224FA3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1149" w:type="dxa"/>
            <w:vAlign w:val="center"/>
          </w:tcPr>
          <w:p w14:paraId="551B75F5">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分级</w:t>
            </w:r>
          </w:p>
        </w:tc>
        <w:tc>
          <w:tcPr>
            <w:tcW w:w="5805" w:type="dxa"/>
            <w:vAlign w:val="center"/>
          </w:tcPr>
          <w:p w14:paraId="432D5198">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包气带岩土的渗透性能</w:t>
            </w:r>
          </w:p>
        </w:tc>
        <w:tc>
          <w:tcPr>
            <w:tcW w:w="1444" w:type="dxa"/>
            <w:vAlign w:val="center"/>
          </w:tcPr>
          <w:p w14:paraId="16FDB656">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评价结果</w:t>
            </w:r>
          </w:p>
        </w:tc>
      </w:tr>
      <w:tr w14:paraId="2289E6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1149" w:type="dxa"/>
            <w:vAlign w:val="center"/>
          </w:tcPr>
          <w:p w14:paraId="1CA11115">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强</w:t>
            </w:r>
          </w:p>
        </w:tc>
        <w:tc>
          <w:tcPr>
            <w:tcW w:w="5805" w:type="dxa"/>
            <w:vAlign w:val="center"/>
          </w:tcPr>
          <w:p w14:paraId="164FF471">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岩（土）层单层厚度Mb≥1.0m，渗透系数 K≤10</w:t>
            </w:r>
            <w:r>
              <w:rPr>
                <w:rFonts w:cs="Times New Roman"/>
                <w:color w:val="auto"/>
                <w:kern w:val="0"/>
                <w:sz w:val="21"/>
                <w:szCs w:val="21"/>
                <w:highlight w:val="none"/>
                <w:vertAlign w:val="superscript"/>
              </w:rPr>
              <w:t>-6</w:t>
            </w:r>
            <w:r>
              <w:rPr>
                <w:rFonts w:cs="Times New Roman"/>
                <w:color w:val="auto"/>
                <w:kern w:val="0"/>
                <w:sz w:val="21"/>
                <w:szCs w:val="21"/>
                <w:highlight w:val="none"/>
              </w:rPr>
              <w:t>cm/s，且分布连续、稳定。</w:t>
            </w:r>
          </w:p>
        </w:tc>
        <w:tc>
          <w:tcPr>
            <w:tcW w:w="1444" w:type="dxa"/>
            <w:vAlign w:val="center"/>
          </w:tcPr>
          <w:p w14:paraId="6566F413">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w:t>
            </w:r>
          </w:p>
        </w:tc>
      </w:tr>
      <w:tr w14:paraId="4FEFA5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94" w:hRule="atLeast"/>
        </w:trPr>
        <w:tc>
          <w:tcPr>
            <w:tcW w:w="1149" w:type="dxa"/>
            <w:vAlign w:val="center"/>
          </w:tcPr>
          <w:p w14:paraId="36373917">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中</w:t>
            </w:r>
          </w:p>
        </w:tc>
        <w:tc>
          <w:tcPr>
            <w:tcW w:w="5805" w:type="dxa"/>
            <w:vAlign w:val="center"/>
          </w:tcPr>
          <w:p w14:paraId="7E0184B9">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岩（土）层单层厚度0.5m≤Mb﹤1.0m，渗透系数K≤10</w:t>
            </w:r>
            <w:r>
              <w:rPr>
                <w:rFonts w:cs="Times New Roman"/>
                <w:color w:val="auto"/>
                <w:kern w:val="0"/>
                <w:sz w:val="21"/>
                <w:szCs w:val="21"/>
                <w:highlight w:val="none"/>
                <w:vertAlign w:val="superscript"/>
              </w:rPr>
              <w:t>-6</w:t>
            </w:r>
            <w:r>
              <w:rPr>
                <w:rFonts w:cs="Times New Roman"/>
                <w:color w:val="auto"/>
                <w:kern w:val="0"/>
                <w:sz w:val="21"/>
                <w:szCs w:val="21"/>
                <w:highlight w:val="none"/>
              </w:rPr>
              <w:t xml:space="preserve"> cm/s，且分布连续、稳定。</w:t>
            </w:r>
          </w:p>
          <w:p w14:paraId="27CB5F74">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岩（土）层单层厚度 Mb≥1.0m，渗透系数 10</w:t>
            </w:r>
            <w:r>
              <w:rPr>
                <w:rFonts w:cs="Times New Roman"/>
                <w:color w:val="auto"/>
                <w:kern w:val="0"/>
                <w:sz w:val="21"/>
                <w:szCs w:val="21"/>
                <w:highlight w:val="none"/>
                <w:vertAlign w:val="superscript"/>
              </w:rPr>
              <w:t>-6</w:t>
            </w:r>
            <w:r>
              <w:rPr>
                <w:rFonts w:cs="Times New Roman"/>
                <w:color w:val="auto"/>
                <w:kern w:val="0"/>
                <w:sz w:val="21"/>
                <w:szCs w:val="21"/>
                <w:highlight w:val="none"/>
              </w:rPr>
              <w:t>cm/s﹤K≤10</w:t>
            </w:r>
            <w:r>
              <w:rPr>
                <w:rFonts w:cs="Times New Roman"/>
                <w:color w:val="auto"/>
                <w:kern w:val="0"/>
                <w:sz w:val="21"/>
                <w:szCs w:val="21"/>
                <w:highlight w:val="none"/>
                <w:vertAlign w:val="superscript"/>
              </w:rPr>
              <w:t>-4</w:t>
            </w:r>
            <w:r>
              <w:rPr>
                <w:rFonts w:cs="Times New Roman"/>
                <w:color w:val="auto"/>
                <w:kern w:val="0"/>
                <w:sz w:val="21"/>
                <w:szCs w:val="21"/>
                <w:highlight w:val="none"/>
              </w:rPr>
              <w:t>cm/s，且分布连续、稳定。</w:t>
            </w:r>
          </w:p>
        </w:tc>
        <w:tc>
          <w:tcPr>
            <w:tcW w:w="1444" w:type="dxa"/>
            <w:vAlign w:val="center"/>
          </w:tcPr>
          <w:p w14:paraId="0F5C2B58">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中</w:t>
            </w:r>
          </w:p>
        </w:tc>
      </w:tr>
      <w:tr w14:paraId="23B8C7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149" w:type="dxa"/>
            <w:vAlign w:val="center"/>
          </w:tcPr>
          <w:p w14:paraId="1948DA92">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弱</w:t>
            </w:r>
          </w:p>
        </w:tc>
        <w:tc>
          <w:tcPr>
            <w:tcW w:w="5805" w:type="dxa"/>
            <w:vAlign w:val="center"/>
          </w:tcPr>
          <w:p w14:paraId="2466A2FE">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岩（土）层不满足上述”强”和”中”条件。</w:t>
            </w:r>
          </w:p>
        </w:tc>
        <w:tc>
          <w:tcPr>
            <w:tcW w:w="1444" w:type="dxa"/>
            <w:vAlign w:val="center"/>
          </w:tcPr>
          <w:p w14:paraId="362A44CC">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w:t>
            </w:r>
          </w:p>
        </w:tc>
      </w:tr>
    </w:tbl>
    <w:p w14:paraId="2392A0D6">
      <w:pPr>
        <w:spacing w:before="163" w:beforeLines="50" w:line="240" w:lineRule="auto"/>
        <w:ind w:firstLine="0" w:firstLineChars="0"/>
        <w:jc w:val="center"/>
        <w:rPr>
          <w:rFonts w:cs="Times New Roman"/>
          <w:b/>
          <w:bCs/>
          <w:color w:val="auto"/>
          <w:szCs w:val="24"/>
          <w:highlight w:val="none"/>
        </w:rPr>
      </w:pPr>
      <w:r>
        <w:rPr>
          <w:rFonts w:cs="Times New Roman"/>
          <w:b/>
          <w:bCs/>
          <w:color w:val="auto"/>
          <w:szCs w:val="24"/>
          <w:highlight w:val="none"/>
        </w:rPr>
        <w:t>表6</w:t>
      </w:r>
      <w:r>
        <w:rPr>
          <w:rFonts w:hint="eastAsia" w:cs="Times New Roman"/>
          <w:b/>
          <w:bCs/>
          <w:color w:val="auto"/>
          <w:szCs w:val="24"/>
          <w:highlight w:val="none"/>
          <w:lang w:val="en-US" w:eastAsia="zh-CN"/>
        </w:rPr>
        <w:t>.</w:t>
      </w:r>
      <w:r>
        <w:rPr>
          <w:rFonts w:cs="Times New Roman"/>
          <w:b/>
          <w:bCs/>
          <w:color w:val="auto"/>
          <w:szCs w:val="24"/>
          <w:highlight w:val="none"/>
        </w:rPr>
        <w:t>2-</w:t>
      </w:r>
      <w:r>
        <w:rPr>
          <w:rFonts w:hint="eastAsia" w:cs="Times New Roman"/>
          <w:b/>
          <w:bCs/>
          <w:color w:val="auto"/>
          <w:szCs w:val="24"/>
          <w:highlight w:val="none"/>
          <w:lang w:val="en-US" w:eastAsia="zh-CN"/>
        </w:rPr>
        <w:t>3</w:t>
      </w:r>
      <w:r>
        <w:rPr>
          <w:rFonts w:cs="Times New Roman"/>
          <w:b/>
          <w:bCs/>
          <w:color w:val="auto"/>
          <w:szCs w:val="24"/>
          <w:highlight w:val="none"/>
        </w:rPr>
        <w:t xml:space="preserve">  污染控制难易程度分级参照表</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2"/>
        <w:gridCol w:w="4500"/>
        <w:gridCol w:w="1850"/>
      </w:tblGrid>
      <w:tr w14:paraId="797B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172" w:type="dxa"/>
            <w:tcBorders>
              <w:top w:val="single" w:color="auto" w:sz="12" w:space="0"/>
              <w:left w:val="nil"/>
              <w:bottom w:val="single" w:color="auto" w:sz="4" w:space="0"/>
            </w:tcBorders>
            <w:vAlign w:val="center"/>
          </w:tcPr>
          <w:p w14:paraId="1A66C26C">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污染控制难易程度</w:t>
            </w:r>
          </w:p>
        </w:tc>
        <w:tc>
          <w:tcPr>
            <w:tcW w:w="4500" w:type="dxa"/>
            <w:tcBorders>
              <w:top w:val="single" w:color="auto" w:sz="12" w:space="0"/>
              <w:bottom w:val="single" w:color="auto" w:sz="4" w:space="0"/>
            </w:tcBorders>
            <w:vAlign w:val="center"/>
          </w:tcPr>
          <w:p w14:paraId="74169530">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主要特征</w:t>
            </w:r>
          </w:p>
        </w:tc>
        <w:tc>
          <w:tcPr>
            <w:tcW w:w="1850" w:type="dxa"/>
            <w:tcBorders>
              <w:top w:val="single" w:color="auto" w:sz="12" w:space="0"/>
              <w:bottom w:val="single" w:color="auto" w:sz="4" w:space="0"/>
              <w:right w:val="nil"/>
            </w:tcBorders>
            <w:vAlign w:val="center"/>
          </w:tcPr>
          <w:p w14:paraId="4C3D110E">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评价结果</w:t>
            </w:r>
          </w:p>
        </w:tc>
      </w:tr>
      <w:tr w14:paraId="5BA75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172" w:type="dxa"/>
            <w:tcBorders>
              <w:top w:val="single" w:color="auto" w:sz="4" w:space="0"/>
              <w:left w:val="nil"/>
              <w:bottom w:val="single" w:color="auto" w:sz="4" w:space="0"/>
            </w:tcBorders>
            <w:vAlign w:val="center"/>
          </w:tcPr>
          <w:p w14:paraId="14A350CE">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难</w:t>
            </w:r>
          </w:p>
        </w:tc>
        <w:tc>
          <w:tcPr>
            <w:tcW w:w="4500" w:type="dxa"/>
            <w:tcBorders>
              <w:top w:val="single" w:color="auto" w:sz="4" w:space="0"/>
              <w:bottom w:val="single" w:color="auto" w:sz="4" w:space="0"/>
            </w:tcBorders>
            <w:vAlign w:val="center"/>
          </w:tcPr>
          <w:p w14:paraId="63644A80">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对地下水环境有污染的物料或污染物泄漏后，不能及时发现和处理</w:t>
            </w:r>
          </w:p>
        </w:tc>
        <w:tc>
          <w:tcPr>
            <w:tcW w:w="1850" w:type="dxa"/>
            <w:tcBorders>
              <w:top w:val="single" w:color="auto" w:sz="4" w:space="0"/>
              <w:bottom w:val="single" w:color="auto" w:sz="4" w:space="0"/>
              <w:right w:val="nil"/>
            </w:tcBorders>
            <w:vAlign w:val="center"/>
          </w:tcPr>
          <w:p w14:paraId="0ACF935E">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w:t>
            </w:r>
          </w:p>
        </w:tc>
      </w:tr>
      <w:tr w14:paraId="2D7E5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172" w:type="dxa"/>
            <w:tcBorders>
              <w:top w:val="single" w:color="auto" w:sz="4" w:space="0"/>
              <w:left w:val="nil"/>
              <w:bottom w:val="single" w:color="auto" w:sz="12" w:space="0"/>
            </w:tcBorders>
            <w:vAlign w:val="center"/>
          </w:tcPr>
          <w:p w14:paraId="5C7BBC7A">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易</w:t>
            </w:r>
          </w:p>
        </w:tc>
        <w:tc>
          <w:tcPr>
            <w:tcW w:w="4500" w:type="dxa"/>
            <w:tcBorders>
              <w:top w:val="single" w:color="auto" w:sz="4" w:space="0"/>
              <w:bottom w:val="single" w:color="auto" w:sz="12" w:space="0"/>
            </w:tcBorders>
            <w:vAlign w:val="center"/>
          </w:tcPr>
          <w:p w14:paraId="75E7127E">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对地下水环境有污染的物料或污染物泄漏后，能及时发现和处理</w:t>
            </w:r>
          </w:p>
        </w:tc>
        <w:tc>
          <w:tcPr>
            <w:tcW w:w="1850" w:type="dxa"/>
            <w:tcBorders>
              <w:top w:val="single" w:color="auto" w:sz="4" w:space="0"/>
              <w:bottom w:val="single" w:color="auto" w:sz="12" w:space="0"/>
              <w:right w:val="nil"/>
            </w:tcBorders>
          </w:tcPr>
          <w:p w14:paraId="0BC3AB14">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易</w:t>
            </w:r>
          </w:p>
        </w:tc>
      </w:tr>
    </w:tbl>
    <w:p w14:paraId="21CDC573">
      <w:pPr>
        <w:spacing w:before="163" w:beforeLines="50" w:line="240" w:lineRule="auto"/>
        <w:ind w:firstLine="0" w:firstLineChars="0"/>
        <w:jc w:val="center"/>
        <w:rPr>
          <w:rFonts w:cs="Times New Roman"/>
          <w:b/>
          <w:bCs/>
          <w:color w:val="auto"/>
          <w:szCs w:val="24"/>
          <w:highlight w:val="none"/>
        </w:rPr>
      </w:pPr>
      <w:r>
        <w:rPr>
          <w:rFonts w:cs="Times New Roman"/>
          <w:b/>
          <w:bCs/>
          <w:color w:val="auto"/>
          <w:szCs w:val="24"/>
          <w:highlight w:val="none"/>
        </w:rPr>
        <w:t>表6</w:t>
      </w:r>
      <w:r>
        <w:rPr>
          <w:rFonts w:hint="eastAsia" w:cs="Times New Roman"/>
          <w:b/>
          <w:bCs/>
          <w:color w:val="auto"/>
          <w:szCs w:val="24"/>
          <w:highlight w:val="none"/>
          <w:lang w:val="en-US" w:eastAsia="zh-CN"/>
        </w:rPr>
        <w:t>.</w:t>
      </w:r>
      <w:r>
        <w:rPr>
          <w:rFonts w:cs="Times New Roman"/>
          <w:b/>
          <w:bCs/>
          <w:color w:val="auto"/>
          <w:szCs w:val="24"/>
          <w:highlight w:val="none"/>
        </w:rPr>
        <w:t>2-</w:t>
      </w:r>
      <w:r>
        <w:rPr>
          <w:rFonts w:hint="eastAsia" w:cs="Times New Roman"/>
          <w:b/>
          <w:bCs/>
          <w:color w:val="auto"/>
          <w:szCs w:val="24"/>
          <w:highlight w:val="none"/>
          <w:lang w:val="en-US" w:eastAsia="zh-CN"/>
        </w:rPr>
        <w:t>4</w:t>
      </w:r>
      <w:r>
        <w:rPr>
          <w:rFonts w:cs="Times New Roman"/>
          <w:b/>
          <w:bCs/>
          <w:color w:val="auto"/>
          <w:szCs w:val="24"/>
          <w:highlight w:val="none"/>
        </w:rPr>
        <w:t xml:space="preserve">  地下水污染防渗分区参照表</w:t>
      </w:r>
    </w:p>
    <w:tbl>
      <w:tblPr>
        <w:tblStyle w:val="4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85"/>
        <w:gridCol w:w="1578"/>
        <w:gridCol w:w="1316"/>
        <w:gridCol w:w="1583"/>
        <w:gridCol w:w="2759"/>
      </w:tblGrid>
      <w:tr w14:paraId="79859C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trPr>
        <w:tc>
          <w:tcPr>
            <w:tcW w:w="1285" w:type="dxa"/>
            <w:vAlign w:val="center"/>
          </w:tcPr>
          <w:p w14:paraId="0E5CBB0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防渗分区</w:t>
            </w:r>
          </w:p>
        </w:tc>
        <w:tc>
          <w:tcPr>
            <w:tcW w:w="1578" w:type="dxa"/>
            <w:vAlign w:val="center"/>
          </w:tcPr>
          <w:p w14:paraId="0839449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天然包气带防</w:t>
            </w:r>
          </w:p>
          <w:p w14:paraId="569EB6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污性能</w:t>
            </w:r>
          </w:p>
        </w:tc>
        <w:tc>
          <w:tcPr>
            <w:tcW w:w="1316" w:type="dxa"/>
            <w:vAlign w:val="center"/>
          </w:tcPr>
          <w:p w14:paraId="20F302E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污染控制难</w:t>
            </w:r>
          </w:p>
          <w:p w14:paraId="1A72D48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易程度</w:t>
            </w:r>
          </w:p>
        </w:tc>
        <w:tc>
          <w:tcPr>
            <w:tcW w:w="1583" w:type="dxa"/>
            <w:vAlign w:val="center"/>
          </w:tcPr>
          <w:p w14:paraId="07FFF54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污染物类型</w:t>
            </w:r>
          </w:p>
        </w:tc>
        <w:tc>
          <w:tcPr>
            <w:tcW w:w="2759" w:type="dxa"/>
            <w:vAlign w:val="center"/>
          </w:tcPr>
          <w:p w14:paraId="4D4E0D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防渗技术要求</w:t>
            </w:r>
          </w:p>
        </w:tc>
      </w:tr>
      <w:tr w14:paraId="471E3B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5" w:type="dxa"/>
            <w:vMerge w:val="restart"/>
            <w:vAlign w:val="center"/>
          </w:tcPr>
          <w:p w14:paraId="635DE12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重点防渗区</w:t>
            </w:r>
          </w:p>
        </w:tc>
        <w:tc>
          <w:tcPr>
            <w:tcW w:w="1578" w:type="dxa"/>
            <w:vAlign w:val="center"/>
          </w:tcPr>
          <w:p w14:paraId="622DFDC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弱</w:t>
            </w:r>
          </w:p>
        </w:tc>
        <w:tc>
          <w:tcPr>
            <w:tcW w:w="1316" w:type="dxa"/>
            <w:vAlign w:val="center"/>
          </w:tcPr>
          <w:p w14:paraId="32BD424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难</w:t>
            </w:r>
          </w:p>
        </w:tc>
        <w:tc>
          <w:tcPr>
            <w:tcW w:w="1583" w:type="dxa"/>
            <w:vMerge w:val="restart"/>
            <w:vAlign w:val="center"/>
          </w:tcPr>
          <w:p w14:paraId="1BE9608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重金属、持久性有机污染物</w:t>
            </w:r>
          </w:p>
        </w:tc>
        <w:tc>
          <w:tcPr>
            <w:tcW w:w="2759" w:type="dxa"/>
            <w:vMerge w:val="restart"/>
            <w:vAlign w:val="center"/>
          </w:tcPr>
          <w:p w14:paraId="64CA018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等效黏土防渗层Mb≥6.0m， K≤10</w:t>
            </w:r>
            <w:r>
              <w:rPr>
                <w:rFonts w:cs="Times New Roman"/>
                <w:color w:val="auto"/>
                <w:sz w:val="21"/>
                <w:szCs w:val="21"/>
                <w:highlight w:val="none"/>
                <w:vertAlign w:val="superscript"/>
              </w:rPr>
              <w:t>-7</w:t>
            </w:r>
            <w:r>
              <w:rPr>
                <w:rFonts w:cs="Times New Roman"/>
                <w:color w:val="auto"/>
                <w:sz w:val="21"/>
                <w:szCs w:val="21"/>
                <w:highlight w:val="none"/>
              </w:rPr>
              <w:t>cm/s；或参照 GB18598 执行</w:t>
            </w:r>
          </w:p>
        </w:tc>
      </w:tr>
      <w:tr w14:paraId="2E2204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5" w:type="dxa"/>
            <w:vMerge w:val="continue"/>
            <w:vAlign w:val="center"/>
          </w:tcPr>
          <w:p w14:paraId="03DB040B">
            <w:pPr>
              <w:spacing w:line="360" w:lineRule="exact"/>
              <w:ind w:firstLine="0" w:firstLineChars="0"/>
              <w:jc w:val="center"/>
              <w:rPr>
                <w:rFonts w:cs="Times New Roman"/>
                <w:color w:val="auto"/>
                <w:sz w:val="21"/>
                <w:szCs w:val="21"/>
                <w:highlight w:val="none"/>
              </w:rPr>
            </w:pPr>
          </w:p>
        </w:tc>
        <w:tc>
          <w:tcPr>
            <w:tcW w:w="1578" w:type="dxa"/>
            <w:vAlign w:val="center"/>
          </w:tcPr>
          <w:p w14:paraId="165BD53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中-强</w:t>
            </w:r>
          </w:p>
        </w:tc>
        <w:tc>
          <w:tcPr>
            <w:tcW w:w="1316" w:type="dxa"/>
            <w:vAlign w:val="center"/>
          </w:tcPr>
          <w:p w14:paraId="72C20F1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难</w:t>
            </w:r>
          </w:p>
        </w:tc>
        <w:tc>
          <w:tcPr>
            <w:tcW w:w="1583" w:type="dxa"/>
            <w:vMerge w:val="continue"/>
            <w:vAlign w:val="center"/>
          </w:tcPr>
          <w:p w14:paraId="05A6F9AF">
            <w:pPr>
              <w:spacing w:line="360" w:lineRule="exact"/>
              <w:ind w:firstLine="0" w:firstLineChars="0"/>
              <w:jc w:val="center"/>
              <w:rPr>
                <w:rFonts w:cs="Times New Roman"/>
                <w:color w:val="auto"/>
                <w:sz w:val="21"/>
                <w:szCs w:val="21"/>
                <w:highlight w:val="none"/>
              </w:rPr>
            </w:pPr>
          </w:p>
        </w:tc>
        <w:tc>
          <w:tcPr>
            <w:tcW w:w="2759" w:type="dxa"/>
            <w:vMerge w:val="continue"/>
            <w:vAlign w:val="center"/>
          </w:tcPr>
          <w:p w14:paraId="0C2DD606">
            <w:pPr>
              <w:spacing w:line="360" w:lineRule="exact"/>
              <w:ind w:firstLine="0" w:firstLineChars="0"/>
              <w:jc w:val="center"/>
              <w:rPr>
                <w:rFonts w:cs="Times New Roman"/>
                <w:color w:val="auto"/>
                <w:sz w:val="21"/>
                <w:szCs w:val="21"/>
                <w:highlight w:val="none"/>
              </w:rPr>
            </w:pPr>
          </w:p>
        </w:tc>
      </w:tr>
      <w:tr w14:paraId="56B59F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trPr>
        <w:tc>
          <w:tcPr>
            <w:tcW w:w="1285" w:type="dxa"/>
            <w:vMerge w:val="continue"/>
            <w:vAlign w:val="center"/>
          </w:tcPr>
          <w:p w14:paraId="326C2C31">
            <w:pPr>
              <w:spacing w:line="360" w:lineRule="exact"/>
              <w:ind w:firstLine="0" w:firstLineChars="0"/>
              <w:jc w:val="center"/>
              <w:rPr>
                <w:rFonts w:cs="Times New Roman"/>
                <w:color w:val="auto"/>
                <w:sz w:val="21"/>
                <w:szCs w:val="21"/>
                <w:highlight w:val="none"/>
              </w:rPr>
            </w:pPr>
          </w:p>
        </w:tc>
        <w:tc>
          <w:tcPr>
            <w:tcW w:w="1578" w:type="dxa"/>
            <w:vAlign w:val="center"/>
          </w:tcPr>
          <w:p w14:paraId="06489C3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弱</w:t>
            </w:r>
          </w:p>
        </w:tc>
        <w:tc>
          <w:tcPr>
            <w:tcW w:w="1316" w:type="dxa"/>
            <w:vAlign w:val="center"/>
          </w:tcPr>
          <w:p w14:paraId="2D5B8A3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易</w:t>
            </w:r>
          </w:p>
        </w:tc>
        <w:tc>
          <w:tcPr>
            <w:tcW w:w="1583" w:type="dxa"/>
            <w:vMerge w:val="continue"/>
            <w:vAlign w:val="center"/>
          </w:tcPr>
          <w:p w14:paraId="2560E8B1">
            <w:pPr>
              <w:spacing w:line="360" w:lineRule="exact"/>
              <w:ind w:firstLine="0" w:firstLineChars="0"/>
              <w:jc w:val="center"/>
              <w:rPr>
                <w:rFonts w:cs="Times New Roman"/>
                <w:color w:val="auto"/>
                <w:sz w:val="21"/>
                <w:szCs w:val="21"/>
                <w:highlight w:val="none"/>
              </w:rPr>
            </w:pPr>
          </w:p>
        </w:tc>
        <w:tc>
          <w:tcPr>
            <w:tcW w:w="2759" w:type="dxa"/>
            <w:vMerge w:val="continue"/>
            <w:vAlign w:val="center"/>
          </w:tcPr>
          <w:p w14:paraId="01450D34">
            <w:pPr>
              <w:spacing w:line="360" w:lineRule="exact"/>
              <w:ind w:firstLine="0" w:firstLineChars="0"/>
              <w:jc w:val="center"/>
              <w:rPr>
                <w:rFonts w:cs="Times New Roman"/>
                <w:color w:val="auto"/>
                <w:sz w:val="21"/>
                <w:szCs w:val="21"/>
                <w:highlight w:val="none"/>
              </w:rPr>
            </w:pPr>
          </w:p>
        </w:tc>
      </w:tr>
      <w:tr w14:paraId="16D119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trPr>
        <w:tc>
          <w:tcPr>
            <w:tcW w:w="1285" w:type="dxa"/>
            <w:vMerge w:val="restart"/>
            <w:vAlign w:val="center"/>
          </w:tcPr>
          <w:p w14:paraId="0728924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一般防渗区</w:t>
            </w:r>
          </w:p>
        </w:tc>
        <w:tc>
          <w:tcPr>
            <w:tcW w:w="1578" w:type="dxa"/>
            <w:vAlign w:val="center"/>
          </w:tcPr>
          <w:p w14:paraId="6D67B06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弱</w:t>
            </w:r>
          </w:p>
        </w:tc>
        <w:tc>
          <w:tcPr>
            <w:tcW w:w="1316" w:type="dxa"/>
            <w:vAlign w:val="center"/>
          </w:tcPr>
          <w:p w14:paraId="227D093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易-难</w:t>
            </w:r>
          </w:p>
        </w:tc>
        <w:tc>
          <w:tcPr>
            <w:tcW w:w="1583" w:type="dxa"/>
            <w:vMerge w:val="restart"/>
            <w:vAlign w:val="center"/>
          </w:tcPr>
          <w:p w14:paraId="2D567DA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其他类型</w:t>
            </w:r>
          </w:p>
        </w:tc>
        <w:tc>
          <w:tcPr>
            <w:tcW w:w="2759" w:type="dxa"/>
            <w:vMerge w:val="restart"/>
            <w:vAlign w:val="center"/>
          </w:tcPr>
          <w:p w14:paraId="7BBB246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等效黏土防渗层 Mb≥1.5m，K≤10</w:t>
            </w:r>
            <w:r>
              <w:rPr>
                <w:rFonts w:cs="Times New Roman"/>
                <w:color w:val="auto"/>
                <w:sz w:val="21"/>
                <w:szCs w:val="21"/>
                <w:highlight w:val="none"/>
                <w:vertAlign w:val="superscript"/>
              </w:rPr>
              <w:t>-7</w:t>
            </w:r>
            <w:r>
              <w:rPr>
                <w:rFonts w:cs="Times New Roman"/>
                <w:color w:val="auto"/>
                <w:sz w:val="21"/>
                <w:szCs w:val="21"/>
                <w:highlight w:val="none"/>
              </w:rPr>
              <w:t>cm/s；或参照 GB18598 执行</w:t>
            </w:r>
          </w:p>
        </w:tc>
      </w:tr>
      <w:tr w14:paraId="4BD49E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5" w:type="dxa"/>
            <w:vMerge w:val="continue"/>
            <w:vAlign w:val="center"/>
          </w:tcPr>
          <w:p w14:paraId="6BDCC49A">
            <w:pPr>
              <w:spacing w:line="360" w:lineRule="exact"/>
              <w:ind w:firstLine="0" w:firstLineChars="0"/>
              <w:jc w:val="center"/>
              <w:rPr>
                <w:rFonts w:cs="Times New Roman"/>
                <w:color w:val="auto"/>
                <w:sz w:val="21"/>
                <w:szCs w:val="21"/>
                <w:highlight w:val="none"/>
              </w:rPr>
            </w:pPr>
          </w:p>
        </w:tc>
        <w:tc>
          <w:tcPr>
            <w:tcW w:w="1578" w:type="dxa"/>
            <w:vAlign w:val="center"/>
          </w:tcPr>
          <w:p w14:paraId="6D0CA40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中-强</w:t>
            </w:r>
          </w:p>
        </w:tc>
        <w:tc>
          <w:tcPr>
            <w:tcW w:w="1316" w:type="dxa"/>
            <w:vAlign w:val="center"/>
          </w:tcPr>
          <w:p w14:paraId="6918EC9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难</w:t>
            </w:r>
          </w:p>
        </w:tc>
        <w:tc>
          <w:tcPr>
            <w:tcW w:w="1583" w:type="dxa"/>
            <w:vMerge w:val="continue"/>
            <w:vAlign w:val="center"/>
          </w:tcPr>
          <w:p w14:paraId="0CE351A1">
            <w:pPr>
              <w:spacing w:line="360" w:lineRule="exact"/>
              <w:ind w:firstLine="0" w:firstLineChars="0"/>
              <w:jc w:val="center"/>
              <w:rPr>
                <w:rFonts w:cs="Times New Roman"/>
                <w:color w:val="auto"/>
                <w:sz w:val="21"/>
                <w:szCs w:val="21"/>
                <w:highlight w:val="none"/>
              </w:rPr>
            </w:pPr>
          </w:p>
        </w:tc>
        <w:tc>
          <w:tcPr>
            <w:tcW w:w="2759" w:type="dxa"/>
            <w:vMerge w:val="continue"/>
            <w:vAlign w:val="center"/>
          </w:tcPr>
          <w:p w14:paraId="344E88B6">
            <w:pPr>
              <w:spacing w:line="360" w:lineRule="exact"/>
              <w:ind w:firstLine="0" w:firstLineChars="0"/>
              <w:jc w:val="center"/>
              <w:rPr>
                <w:rFonts w:cs="Times New Roman"/>
                <w:color w:val="auto"/>
                <w:sz w:val="21"/>
                <w:szCs w:val="21"/>
                <w:highlight w:val="none"/>
              </w:rPr>
            </w:pPr>
          </w:p>
        </w:tc>
      </w:tr>
      <w:tr w14:paraId="3F604C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5" w:type="dxa"/>
            <w:vMerge w:val="continue"/>
            <w:vAlign w:val="center"/>
          </w:tcPr>
          <w:p w14:paraId="74022EBB">
            <w:pPr>
              <w:spacing w:line="360" w:lineRule="exact"/>
              <w:ind w:firstLine="0" w:firstLineChars="0"/>
              <w:jc w:val="center"/>
              <w:rPr>
                <w:rFonts w:cs="Times New Roman"/>
                <w:color w:val="auto"/>
                <w:sz w:val="21"/>
                <w:szCs w:val="21"/>
                <w:highlight w:val="none"/>
              </w:rPr>
            </w:pPr>
          </w:p>
        </w:tc>
        <w:tc>
          <w:tcPr>
            <w:tcW w:w="1578" w:type="dxa"/>
            <w:vAlign w:val="center"/>
          </w:tcPr>
          <w:p w14:paraId="394FB70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中</w:t>
            </w:r>
          </w:p>
        </w:tc>
        <w:tc>
          <w:tcPr>
            <w:tcW w:w="1316" w:type="dxa"/>
            <w:vAlign w:val="center"/>
          </w:tcPr>
          <w:p w14:paraId="1DA598F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易</w:t>
            </w:r>
          </w:p>
        </w:tc>
        <w:tc>
          <w:tcPr>
            <w:tcW w:w="1583" w:type="dxa"/>
            <w:vMerge w:val="restart"/>
            <w:vAlign w:val="center"/>
          </w:tcPr>
          <w:p w14:paraId="7D54594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重金属、持久性有机污染物</w:t>
            </w:r>
          </w:p>
        </w:tc>
        <w:tc>
          <w:tcPr>
            <w:tcW w:w="2759" w:type="dxa"/>
            <w:vMerge w:val="continue"/>
            <w:vAlign w:val="center"/>
          </w:tcPr>
          <w:p w14:paraId="41D8749A">
            <w:pPr>
              <w:spacing w:line="360" w:lineRule="exact"/>
              <w:ind w:firstLine="0" w:firstLineChars="0"/>
              <w:jc w:val="center"/>
              <w:rPr>
                <w:rFonts w:cs="Times New Roman"/>
                <w:color w:val="auto"/>
                <w:sz w:val="21"/>
                <w:szCs w:val="21"/>
                <w:highlight w:val="none"/>
              </w:rPr>
            </w:pPr>
          </w:p>
        </w:tc>
      </w:tr>
      <w:tr w14:paraId="46983D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5" w:type="dxa"/>
            <w:vMerge w:val="continue"/>
            <w:vAlign w:val="center"/>
          </w:tcPr>
          <w:p w14:paraId="5FCC33B8">
            <w:pPr>
              <w:spacing w:line="360" w:lineRule="exact"/>
              <w:ind w:firstLine="0" w:firstLineChars="0"/>
              <w:jc w:val="center"/>
              <w:rPr>
                <w:rFonts w:cs="Times New Roman"/>
                <w:color w:val="auto"/>
                <w:sz w:val="21"/>
                <w:szCs w:val="21"/>
                <w:highlight w:val="none"/>
              </w:rPr>
            </w:pPr>
          </w:p>
        </w:tc>
        <w:tc>
          <w:tcPr>
            <w:tcW w:w="1578" w:type="dxa"/>
            <w:vAlign w:val="center"/>
          </w:tcPr>
          <w:p w14:paraId="0FD0522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强</w:t>
            </w:r>
          </w:p>
        </w:tc>
        <w:tc>
          <w:tcPr>
            <w:tcW w:w="1316" w:type="dxa"/>
            <w:vAlign w:val="center"/>
          </w:tcPr>
          <w:p w14:paraId="4C57E86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易</w:t>
            </w:r>
          </w:p>
        </w:tc>
        <w:tc>
          <w:tcPr>
            <w:tcW w:w="1583" w:type="dxa"/>
            <w:vMerge w:val="continue"/>
            <w:vAlign w:val="center"/>
          </w:tcPr>
          <w:p w14:paraId="1BD366EE">
            <w:pPr>
              <w:spacing w:line="360" w:lineRule="exact"/>
              <w:ind w:firstLine="0" w:firstLineChars="0"/>
              <w:jc w:val="center"/>
              <w:rPr>
                <w:rFonts w:cs="Times New Roman"/>
                <w:color w:val="auto"/>
                <w:sz w:val="21"/>
                <w:szCs w:val="21"/>
                <w:highlight w:val="none"/>
              </w:rPr>
            </w:pPr>
          </w:p>
        </w:tc>
        <w:tc>
          <w:tcPr>
            <w:tcW w:w="2759" w:type="dxa"/>
            <w:vMerge w:val="continue"/>
            <w:vAlign w:val="center"/>
          </w:tcPr>
          <w:p w14:paraId="36A2243A">
            <w:pPr>
              <w:spacing w:line="360" w:lineRule="exact"/>
              <w:ind w:firstLine="0" w:firstLineChars="0"/>
              <w:jc w:val="center"/>
              <w:rPr>
                <w:rFonts w:cs="Times New Roman"/>
                <w:color w:val="auto"/>
                <w:sz w:val="21"/>
                <w:szCs w:val="21"/>
                <w:highlight w:val="none"/>
              </w:rPr>
            </w:pPr>
          </w:p>
        </w:tc>
      </w:tr>
      <w:tr w14:paraId="6A5447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5" w:type="dxa"/>
            <w:vAlign w:val="center"/>
          </w:tcPr>
          <w:p w14:paraId="144F332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简单防渗区</w:t>
            </w:r>
          </w:p>
        </w:tc>
        <w:tc>
          <w:tcPr>
            <w:tcW w:w="1578" w:type="dxa"/>
            <w:vAlign w:val="center"/>
          </w:tcPr>
          <w:p w14:paraId="3765CB1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中-强</w:t>
            </w:r>
          </w:p>
        </w:tc>
        <w:tc>
          <w:tcPr>
            <w:tcW w:w="1316" w:type="dxa"/>
            <w:vAlign w:val="center"/>
          </w:tcPr>
          <w:p w14:paraId="2DAACA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易</w:t>
            </w:r>
          </w:p>
        </w:tc>
        <w:tc>
          <w:tcPr>
            <w:tcW w:w="1583" w:type="dxa"/>
            <w:vAlign w:val="center"/>
          </w:tcPr>
          <w:p w14:paraId="26A2100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其他类型</w:t>
            </w:r>
          </w:p>
        </w:tc>
        <w:tc>
          <w:tcPr>
            <w:tcW w:w="2759" w:type="dxa"/>
            <w:vAlign w:val="center"/>
          </w:tcPr>
          <w:p w14:paraId="2A71EDE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一般地面硬化</w:t>
            </w:r>
          </w:p>
        </w:tc>
      </w:tr>
    </w:tbl>
    <w:p w14:paraId="7C324726">
      <w:pPr>
        <w:ind w:firstLine="528"/>
        <w:rPr>
          <w:rFonts w:cs="Times New Roman"/>
          <w:color w:val="auto"/>
          <w:szCs w:val="24"/>
          <w:highlight w:val="none"/>
        </w:rPr>
      </w:pPr>
      <w:r>
        <w:rPr>
          <w:rFonts w:cs="Times New Roman"/>
          <w:color w:val="auto"/>
          <w:spacing w:val="12"/>
          <w:szCs w:val="24"/>
          <w:highlight w:val="none"/>
        </w:rPr>
        <w:t>为了进一步保护地下水资源，本工程在设计上对厂区地面、生产车间、污水处理站及事故池等采取以下防渗处理措施：</w:t>
      </w:r>
    </w:p>
    <w:p w14:paraId="4184422B">
      <w:pPr>
        <w:rPr>
          <w:rFonts w:cs="Times New Roman"/>
          <w:color w:val="auto"/>
          <w:szCs w:val="24"/>
          <w:highlight w:val="none"/>
        </w:rPr>
      </w:pPr>
      <w:r>
        <w:rPr>
          <w:rFonts w:cs="Times New Roman"/>
          <w:color w:val="auto"/>
          <w:szCs w:val="24"/>
          <w:highlight w:val="none"/>
        </w:rPr>
        <w:t>1）重点防渗区</w:t>
      </w:r>
    </w:p>
    <w:p w14:paraId="36991FD7">
      <w:pPr>
        <w:rPr>
          <w:rFonts w:hint="default" w:eastAsia="宋体" w:cs="Times New Roman"/>
          <w:snapToGrid w:val="0"/>
          <w:color w:val="auto"/>
          <w:kern w:val="0"/>
          <w:highlight w:val="none"/>
          <w:lang w:val="en-US" w:eastAsia="zh-CN"/>
        </w:rPr>
      </w:pPr>
      <w:r>
        <w:rPr>
          <w:rFonts w:hint="eastAsia" w:cs="Times New Roman"/>
          <w:snapToGrid w:val="0"/>
          <w:color w:val="auto"/>
          <w:kern w:val="0"/>
          <w:szCs w:val="21"/>
          <w:highlight w:val="none"/>
          <w:lang w:val="en-US" w:eastAsia="zh-CN"/>
        </w:rPr>
        <w:t>危险废物贮存点</w:t>
      </w:r>
      <w:r>
        <w:rPr>
          <w:rFonts w:cs="Times New Roman"/>
          <w:snapToGrid w:val="0"/>
          <w:color w:val="auto"/>
          <w:kern w:val="0"/>
          <w:szCs w:val="24"/>
          <w:highlight w:val="none"/>
        </w:rPr>
        <w:t>按重点防渗区采取防渗措施。</w:t>
      </w:r>
      <w:r>
        <w:rPr>
          <w:rFonts w:hint="eastAsia" w:cs="Times New Roman"/>
          <w:snapToGrid w:val="0"/>
          <w:color w:val="auto"/>
          <w:kern w:val="0"/>
          <w:szCs w:val="24"/>
          <w:highlight w:val="none"/>
          <w:lang w:eastAsia="zh-CN"/>
        </w:rPr>
        <w:t>参照《危险废物贮存污染控制标准》（GB18597-20</w:t>
      </w:r>
      <w:r>
        <w:rPr>
          <w:rFonts w:hint="eastAsia" w:cs="Times New Roman"/>
          <w:snapToGrid w:val="0"/>
          <w:color w:val="auto"/>
          <w:kern w:val="0"/>
          <w:szCs w:val="24"/>
          <w:highlight w:val="none"/>
          <w:lang w:val="en-US" w:eastAsia="zh-CN"/>
        </w:rPr>
        <w:t>23</w:t>
      </w:r>
      <w:r>
        <w:rPr>
          <w:rFonts w:hint="eastAsia" w:cs="Times New Roman"/>
          <w:snapToGrid w:val="0"/>
          <w:color w:val="auto"/>
          <w:kern w:val="0"/>
          <w:szCs w:val="24"/>
          <w:highlight w:val="none"/>
          <w:lang w:eastAsia="zh-CN"/>
        </w:rPr>
        <w:t>）执行，基础必须防渗，防渗层为至少1m厚粘土层（渗透系数≤10</w:t>
      </w:r>
      <w:r>
        <w:rPr>
          <w:rFonts w:hint="eastAsia" w:cs="Times New Roman"/>
          <w:snapToGrid w:val="0"/>
          <w:color w:val="auto"/>
          <w:kern w:val="0"/>
          <w:szCs w:val="24"/>
          <w:highlight w:val="none"/>
          <w:vertAlign w:val="superscript"/>
          <w:lang w:eastAsia="zh-CN"/>
        </w:rPr>
        <w:t>-7</w:t>
      </w:r>
      <w:r>
        <w:rPr>
          <w:rFonts w:hint="eastAsia" w:cs="Times New Roman"/>
          <w:snapToGrid w:val="0"/>
          <w:color w:val="auto"/>
          <w:kern w:val="0"/>
          <w:szCs w:val="24"/>
          <w:highlight w:val="none"/>
          <w:lang w:eastAsia="zh-CN"/>
        </w:rPr>
        <w:t>cm/s），或2mm厚高密度聚乙烯，或至少2mm</w:t>
      </w:r>
      <w:r>
        <w:rPr>
          <w:rFonts w:hint="eastAsia" w:cs="Times New Roman"/>
          <w:snapToGrid w:val="0"/>
          <w:color w:val="auto"/>
          <w:kern w:val="0"/>
          <w:szCs w:val="24"/>
          <w:highlight w:val="none"/>
          <w:lang w:val="en-US" w:eastAsia="zh-CN"/>
        </w:rPr>
        <w:t>厚</w:t>
      </w:r>
      <w:r>
        <w:rPr>
          <w:rFonts w:hint="eastAsia" w:cs="Times New Roman"/>
          <w:snapToGrid w:val="0"/>
          <w:color w:val="auto"/>
          <w:kern w:val="0"/>
          <w:szCs w:val="24"/>
          <w:highlight w:val="none"/>
          <w:lang w:eastAsia="zh-CN"/>
        </w:rPr>
        <w:t>高密度聚乙烯膜等人工防渗材料（渗透系数不大于10</w:t>
      </w:r>
      <w:r>
        <w:rPr>
          <w:rFonts w:hint="eastAsia" w:cs="Times New Roman"/>
          <w:snapToGrid w:val="0"/>
          <w:color w:val="auto"/>
          <w:kern w:val="0"/>
          <w:szCs w:val="24"/>
          <w:highlight w:val="none"/>
          <w:vertAlign w:val="superscript"/>
          <w:lang w:eastAsia="zh-CN"/>
        </w:rPr>
        <w:t>-10</w:t>
      </w:r>
      <w:r>
        <w:rPr>
          <w:rFonts w:hint="eastAsia" w:cs="Times New Roman"/>
          <w:snapToGrid w:val="0"/>
          <w:color w:val="auto"/>
          <w:kern w:val="0"/>
          <w:szCs w:val="24"/>
          <w:highlight w:val="none"/>
          <w:lang w:eastAsia="zh-CN"/>
        </w:rPr>
        <w:t>cm/s），或其他防渗性能等效的材料。</w:t>
      </w:r>
      <w:r>
        <w:rPr>
          <w:rFonts w:hint="eastAsia" w:cs="Times New Roman"/>
          <w:color w:val="auto"/>
          <w:szCs w:val="21"/>
          <w:highlight w:val="none"/>
          <w:lang w:val="en-US" w:eastAsia="zh-CN"/>
        </w:rPr>
        <w:t>同时</w:t>
      </w:r>
      <w:r>
        <w:rPr>
          <w:rFonts w:hint="eastAsia" w:cs="Times New Roman"/>
          <w:snapToGrid w:val="0"/>
          <w:color w:val="auto"/>
          <w:kern w:val="0"/>
          <w:szCs w:val="21"/>
          <w:highlight w:val="none"/>
          <w:lang w:val="en-US" w:eastAsia="zh-CN"/>
        </w:rPr>
        <w:t>危险废物贮存点</w:t>
      </w:r>
      <w:r>
        <w:rPr>
          <w:rFonts w:hint="default" w:ascii="sans-serif" w:hAnsi="sans-serif" w:eastAsia="sans-serif" w:cs="sans-serif"/>
          <w:i w:val="0"/>
          <w:iCs w:val="0"/>
          <w:caps w:val="0"/>
          <w:color w:val="auto"/>
          <w:spacing w:val="0"/>
          <w:sz w:val="26"/>
          <w:szCs w:val="26"/>
          <w:highlight w:val="none"/>
          <w:shd w:val="clear" w:fill="FFFFFF"/>
        </w:rPr>
        <w:t>应具有固</w:t>
      </w:r>
      <w:r>
        <w:rPr>
          <w:rFonts w:hint="default" w:cs="Times New Roman"/>
          <w:snapToGrid w:val="0"/>
          <w:color w:val="auto"/>
          <w:kern w:val="0"/>
          <w:highlight w:val="none"/>
        </w:rPr>
        <w:t>定的区域边界，并应采取与其他区域进行隔离的措施。贮存点应采取防风、防雨、防晒和防止危险废物流失、扬散等措施。贮存点贮存的危险废物应置于容器或包装物中，不应直接散堆。贮存点应根据危险废物的形态、物理化学性质、包装形式等，采取防渗、防漏等污染防治措施</w:t>
      </w:r>
      <w:r>
        <w:rPr>
          <w:rFonts w:cs="Times New Roman"/>
          <w:snapToGrid w:val="0"/>
          <w:color w:val="auto"/>
          <w:kern w:val="0"/>
          <w:highlight w:val="none"/>
        </w:rPr>
        <w:t>或</w:t>
      </w:r>
      <w:r>
        <w:rPr>
          <w:rFonts w:hint="default" w:cs="Times New Roman"/>
          <w:snapToGrid w:val="0"/>
          <w:color w:val="auto"/>
          <w:kern w:val="0"/>
          <w:highlight w:val="none"/>
        </w:rPr>
        <w:t>采用具有相应功能的装置。</w:t>
      </w:r>
      <w:r>
        <w:rPr>
          <w:rFonts w:cs="Times New Roman"/>
          <w:snapToGrid w:val="0"/>
          <w:color w:val="auto"/>
          <w:kern w:val="0"/>
          <w:highlight w:val="none"/>
        </w:rPr>
        <w:t>贮</w:t>
      </w:r>
      <w:r>
        <w:rPr>
          <w:rFonts w:hint="default" w:cs="Times New Roman"/>
          <w:snapToGrid w:val="0"/>
          <w:color w:val="auto"/>
          <w:kern w:val="0"/>
          <w:highlight w:val="none"/>
        </w:rPr>
        <w:t>存点应及时清运贮存的危险废物，实时贮存量不应超过</w:t>
      </w:r>
      <w:r>
        <w:rPr>
          <w:rFonts w:cs="Times New Roman"/>
          <w:snapToGrid w:val="0"/>
          <w:color w:val="auto"/>
          <w:kern w:val="0"/>
          <w:highlight w:val="none"/>
        </w:rPr>
        <w:t>3</w:t>
      </w:r>
      <w:r>
        <w:rPr>
          <w:rFonts w:hint="eastAsia" w:cs="Times New Roman"/>
          <w:snapToGrid w:val="0"/>
          <w:color w:val="auto"/>
          <w:kern w:val="0"/>
          <w:highlight w:val="none"/>
          <w:lang w:val="en-US" w:eastAsia="zh-CN"/>
        </w:rPr>
        <w:t>t。</w:t>
      </w:r>
    </w:p>
    <w:p w14:paraId="2862B7BF">
      <w:pPr>
        <w:rPr>
          <w:rFonts w:cs="Times New Roman"/>
          <w:snapToGrid w:val="0"/>
          <w:color w:val="auto"/>
          <w:kern w:val="0"/>
          <w:highlight w:val="none"/>
        </w:rPr>
      </w:pPr>
      <w:r>
        <w:rPr>
          <w:rFonts w:cs="Times New Roman"/>
          <w:snapToGrid w:val="0"/>
          <w:color w:val="auto"/>
          <w:kern w:val="0"/>
          <w:highlight w:val="none"/>
        </w:rPr>
        <w:t>2）一般防渗区</w:t>
      </w:r>
    </w:p>
    <w:p w14:paraId="091F19FF">
      <w:pPr>
        <w:rPr>
          <w:rFonts w:cs="Times New Roman"/>
          <w:snapToGrid w:val="0"/>
          <w:color w:val="auto"/>
          <w:kern w:val="0"/>
          <w:highlight w:val="none"/>
        </w:rPr>
      </w:pPr>
      <w:r>
        <w:rPr>
          <w:rFonts w:cs="Times New Roman"/>
          <w:snapToGrid w:val="0"/>
          <w:color w:val="auto"/>
          <w:kern w:val="0"/>
          <w:highlight w:val="none"/>
        </w:rPr>
        <w:t>生产车间（不包含局部二层部分</w:t>
      </w:r>
      <w:r>
        <w:rPr>
          <w:rFonts w:hint="eastAsia" w:cs="Times New Roman"/>
          <w:snapToGrid w:val="0"/>
          <w:color w:val="auto"/>
          <w:kern w:val="0"/>
          <w:highlight w:val="none"/>
          <w:lang w:eastAsia="zh-CN"/>
        </w:rPr>
        <w:t>，</w:t>
      </w:r>
      <w:r>
        <w:rPr>
          <w:rFonts w:hint="eastAsia" w:cs="Times New Roman"/>
          <w:snapToGrid w:val="0"/>
          <w:color w:val="auto"/>
          <w:kern w:val="0"/>
          <w:highlight w:val="none"/>
          <w:lang w:val="en-US" w:eastAsia="zh-CN"/>
        </w:rPr>
        <w:t>包括待宰圈</w:t>
      </w:r>
      <w:r>
        <w:rPr>
          <w:rFonts w:cs="Times New Roman"/>
          <w:snapToGrid w:val="0"/>
          <w:color w:val="auto"/>
          <w:kern w:val="0"/>
          <w:highlight w:val="none"/>
        </w:rPr>
        <w:t>）、隔离圈、污水处理站、事故池及固体废物暂存间按一般防渗区采取防渗措施。地面（池底和池侧面）基础防渗，</w:t>
      </w:r>
      <w:r>
        <w:rPr>
          <w:rFonts w:cs="Times New Roman"/>
          <w:snapToGrid w:val="0"/>
          <w:color w:val="auto"/>
          <w:kern w:val="0"/>
          <w:highlight w:val="none"/>
          <w:lang w:val="zh-CN"/>
        </w:rPr>
        <w:t>防渗层为至少1m厚粘土层或2mm厚高密度聚乙烯，</w:t>
      </w:r>
      <w:r>
        <w:rPr>
          <w:rFonts w:cs="Times New Roman"/>
          <w:snapToGrid w:val="0"/>
          <w:color w:val="auto"/>
          <w:kern w:val="0"/>
          <w:highlight w:val="none"/>
        </w:rPr>
        <w:t>需满足等效黏土防渗层Mb≥1.5m，K≤1×10</w:t>
      </w:r>
      <w:r>
        <w:rPr>
          <w:rFonts w:cs="Times New Roman"/>
          <w:snapToGrid w:val="0"/>
          <w:color w:val="auto"/>
          <w:kern w:val="0"/>
          <w:highlight w:val="none"/>
          <w:vertAlign w:val="superscript"/>
        </w:rPr>
        <w:t>-7</w:t>
      </w:r>
      <w:r>
        <w:rPr>
          <w:rFonts w:cs="Times New Roman"/>
          <w:snapToGrid w:val="0"/>
          <w:color w:val="auto"/>
          <w:kern w:val="0"/>
          <w:highlight w:val="none"/>
        </w:rPr>
        <w:t>cm/s的要求。</w:t>
      </w:r>
    </w:p>
    <w:p w14:paraId="42830506">
      <w:pPr>
        <w:ind w:firstLine="528"/>
        <w:rPr>
          <w:rFonts w:cs="Times New Roman"/>
          <w:snapToGrid w:val="0"/>
          <w:color w:val="auto"/>
          <w:kern w:val="0"/>
          <w:highlight w:val="none"/>
        </w:rPr>
      </w:pPr>
      <w:r>
        <w:rPr>
          <w:rFonts w:cs="Times New Roman"/>
          <w:color w:val="auto"/>
          <w:spacing w:val="12"/>
          <w:szCs w:val="24"/>
          <w:highlight w:val="none"/>
        </w:rPr>
        <w:t>3）简单防渗区</w:t>
      </w:r>
    </w:p>
    <w:p w14:paraId="0D406896">
      <w:pPr>
        <w:rPr>
          <w:rFonts w:cs="Times New Roman"/>
          <w:snapToGrid w:val="0"/>
          <w:color w:val="auto"/>
          <w:kern w:val="0"/>
          <w:highlight w:val="none"/>
        </w:rPr>
      </w:pPr>
      <w:r>
        <w:rPr>
          <w:rFonts w:cs="Times New Roman"/>
          <w:snapToGrid w:val="0"/>
          <w:color w:val="auto"/>
          <w:kern w:val="0"/>
          <w:highlight w:val="none"/>
        </w:rPr>
        <w:t>其他建筑物采取简单防渗，对其地面采用混凝土进行一般地面硬化。</w:t>
      </w:r>
    </w:p>
    <w:p w14:paraId="334D159C">
      <w:pPr>
        <w:rPr>
          <w:rFonts w:cs="Times New Roman"/>
          <w:snapToGrid w:val="0"/>
          <w:color w:val="auto"/>
          <w:kern w:val="0"/>
          <w:highlight w:val="none"/>
        </w:rPr>
      </w:pPr>
      <w:r>
        <w:rPr>
          <w:rFonts w:cs="Times New Roman"/>
          <w:snapToGrid w:val="0"/>
          <w:color w:val="auto"/>
          <w:kern w:val="0"/>
          <w:highlight w:val="none"/>
        </w:rPr>
        <w:t>4）其他防治措施</w:t>
      </w:r>
    </w:p>
    <w:p w14:paraId="6A5D8283">
      <w:pPr>
        <w:rPr>
          <w:rFonts w:cs="Times New Roman"/>
          <w:snapToGrid w:val="0"/>
          <w:color w:val="auto"/>
          <w:kern w:val="0"/>
          <w:highlight w:val="none"/>
        </w:rPr>
      </w:pPr>
      <w:r>
        <w:rPr>
          <w:rFonts w:cs="Times New Roman"/>
          <w:snapToGrid w:val="0"/>
          <w:color w:val="auto"/>
          <w:kern w:val="0"/>
          <w:highlight w:val="none"/>
        </w:rPr>
        <w:fldChar w:fldCharType="begin"/>
      </w:r>
      <w:r>
        <w:rPr>
          <w:rFonts w:cs="Times New Roman"/>
          <w:snapToGrid w:val="0"/>
          <w:color w:val="auto"/>
          <w:kern w:val="0"/>
          <w:highlight w:val="none"/>
        </w:rPr>
        <w:instrText xml:space="preserve"> = 1 \* GB3 \* MERGEFORMAT </w:instrText>
      </w:r>
      <w:r>
        <w:rPr>
          <w:rFonts w:cs="Times New Roman"/>
          <w:snapToGrid w:val="0"/>
          <w:color w:val="auto"/>
          <w:kern w:val="0"/>
          <w:highlight w:val="none"/>
        </w:rPr>
        <w:fldChar w:fldCharType="separate"/>
      </w:r>
      <w:r>
        <w:rPr>
          <w:rFonts w:cs="Times New Roman"/>
          <w:snapToGrid w:val="0"/>
          <w:color w:val="auto"/>
          <w:kern w:val="0"/>
          <w:highlight w:val="none"/>
        </w:rPr>
        <w:t>①</w:t>
      </w:r>
      <w:r>
        <w:rPr>
          <w:rFonts w:cs="Times New Roman"/>
          <w:snapToGrid w:val="0"/>
          <w:color w:val="auto"/>
          <w:kern w:val="0"/>
          <w:highlight w:val="none"/>
        </w:rPr>
        <w:fldChar w:fldCharType="end"/>
      </w:r>
      <w:r>
        <w:rPr>
          <w:rFonts w:cs="Times New Roman"/>
          <w:snapToGrid w:val="0"/>
          <w:color w:val="auto"/>
          <w:kern w:val="0"/>
          <w:highlight w:val="none"/>
        </w:rPr>
        <w:t>污水管道采取防渗漏措施。</w:t>
      </w:r>
    </w:p>
    <w:p w14:paraId="3B0DEC05">
      <w:pPr>
        <w:rPr>
          <w:rFonts w:cs="Times New Roman"/>
          <w:snapToGrid w:val="0"/>
          <w:color w:val="auto"/>
          <w:kern w:val="0"/>
          <w:highlight w:val="none"/>
        </w:rPr>
      </w:pPr>
      <w:r>
        <w:rPr>
          <w:rFonts w:cs="Times New Roman"/>
          <w:snapToGrid w:val="0"/>
          <w:color w:val="auto"/>
          <w:kern w:val="0"/>
          <w:highlight w:val="none"/>
        </w:rPr>
        <w:t>②加强管理，建立巡逻制度，定期对污水处理站各构筑物、生产车间等地进行检查，及时发现问题，查找隐患，杜绝污染物的外排。</w:t>
      </w:r>
    </w:p>
    <w:p w14:paraId="0A6DC0C4">
      <w:pPr>
        <w:rPr>
          <w:rFonts w:cs="Times New Roman"/>
          <w:snapToGrid w:val="0"/>
          <w:color w:val="auto"/>
          <w:kern w:val="0"/>
          <w:highlight w:val="none"/>
        </w:rPr>
      </w:pPr>
      <w:r>
        <w:rPr>
          <w:rFonts w:cs="Times New Roman"/>
          <w:snapToGrid w:val="0"/>
          <w:color w:val="auto"/>
          <w:kern w:val="0"/>
          <w:highlight w:val="none"/>
        </w:rPr>
        <w:t>③厂区设置1口地下水监控井，及时监控地下水环境。</w:t>
      </w:r>
    </w:p>
    <w:p w14:paraId="6E215A4B">
      <w:pPr>
        <w:spacing w:line="240" w:lineRule="auto"/>
        <w:ind w:firstLine="482"/>
        <w:jc w:val="center"/>
        <w:rPr>
          <w:rFonts w:cs="Times New Roman"/>
          <w:b/>
          <w:color w:val="auto"/>
          <w:highlight w:val="none"/>
        </w:rPr>
      </w:pPr>
      <w:r>
        <w:rPr>
          <w:rFonts w:cs="Times New Roman"/>
          <w:b/>
          <w:color w:val="auto"/>
          <w:highlight w:val="none"/>
        </w:rPr>
        <w:t>表6</w:t>
      </w:r>
      <w:r>
        <w:rPr>
          <w:rFonts w:hint="eastAsia" w:cs="Times New Roman"/>
          <w:b/>
          <w:color w:val="auto"/>
          <w:highlight w:val="none"/>
          <w:lang w:val="en-US" w:eastAsia="zh-CN"/>
        </w:rPr>
        <w:t>.</w:t>
      </w:r>
      <w:r>
        <w:rPr>
          <w:rFonts w:cs="Times New Roman"/>
          <w:b/>
          <w:color w:val="auto"/>
          <w:highlight w:val="none"/>
        </w:rPr>
        <w:t>2-</w:t>
      </w:r>
      <w:r>
        <w:rPr>
          <w:rFonts w:hint="eastAsia" w:cs="Times New Roman"/>
          <w:b/>
          <w:color w:val="auto"/>
          <w:highlight w:val="none"/>
          <w:lang w:val="en-US" w:eastAsia="zh-CN"/>
        </w:rPr>
        <w:t>5</w:t>
      </w:r>
      <w:r>
        <w:rPr>
          <w:rFonts w:cs="Times New Roman"/>
          <w:b/>
          <w:color w:val="auto"/>
          <w:highlight w:val="none"/>
        </w:rPr>
        <w:t xml:space="preserve">   本项目防渗措施一览表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334"/>
        <w:gridCol w:w="1352"/>
        <w:gridCol w:w="4836"/>
      </w:tblGrid>
      <w:tr w14:paraId="09BABF8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334" w:type="dxa"/>
            <w:tcBorders>
              <w:tl2br w:val="nil"/>
              <w:tr2bl w:val="nil"/>
            </w:tcBorders>
            <w:vAlign w:val="center"/>
          </w:tcPr>
          <w:p w14:paraId="4735ECC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装置单元名称</w:t>
            </w:r>
          </w:p>
        </w:tc>
        <w:tc>
          <w:tcPr>
            <w:tcW w:w="1352" w:type="dxa"/>
            <w:tcBorders>
              <w:tl2br w:val="nil"/>
              <w:tr2bl w:val="nil"/>
            </w:tcBorders>
            <w:vAlign w:val="center"/>
          </w:tcPr>
          <w:p w14:paraId="098A919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防渗分区</w:t>
            </w:r>
          </w:p>
        </w:tc>
        <w:tc>
          <w:tcPr>
            <w:tcW w:w="4836" w:type="dxa"/>
            <w:tcBorders>
              <w:tl2br w:val="nil"/>
              <w:tr2bl w:val="nil"/>
            </w:tcBorders>
            <w:vAlign w:val="center"/>
          </w:tcPr>
          <w:p w14:paraId="0EE6AA9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防渗措施</w:t>
            </w:r>
          </w:p>
        </w:tc>
      </w:tr>
      <w:tr w14:paraId="6D1A52C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334" w:type="dxa"/>
            <w:tcBorders>
              <w:tl2br w:val="nil"/>
              <w:tr2bl w:val="nil"/>
            </w:tcBorders>
            <w:vAlign w:val="center"/>
          </w:tcPr>
          <w:p w14:paraId="06176A16">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危险废物贮存点</w:t>
            </w:r>
          </w:p>
        </w:tc>
        <w:tc>
          <w:tcPr>
            <w:tcW w:w="1352" w:type="dxa"/>
            <w:tcBorders>
              <w:tl2br w:val="nil"/>
              <w:tr2bl w:val="nil"/>
            </w:tcBorders>
            <w:vAlign w:val="center"/>
          </w:tcPr>
          <w:p w14:paraId="3EBB2A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重点防渗区</w:t>
            </w:r>
          </w:p>
        </w:tc>
        <w:tc>
          <w:tcPr>
            <w:tcW w:w="4836" w:type="dxa"/>
            <w:tcBorders>
              <w:tl2br w:val="nil"/>
              <w:tr2bl w:val="nil"/>
            </w:tcBorders>
            <w:vAlign w:val="center"/>
          </w:tcPr>
          <w:p w14:paraId="2BE0B1CA">
            <w:pPr>
              <w:spacing w:line="360" w:lineRule="exact"/>
              <w:ind w:firstLine="0" w:firstLineChars="0"/>
              <w:rPr>
                <w:rFonts w:cs="Times New Roman"/>
                <w:color w:val="auto"/>
                <w:sz w:val="21"/>
                <w:szCs w:val="21"/>
                <w:highlight w:val="none"/>
              </w:rPr>
            </w:pPr>
            <w:r>
              <w:rPr>
                <w:rFonts w:cs="Times New Roman"/>
                <w:color w:val="auto"/>
                <w:sz w:val="21"/>
                <w:szCs w:val="21"/>
                <w:highlight w:val="none"/>
              </w:rPr>
              <w:t>参照GB18597执行：基础必须防渗，</w:t>
            </w:r>
            <w:r>
              <w:rPr>
                <w:rFonts w:cs="Times New Roman"/>
                <w:snapToGrid w:val="0"/>
                <w:color w:val="auto"/>
                <w:kern w:val="0"/>
                <w:sz w:val="21"/>
                <w:szCs w:val="21"/>
                <w:highlight w:val="none"/>
              </w:rPr>
              <w:t>地面</w:t>
            </w:r>
            <w:r>
              <w:rPr>
                <w:rFonts w:hint="eastAsia" w:cs="Times New Roman"/>
                <w:snapToGrid w:val="0"/>
                <w:color w:val="auto"/>
                <w:kern w:val="0"/>
                <w:sz w:val="21"/>
                <w:szCs w:val="21"/>
                <w:highlight w:val="none"/>
                <w:lang w:val="en-US" w:eastAsia="zh-CN"/>
              </w:rPr>
              <w:t>及墙体四周围裙</w:t>
            </w:r>
            <w:r>
              <w:rPr>
                <w:rFonts w:cs="Times New Roman"/>
                <w:snapToGrid w:val="0"/>
                <w:color w:val="auto"/>
                <w:kern w:val="0"/>
                <w:sz w:val="21"/>
                <w:szCs w:val="21"/>
                <w:highlight w:val="none"/>
              </w:rPr>
              <w:t>等效黏土层厚度要≥6.0m，满足渗透系数K≤1.0×10</w:t>
            </w:r>
            <w:r>
              <w:rPr>
                <w:rFonts w:cs="Times New Roman"/>
                <w:snapToGrid w:val="0"/>
                <w:color w:val="auto"/>
                <w:kern w:val="0"/>
                <w:sz w:val="21"/>
                <w:szCs w:val="21"/>
                <w:highlight w:val="none"/>
                <w:vertAlign w:val="superscript"/>
              </w:rPr>
              <w:t>-7</w:t>
            </w:r>
            <w:r>
              <w:rPr>
                <w:rFonts w:cs="Times New Roman"/>
                <w:snapToGrid w:val="0"/>
                <w:color w:val="auto"/>
                <w:kern w:val="0"/>
                <w:sz w:val="21"/>
                <w:szCs w:val="21"/>
                <w:highlight w:val="none"/>
              </w:rPr>
              <w:t>cm/s</w:t>
            </w:r>
            <w:r>
              <w:rPr>
                <w:rFonts w:cs="Times New Roman"/>
                <w:color w:val="auto"/>
                <w:sz w:val="21"/>
                <w:szCs w:val="21"/>
                <w:highlight w:val="none"/>
              </w:rPr>
              <w:t>，或2mm厚高密度聚乙烯，或至少2mm厚的其它人工材料，渗透系数≤10</w:t>
            </w:r>
            <w:r>
              <w:rPr>
                <w:rFonts w:cs="Times New Roman"/>
                <w:color w:val="auto"/>
                <w:sz w:val="21"/>
                <w:szCs w:val="21"/>
                <w:highlight w:val="none"/>
                <w:vertAlign w:val="superscript"/>
              </w:rPr>
              <w:t>-10</w:t>
            </w:r>
            <w:r>
              <w:rPr>
                <w:rFonts w:cs="Times New Roman"/>
                <w:color w:val="auto"/>
                <w:sz w:val="21"/>
                <w:szCs w:val="21"/>
                <w:highlight w:val="none"/>
              </w:rPr>
              <w:t>cm/s</w:t>
            </w:r>
          </w:p>
        </w:tc>
      </w:tr>
      <w:tr w14:paraId="4CE82FC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334" w:type="dxa"/>
            <w:tcBorders>
              <w:tl2br w:val="nil"/>
              <w:tr2bl w:val="nil"/>
            </w:tcBorders>
            <w:vAlign w:val="center"/>
          </w:tcPr>
          <w:p w14:paraId="3543C40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生产车间</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包括冷库</w:t>
            </w:r>
            <w:r>
              <w:rPr>
                <w:rFonts w:hint="eastAsia" w:cs="Times New Roman"/>
                <w:color w:val="auto"/>
                <w:sz w:val="21"/>
                <w:szCs w:val="21"/>
                <w:highlight w:val="none"/>
                <w:lang w:eastAsia="zh-CN"/>
              </w:rPr>
              <w:t>）</w:t>
            </w:r>
            <w:r>
              <w:rPr>
                <w:rFonts w:cs="Times New Roman"/>
                <w:color w:val="auto"/>
                <w:sz w:val="21"/>
                <w:szCs w:val="21"/>
                <w:highlight w:val="none"/>
              </w:rPr>
              <w:t>、隔离圈、污水处理站、事故池及固体废物暂存间</w:t>
            </w:r>
          </w:p>
        </w:tc>
        <w:tc>
          <w:tcPr>
            <w:tcW w:w="1352" w:type="dxa"/>
            <w:tcBorders>
              <w:tl2br w:val="nil"/>
              <w:tr2bl w:val="nil"/>
            </w:tcBorders>
            <w:vAlign w:val="center"/>
          </w:tcPr>
          <w:p w14:paraId="6102008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一般防渗区</w:t>
            </w:r>
          </w:p>
        </w:tc>
        <w:tc>
          <w:tcPr>
            <w:tcW w:w="4836" w:type="dxa"/>
            <w:tcBorders>
              <w:tl2br w:val="nil"/>
              <w:tr2bl w:val="nil"/>
            </w:tcBorders>
            <w:vAlign w:val="center"/>
          </w:tcPr>
          <w:p w14:paraId="5088770F">
            <w:pPr>
              <w:spacing w:line="360" w:lineRule="exact"/>
              <w:ind w:firstLine="0" w:firstLineChars="0"/>
              <w:jc w:val="center"/>
              <w:rPr>
                <w:rFonts w:cs="Times New Roman"/>
                <w:color w:val="auto"/>
                <w:sz w:val="21"/>
                <w:szCs w:val="21"/>
                <w:highlight w:val="none"/>
              </w:rPr>
            </w:pPr>
            <w:r>
              <w:rPr>
                <w:rFonts w:cs="Times New Roman"/>
                <w:snapToGrid w:val="0"/>
                <w:color w:val="auto"/>
                <w:kern w:val="0"/>
                <w:sz w:val="21"/>
                <w:szCs w:val="21"/>
                <w:highlight w:val="none"/>
              </w:rPr>
              <w:t>地面（池底和池侧面）基础防渗，</w:t>
            </w:r>
            <w:r>
              <w:rPr>
                <w:rFonts w:cs="Times New Roman"/>
                <w:snapToGrid w:val="0"/>
                <w:color w:val="auto"/>
                <w:kern w:val="0"/>
                <w:sz w:val="21"/>
                <w:szCs w:val="21"/>
                <w:highlight w:val="none"/>
                <w:lang w:val="zh-CN"/>
              </w:rPr>
              <w:t>防渗层为至少1m厚粘土层或2mm厚高密度聚乙烯，</w:t>
            </w:r>
            <w:r>
              <w:rPr>
                <w:rFonts w:cs="Times New Roman"/>
                <w:snapToGrid w:val="0"/>
                <w:color w:val="auto"/>
                <w:kern w:val="0"/>
                <w:sz w:val="21"/>
                <w:szCs w:val="21"/>
                <w:highlight w:val="none"/>
              </w:rPr>
              <w:t>需满足等效黏土防渗层Mb≥1.5m，K≤1×10</w:t>
            </w:r>
            <w:r>
              <w:rPr>
                <w:rFonts w:cs="Times New Roman"/>
                <w:snapToGrid w:val="0"/>
                <w:color w:val="auto"/>
                <w:kern w:val="0"/>
                <w:sz w:val="21"/>
                <w:szCs w:val="21"/>
                <w:highlight w:val="none"/>
                <w:vertAlign w:val="superscript"/>
              </w:rPr>
              <w:t>-7</w:t>
            </w:r>
            <w:r>
              <w:rPr>
                <w:rFonts w:cs="Times New Roman"/>
                <w:snapToGrid w:val="0"/>
                <w:color w:val="auto"/>
                <w:kern w:val="0"/>
                <w:sz w:val="21"/>
                <w:szCs w:val="21"/>
                <w:highlight w:val="none"/>
              </w:rPr>
              <w:t>cm/s的要求。</w:t>
            </w:r>
          </w:p>
        </w:tc>
      </w:tr>
      <w:tr w14:paraId="747722E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334" w:type="dxa"/>
            <w:tcBorders>
              <w:tl2br w:val="nil"/>
              <w:tr2bl w:val="nil"/>
            </w:tcBorders>
            <w:vAlign w:val="center"/>
          </w:tcPr>
          <w:p w14:paraId="38C82B7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其他建筑物及道路</w:t>
            </w:r>
          </w:p>
        </w:tc>
        <w:tc>
          <w:tcPr>
            <w:tcW w:w="1352" w:type="dxa"/>
            <w:tcBorders>
              <w:tl2br w:val="nil"/>
              <w:tr2bl w:val="nil"/>
            </w:tcBorders>
            <w:vAlign w:val="center"/>
          </w:tcPr>
          <w:p w14:paraId="1351BF4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简单防渗区</w:t>
            </w:r>
          </w:p>
        </w:tc>
        <w:tc>
          <w:tcPr>
            <w:tcW w:w="4836" w:type="dxa"/>
            <w:tcBorders>
              <w:tl2br w:val="nil"/>
              <w:tr2bl w:val="nil"/>
            </w:tcBorders>
            <w:vAlign w:val="center"/>
          </w:tcPr>
          <w:p w14:paraId="6F703B1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一般地面硬化</w:t>
            </w:r>
          </w:p>
        </w:tc>
      </w:tr>
    </w:tbl>
    <w:p w14:paraId="5FA3AF35">
      <w:pPr>
        <w:rPr>
          <w:rFonts w:cs="Times New Roman"/>
          <w:color w:val="auto"/>
          <w:szCs w:val="24"/>
          <w:highlight w:val="none"/>
        </w:rPr>
      </w:pPr>
      <w:r>
        <w:rPr>
          <w:rFonts w:cs="Times New Roman"/>
          <w:snapToGrid w:val="0"/>
          <w:color w:val="auto"/>
          <w:kern w:val="0"/>
          <w:highlight w:val="none"/>
        </w:rPr>
        <w:t>本项目对地下水的主要污染途径为废水渗透，在认真采取以上措施的基础上，一旦发生硬化层发生断裂，由于防渗层的保护作用，废水积聚在各储区，不会对地下水造成影响。地下水分区防渗情况及跟踪监测井设置情况见</w:t>
      </w:r>
      <w:r>
        <w:rPr>
          <w:rFonts w:cs="Times New Roman"/>
          <w:color w:val="auto"/>
          <w:szCs w:val="24"/>
          <w:highlight w:val="none"/>
        </w:rPr>
        <w:t>图6-2-1。</w:t>
      </w:r>
    </w:p>
    <w:p w14:paraId="692D14A5">
      <w:pPr>
        <w:pStyle w:val="45"/>
        <w:rPr>
          <w:rFonts w:cs="Times New Roman"/>
          <w:color w:val="auto"/>
          <w:szCs w:val="24"/>
          <w:highlight w:val="none"/>
        </w:rPr>
      </w:pPr>
    </w:p>
    <w:p w14:paraId="7F04FF6D">
      <w:pPr>
        <w:pStyle w:val="45"/>
        <w:rPr>
          <w:rFonts w:cs="Times New Roman"/>
          <w:color w:val="auto"/>
          <w:szCs w:val="24"/>
          <w:highlight w:val="none"/>
        </w:rPr>
      </w:pPr>
    </w:p>
    <w:p w14:paraId="54FE3F4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s="Times New Roman"/>
          <w:b/>
          <w:color w:val="auto"/>
          <w:sz w:val="21"/>
          <w:szCs w:val="21"/>
          <w:highlight w:val="none"/>
          <w:lang w:val="en-US" w:eastAsia="zh-CN"/>
        </w:rPr>
      </w:pPr>
      <w:r>
        <w:rPr>
          <w:color w:val="auto"/>
          <w:highlight w:val="none"/>
        </w:rPr>
        <w:drawing>
          <wp:anchor distT="0" distB="0" distL="114300" distR="114300" simplePos="0" relativeHeight="251720704" behindDoc="0" locked="0" layoutInCell="1" allowOverlap="1">
            <wp:simplePos x="0" y="0"/>
            <wp:positionH relativeFrom="column">
              <wp:posOffset>4664710</wp:posOffset>
            </wp:positionH>
            <wp:positionV relativeFrom="paragraph">
              <wp:posOffset>0</wp:posOffset>
            </wp:positionV>
            <wp:extent cx="603250" cy="610235"/>
            <wp:effectExtent l="0" t="0" r="6350" b="18415"/>
            <wp:wrapNone/>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63"/>
                    <a:stretch>
                      <a:fillRect/>
                    </a:stretch>
                  </pic:blipFill>
                  <pic:spPr>
                    <a:xfrm>
                      <a:off x="0" y="0"/>
                      <a:ext cx="603250" cy="610235"/>
                    </a:xfrm>
                    <a:prstGeom prst="rect">
                      <a:avLst/>
                    </a:prstGeom>
                    <a:noFill/>
                    <a:ln>
                      <a:noFill/>
                    </a:ln>
                  </pic:spPr>
                </pic:pic>
              </a:graphicData>
            </a:graphic>
          </wp:anchor>
        </w:drawing>
      </w:r>
      <w:r>
        <w:rPr>
          <w:rFonts w:cs="Times New Roman"/>
          <w:color w:val="auto"/>
          <w:sz w:val="21"/>
          <w:highlight w:val="none"/>
        </w:rPr>
        <mc:AlternateContent>
          <mc:Choice Requires="wps">
            <w:drawing>
              <wp:anchor distT="0" distB="0" distL="114300" distR="114300" simplePos="0" relativeHeight="251681792" behindDoc="0" locked="0" layoutInCell="1" allowOverlap="1">
                <wp:simplePos x="0" y="0"/>
                <wp:positionH relativeFrom="column">
                  <wp:posOffset>4445</wp:posOffset>
                </wp:positionH>
                <wp:positionV relativeFrom="paragraph">
                  <wp:posOffset>3475355</wp:posOffset>
                </wp:positionV>
                <wp:extent cx="250190" cy="7620"/>
                <wp:effectExtent l="0" t="48895" r="16510" b="57785"/>
                <wp:wrapNone/>
                <wp:docPr id="45" name="直接箭头连接符 45"/>
                <wp:cNvGraphicFramePr/>
                <a:graphic xmlns:a="http://schemas.openxmlformats.org/drawingml/2006/main">
                  <a:graphicData uri="http://schemas.microsoft.com/office/word/2010/wordprocessingShape">
                    <wps:wsp>
                      <wps:cNvCnPr/>
                      <wps:spPr>
                        <a:xfrm>
                          <a:off x="1240790" y="8593455"/>
                          <a:ext cx="250190" cy="7620"/>
                        </a:xfrm>
                        <a:prstGeom prst="straightConnector1">
                          <a:avLst/>
                        </a:prstGeom>
                        <a:ln w="19050">
                          <a:solidFill>
                            <a:srgbClr val="1F37C9"/>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0.35pt;margin-top:273.65pt;height:0.6pt;width:19.7pt;z-index:251681792;mso-width-relative:page;mso-height-relative:page;" filled="f" stroked="t" coordsize="21600,21600" o:gfxdata="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4II+7WAAAABwEAAA8AAAAAAAAAAQAgAAAA&#10;IgAAAGRycy9kb3ducmV2LnhtbFBLAQIUABQAAAAIAIdO4kCj0B4IDQIAANgDAAAOAAAAAAAAAAEA&#10;IAAAACUBAABkcnMvZTJvRG9jLnhtbFBLBQYAAAAABgAGAFkBAACkBQAAAAA=&#10;">
                <v:fill on="f" focussize="0,0"/>
                <v:stroke weight="1.5pt" color="#1F37C9 [3204]" joinstyle="round" endarrow="open"/>
                <v:imagedata o:title=""/>
                <o:lock v:ext="edit" aspectratio="f"/>
              </v:shape>
            </w:pict>
          </mc:Fallback>
        </mc:AlternateContent>
      </w:r>
      <w:r>
        <w:rPr>
          <w:rFonts w:cs="Times New Roman"/>
          <w:color w:val="auto"/>
          <w:sz w:val="21"/>
          <w:highlight w:val="none"/>
        </w:rPr>
        <mc:AlternateContent>
          <mc:Choice Requires="wpg">
            <w:drawing>
              <wp:anchor distT="0" distB="0" distL="114300" distR="114300" simplePos="0" relativeHeight="251680768" behindDoc="0" locked="0" layoutInCell="1" allowOverlap="1">
                <wp:simplePos x="0" y="0"/>
                <wp:positionH relativeFrom="column">
                  <wp:posOffset>16510</wp:posOffset>
                </wp:positionH>
                <wp:positionV relativeFrom="paragraph">
                  <wp:posOffset>2537460</wp:posOffset>
                </wp:positionV>
                <wp:extent cx="226060" cy="648335"/>
                <wp:effectExtent l="4445" t="4445" r="17145" b="13970"/>
                <wp:wrapNone/>
                <wp:docPr id="43" name="组合 43"/>
                <wp:cNvGraphicFramePr/>
                <a:graphic xmlns:a="http://schemas.openxmlformats.org/drawingml/2006/main">
                  <a:graphicData uri="http://schemas.microsoft.com/office/word/2010/wordprocessingGroup">
                    <wpg:wgp>
                      <wpg:cNvGrpSpPr/>
                      <wpg:grpSpPr>
                        <a:xfrm>
                          <a:off x="0" y="0"/>
                          <a:ext cx="226060" cy="648335"/>
                          <a:chOff x="2181" y="2203565"/>
                          <a:chExt cx="490" cy="1622"/>
                        </a:xfrm>
                      </wpg:grpSpPr>
                      <wps:wsp>
                        <wps:cNvPr id="37" name="矩形 37"/>
                        <wps:cNvSpPr/>
                        <wps:spPr>
                          <a:xfrm>
                            <a:off x="2188" y="2203999"/>
                            <a:ext cx="474" cy="223"/>
                          </a:xfrm>
                          <a:prstGeom prst="rect">
                            <a:avLst/>
                          </a:prstGeom>
                          <a:solidFill>
                            <a:srgbClr val="00B0F0">
                              <a:alpha val="45000"/>
                            </a:srgb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2FC43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9" name="矩形 39"/>
                        <wps:cNvSpPr/>
                        <wps:spPr>
                          <a:xfrm>
                            <a:off x="2186" y="2203565"/>
                            <a:ext cx="474" cy="223"/>
                          </a:xfrm>
                          <a:prstGeom prst="rect">
                            <a:avLst/>
                          </a:prstGeom>
                          <a:solidFill>
                            <a:srgbClr val="FF0000">
                              <a:alpha val="80000"/>
                            </a:srgb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4D660D">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0" name="矩形 40"/>
                        <wps:cNvSpPr/>
                        <wps:spPr>
                          <a:xfrm>
                            <a:off x="2181" y="2204450"/>
                            <a:ext cx="490" cy="236"/>
                          </a:xfrm>
                          <a:prstGeom prst="rect">
                            <a:avLst/>
                          </a:prstGeom>
                          <a:solidFill>
                            <a:schemeClr val="bg1">
                              <a:lumMod val="90000"/>
                              <a:alpha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E62DC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1" name="五角星 41"/>
                        <wps:cNvSpPr/>
                        <wps:spPr>
                          <a:xfrm>
                            <a:off x="2287" y="2204895"/>
                            <a:ext cx="292" cy="292"/>
                          </a:xfrm>
                          <a:prstGeom prst="star5">
                            <a:avLst/>
                          </a:prstGeom>
                          <a:solidFill>
                            <a:srgbClr val="C0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EF3104">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3pt;margin-top:199.8pt;height:51.05pt;width:17.8pt;z-index:251680768;mso-width-relative:page;mso-height-relative:page;" coordorigin="2181,2203565" coordsize="490,1622" o:gfxdata="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">
                <o:lock v:ext="edit" aspectratio="f"/>
                <v:rect id="_x0000_s1026" o:spid="_x0000_s1026" o:spt="1" style="position:absolute;left:2188;top:2203999;height:223;width:474;v-text-anchor:middle;" fillcolor="#00B0F0" filled="t" stroked="t" coordsize="21600,21600" o:gfxdata="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yfmpK/&#10;AAAA2wAAAA8AAAAAAAAAAQAgAAAAIgAAAGRycy9kb3ducmV2LnhtbFBLAQIUABQAAAAIAIdO4kAz&#10;LwWeOwAAADkAAAAQAAAAAAAAAAEAIAAAAA4BAABkcnMvc2hhcGV4bWwueG1sUEsFBgAAAAAGAAYA&#10;WwEAALgDAAAAAA==&#10;">
                  <v:fill on="t" opacity="29491f" focussize="0,0"/>
                  <v:stroke weight="0.25pt" color="#000000 [3213]" joinstyle="round"/>
                  <v:imagedata o:title=""/>
                  <o:lock v:ext="edit" aspectratio="f"/>
                  <v:textbox>
                    <w:txbxContent>
                      <w:p w14:paraId="4D2FC43F">
                        <w:pPr>
                          <w:jc w:val="center"/>
                        </w:pPr>
                      </w:p>
                    </w:txbxContent>
                  </v:textbox>
                </v:rect>
                <v:rect id="_x0000_s1026" o:spid="_x0000_s1026" o:spt="1" style="position:absolute;left:2186;top:2203565;height:223;width:474;v-text-anchor:middle;" fillcolor="#FF0000" filled="t" stroked="t" coordsize="21600,21600" o:gfxdata="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VChAvQAA&#10;ANsAAAAPAAAAAAAAAAEAIAAAACIAAABkcnMvZG93bnJldi54bWxQSwECFAAUAAAACACHTuJAMy8F&#10;njsAAAA5AAAAEAAAAAAAAAABACAAAAAMAQAAZHJzL3NoYXBleG1sLnhtbFBLBQYAAAAABgAGAFsB&#10;AAC2AwAAAAA=&#10;">
                  <v:fill on="t" opacity="52428f" focussize="0,0"/>
                  <v:stroke weight="0.25pt" color="#000000 [3213]" joinstyle="round"/>
                  <v:imagedata o:title=""/>
                  <o:lock v:ext="edit" aspectratio="f"/>
                  <v:textbox>
                    <w:txbxContent>
                      <w:p w14:paraId="124D660D">
                        <w:pPr>
                          <w:jc w:val="center"/>
                        </w:pPr>
                      </w:p>
                    </w:txbxContent>
                  </v:textbox>
                </v:rect>
                <v:rect id="_x0000_s1026" o:spid="_x0000_s1026" o:spt="1" style="position:absolute;left:2181;top:2204450;height:236;width:490;v-text-anchor:middle;" fillcolor="#E6E6E6 [2892]" filled="t" stroked="t" coordsize="21600,21600" o:gfxdata="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w/ANe8AAAA&#10;2wAAAA8AAAAAAAAAAQAgAAAAIgAAAGRycy9kb3ducmV2LnhtbFBLAQIUABQAAAAIAIdO4kAzLwWe&#10;OwAAADkAAAAQAAAAAAAAAAEAIAAAAAsBAABkcnMvc2hhcGV4bWwueG1sUEsFBgAAAAAGAAYAWwEA&#10;ALUDAAAAAA==&#10;">
                  <v:fill on="t" opacity="52428f" focussize="0,0"/>
                  <v:stroke weight="0.25pt" color="#000000 [3213]" joinstyle="round"/>
                  <v:imagedata o:title=""/>
                  <o:lock v:ext="edit" aspectratio="f"/>
                  <v:textbox>
                    <w:txbxContent>
                      <w:p w14:paraId="56E62DC0">
                        <w:pPr>
                          <w:jc w:val="center"/>
                        </w:pPr>
                      </w:p>
                    </w:txbxContent>
                  </v:textbox>
                </v:rect>
                <v:shape id="_x0000_s1026" o:spid="_x0000_s1026" style="position:absolute;left:2287;top:2204895;height:292;width:292;v-text-anchor:middle;" fillcolor="#C00000" filled="t" stroked="t" coordsize="292,292" o:gfxdata="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6zUmvQAA&#10;ANsAAAAPAAAAAAAAAAEAIAAAACIAAABkcnMvZG93bnJldi54bWxQSwECFAAUAAAACACHTuJAMy8F&#10;njsAAAA5AAAAEAAAAAAAAAABACAAAAAMAQAAZHJzL3NoYXBleG1sLnhtbFBLBQYAAAAABgAGAFsB&#10;AAC2AwAAAAA=&#10;" path="m0,111l111,111,146,0,180,111,291,111,201,180,236,291,146,223,55,291,90,180xe">
                  <v:path textboxrect="0,0,292,292" o:connectlocs="146,0;0,111;55,291;236,291;291,111" o:connectangles="247,164,82,82,0"/>
                  <v:fill on="t" focussize="0,0"/>
                  <v:stroke weight="0.25pt" color="#000000 [3213]" joinstyle="round"/>
                  <v:imagedata o:title=""/>
                  <o:lock v:ext="edit" aspectratio="f"/>
                  <v:textbox>
                    <w:txbxContent>
                      <w:p w14:paraId="17EF3104">
                        <w:pPr>
                          <w:jc w:val="center"/>
                        </w:pPr>
                      </w:p>
                    </w:txbxContent>
                  </v:textbox>
                </v:shape>
              </v:group>
            </w:pict>
          </mc:Fallback>
        </mc:AlternateContent>
      </w:r>
      <w:r>
        <w:rPr>
          <w:rFonts w:cs="Times New Roman"/>
          <w:color w:val="auto"/>
          <w:sz w:val="21"/>
          <w:highlight w:val="none"/>
        </w:rPr>
        <mc:AlternateContent>
          <mc:Choice Requires="wps">
            <w:drawing>
              <wp:anchor distT="0" distB="0" distL="114300" distR="114300" simplePos="0" relativeHeight="251679744" behindDoc="0" locked="0" layoutInCell="1" allowOverlap="1">
                <wp:simplePos x="0" y="0"/>
                <wp:positionH relativeFrom="column">
                  <wp:posOffset>-73025</wp:posOffset>
                </wp:positionH>
                <wp:positionV relativeFrom="paragraph">
                  <wp:posOffset>2282190</wp:posOffset>
                </wp:positionV>
                <wp:extent cx="1161415" cy="1364615"/>
                <wp:effectExtent l="4445" t="4445" r="15240" b="21590"/>
                <wp:wrapNone/>
                <wp:docPr id="36" name="文本框 36"/>
                <wp:cNvGraphicFramePr/>
                <a:graphic xmlns:a="http://schemas.openxmlformats.org/drawingml/2006/main">
                  <a:graphicData uri="http://schemas.microsoft.com/office/word/2010/wordprocessingShape">
                    <wps:wsp>
                      <wps:cNvSpPr txBox="1"/>
                      <wps:spPr>
                        <a:xfrm>
                          <a:off x="1280795" y="7923530"/>
                          <a:ext cx="1161415" cy="1364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A46C545">
                            <w:pPr>
                              <w:spacing w:line="240" w:lineRule="auto"/>
                              <w:ind w:firstLine="0" w:firstLineChars="0"/>
                              <w:jc w:val="center"/>
                              <w:rPr>
                                <w:b/>
                                <w:bCs/>
                                <w:sz w:val="21"/>
                                <w:szCs w:val="20"/>
                              </w:rPr>
                            </w:pPr>
                            <w:r>
                              <w:rPr>
                                <w:rFonts w:hint="eastAsia"/>
                                <w:b/>
                                <w:bCs/>
                                <w:sz w:val="21"/>
                                <w:szCs w:val="20"/>
                              </w:rPr>
                              <w:t>图  例</w:t>
                            </w:r>
                          </w:p>
                          <w:p w14:paraId="2FC0205F">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重点防渗区</w:t>
                            </w:r>
                          </w:p>
                          <w:p w14:paraId="522D2F6E">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一般防渗区</w:t>
                            </w:r>
                          </w:p>
                          <w:p w14:paraId="64BF7AA3">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简单防渗区</w:t>
                            </w:r>
                          </w:p>
                          <w:p w14:paraId="204FF397">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地下水监测井</w:t>
                            </w:r>
                          </w:p>
                          <w:p w14:paraId="733B279E">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地下水流向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5pt;margin-top:179.7pt;height:107.45pt;width:91.45pt;z-index:251679744;mso-width-relative:page;mso-height-relative:page;" fillcolor="#FFFFFF [3201]" filled="t" stroked="t" coordsize="21600,21600" o:gfxdata="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9TnHWdgAAAALAQAADwAAAAAAAAABACAAAAAiAAAAZHJzL2Rvd25yZXYueG1sUEsBAhQA&#10;FAAAAAgAh07iQGxp4YRkAgAAxgQAAA4AAAAAAAAAAQAgAAAAJwEAAGRycy9lMm9Eb2MueG1sUEsF&#10;BgAAAAAGAAYAWQEAAP0FAAAAAA==&#10;">
                <v:fill on="t" focussize="0,0"/>
                <v:stroke weight="0.5pt" color="#000000 [3204]" joinstyle="round"/>
                <v:imagedata o:title=""/>
                <o:lock v:ext="edit" aspectratio="f"/>
                <v:textbox>
                  <w:txbxContent>
                    <w:p w14:paraId="3A46C545">
                      <w:pPr>
                        <w:spacing w:line="240" w:lineRule="auto"/>
                        <w:ind w:firstLine="0" w:firstLineChars="0"/>
                        <w:jc w:val="center"/>
                        <w:rPr>
                          <w:b/>
                          <w:bCs/>
                          <w:sz w:val="21"/>
                          <w:szCs w:val="20"/>
                        </w:rPr>
                      </w:pPr>
                      <w:r>
                        <w:rPr>
                          <w:rFonts w:hint="eastAsia"/>
                          <w:b/>
                          <w:bCs/>
                          <w:sz w:val="21"/>
                          <w:szCs w:val="20"/>
                        </w:rPr>
                        <w:t>图  例</w:t>
                      </w:r>
                    </w:p>
                    <w:p w14:paraId="2FC0205F">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重点防渗区</w:t>
                      </w:r>
                    </w:p>
                    <w:p w14:paraId="522D2F6E">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一般防渗区</w:t>
                      </w:r>
                    </w:p>
                    <w:p w14:paraId="64BF7AA3">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简单防渗区</w:t>
                      </w:r>
                    </w:p>
                    <w:p w14:paraId="204FF397">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地下水监测井</w:t>
                      </w:r>
                    </w:p>
                    <w:p w14:paraId="733B279E">
                      <w:pPr>
                        <w:keepNext w:val="0"/>
                        <w:keepLines w:val="0"/>
                        <w:pageBreakBefore w:val="0"/>
                        <w:widowControl w:val="0"/>
                        <w:kinsoku/>
                        <w:wordWrap/>
                        <w:overflowPunct/>
                        <w:topLinePunct w:val="0"/>
                        <w:autoSpaceDE/>
                        <w:autoSpaceDN/>
                        <w:bidi w:val="0"/>
                        <w:adjustRightInd w:val="0"/>
                        <w:snapToGrid w:val="0"/>
                        <w:spacing w:line="240" w:lineRule="auto"/>
                        <w:textAlignment w:val="auto"/>
                        <w:rPr>
                          <w:sz w:val="21"/>
                          <w:szCs w:val="20"/>
                        </w:rPr>
                      </w:pPr>
                      <w:r>
                        <w:rPr>
                          <w:rFonts w:hint="eastAsia"/>
                          <w:sz w:val="21"/>
                          <w:szCs w:val="20"/>
                        </w:rPr>
                        <w:t>地下水流向</w:t>
                      </w:r>
                    </w:p>
                  </w:txbxContent>
                </v:textbox>
              </v:shape>
            </w:pict>
          </mc:Fallback>
        </mc:AlternateContent>
      </w:r>
      <w:r>
        <w:rPr>
          <w:color w:val="auto"/>
          <w:highlight w:val="none"/>
        </w:rPr>
        <w:drawing>
          <wp:inline distT="0" distB="0" distL="114300" distR="114300">
            <wp:extent cx="5267960" cy="3710940"/>
            <wp:effectExtent l="0" t="0" r="8890" b="3810"/>
            <wp:docPr id="1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8"/>
                    <pic:cNvPicPr>
                      <a:picLocks noChangeAspect="1"/>
                    </pic:cNvPicPr>
                  </pic:nvPicPr>
                  <pic:blipFill>
                    <a:blip r:embed="rId64"/>
                    <a:stretch>
                      <a:fillRect/>
                    </a:stretch>
                  </pic:blipFill>
                  <pic:spPr>
                    <a:xfrm>
                      <a:off x="0" y="0"/>
                      <a:ext cx="5267960" cy="3710940"/>
                    </a:xfrm>
                    <a:prstGeom prst="rect">
                      <a:avLst/>
                    </a:prstGeom>
                    <a:noFill/>
                    <a:ln>
                      <a:noFill/>
                    </a:ln>
                  </pic:spPr>
                </pic:pic>
              </a:graphicData>
            </a:graphic>
          </wp:inline>
        </w:drawing>
      </w:r>
      <w:r>
        <w:rPr>
          <w:rFonts w:hint="eastAsia" w:cs="Times New Roman"/>
          <w:b/>
          <w:color w:val="auto"/>
          <w:sz w:val="21"/>
          <w:szCs w:val="21"/>
          <w:highlight w:val="none"/>
          <w:lang w:val="en-US" w:eastAsia="zh-CN"/>
        </w:rPr>
        <w:t xml:space="preserve"> </w:t>
      </w:r>
    </w:p>
    <w:p w14:paraId="090BF145">
      <w:pPr>
        <w:spacing w:line="240" w:lineRule="auto"/>
        <w:ind w:firstLine="0" w:firstLineChars="0"/>
        <w:jc w:val="center"/>
        <w:rPr>
          <w:rFonts w:cs="Times New Roman"/>
          <w:b/>
          <w:color w:val="auto"/>
          <w:szCs w:val="24"/>
          <w:highlight w:val="none"/>
        </w:rPr>
      </w:pPr>
      <w:r>
        <w:rPr>
          <w:rFonts w:cs="Times New Roman"/>
          <w:b/>
          <w:color w:val="auto"/>
          <w:szCs w:val="24"/>
          <w:highlight w:val="none"/>
        </w:rPr>
        <w:t>图6</w:t>
      </w:r>
      <w:r>
        <w:rPr>
          <w:rFonts w:hint="eastAsia" w:cs="Times New Roman"/>
          <w:b/>
          <w:color w:val="auto"/>
          <w:szCs w:val="24"/>
          <w:highlight w:val="none"/>
          <w:lang w:val="en-US" w:eastAsia="zh-CN"/>
        </w:rPr>
        <w:t>.</w:t>
      </w:r>
      <w:r>
        <w:rPr>
          <w:rFonts w:cs="Times New Roman"/>
          <w:b/>
          <w:color w:val="auto"/>
          <w:szCs w:val="24"/>
          <w:highlight w:val="none"/>
        </w:rPr>
        <w:t>2-1  分区防渗图</w:t>
      </w:r>
    </w:p>
    <w:p w14:paraId="1873B4C3">
      <w:pPr>
        <w:spacing w:line="500" w:lineRule="exact"/>
        <w:ind w:firstLine="482"/>
        <w:rPr>
          <w:rFonts w:cs="Times New Roman"/>
          <w:b/>
          <w:bCs/>
          <w:color w:val="auto"/>
          <w:szCs w:val="24"/>
          <w:highlight w:val="none"/>
        </w:rPr>
      </w:pPr>
      <w:r>
        <w:rPr>
          <w:rFonts w:cs="Times New Roman"/>
          <w:b/>
          <w:bCs/>
          <w:color w:val="auto"/>
          <w:szCs w:val="24"/>
          <w:highlight w:val="none"/>
        </w:rPr>
        <w:t>3、地下水监测</w:t>
      </w:r>
    </w:p>
    <w:p w14:paraId="172431D7">
      <w:pPr>
        <w:spacing w:line="500" w:lineRule="exact"/>
        <w:rPr>
          <w:rFonts w:hint="default" w:eastAsia="宋体" w:cs="Times New Roman"/>
          <w:color w:val="auto"/>
          <w:szCs w:val="24"/>
          <w:highlight w:val="none"/>
          <w:lang w:val="en-US" w:eastAsia="zh-CN"/>
        </w:rPr>
      </w:pPr>
      <w:r>
        <w:rPr>
          <w:rFonts w:cs="Times New Roman"/>
          <w:color w:val="auto"/>
          <w:szCs w:val="24"/>
          <w:highlight w:val="none"/>
        </w:rPr>
        <w:t>根据《环境影响评价技术导则 地下水环境》(HJ610-2016)对该项目所在区域地下水环境质量进行定期的监测，</w:t>
      </w:r>
      <w:r>
        <w:rPr>
          <w:rFonts w:hint="eastAsia" w:cs="Times New Roman"/>
          <w:color w:val="auto"/>
          <w:szCs w:val="24"/>
          <w:highlight w:val="none"/>
          <w:lang w:val="en-US" w:eastAsia="zh-CN"/>
        </w:rPr>
        <w:t>而设立地下水监测井，</w:t>
      </w:r>
      <w:r>
        <w:rPr>
          <w:rFonts w:cs="Times New Roman"/>
          <w:color w:val="auto"/>
          <w:szCs w:val="24"/>
          <w:highlight w:val="none"/>
        </w:rPr>
        <w:t>防止或最大限度的减轻项目对地下水环境的污染。</w:t>
      </w:r>
    </w:p>
    <w:p w14:paraId="39F9D478">
      <w:pPr>
        <w:spacing w:line="500" w:lineRule="exact"/>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（1）监测点：设置监测水井一口，地下水监测井设置在厂内</w:t>
      </w:r>
      <w:r>
        <w:rPr>
          <w:rFonts w:hint="eastAsia" w:ascii="Times New Roman" w:hAnsi="Times New Roman" w:eastAsia="宋体" w:cs="Times New Roman"/>
          <w:color w:val="auto"/>
          <w:szCs w:val="24"/>
          <w:highlight w:val="none"/>
          <w:lang w:eastAsia="zh-CN"/>
        </w:rPr>
        <w:t>，</w:t>
      </w:r>
      <w:r>
        <w:rPr>
          <w:rFonts w:ascii="Times New Roman" w:hAnsi="Times New Roman" w:eastAsia="宋体" w:cs="Times New Roman"/>
          <w:color w:val="auto"/>
          <w:szCs w:val="24"/>
          <w:highlight w:val="none"/>
        </w:rPr>
        <w:t>并设在地下水流向的下游</w:t>
      </w:r>
      <w:r>
        <w:rPr>
          <w:rFonts w:hint="eastAsia" w:ascii="Times New Roman" w:hAnsi="Times New Roman" w:eastAsia="宋体" w:cs="Times New Roman"/>
          <w:color w:val="auto"/>
          <w:szCs w:val="24"/>
          <w:highlight w:val="none"/>
          <w:lang w:eastAsia="zh-CN"/>
        </w:rPr>
        <w:t>，</w:t>
      </w:r>
      <w:r>
        <w:rPr>
          <w:rFonts w:hint="eastAsia" w:ascii="Times New Roman" w:hAnsi="Times New Roman" w:eastAsia="宋体" w:cs="Times New Roman"/>
          <w:color w:val="auto"/>
          <w:szCs w:val="24"/>
          <w:highlight w:val="none"/>
          <w:lang w:val="en-US" w:eastAsia="zh-CN"/>
        </w:rPr>
        <w:t>位于</w:t>
      </w:r>
      <w:r>
        <w:rPr>
          <w:rFonts w:hint="eastAsia" w:cs="Times New Roman"/>
          <w:color w:val="auto"/>
          <w:szCs w:val="24"/>
          <w:highlight w:val="none"/>
          <w:lang w:val="en-US" w:eastAsia="zh-CN"/>
        </w:rPr>
        <w:t>门卫西侧</w:t>
      </w:r>
      <w:r>
        <w:rPr>
          <w:rFonts w:ascii="Times New Roman" w:hAnsi="Times New Roman" w:eastAsia="宋体" w:cs="Times New Roman"/>
          <w:color w:val="auto"/>
          <w:szCs w:val="24"/>
          <w:highlight w:val="none"/>
        </w:rPr>
        <w:t>（跟踪监测井位置见图6</w:t>
      </w:r>
      <w:r>
        <w:rPr>
          <w:rFonts w:hint="eastAsia" w:cs="Times New Roman"/>
          <w:color w:val="auto"/>
          <w:szCs w:val="24"/>
          <w:highlight w:val="none"/>
          <w:lang w:val="en-US" w:eastAsia="zh-CN"/>
        </w:rPr>
        <w:t>.</w:t>
      </w:r>
      <w:r>
        <w:rPr>
          <w:rFonts w:ascii="Times New Roman" w:hAnsi="Times New Roman" w:eastAsia="宋体" w:cs="Times New Roman"/>
          <w:color w:val="auto"/>
          <w:szCs w:val="24"/>
          <w:highlight w:val="none"/>
        </w:rPr>
        <w:t>2-1）。</w:t>
      </w:r>
    </w:p>
    <w:p w14:paraId="3824999C">
      <w:pPr>
        <w:keepNext w:val="0"/>
        <w:keepLines w:val="0"/>
        <w:pageBreakBefore w:val="0"/>
        <w:widowControl w:val="0"/>
        <w:kinsoku/>
        <w:wordWrap/>
        <w:overflowPunct/>
        <w:topLinePunct w:val="0"/>
        <w:autoSpaceDE/>
        <w:autoSpaceDN/>
        <w:bidi w:val="0"/>
        <w:adjustRightInd w:val="0"/>
        <w:snapToGrid w:val="0"/>
        <w:spacing w:before="164" w:beforeLines="50" w:line="240" w:lineRule="auto"/>
        <w:ind w:firstLine="0" w:firstLineChars="0"/>
        <w:jc w:val="center"/>
        <w:textAlignment w:val="auto"/>
        <w:rPr>
          <w:rFonts w:cs="Times New Roman"/>
          <w:b/>
          <w:color w:val="auto"/>
          <w:szCs w:val="24"/>
          <w:highlight w:val="none"/>
        </w:rPr>
      </w:pPr>
      <w:r>
        <w:rPr>
          <w:rFonts w:cs="Times New Roman"/>
          <w:b/>
          <w:color w:val="auto"/>
          <w:szCs w:val="24"/>
          <w:highlight w:val="none"/>
        </w:rPr>
        <w:t>表6</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6</w:t>
      </w:r>
      <w:r>
        <w:rPr>
          <w:rFonts w:cs="Times New Roman"/>
          <w:b/>
          <w:color w:val="auto"/>
          <w:szCs w:val="24"/>
          <w:highlight w:val="none"/>
        </w:rPr>
        <w:t xml:space="preserve">  地下水环境监测点一览表</w:t>
      </w:r>
    </w:p>
    <w:tbl>
      <w:tblPr>
        <w:tblStyle w:val="47"/>
        <w:tblW w:w="8397"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1286"/>
        <w:gridCol w:w="840"/>
        <w:gridCol w:w="1664"/>
        <w:gridCol w:w="1745"/>
        <w:gridCol w:w="816"/>
        <w:gridCol w:w="1013"/>
        <w:gridCol w:w="1033"/>
      </w:tblGrid>
      <w:tr w14:paraId="0C9BE7F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72" w:hRule="atLeast"/>
          <w:jc w:val="center"/>
        </w:trPr>
        <w:tc>
          <w:tcPr>
            <w:tcW w:w="1286" w:type="dxa"/>
            <w:vAlign w:val="center"/>
          </w:tcPr>
          <w:p w14:paraId="09B9F226">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点位</w:t>
            </w:r>
          </w:p>
        </w:tc>
        <w:tc>
          <w:tcPr>
            <w:tcW w:w="840" w:type="dxa"/>
            <w:vAlign w:val="center"/>
          </w:tcPr>
          <w:p w14:paraId="37A19973">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功能</w:t>
            </w:r>
          </w:p>
        </w:tc>
        <w:tc>
          <w:tcPr>
            <w:tcW w:w="1664" w:type="dxa"/>
            <w:vAlign w:val="center"/>
          </w:tcPr>
          <w:p w14:paraId="78F268F0">
            <w:pPr>
              <w:spacing w:line="360" w:lineRule="exact"/>
              <w:ind w:firstLine="0" w:firstLineChars="0"/>
              <w:jc w:val="center"/>
              <w:rPr>
                <w:rFonts w:cs="Times New Roman"/>
                <w:color w:val="auto"/>
                <w:kern w:val="0"/>
                <w:sz w:val="21"/>
                <w:szCs w:val="21"/>
                <w:highlight w:val="none"/>
              </w:rPr>
            </w:pPr>
            <w:r>
              <w:rPr>
                <w:rFonts w:cs="Times New Roman"/>
                <w:color w:val="auto"/>
                <w:sz w:val="21"/>
                <w:szCs w:val="21"/>
                <w:highlight w:val="none"/>
              </w:rPr>
              <w:t>坐标</w:t>
            </w:r>
          </w:p>
        </w:tc>
        <w:tc>
          <w:tcPr>
            <w:tcW w:w="1745" w:type="dxa"/>
            <w:tcMar>
              <w:top w:w="28" w:type="dxa"/>
              <w:left w:w="28" w:type="dxa"/>
              <w:bottom w:w="28" w:type="dxa"/>
              <w:right w:w="28" w:type="dxa"/>
            </w:tcMar>
            <w:vAlign w:val="center"/>
          </w:tcPr>
          <w:p w14:paraId="1C4FDF6C">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监测因子</w:t>
            </w:r>
          </w:p>
        </w:tc>
        <w:tc>
          <w:tcPr>
            <w:tcW w:w="816" w:type="dxa"/>
            <w:tcMar>
              <w:top w:w="28" w:type="dxa"/>
              <w:left w:w="28" w:type="dxa"/>
              <w:bottom w:w="28" w:type="dxa"/>
              <w:right w:w="28" w:type="dxa"/>
            </w:tcMar>
            <w:vAlign w:val="center"/>
          </w:tcPr>
          <w:p w14:paraId="70E6A3DB">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井深</w:t>
            </w:r>
          </w:p>
        </w:tc>
        <w:tc>
          <w:tcPr>
            <w:tcW w:w="1013" w:type="dxa"/>
            <w:tcMar>
              <w:top w:w="28" w:type="dxa"/>
              <w:left w:w="28" w:type="dxa"/>
              <w:bottom w:w="28" w:type="dxa"/>
              <w:right w:w="28" w:type="dxa"/>
            </w:tcMar>
            <w:vAlign w:val="center"/>
          </w:tcPr>
          <w:p w14:paraId="4663C252">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监测层位</w:t>
            </w:r>
          </w:p>
        </w:tc>
        <w:tc>
          <w:tcPr>
            <w:tcW w:w="1033" w:type="dxa"/>
            <w:vAlign w:val="center"/>
          </w:tcPr>
          <w:p w14:paraId="34987A3E">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监测频次</w:t>
            </w:r>
          </w:p>
        </w:tc>
      </w:tr>
      <w:tr w14:paraId="12416A4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2014" w:hRule="atLeast"/>
          <w:jc w:val="center"/>
        </w:trPr>
        <w:tc>
          <w:tcPr>
            <w:tcW w:w="1286" w:type="dxa"/>
            <w:vAlign w:val="center"/>
          </w:tcPr>
          <w:p w14:paraId="1C8A18D3">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门卫西侧</w:t>
            </w:r>
            <w:r>
              <w:rPr>
                <w:rFonts w:cs="Times New Roman"/>
                <w:color w:val="auto"/>
                <w:sz w:val="21"/>
                <w:szCs w:val="21"/>
                <w:highlight w:val="none"/>
              </w:rPr>
              <w:t>（</w:t>
            </w:r>
            <w:r>
              <w:rPr>
                <w:rFonts w:hint="eastAsia" w:cs="Times New Roman"/>
                <w:color w:val="auto"/>
                <w:sz w:val="21"/>
                <w:szCs w:val="21"/>
                <w:highlight w:val="none"/>
                <w:lang w:val="en-US" w:eastAsia="zh-CN"/>
              </w:rPr>
              <w:t>厂区地下水流向</w:t>
            </w:r>
            <w:r>
              <w:rPr>
                <w:rFonts w:cs="Times New Roman"/>
                <w:color w:val="auto"/>
                <w:sz w:val="21"/>
                <w:szCs w:val="21"/>
                <w:highlight w:val="none"/>
              </w:rPr>
              <w:t>下游）</w:t>
            </w:r>
          </w:p>
        </w:tc>
        <w:tc>
          <w:tcPr>
            <w:tcW w:w="840" w:type="dxa"/>
            <w:vAlign w:val="center"/>
          </w:tcPr>
          <w:p w14:paraId="3702F21E">
            <w:pPr>
              <w:spacing w:line="360" w:lineRule="exact"/>
              <w:ind w:firstLine="0" w:firstLineChars="0"/>
              <w:jc w:val="center"/>
              <w:rPr>
                <w:rFonts w:cs="Times New Roman"/>
                <w:smallCaps/>
                <w:color w:val="auto"/>
                <w:kern w:val="0"/>
                <w:sz w:val="21"/>
                <w:szCs w:val="21"/>
                <w:highlight w:val="none"/>
              </w:rPr>
            </w:pPr>
            <w:r>
              <w:rPr>
                <w:rFonts w:cs="Times New Roman"/>
                <w:smallCaps/>
                <w:color w:val="auto"/>
                <w:kern w:val="0"/>
                <w:sz w:val="21"/>
                <w:szCs w:val="21"/>
                <w:highlight w:val="none"/>
              </w:rPr>
              <w:t>跟踪监测井</w:t>
            </w:r>
          </w:p>
        </w:tc>
        <w:tc>
          <w:tcPr>
            <w:tcW w:w="1664" w:type="dxa"/>
            <w:vAlign w:val="center"/>
          </w:tcPr>
          <w:p w14:paraId="50337D81">
            <w:pPr>
              <w:spacing w:line="360" w:lineRule="exact"/>
              <w:ind w:firstLine="0" w:firstLineChars="0"/>
              <w:jc w:val="center"/>
              <w:rPr>
                <w:rFonts w:hint="eastAsia" w:eastAsia="宋体" w:cs="Times New Roman"/>
                <w:smallCaps/>
                <w:color w:val="auto"/>
                <w:kern w:val="0"/>
                <w:sz w:val="21"/>
                <w:szCs w:val="21"/>
                <w:highlight w:val="none"/>
                <w:lang w:val="en-US" w:eastAsia="zh-CN"/>
              </w:rPr>
            </w:pPr>
            <w:r>
              <w:rPr>
                <w:rFonts w:hint="eastAsia" w:cs="Times New Roman"/>
                <w:smallCaps/>
                <w:color w:val="auto"/>
                <w:kern w:val="0"/>
                <w:sz w:val="21"/>
                <w:szCs w:val="21"/>
                <w:highlight w:val="none"/>
                <w:lang w:val="en-US" w:eastAsia="zh-CN"/>
              </w:rPr>
              <w:t>E</w:t>
            </w:r>
            <w:r>
              <w:rPr>
                <w:rFonts w:hint="eastAsia" w:cs="Times New Roman"/>
                <w:smallCaps/>
                <w:color w:val="auto"/>
                <w:kern w:val="0"/>
                <w:sz w:val="21"/>
                <w:szCs w:val="21"/>
                <w:highlight w:val="none"/>
              </w:rPr>
              <w:t>131.148871</w:t>
            </w:r>
            <w:r>
              <w:rPr>
                <w:rFonts w:hint="eastAsia" w:cs="Times New Roman"/>
                <w:smallCaps/>
                <w:color w:val="auto"/>
                <w:kern w:val="0"/>
                <w:sz w:val="21"/>
                <w:szCs w:val="21"/>
                <w:highlight w:val="none"/>
                <w:lang w:val="en-US" w:eastAsia="zh-CN"/>
              </w:rPr>
              <w:t>°</w:t>
            </w:r>
          </w:p>
          <w:p w14:paraId="6067EAF8">
            <w:pPr>
              <w:spacing w:line="360" w:lineRule="exact"/>
              <w:ind w:firstLine="0" w:firstLineChars="0"/>
              <w:jc w:val="center"/>
              <w:rPr>
                <w:rFonts w:hint="eastAsia" w:eastAsia="宋体" w:cs="Times New Roman"/>
                <w:smallCaps/>
                <w:color w:val="auto"/>
                <w:kern w:val="0"/>
                <w:sz w:val="21"/>
                <w:szCs w:val="21"/>
                <w:highlight w:val="none"/>
                <w:lang w:val="en-US" w:eastAsia="zh-CN"/>
              </w:rPr>
            </w:pPr>
            <w:r>
              <w:rPr>
                <w:rFonts w:hint="eastAsia" w:cs="Times New Roman"/>
                <w:smallCaps/>
                <w:color w:val="auto"/>
                <w:kern w:val="0"/>
                <w:sz w:val="21"/>
                <w:szCs w:val="21"/>
                <w:highlight w:val="none"/>
                <w:lang w:val="en-US" w:eastAsia="zh-CN"/>
              </w:rPr>
              <w:t>N</w:t>
            </w:r>
            <w:r>
              <w:rPr>
                <w:rFonts w:hint="eastAsia" w:cs="Times New Roman"/>
                <w:smallCaps/>
                <w:color w:val="auto"/>
                <w:kern w:val="0"/>
                <w:sz w:val="21"/>
                <w:szCs w:val="21"/>
                <w:highlight w:val="none"/>
              </w:rPr>
              <w:t>46.558715</w:t>
            </w:r>
            <w:r>
              <w:rPr>
                <w:rFonts w:hint="eastAsia" w:cs="Times New Roman"/>
                <w:smallCaps/>
                <w:color w:val="auto"/>
                <w:kern w:val="0"/>
                <w:sz w:val="21"/>
                <w:szCs w:val="21"/>
                <w:highlight w:val="none"/>
                <w:lang w:val="en-US" w:eastAsia="zh-CN"/>
              </w:rPr>
              <w:t>°</w:t>
            </w:r>
          </w:p>
        </w:tc>
        <w:tc>
          <w:tcPr>
            <w:tcW w:w="1745" w:type="dxa"/>
            <w:tcMar>
              <w:top w:w="28" w:type="dxa"/>
              <w:left w:w="28" w:type="dxa"/>
              <w:bottom w:w="28" w:type="dxa"/>
              <w:right w:w="28" w:type="dxa"/>
            </w:tcMar>
            <w:vAlign w:val="center"/>
          </w:tcPr>
          <w:p w14:paraId="1EFFFD5D">
            <w:pPr>
              <w:spacing w:line="360" w:lineRule="exact"/>
              <w:ind w:firstLine="0" w:firstLineChars="0"/>
              <w:jc w:val="center"/>
              <w:rPr>
                <w:rFonts w:cs="Times New Roman"/>
                <w:color w:val="auto"/>
                <w:kern w:val="0"/>
                <w:sz w:val="21"/>
                <w:szCs w:val="21"/>
                <w:highlight w:val="none"/>
              </w:rPr>
            </w:pPr>
            <w:r>
              <w:rPr>
                <w:rFonts w:cs="Times New Roman"/>
                <w:color w:val="auto"/>
                <w:sz w:val="21"/>
                <w:szCs w:val="21"/>
                <w:highlight w:val="none"/>
              </w:rPr>
              <w:t>pH值、挥发酚、总硬度、溶解性总固体、氨氮、硫酸盐、氯化物、硝酸盐、耗氧量等</w:t>
            </w:r>
          </w:p>
        </w:tc>
        <w:tc>
          <w:tcPr>
            <w:tcW w:w="816" w:type="dxa"/>
            <w:tcMar>
              <w:top w:w="28" w:type="dxa"/>
              <w:left w:w="28" w:type="dxa"/>
              <w:bottom w:w="28" w:type="dxa"/>
              <w:right w:w="28" w:type="dxa"/>
            </w:tcMar>
            <w:vAlign w:val="center"/>
          </w:tcPr>
          <w:p w14:paraId="7DAF20FD">
            <w:pPr>
              <w:spacing w:line="360" w:lineRule="exact"/>
              <w:ind w:firstLine="0" w:firstLineChars="0"/>
              <w:jc w:val="center"/>
              <w:rPr>
                <w:rFonts w:cs="Times New Roman"/>
                <w:color w:val="auto"/>
                <w:kern w:val="24"/>
                <w:sz w:val="21"/>
                <w:szCs w:val="21"/>
                <w:highlight w:val="none"/>
              </w:rPr>
            </w:pPr>
            <w:r>
              <w:rPr>
                <w:rFonts w:cs="Times New Roman"/>
                <w:color w:val="auto"/>
                <w:kern w:val="24"/>
                <w:sz w:val="21"/>
                <w:szCs w:val="21"/>
                <w:highlight w:val="none"/>
              </w:rPr>
              <w:t>20m</w:t>
            </w:r>
          </w:p>
        </w:tc>
        <w:tc>
          <w:tcPr>
            <w:tcW w:w="1013" w:type="dxa"/>
            <w:tcMar>
              <w:top w:w="28" w:type="dxa"/>
              <w:left w:w="28" w:type="dxa"/>
              <w:bottom w:w="28" w:type="dxa"/>
              <w:right w:w="28" w:type="dxa"/>
            </w:tcMar>
            <w:vAlign w:val="center"/>
          </w:tcPr>
          <w:p w14:paraId="3189A867">
            <w:pPr>
              <w:spacing w:line="360" w:lineRule="exact"/>
              <w:ind w:firstLine="0" w:firstLineChars="0"/>
              <w:jc w:val="center"/>
              <w:rPr>
                <w:rFonts w:cs="Times New Roman"/>
                <w:color w:val="auto"/>
                <w:kern w:val="24"/>
                <w:sz w:val="21"/>
                <w:szCs w:val="21"/>
                <w:highlight w:val="none"/>
              </w:rPr>
            </w:pPr>
            <w:r>
              <w:rPr>
                <w:rFonts w:cs="Times New Roman"/>
                <w:color w:val="auto"/>
                <w:kern w:val="24"/>
                <w:sz w:val="21"/>
                <w:szCs w:val="21"/>
                <w:highlight w:val="none"/>
              </w:rPr>
              <w:t>潜水</w:t>
            </w:r>
          </w:p>
        </w:tc>
        <w:tc>
          <w:tcPr>
            <w:tcW w:w="1033" w:type="dxa"/>
            <w:vAlign w:val="center"/>
          </w:tcPr>
          <w:p w14:paraId="0348B47C">
            <w:pPr>
              <w:spacing w:line="360" w:lineRule="exact"/>
              <w:ind w:firstLine="0" w:firstLineChars="0"/>
              <w:jc w:val="center"/>
              <w:rPr>
                <w:rFonts w:cs="Times New Roman"/>
                <w:color w:val="auto"/>
                <w:kern w:val="0"/>
                <w:sz w:val="21"/>
                <w:szCs w:val="21"/>
                <w:highlight w:val="none"/>
              </w:rPr>
            </w:pPr>
            <w:r>
              <w:rPr>
                <w:rFonts w:cs="Times New Roman"/>
                <w:color w:val="auto"/>
                <w:kern w:val="0"/>
                <w:sz w:val="21"/>
                <w:szCs w:val="21"/>
                <w:highlight w:val="none"/>
              </w:rPr>
              <w:t>1次/年</w:t>
            </w:r>
          </w:p>
        </w:tc>
      </w:tr>
    </w:tbl>
    <w:p w14:paraId="7F5F5476">
      <w:pPr>
        <w:spacing w:line="500" w:lineRule="exact"/>
        <w:rPr>
          <w:rFonts w:cs="Times New Roman"/>
          <w:color w:val="auto"/>
          <w:szCs w:val="24"/>
          <w:highlight w:val="none"/>
        </w:rPr>
      </w:pPr>
      <w:r>
        <w:rPr>
          <w:rFonts w:hint="eastAsia" w:cs="Times New Roman"/>
          <w:color w:val="auto"/>
          <w:szCs w:val="24"/>
          <w:highlight w:val="none"/>
          <w:lang w:eastAsia="zh-CN"/>
        </w:rPr>
        <w:t>（</w:t>
      </w:r>
      <w:r>
        <w:rPr>
          <w:rFonts w:hint="eastAsia" w:cs="Times New Roman"/>
          <w:color w:val="auto"/>
          <w:szCs w:val="24"/>
          <w:highlight w:val="none"/>
          <w:lang w:val="en-US" w:eastAsia="zh-CN"/>
        </w:rPr>
        <w:t>2</w:t>
      </w:r>
      <w:r>
        <w:rPr>
          <w:rFonts w:hint="eastAsia" w:cs="Times New Roman"/>
          <w:color w:val="auto"/>
          <w:szCs w:val="24"/>
          <w:highlight w:val="none"/>
          <w:lang w:eastAsia="zh-CN"/>
        </w:rPr>
        <w:t>）</w:t>
      </w:r>
      <w:r>
        <w:rPr>
          <w:rFonts w:cs="Times New Roman"/>
          <w:color w:val="auto"/>
          <w:szCs w:val="24"/>
          <w:highlight w:val="none"/>
        </w:rPr>
        <w:t>监测频率：在正常工况下，每年监测一次。发生事故后应加密监测，直到污染消除。</w:t>
      </w:r>
    </w:p>
    <w:p w14:paraId="5B0614C0">
      <w:pPr>
        <w:spacing w:line="500" w:lineRule="exact"/>
        <w:rPr>
          <w:rFonts w:cs="Times New Roman"/>
          <w:color w:val="auto"/>
          <w:szCs w:val="24"/>
          <w:highlight w:val="none"/>
        </w:rPr>
      </w:pPr>
      <w:r>
        <w:rPr>
          <w:rFonts w:hint="eastAsia" w:cs="Times New Roman"/>
          <w:color w:val="auto"/>
          <w:szCs w:val="24"/>
          <w:highlight w:val="none"/>
          <w:lang w:eastAsia="zh-CN"/>
        </w:rPr>
        <w:t>（</w:t>
      </w:r>
      <w:r>
        <w:rPr>
          <w:rFonts w:hint="eastAsia" w:cs="Times New Roman"/>
          <w:color w:val="auto"/>
          <w:szCs w:val="24"/>
          <w:highlight w:val="none"/>
          <w:lang w:val="en-US" w:eastAsia="zh-CN"/>
        </w:rPr>
        <w:t>3</w:t>
      </w:r>
      <w:r>
        <w:rPr>
          <w:rFonts w:hint="eastAsia" w:cs="Times New Roman"/>
          <w:color w:val="auto"/>
          <w:szCs w:val="24"/>
          <w:highlight w:val="none"/>
          <w:lang w:eastAsia="zh-CN"/>
        </w:rPr>
        <w:t>）</w:t>
      </w:r>
      <w:r>
        <w:rPr>
          <w:rFonts w:cs="Times New Roman"/>
          <w:color w:val="auto"/>
          <w:szCs w:val="24"/>
          <w:highlight w:val="none"/>
        </w:rPr>
        <w:t>检测项目：根据工程分析，污染源产生的污水特征，确定地下水监测项目为：pH值、挥发酚、总硬度、溶解性总固体、氨氮、硫酸盐、氯化物、硝酸盐、耗氧量等。同时监测地下水位。</w:t>
      </w:r>
    </w:p>
    <w:p w14:paraId="7263B3DD">
      <w:pPr>
        <w:spacing w:line="500" w:lineRule="exact"/>
        <w:ind w:firstLine="482"/>
        <w:rPr>
          <w:rFonts w:cs="Times New Roman"/>
          <w:b/>
          <w:bCs/>
          <w:color w:val="auto"/>
          <w:szCs w:val="24"/>
          <w:highlight w:val="none"/>
        </w:rPr>
      </w:pPr>
      <w:bookmarkStart w:id="377" w:name="_Toc331258021"/>
      <w:bookmarkStart w:id="378" w:name="_Toc337581621"/>
      <w:r>
        <w:rPr>
          <w:rFonts w:cs="Times New Roman"/>
          <w:b/>
          <w:bCs/>
          <w:color w:val="auto"/>
          <w:szCs w:val="24"/>
          <w:highlight w:val="none"/>
        </w:rPr>
        <w:t>4、监测数据管理</w:t>
      </w:r>
      <w:bookmarkEnd w:id="377"/>
      <w:bookmarkEnd w:id="378"/>
      <w:r>
        <w:rPr>
          <w:rFonts w:cs="Times New Roman"/>
          <w:b/>
          <w:bCs/>
          <w:color w:val="auto"/>
          <w:szCs w:val="24"/>
          <w:highlight w:val="none"/>
        </w:rPr>
        <w:t>与信息公开计划</w:t>
      </w:r>
    </w:p>
    <w:p w14:paraId="412F83E1">
      <w:pPr>
        <w:spacing w:line="500" w:lineRule="exact"/>
        <w:rPr>
          <w:rFonts w:cs="Times New Roman"/>
          <w:color w:val="auto"/>
          <w:szCs w:val="24"/>
          <w:highlight w:val="none"/>
        </w:rPr>
      </w:pPr>
      <w:r>
        <w:rPr>
          <w:rFonts w:cs="Times New Roman"/>
          <w:color w:val="auto"/>
          <w:szCs w:val="24"/>
          <w:highlight w:val="none"/>
        </w:rPr>
        <w:t>上述监测结果应按项目有关规定及时建立档案，并定期向厂内安全环保部门汇报，对于常规监测数据应该进行公开，特别是对项目所在区域的居民进行公开，满足法律中关于知情权的要求。如发现异常或发生事故，加密监测频次，改为每天监测一次，并分析污染原因，确定泄漏污染源，及时采取对应应急措施。在1天内向环境保护主管部门报告，在5个工作日内提供厂内的初始环境报告，包括责任人的名称和电话号码，泄漏物的类型、体积和地下水污染物浓度，采取应急响应措施。</w:t>
      </w:r>
    </w:p>
    <w:p w14:paraId="278C3BA3">
      <w:pPr>
        <w:spacing w:line="500" w:lineRule="exact"/>
        <w:ind w:firstLine="482"/>
        <w:rPr>
          <w:rFonts w:cs="Times New Roman"/>
          <w:b/>
          <w:bCs/>
          <w:color w:val="auto"/>
          <w:szCs w:val="24"/>
          <w:highlight w:val="none"/>
        </w:rPr>
      </w:pPr>
      <w:bookmarkStart w:id="379" w:name="_Toc295335075"/>
      <w:bookmarkStart w:id="380" w:name="_Toc331258022"/>
      <w:bookmarkStart w:id="381" w:name="_Toc337581622"/>
      <w:r>
        <w:rPr>
          <w:rFonts w:cs="Times New Roman"/>
          <w:b/>
          <w:bCs/>
          <w:color w:val="auto"/>
          <w:szCs w:val="24"/>
          <w:highlight w:val="none"/>
        </w:rPr>
        <w:t>5、风险事故应急措施</w:t>
      </w:r>
      <w:bookmarkEnd w:id="379"/>
      <w:bookmarkEnd w:id="380"/>
      <w:bookmarkEnd w:id="381"/>
    </w:p>
    <w:p w14:paraId="4EE822E9">
      <w:pPr>
        <w:spacing w:line="500" w:lineRule="exact"/>
        <w:rPr>
          <w:rFonts w:cs="Times New Roman"/>
          <w:color w:val="auto"/>
          <w:szCs w:val="24"/>
          <w:highlight w:val="none"/>
        </w:rPr>
      </w:pPr>
      <w:r>
        <w:rPr>
          <w:rFonts w:cs="Times New Roman"/>
          <w:color w:val="auto"/>
          <w:szCs w:val="24"/>
          <w:highlight w:val="none"/>
        </w:rPr>
        <w:t>为了防止风险事故状态下对地下水产生污染，本次评价采用水力控制措施应对，一旦事故状态下产生地下水污染，厂区下游监测井启动抽水，形成降落漏斗，形成水力调控屏障，以降低或消除对厂区以外的下游地下水的影响。</w:t>
      </w:r>
    </w:p>
    <w:p w14:paraId="41C47D5B">
      <w:pPr>
        <w:spacing w:line="500" w:lineRule="exact"/>
        <w:ind w:firstLine="482"/>
        <w:rPr>
          <w:rFonts w:cs="Times New Roman"/>
          <w:b/>
          <w:bCs/>
          <w:color w:val="auto"/>
          <w:szCs w:val="24"/>
          <w:highlight w:val="none"/>
        </w:rPr>
      </w:pPr>
      <w:bookmarkStart w:id="382" w:name="_Toc337581623"/>
      <w:bookmarkStart w:id="383" w:name="_Toc295335076"/>
      <w:bookmarkStart w:id="384" w:name="_Toc331258023"/>
      <w:r>
        <w:rPr>
          <w:rFonts w:cs="Times New Roman"/>
          <w:b/>
          <w:bCs/>
          <w:color w:val="auto"/>
          <w:szCs w:val="24"/>
          <w:highlight w:val="none"/>
        </w:rPr>
        <w:t>6、污染防治措施技术可行性与经济合理性分析</w:t>
      </w:r>
      <w:bookmarkEnd w:id="382"/>
      <w:bookmarkEnd w:id="383"/>
      <w:bookmarkEnd w:id="384"/>
    </w:p>
    <w:p w14:paraId="0F102F10">
      <w:pPr>
        <w:spacing w:line="500" w:lineRule="exact"/>
        <w:rPr>
          <w:rFonts w:cs="Times New Roman"/>
          <w:color w:val="auto"/>
          <w:szCs w:val="24"/>
          <w:highlight w:val="none"/>
        </w:rPr>
      </w:pPr>
      <w:r>
        <w:rPr>
          <w:rFonts w:cs="Times New Roman"/>
          <w:color w:val="auto"/>
          <w:szCs w:val="24"/>
          <w:highlight w:val="none"/>
        </w:rPr>
        <w:t>拟建项目区地表具有较好的防污性能。通过对地下水环境影响预测结果分析可知，本项目对地下水环境的影响主要来自事故风险。针对该风险，本次评价提出了防渗、监测及水力控制的应急措施，上述措施均为成熟技术。因此，本次环评提出的措施在经济上是合理的，在技术上是可行的。</w:t>
      </w:r>
    </w:p>
    <w:p w14:paraId="22B25B79">
      <w:pPr>
        <w:pStyle w:val="4"/>
        <w:spacing w:after="163"/>
        <w:rPr>
          <w:rFonts w:cs="Times New Roman"/>
          <w:color w:val="auto"/>
          <w:highlight w:val="none"/>
        </w:rPr>
      </w:pPr>
      <w:bookmarkStart w:id="385" w:name="_Toc74537251"/>
      <w:bookmarkStart w:id="386" w:name="_Toc83525152"/>
      <w:bookmarkStart w:id="387" w:name="_Toc98920179"/>
      <w:bookmarkStart w:id="388" w:name="_Toc16985"/>
      <w:r>
        <w:rPr>
          <w:rFonts w:cs="Times New Roman"/>
          <w:color w:val="auto"/>
          <w:highlight w:val="none"/>
        </w:rPr>
        <w:t>6.2.4</w:t>
      </w:r>
      <w:bookmarkEnd w:id="385"/>
      <w:bookmarkEnd w:id="386"/>
      <w:bookmarkEnd w:id="387"/>
      <w:bookmarkStart w:id="389" w:name="_Hlt83525200"/>
      <w:bookmarkEnd w:id="389"/>
      <w:r>
        <w:rPr>
          <w:rFonts w:cs="Times New Roman"/>
          <w:color w:val="auto"/>
          <w:highlight w:val="none"/>
        </w:rPr>
        <w:t>噪声环境保护措施</w:t>
      </w:r>
      <w:bookmarkEnd w:id="388"/>
    </w:p>
    <w:p w14:paraId="527B7DC3">
      <w:pPr>
        <w:spacing w:line="500" w:lineRule="exact"/>
        <w:rPr>
          <w:rFonts w:cs="Times New Roman"/>
          <w:color w:val="auto"/>
          <w:szCs w:val="24"/>
          <w:highlight w:val="none"/>
        </w:rPr>
      </w:pPr>
      <w:r>
        <w:rPr>
          <w:rFonts w:cs="Times New Roman"/>
          <w:color w:val="auto"/>
          <w:szCs w:val="24"/>
          <w:highlight w:val="none"/>
        </w:rPr>
        <w:t>本项目运营期噪声主要为设备噪声和牛、羊嚎叫，项目运营期采取的降噪措施主要为厂房隔声、选用低噪声设备、安装减振垫、消声器等。具体防治措施如下：</w:t>
      </w:r>
    </w:p>
    <w:p w14:paraId="34C3B522">
      <w:pPr>
        <w:spacing w:line="500" w:lineRule="exact"/>
        <w:rPr>
          <w:rFonts w:cs="Times New Roman"/>
          <w:color w:val="auto"/>
          <w:szCs w:val="24"/>
          <w:highlight w:val="none"/>
        </w:rPr>
      </w:pPr>
      <w:r>
        <w:rPr>
          <w:rFonts w:cs="Times New Roman"/>
          <w:color w:val="auto"/>
          <w:szCs w:val="24"/>
          <w:highlight w:val="none"/>
        </w:rPr>
        <w:t>（1）在设备选型时选用先进的低噪声设备，项目首先选用低噪声风机，风机安装时采取减振基础、软管连接并搞好动平衡。选择低噪声泵类，安装时要采取减振基础，泵房用吸声墙体及顶棚，并利用建筑物整体隔声。</w:t>
      </w:r>
    </w:p>
    <w:p w14:paraId="38C0ABC8">
      <w:pPr>
        <w:spacing w:line="500" w:lineRule="exact"/>
        <w:rPr>
          <w:rFonts w:cs="Times New Roman"/>
          <w:color w:val="auto"/>
          <w:szCs w:val="24"/>
          <w:highlight w:val="none"/>
        </w:rPr>
      </w:pPr>
      <w:r>
        <w:rPr>
          <w:rFonts w:cs="Times New Roman"/>
          <w:color w:val="auto"/>
          <w:szCs w:val="24"/>
          <w:highlight w:val="none"/>
        </w:rPr>
        <w:t>（2）总图合理布局，在满足工艺要求的前提下，考虑将高噪声设备集中布置，在总平面布置时做到远离厂界以减少高噪声源对厂界外环境的影响；同时设计中，尽量做到高噪声车间与非噪声产生的工作场所闹静分开。</w:t>
      </w:r>
    </w:p>
    <w:p w14:paraId="79E5C0F6">
      <w:pPr>
        <w:spacing w:line="500" w:lineRule="exact"/>
        <w:rPr>
          <w:rFonts w:cs="Times New Roman"/>
          <w:color w:val="auto"/>
          <w:szCs w:val="24"/>
          <w:highlight w:val="none"/>
        </w:rPr>
      </w:pPr>
      <w:r>
        <w:rPr>
          <w:rFonts w:cs="Times New Roman"/>
          <w:color w:val="auto"/>
          <w:szCs w:val="24"/>
          <w:highlight w:val="none"/>
        </w:rPr>
        <w:t>（3）为了减少牛、羊嚎叫声对操作工人及周围环境的影响，建议该项目屠宰车间的屋顶及四壁设吸声材料，同时应减少外界噪声等对</w:t>
      </w:r>
      <w:r>
        <w:rPr>
          <w:rFonts w:hint="eastAsia" w:cs="Times New Roman"/>
          <w:color w:val="auto"/>
          <w:szCs w:val="24"/>
          <w:highlight w:val="none"/>
          <w:lang w:eastAsia="zh-CN"/>
        </w:rPr>
        <w:t>待宰圈</w:t>
      </w:r>
      <w:r>
        <w:rPr>
          <w:rFonts w:cs="Times New Roman"/>
          <w:color w:val="auto"/>
          <w:szCs w:val="24"/>
          <w:highlight w:val="none"/>
        </w:rPr>
        <w:t>的干扰，保持安定平和的气氛，以缓解牛、羊的紧张情绪，减少嚎叫。</w:t>
      </w:r>
    </w:p>
    <w:p w14:paraId="1A51C4A8">
      <w:pPr>
        <w:spacing w:line="500" w:lineRule="exact"/>
        <w:rPr>
          <w:rFonts w:cs="Times New Roman"/>
          <w:color w:val="auto"/>
          <w:szCs w:val="24"/>
          <w:highlight w:val="none"/>
        </w:rPr>
      </w:pPr>
      <w:r>
        <w:rPr>
          <w:rFonts w:cs="Times New Roman"/>
          <w:color w:val="auto"/>
          <w:szCs w:val="24"/>
          <w:highlight w:val="none"/>
        </w:rPr>
        <w:t>通过噪声预测厂界噪声能够达标，可见采取的措施技术可行。</w:t>
      </w:r>
    </w:p>
    <w:p w14:paraId="0E06A0EA">
      <w:pPr>
        <w:pStyle w:val="4"/>
        <w:bidi w:val="0"/>
        <w:rPr>
          <w:color w:val="auto"/>
          <w:highlight w:val="none"/>
        </w:rPr>
      </w:pPr>
      <w:bookmarkStart w:id="390" w:name="_Toc9105"/>
      <w:r>
        <w:rPr>
          <w:color w:val="auto"/>
          <w:highlight w:val="none"/>
        </w:rPr>
        <w:t>6.2.5固体废物环境保护措施</w:t>
      </w:r>
      <w:bookmarkEnd w:id="390"/>
    </w:p>
    <w:p w14:paraId="5A167AAE">
      <w:pPr>
        <w:spacing w:line="500" w:lineRule="exact"/>
        <w:rPr>
          <w:rFonts w:cs="Times New Roman"/>
          <w:color w:val="auto"/>
          <w:szCs w:val="24"/>
          <w:highlight w:val="none"/>
        </w:rPr>
      </w:pPr>
      <w:r>
        <w:rPr>
          <w:rFonts w:cs="Times New Roman"/>
          <w:color w:val="auto"/>
          <w:szCs w:val="24"/>
          <w:highlight w:val="none"/>
        </w:rPr>
        <w:t>本项目运营期产生的固体废物为一般固体废物及危险废物，一般固体废物主要包括检疫不合格品、病死牛羊、粪便、边角料、胃容物及肠内物、污泥（含栅渣）、</w:t>
      </w:r>
      <w:r>
        <w:rPr>
          <w:rFonts w:hint="eastAsia" w:cs="Times New Roman"/>
          <w:color w:val="auto"/>
          <w:szCs w:val="24"/>
          <w:highlight w:val="none"/>
          <w:lang w:val="en-US" w:eastAsia="zh-CN"/>
        </w:rPr>
        <w:t>隔油池废油脂、</w:t>
      </w:r>
      <w:r>
        <w:rPr>
          <w:rFonts w:cs="Times New Roman"/>
          <w:color w:val="auto"/>
          <w:szCs w:val="24"/>
          <w:highlight w:val="none"/>
        </w:rPr>
        <w:t>废包装以及生活垃圾；</w:t>
      </w:r>
      <w:r>
        <w:rPr>
          <w:rFonts w:hint="eastAsia" w:cs="Times New Roman"/>
          <w:color w:val="auto"/>
          <w:szCs w:val="24"/>
          <w:highlight w:val="none"/>
          <w:lang w:eastAsia="zh-CN"/>
        </w:rPr>
        <w:t>危险废物主要为检疫废物、</w:t>
      </w:r>
      <w:r>
        <w:rPr>
          <w:rFonts w:cs="Times New Roman"/>
          <w:color w:val="auto"/>
          <w:szCs w:val="24"/>
          <w:highlight w:val="none"/>
        </w:rPr>
        <w:t>废活性炭、</w:t>
      </w:r>
      <w:r>
        <w:rPr>
          <w:rFonts w:hint="eastAsia" w:cs="Times New Roman"/>
          <w:color w:val="auto"/>
          <w:szCs w:val="24"/>
          <w:highlight w:val="none"/>
          <w:lang w:eastAsia="zh-CN"/>
        </w:rPr>
        <w:t>废润滑油及含油抹布、劳保手套</w:t>
      </w:r>
      <w:r>
        <w:rPr>
          <w:rFonts w:cs="Times New Roman"/>
          <w:color w:val="auto"/>
          <w:szCs w:val="24"/>
          <w:highlight w:val="none"/>
        </w:rPr>
        <w:t>。</w:t>
      </w:r>
    </w:p>
    <w:p w14:paraId="32CFC41B">
      <w:pPr>
        <w:spacing w:line="500" w:lineRule="exact"/>
        <w:rPr>
          <w:rFonts w:cs="Times New Roman"/>
          <w:color w:val="auto"/>
          <w:szCs w:val="24"/>
          <w:highlight w:val="none"/>
        </w:rPr>
      </w:pPr>
      <w:r>
        <w:rPr>
          <w:rFonts w:cs="Times New Roman"/>
          <w:color w:val="auto"/>
          <w:szCs w:val="24"/>
          <w:highlight w:val="none"/>
        </w:rPr>
        <w:t>牛、羊粪、边角料、胃容物及肠内物分类收集，分别储存在固废暂存间内加盖的</w:t>
      </w:r>
      <w:r>
        <w:rPr>
          <w:rFonts w:hint="eastAsia" w:cs="Times New Roman"/>
          <w:color w:val="auto"/>
          <w:szCs w:val="24"/>
          <w:highlight w:val="none"/>
          <w:lang w:val="en-US" w:eastAsia="zh-CN"/>
        </w:rPr>
        <w:t>转运桶</w:t>
      </w:r>
      <w:r>
        <w:rPr>
          <w:rFonts w:cs="Times New Roman"/>
          <w:color w:val="auto"/>
          <w:szCs w:val="24"/>
          <w:highlight w:val="none"/>
        </w:rPr>
        <w:t>内，牛羊粪便</w:t>
      </w:r>
      <w:r>
        <w:rPr>
          <w:rFonts w:hint="eastAsia" w:cs="Times New Roman"/>
          <w:color w:val="auto"/>
          <w:szCs w:val="24"/>
          <w:highlight w:val="none"/>
          <w:lang w:val="en-US" w:eastAsia="zh-CN"/>
        </w:rPr>
        <w:t>及边角料</w:t>
      </w:r>
      <w:r>
        <w:rPr>
          <w:rFonts w:cs="Times New Roman"/>
          <w:color w:val="auto"/>
          <w:szCs w:val="24"/>
          <w:highlight w:val="none"/>
        </w:rPr>
        <w:t>富含有机质、氮、磷、钾及多种微量元素，</w:t>
      </w:r>
      <w:r>
        <w:rPr>
          <w:rFonts w:hint="eastAsia" w:cs="Times New Roman"/>
          <w:color w:val="auto"/>
          <w:szCs w:val="24"/>
          <w:highlight w:val="none"/>
          <w:lang w:val="en-US" w:eastAsia="zh-CN"/>
        </w:rPr>
        <w:t>边角料、</w:t>
      </w:r>
      <w:r>
        <w:rPr>
          <w:rFonts w:cs="Times New Roman"/>
          <w:color w:val="auto"/>
          <w:szCs w:val="24"/>
          <w:highlight w:val="none"/>
        </w:rPr>
        <w:t>胃容物及肠内物纤维含量高、杂质多</w:t>
      </w:r>
      <w:r>
        <w:rPr>
          <w:rFonts w:hint="eastAsia" w:cs="Times New Roman"/>
          <w:color w:val="auto"/>
          <w:szCs w:val="24"/>
          <w:highlight w:val="none"/>
          <w:lang w:eastAsia="zh-CN"/>
        </w:rPr>
        <w:t>，</w:t>
      </w:r>
      <w:r>
        <w:rPr>
          <w:rFonts w:hint="eastAsia" w:cs="Times New Roman"/>
          <w:color w:val="auto"/>
          <w:szCs w:val="24"/>
          <w:highlight w:val="none"/>
          <w:lang w:val="en-US" w:eastAsia="zh-CN"/>
        </w:rPr>
        <w:t>以上均可外售作为</w:t>
      </w:r>
      <w:r>
        <w:rPr>
          <w:rFonts w:cs="Times New Roman"/>
          <w:color w:val="auto"/>
          <w:szCs w:val="24"/>
          <w:highlight w:val="none"/>
        </w:rPr>
        <w:t>优质的有机肥原料；生活垃圾分类收集于专用垃圾桶后，</w:t>
      </w:r>
      <w:r>
        <w:rPr>
          <w:rFonts w:hint="eastAsia" w:cs="Times New Roman"/>
          <w:color w:val="auto"/>
          <w:szCs w:val="24"/>
          <w:highlight w:val="none"/>
          <w:lang w:eastAsia="zh-CN"/>
        </w:rPr>
        <w:t>由市政环卫部门统一清运</w:t>
      </w:r>
      <w:r>
        <w:rPr>
          <w:rFonts w:cs="Times New Roman"/>
          <w:color w:val="auto"/>
          <w:szCs w:val="24"/>
          <w:highlight w:val="none"/>
        </w:rPr>
        <w:t>；脱水污泥（含栅渣）送</w:t>
      </w:r>
      <w:r>
        <w:rPr>
          <w:rFonts w:hint="eastAsia" w:cs="Times New Roman"/>
          <w:color w:val="auto"/>
          <w:szCs w:val="24"/>
          <w:highlight w:val="none"/>
          <w:lang w:val="en-US" w:eastAsia="zh-CN"/>
        </w:rPr>
        <w:t>至有能力处置单位进行处理</w:t>
      </w:r>
      <w:r>
        <w:rPr>
          <w:rFonts w:cs="Times New Roman"/>
          <w:color w:val="auto"/>
          <w:szCs w:val="24"/>
          <w:highlight w:val="none"/>
        </w:rPr>
        <w:t>；检疫不合格品、病死牛羊，集中收集</w:t>
      </w:r>
      <w:r>
        <w:rPr>
          <w:rFonts w:hint="eastAsia" w:cs="Times New Roman"/>
          <w:color w:val="auto"/>
          <w:szCs w:val="24"/>
          <w:highlight w:val="none"/>
          <w:lang w:val="en-US" w:eastAsia="zh-CN"/>
        </w:rPr>
        <w:t>至固体废物暂存点冷藏箱内，</w:t>
      </w:r>
      <w:r>
        <w:rPr>
          <w:rFonts w:cs="Times New Roman"/>
          <w:color w:val="auto"/>
          <w:szCs w:val="24"/>
          <w:highlight w:val="none"/>
        </w:rPr>
        <w:t>当天</w:t>
      </w:r>
      <w:r>
        <w:rPr>
          <w:rFonts w:hint="eastAsia" w:cs="Times New Roman"/>
          <w:color w:val="auto"/>
          <w:szCs w:val="24"/>
          <w:highlight w:val="none"/>
          <w:lang w:eastAsia="zh-CN"/>
        </w:rPr>
        <w:t>由双鸭山百奥迈斯生物科技有限公司</w:t>
      </w:r>
      <w:r>
        <w:rPr>
          <w:rFonts w:hint="eastAsia" w:cs="Times New Roman"/>
          <w:color w:val="auto"/>
          <w:szCs w:val="24"/>
          <w:highlight w:val="none"/>
          <w:lang w:val="en-US" w:eastAsia="zh-CN"/>
        </w:rPr>
        <w:t>拉运处置</w:t>
      </w:r>
      <w:r>
        <w:rPr>
          <w:rFonts w:cs="Times New Roman"/>
          <w:color w:val="auto"/>
          <w:szCs w:val="24"/>
          <w:highlight w:val="none"/>
        </w:rPr>
        <w:t>，</w:t>
      </w:r>
      <w:r>
        <w:rPr>
          <w:rFonts w:cs="Times New Roman"/>
          <w:snapToGrid w:val="0"/>
          <w:color w:val="auto"/>
          <w:kern w:val="0"/>
          <w:szCs w:val="24"/>
          <w:highlight w:val="none"/>
        </w:rPr>
        <w:t>处置方式需符合《病死及病害动物无害化处理技术规范》（农医发[2017]25号）</w:t>
      </w:r>
      <w:r>
        <w:rPr>
          <w:rFonts w:hint="eastAsia" w:cs="Times New Roman"/>
          <w:snapToGrid w:val="0"/>
          <w:color w:val="auto"/>
          <w:kern w:val="0"/>
          <w:szCs w:val="24"/>
          <w:highlight w:val="none"/>
          <w:lang w:eastAsia="zh-CN"/>
        </w:rPr>
        <w:t>。</w:t>
      </w:r>
      <w:r>
        <w:rPr>
          <w:rFonts w:hint="eastAsia" w:cs="Times New Roman"/>
          <w:color w:val="auto"/>
          <w:szCs w:val="24"/>
          <w:highlight w:val="none"/>
          <w:lang w:val="en-US" w:eastAsia="zh-CN"/>
        </w:rPr>
        <w:t>该</w:t>
      </w:r>
      <w:r>
        <w:rPr>
          <w:rFonts w:hint="eastAsia" w:cs="Times New Roman"/>
          <w:snapToGrid w:val="0"/>
          <w:color w:val="auto"/>
          <w:kern w:val="0"/>
          <w:szCs w:val="24"/>
          <w:highlight w:val="none"/>
          <w:lang w:val="en-US" w:eastAsia="zh-CN"/>
        </w:rPr>
        <w:t>公司主营</w:t>
      </w:r>
      <w:r>
        <w:rPr>
          <w:rFonts w:cs="Times New Roman"/>
          <w:snapToGrid w:val="0"/>
          <w:color w:val="auto"/>
          <w:kern w:val="0"/>
          <w:szCs w:val="24"/>
          <w:highlight w:val="none"/>
        </w:rPr>
        <w:t>生物科学技术研究服务，畜禽养殖废弃物无害化利用，畜禽尸体处理服</w:t>
      </w:r>
      <w:r>
        <w:rPr>
          <w:rFonts w:hint="eastAsia" w:cs="Times New Roman"/>
          <w:snapToGrid w:val="0"/>
          <w:color w:val="auto"/>
          <w:kern w:val="0"/>
          <w:szCs w:val="24"/>
          <w:highlight w:val="none"/>
          <w:lang w:val="en-US" w:eastAsia="zh-CN"/>
        </w:rPr>
        <w:t>务，病死畜禽收集暂存转运服务等。本项目无害化处置一坨可行。协议见附件5</w:t>
      </w:r>
      <w:r>
        <w:rPr>
          <w:rFonts w:cs="Times New Roman"/>
          <w:color w:val="auto"/>
          <w:szCs w:val="24"/>
          <w:highlight w:val="none"/>
        </w:rPr>
        <w:t>；废包装集中收集，定期外售综合利用</w:t>
      </w:r>
      <w:r>
        <w:rPr>
          <w:rFonts w:hint="eastAsia" w:cs="Times New Roman"/>
          <w:color w:val="auto"/>
          <w:szCs w:val="24"/>
          <w:highlight w:val="none"/>
          <w:lang w:eastAsia="zh-CN"/>
        </w:rPr>
        <w:t>。</w:t>
      </w:r>
      <w:r>
        <w:rPr>
          <w:rFonts w:cs="Times New Roman"/>
          <w:color w:val="auto"/>
          <w:szCs w:val="24"/>
          <w:highlight w:val="none"/>
        </w:rPr>
        <w:t>废活性炭</w:t>
      </w:r>
      <w:r>
        <w:rPr>
          <w:rFonts w:hint="eastAsia" w:cs="Times New Roman"/>
          <w:color w:val="auto"/>
          <w:szCs w:val="24"/>
          <w:highlight w:val="none"/>
          <w:lang w:eastAsia="zh-CN"/>
        </w:rPr>
        <w:t>、</w:t>
      </w:r>
      <w:r>
        <w:rPr>
          <w:rFonts w:cs="Times New Roman"/>
          <w:color w:val="auto"/>
          <w:szCs w:val="24"/>
          <w:highlight w:val="none"/>
        </w:rPr>
        <w:t>检疫废物</w:t>
      </w:r>
      <w:r>
        <w:rPr>
          <w:rFonts w:hint="eastAsia" w:cs="Times New Roman"/>
          <w:color w:val="auto"/>
          <w:szCs w:val="24"/>
          <w:highlight w:val="none"/>
          <w:lang w:eastAsia="zh-CN"/>
        </w:rPr>
        <w:t>、</w:t>
      </w:r>
      <w:r>
        <w:rPr>
          <w:rFonts w:hint="eastAsia" w:cs="Times New Roman"/>
          <w:color w:val="auto"/>
          <w:szCs w:val="24"/>
          <w:highlight w:val="none"/>
          <w:lang w:val="en-US" w:eastAsia="zh-CN"/>
        </w:rPr>
        <w:t>废润滑油分别</w:t>
      </w:r>
      <w:r>
        <w:rPr>
          <w:rFonts w:cs="Times New Roman"/>
          <w:color w:val="auto"/>
          <w:szCs w:val="24"/>
          <w:highlight w:val="none"/>
        </w:rPr>
        <w:t>集中收集，定期</w:t>
      </w:r>
      <w:r>
        <w:rPr>
          <w:rFonts w:hint="eastAsia" w:cs="Times New Roman"/>
          <w:snapToGrid w:val="0"/>
          <w:color w:val="auto"/>
          <w:kern w:val="0"/>
          <w:szCs w:val="24"/>
          <w:highlight w:val="none"/>
          <w:lang w:eastAsia="zh-CN"/>
        </w:rPr>
        <w:t>由有资质的单位处置；含油抹布、劳保手套</w:t>
      </w:r>
      <w:r>
        <w:rPr>
          <w:rFonts w:hint="eastAsia" w:cs="Times New Roman"/>
          <w:snapToGrid w:val="0"/>
          <w:color w:val="auto"/>
          <w:kern w:val="0"/>
          <w:szCs w:val="24"/>
          <w:highlight w:val="none"/>
          <w:lang w:val="en-US" w:eastAsia="zh-CN"/>
        </w:rPr>
        <w:t>集中收集，定期由有资质的单位处置</w:t>
      </w:r>
      <w:r>
        <w:rPr>
          <w:rFonts w:hint="eastAsia" w:cs="Times New Roman"/>
          <w:snapToGrid w:val="0"/>
          <w:color w:val="auto"/>
          <w:kern w:val="0"/>
          <w:szCs w:val="24"/>
          <w:highlight w:val="none"/>
          <w:lang w:eastAsia="zh-CN"/>
        </w:rPr>
        <w:t>。</w:t>
      </w:r>
    </w:p>
    <w:p w14:paraId="76C6C03C">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通过以上措施，建设项目产生的固体废物均得到了妥善处置和利用，不会对环境产生有害影响。</w:t>
      </w:r>
    </w:p>
    <w:p w14:paraId="659A4104">
      <w:pPr>
        <w:pStyle w:val="4"/>
        <w:spacing w:after="163"/>
        <w:rPr>
          <w:rFonts w:cs="Times New Roman"/>
          <w:color w:val="auto"/>
          <w:highlight w:val="none"/>
        </w:rPr>
      </w:pPr>
      <w:bookmarkStart w:id="391" w:name="_Toc23632"/>
      <w:r>
        <w:rPr>
          <w:rFonts w:cs="Times New Roman"/>
          <w:color w:val="auto"/>
          <w:highlight w:val="none"/>
        </w:rPr>
        <w:t>6.2.6环境风险防范措施</w:t>
      </w:r>
      <w:bookmarkEnd w:id="391"/>
    </w:p>
    <w:p w14:paraId="7B4FAED4">
      <w:pPr>
        <w:pStyle w:val="5"/>
        <w:rPr>
          <w:color w:val="auto"/>
          <w:highlight w:val="none"/>
          <w:lang w:val="en-US"/>
        </w:rPr>
      </w:pPr>
      <w:r>
        <w:rPr>
          <w:color w:val="auto"/>
          <w:highlight w:val="none"/>
          <w:lang w:val="en-US"/>
        </w:rPr>
        <w:t>6.2.6.1环境风险防范措施</w:t>
      </w:r>
    </w:p>
    <w:p w14:paraId="317B116A">
      <w:pPr>
        <w:spacing w:line="500" w:lineRule="exact"/>
        <w:ind w:firstLine="482"/>
        <w:rPr>
          <w:rFonts w:cs="Times New Roman"/>
          <w:b/>
          <w:bCs/>
          <w:snapToGrid w:val="0"/>
          <w:color w:val="auto"/>
          <w:kern w:val="0"/>
          <w:szCs w:val="24"/>
          <w:highlight w:val="none"/>
        </w:rPr>
      </w:pPr>
      <w:r>
        <w:rPr>
          <w:rFonts w:cs="Times New Roman"/>
          <w:b/>
          <w:bCs/>
          <w:snapToGrid w:val="0"/>
          <w:color w:val="auto"/>
          <w:kern w:val="0"/>
          <w:szCs w:val="24"/>
          <w:highlight w:val="none"/>
        </w:rPr>
        <w:t>1、地表水环境风险防范措施</w:t>
      </w:r>
    </w:p>
    <w:p w14:paraId="038B44FE">
      <w:pPr>
        <w:spacing w:line="500" w:lineRule="exact"/>
        <w:rPr>
          <w:rFonts w:cs="Times New Roman"/>
          <w:snapToGrid w:val="0"/>
          <w:color w:val="auto"/>
          <w:kern w:val="0"/>
          <w:sz w:val="21"/>
          <w:szCs w:val="21"/>
          <w:highlight w:val="none"/>
        </w:rPr>
      </w:pPr>
      <w:r>
        <w:rPr>
          <w:rFonts w:cs="Times New Roman"/>
          <w:snapToGrid w:val="0"/>
          <w:color w:val="auto"/>
          <w:kern w:val="0"/>
          <w:szCs w:val="24"/>
          <w:highlight w:val="none"/>
        </w:rPr>
        <w:t>1）设</w:t>
      </w:r>
      <w:r>
        <w:rPr>
          <w:rFonts w:cs="Times New Roman"/>
          <w:snapToGrid w:val="0"/>
          <w:color w:val="auto"/>
          <w:kern w:val="0"/>
          <w:szCs w:val="24"/>
          <w:highlight w:val="none"/>
        </w:rPr>
        <w:t>置事故池，事故池容积为</w:t>
      </w:r>
      <w:r>
        <w:rPr>
          <w:rFonts w:hint="eastAsia" w:cs="Times New Roman"/>
          <w:snapToGrid w:val="0"/>
          <w:color w:val="auto"/>
          <w:kern w:val="0"/>
          <w:szCs w:val="24"/>
          <w:highlight w:val="none"/>
          <w:lang w:val="en-US" w:eastAsia="zh-CN"/>
        </w:rPr>
        <w:t>50</w:t>
      </w:r>
      <w:r>
        <w:rPr>
          <w:rFonts w:cs="Times New Roman"/>
          <w:snapToGrid w:val="0"/>
          <w:color w:val="auto"/>
          <w:kern w:val="0"/>
          <w:szCs w:val="24"/>
          <w:highlight w:val="none"/>
        </w:rPr>
        <w:t>m</w:t>
      </w:r>
      <w:r>
        <w:rPr>
          <w:rFonts w:cs="Times New Roman"/>
          <w:snapToGrid w:val="0"/>
          <w:color w:val="auto"/>
          <w:kern w:val="0"/>
          <w:szCs w:val="24"/>
          <w:highlight w:val="none"/>
          <w:vertAlign w:val="superscript"/>
        </w:rPr>
        <w:t>3</w:t>
      </w:r>
      <w:r>
        <w:rPr>
          <w:rFonts w:cs="Times New Roman"/>
          <w:snapToGrid w:val="0"/>
          <w:color w:val="auto"/>
          <w:kern w:val="0"/>
          <w:szCs w:val="24"/>
          <w:highlight w:val="none"/>
        </w:rPr>
        <w:t>，可容纳</w:t>
      </w:r>
      <w:r>
        <w:rPr>
          <w:rFonts w:hint="eastAsia" w:cs="Times New Roman"/>
          <w:snapToGrid w:val="0"/>
          <w:color w:val="auto"/>
          <w:kern w:val="0"/>
          <w:szCs w:val="24"/>
          <w:highlight w:val="none"/>
          <w:lang w:val="en-US" w:eastAsia="zh-CN"/>
        </w:rPr>
        <w:t>5h</w:t>
      </w:r>
      <w:r>
        <w:rPr>
          <w:rFonts w:cs="Times New Roman"/>
          <w:snapToGrid w:val="0"/>
          <w:color w:val="auto"/>
          <w:kern w:val="0"/>
          <w:szCs w:val="24"/>
          <w:highlight w:val="none"/>
        </w:rPr>
        <w:t>的废水</w:t>
      </w:r>
      <w:r>
        <w:rPr>
          <w:rFonts w:hint="eastAsia" w:cs="Times New Roman"/>
          <w:snapToGrid w:val="0"/>
          <w:color w:val="auto"/>
          <w:kern w:val="0"/>
          <w:szCs w:val="24"/>
          <w:highlight w:val="none"/>
          <w:lang w:val="en-US" w:eastAsia="zh-CN"/>
        </w:rPr>
        <w:t>量</w:t>
      </w:r>
      <w:r>
        <w:rPr>
          <w:rFonts w:cs="Times New Roman"/>
          <w:snapToGrid w:val="0"/>
          <w:color w:val="auto"/>
          <w:kern w:val="0"/>
          <w:szCs w:val="24"/>
          <w:highlight w:val="none"/>
        </w:rPr>
        <w:t>，位于污水处理站内，在污水处理系统检修或出现故障时存放废水，检修正常后将事故池存水引入厂区内污水处理站处理达标后排放</w:t>
      </w:r>
      <w:r>
        <w:rPr>
          <w:rFonts w:cs="Times New Roman"/>
          <w:snapToGrid w:val="0"/>
          <w:color w:val="auto"/>
          <w:kern w:val="0"/>
          <w:szCs w:val="24"/>
          <w:highlight w:val="none"/>
        </w:rPr>
        <w:t>；</w:t>
      </w:r>
    </w:p>
    <w:p w14:paraId="09B03C86">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2）事故池及污水处理站各个池体均在室内，避免雨水进入；</w:t>
      </w:r>
    </w:p>
    <w:p w14:paraId="1F879BDA">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3）沿厂区边界设置截洪沟，以防暴雨冲击；</w:t>
      </w:r>
    </w:p>
    <w:p w14:paraId="633301B0">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4）密切关注天气变化情况，如有强降雨来临，应提前准备防雨防洪等拦截设置。</w:t>
      </w:r>
    </w:p>
    <w:p w14:paraId="6A7475A6">
      <w:pPr>
        <w:spacing w:line="500" w:lineRule="exact"/>
        <w:ind w:firstLine="482"/>
        <w:rPr>
          <w:rFonts w:cs="Times New Roman"/>
          <w:b/>
          <w:bCs/>
          <w:snapToGrid w:val="0"/>
          <w:color w:val="auto"/>
          <w:kern w:val="0"/>
          <w:szCs w:val="24"/>
          <w:highlight w:val="none"/>
        </w:rPr>
      </w:pPr>
      <w:r>
        <w:rPr>
          <w:rFonts w:cs="Times New Roman"/>
          <w:b/>
          <w:bCs/>
          <w:snapToGrid w:val="0"/>
          <w:color w:val="auto"/>
          <w:kern w:val="0"/>
          <w:szCs w:val="24"/>
          <w:highlight w:val="none"/>
        </w:rPr>
        <w:t>2、地下水环境及土壤环境风险防范措施</w:t>
      </w:r>
    </w:p>
    <w:p w14:paraId="500219A6">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1）加强施工期的管理，提高施工质量，确保管线、池体的工程质量，减少泄漏事故的发生；发生泄漏事故时应及时采取措施，将影响将至最低；</w:t>
      </w:r>
    </w:p>
    <w:p w14:paraId="64B163E4">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2）分区防渗</w:t>
      </w:r>
    </w:p>
    <w:p w14:paraId="79AD6466">
      <w:pPr>
        <w:spacing w:line="500" w:lineRule="exact"/>
        <w:rPr>
          <w:rFonts w:cs="Times New Roman"/>
          <w:snapToGrid w:val="0"/>
          <w:color w:val="auto"/>
          <w:kern w:val="0"/>
          <w:szCs w:val="24"/>
          <w:highlight w:val="none"/>
        </w:rPr>
      </w:pPr>
      <w:r>
        <w:rPr>
          <w:rFonts w:hint="eastAsia" w:cs="Times New Roman"/>
          <w:snapToGrid w:val="0"/>
          <w:color w:val="auto"/>
          <w:kern w:val="0"/>
          <w:szCs w:val="21"/>
          <w:highlight w:val="none"/>
          <w:lang w:val="en-US" w:eastAsia="zh-CN"/>
        </w:rPr>
        <w:t>危险废物贮存点</w:t>
      </w:r>
      <w:r>
        <w:rPr>
          <w:rFonts w:cs="Times New Roman"/>
          <w:snapToGrid w:val="0"/>
          <w:color w:val="auto"/>
          <w:kern w:val="0"/>
          <w:szCs w:val="24"/>
          <w:highlight w:val="none"/>
        </w:rPr>
        <w:t>按重点防渗区采取防渗措施。</w:t>
      </w:r>
      <w:r>
        <w:rPr>
          <w:rFonts w:hint="eastAsia" w:cs="Times New Roman"/>
          <w:snapToGrid w:val="0"/>
          <w:color w:val="auto"/>
          <w:kern w:val="0"/>
          <w:szCs w:val="24"/>
          <w:highlight w:val="none"/>
          <w:lang w:eastAsia="zh-CN"/>
        </w:rPr>
        <w:t>参照《危险废物贮存污染控制标准》（GB18597-20</w:t>
      </w:r>
      <w:r>
        <w:rPr>
          <w:rFonts w:hint="eastAsia" w:cs="Times New Roman"/>
          <w:snapToGrid w:val="0"/>
          <w:color w:val="auto"/>
          <w:kern w:val="0"/>
          <w:szCs w:val="24"/>
          <w:highlight w:val="none"/>
          <w:lang w:val="en-US" w:eastAsia="zh-CN"/>
        </w:rPr>
        <w:t>23</w:t>
      </w:r>
      <w:r>
        <w:rPr>
          <w:rFonts w:hint="eastAsia" w:cs="Times New Roman"/>
          <w:snapToGrid w:val="0"/>
          <w:color w:val="auto"/>
          <w:kern w:val="0"/>
          <w:szCs w:val="24"/>
          <w:highlight w:val="none"/>
          <w:lang w:eastAsia="zh-CN"/>
        </w:rPr>
        <w:t>）执行，基础必须防渗，防渗层为至少1m厚粘土层（渗透系数≤10</w:t>
      </w:r>
      <w:r>
        <w:rPr>
          <w:rFonts w:hint="eastAsia" w:cs="Times New Roman"/>
          <w:snapToGrid w:val="0"/>
          <w:color w:val="auto"/>
          <w:kern w:val="0"/>
          <w:szCs w:val="24"/>
          <w:highlight w:val="none"/>
          <w:vertAlign w:val="superscript"/>
          <w:lang w:eastAsia="zh-CN"/>
        </w:rPr>
        <w:t>-7</w:t>
      </w:r>
      <w:r>
        <w:rPr>
          <w:rFonts w:hint="eastAsia" w:cs="Times New Roman"/>
          <w:snapToGrid w:val="0"/>
          <w:color w:val="auto"/>
          <w:kern w:val="0"/>
          <w:szCs w:val="24"/>
          <w:highlight w:val="none"/>
          <w:lang w:eastAsia="zh-CN"/>
        </w:rPr>
        <w:t>cm/s），或2mm厚高密度聚乙烯，或至少2mm</w:t>
      </w:r>
      <w:r>
        <w:rPr>
          <w:rFonts w:hint="eastAsia" w:cs="Times New Roman"/>
          <w:snapToGrid w:val="0"/>
          <w:color w:val="auto"/>
          <w:kern w:val="0"/>
          <w:szCs w:val="24"/>
          <w:highlight w:val="none"/>
          <w:lang w:val="en-US" w:eastAsia="zh-CN"/>
        </w:rPr>
        <w:t>厚</w:t>
      </w:r>
      <w:r>
        <w:rPr>
          <w:rFonts w:hint="eastAsia" w:cs="Times New Roman"/>
          <w:snapToGrid w:val="0"/>
          <w:color w:val="auto"/>
          <w:kern w:val="0"/>
          <w:szCs w:val="24"/>
          <w:highlight w:val="none"/>
          <w:lang w:eastAsia="zh-CN"/>
        </w:rPr>
        <w:t>高密度聚乙烯膜等人工防渗材料（渗透系数不大于 10</w:t>
      </w:r>
      <w:r>
        <w:rPr>
          <w:rFonts w:hint="eastAsia" w:cs="Times New Roman"/>
          <w:snapToGrid w:val="0"/>
          <w:color w:val="auto"/>
          <w:kern w:val="0"/>
          <w:szCs w:val="24"/>
          <w:highlight w:val="none"/>
          <w:vertAlign w:val="superscript"/>
          <w:lang w:eastAsia="zh-CN"/>
        </w:rPr>
        <w:t xml:space="preserve">-10 </w:t>
      </w:r>
      <w:r>
        <w:rPr>
          <w:rFonts w:hint="eastAsia" w:cs="Times New Roman"/>
          <w:snapToGrid w:val="0"/>
          <w:color w:val="auto"/>
          <w:kern w:val="0"/>
          <w:szCs w:val="24"/>
          <w:highlight w:val="none"/>
          <w:lang w:eastAsia="zh-CN"/>
        </w:rPr>
        <w:t>cm/s），或其他防渗性能等效的材料。</w:t>
      </w:r>
      <w:r>
        <w:rPr>
          <w:rFonts w:hint="eastAsia" w:cs="Times New Roman"/>
          <w:color w:val="auto"/>
          <w:szCs w:val="21"/>
          <w:highlight w:val="none"/>
          <w:lang w:val="en-US" w:eastAsia="zh-CN"/>
        </w:rPr>
        <w:t>同时</w:t>
      </w:r>
      <w:r>
        <w:rPr>
          <w:rFonts w:hint="eastAsia" w:cs="Times New Roman"/>
          <w:snapToGrid w:val="0"/>
          <w:color w:val="auto"/>
          <w:kern w:val="0"/>
          <w:szCs w:val="21"/>
          <w:highlight w:val="none"/>
          <w:lang w:val="en-US" w:eastAsia="zh-CN"/>
        </w:rPr>
        <w:t>危险废物贮存点</w:t>
      </w:r>
      <w:r>
        <w:rPr>
          <w:rFonts w:hint="default" w:ascii="sans-serif" w:hAnsi="sans-serif" w:eastAsia="sans-serif" w:cs="sans-serif"/>
          <w:i w:val="0"/>
          <w:iCs w:val="0"/>
          <w:caps w:val="0"/>
          <w:color w:val="auto"/>
          <w:spacing w:val="0"/>
          <w:sz w:val="26"/>
          <w:szCs w:val="26"/>
          <w:highlight w:val="none"/>
          <w:shd w:val="clear" w:fill="FFFFFF"/>
        </w:rPr>
        <w:t>应具有固</w:t>
      </w:r>
      <w:r>
        <w:rPr>
          <w:rFonts w:hint="default" w:cs="Times New Roman"/>
          <w:snapToGrid w:val="0"/>
          <w:color w:val="auto"/>
          <w:kern w:val="0"/>
          <w:highlight w:val="none"/>
        </w:rPr>
        <w:t>定的区域边界，并应采取与其他区域进行隔离的措施。贮存点应采取防风、防雨、防晒和防止危险废物流失、扬散等措施。贮存点贮存的危险废物应置于容器或包装物中，不应直接散堆。贮存点应根据危险废物的形态、物理化学性质、包装形式等，采取防渗、防漏等污染防治措施</w:t>
      </w:r>
      <w:r>
        <w:rPr>
          <w:rFonts w:cs="Times New Roman"/>
          <w:snapToGrid w:val="0"/>
          <w:color w:val="auto"/>
          <w:kern w:val="0"/>
          <w:highlight w:val="none"/>
        </w:rPr>
        <w:t>或</w:t>
      </w:r>
      <w:r>
        <w:rPr>
          <w:rFonts w:hint="default" w:cs="Times New Roman"/>
          <w:snapToGrid w:val="0"/>
          <w:color w:val="auto"/>
          <w:kern w:val="0"/>
          <w:highlight w:val="none"/>
        </w:rPr>
        <w:t>采用具有相应功能的装置。</w:t>
      </w:r>
      <w:r>
        <w:rPr>
          <w:rFonts w:cs="Times New Roman"/>
          <w:snapToGrid w:val="0"/>
          <w:color w:val="auto"/>
          <w:kern w:val="0"/>
          <w:highlight w:val="none"/>
        </w:rPr>
        <w:t>贮</w:t>
      </w:r>
      <w:r>
        <w:rPr>
          <w:rFonts w:hint="default" w:cs="Times New Roman"/>
          <w:snapToGrid w:val="0"/>
          <w:color w:val="auto"/>
          <w:kern w:val="0"/>
          <w:highlight w:val="none"/>
        </w:rPr>
        <w:t>存点应及时清运贮存的危险废物，实时贮存量不应超过</w:t>
      </w:r>
      <w:r>
        <w:rPr>
          <w:rFonts w:cs="Times New Roman"/>
          <w:snapToGrid w:val="0"/>
          <w:color w:val="auto"/>
          <w:kern w:val="0"/>
          <w:highlight w:val="none"/>
        </w:rPr>
        <w:t>3</w:t>
      </w:r>
      <w:r>
        <w:rPr>
          <w:rFonts w:hint="eastAsia" w:cs="Times New Roman"/>
          <w:snapToGrid w:val="0"/>
          <w:color w:val="auto"/>
          <w:kern w:val="0"/>
          <w:highlight w:val="none"/>
          <w:lang w:val="en-US" w:eastAsia="zh-CN"/>
        </w:rPr>
        <w:t>t。</w:t>
      </w:r>
    </w:p>
    <w:p w14:paraId="43BEB232">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生产车间</w:t>
      </w:r>
      <w:r>
        <w:rPr>
          <w:rFonts w:hint="eastAsia" w:cs="Times New Roman"/>
          <w:snapToGrid w:val="0"/>
          <w:color w:val="auto"/>
          <w:kern w:val="0"/>
          <w:szCs w:val="24"/>
          <w:highlight w:val="none"/>
          <w:lang w:eastAsia="zh-CN"/>
        </w:rPr>
        <w:t>（</w:t>
      </w:r>
      <w:r>
        <w:rPr>
          <w:rFonts w:hint="eastAsia" w:cs="Times New Roman"/>
          <w:snapToGrid w:val="0"/>
          <w:color w:val="auto"/>
          <w:kern w:val="0"/>
          <w:szCs w:val="24"/>
          <w:highlight w:val="none"/>
          <w:lang w:val="en-US" w:eastAsia="zh-CN"/>
        </w:rPr>
        <w:t>包含冷库</w:t>
      </w:r>
      <w:r>
        <w:rPr>
          <w:rFonts w:hint="eastAsia" w:cs="Times New Roman"/>
          <w:snapToGrid w:val="0"/>
          <w:color w:val="auto"/>
          <w:kern w:val="0"/>
          <w:szCs w:val="24"/>
          <w:highlight w:val="none"/>
          <w:lang w:eastAsia="zh-CN"/>
        </w:rPr>
        <w:t>）</w:t>
      </w:r>
      <w:r>
        <w:rPr>
          <w:rFonts w:cs="Times New Roman"/>
          <w:snapToGrid w:val="0"/>
          <w:color w:val="auto"/>
          <w:kern w:val="0"/>
          <w:szCs w:val="24"/>
          <w:highlight w:val="none"/>
        </w:rPr>
        <w:t>、隔离圈、污水处理站、事故池及固体废物暂存间按一般防渗区采取防渗措施。地面（池底）基础防渗，</w:t>
      </w:r>
      <w:r>
        <w:rPr>
          <w:rFonts w:cs="Times New Roman"/>
          <w:snapToGrid w:val="0"/>
          <w:color w:val="auto"/>
          <w:kern w:val="0"/>
          <w:szCs w:val="24"/>
          <w:highlight w:val="none"/>
          <w:lang w:val="zh-CN"/>
        </w:rPr>
        <w:t>防渗层为至少1m厚粘土层或2mm厚高密度聚乙烯，</w:t>
      </w:r>
      <w:r>
        <w:rPr>
          <w:rFonts w:cs="Times New Roman"/>
          <w:snapToGrid w:val="0"/>
          <w:color w:val="auto"/>
          <w:kern w:val="0"/>
          <w:szCs w:val="24"/>
          <w:highlight w:val="none"/>
        </w:rPr>
        <w:t>需满足等效黏土防渗层Mb≥1.5m，K≤1×10</w:t>
      </w:r>
      <w:r>
        <w:rPr>
          <w:rFonts w:cs="Times New Roman"/>
          <w:snapToGrid w:val="0"/>
          <w:color w:val="auto"/>
          <w:kern w:val="0"/>
          <w:szCs w:val="24"/>
          <w:highlight w:val="none"/>
          <w:vertAlign w:val="superscript"/>
        </w:rPr>
        <w:t>-7</w:t>
      </w:r>
      <w:r>
        <w:rPr>
          <w:rFonts w:cs="Times New Roman"/>
          <w:snapToGrid w:val="0"/>
          <w:color w:val="auto"/>
          <w:kern w:val="0"/>
          <w:szCs w:val="24"/>
          <w:highlight w:val="none"/>
        </w:rPr>
        <w:t>cm/s的要求，在做好基层防渗的基础上进行水泥硬化；</w:t>
      </w:r>
    </w:p>
    <w:p w14:paraId="1AEA6511">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其他建筑物及道路采取简单防渗，对其地面采用混凝土进行一般地面硬化；</w:t>
      </w:r>
    </w:p>
    <w:p w14:paraId="55D435D2">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污水管道采取防渗漏措施。</w:t>
      </w:r>
    </w:p>
    <w:p w14:paraId="6D3BEAEF">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3）要有专人管理污水处理设备，发现设备不能正常运转，立刻停止生产，组织人员抢修，待设备正常运转后，方可生产；</w:t>
      </w:r>
    </w:p>
    <w:p w14:paraId="5E22B444">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4）加强和强化公司安全检查和巡查体系的建立，定期、定点、定向的对公司所有存在安全隐患和环境风险隐患的设备设施进行安全排出和检查。对排查出的风险隐患要得到及时的处理，并作相关的记录，以便做到风险防范有帐可查。</w:t>
      </w:r>
    </w:p>
    <w:p w14:paraId="567E31F3">
      <w:pPr>
        <w:pStyle w:val="8"/>
        <w:rPr>
          <w:color w:val="auto"/>
          <w:highlight w:val="none"/>
        </w:rPr>
      </w:pPr>
      <w:r>
        <w:rPr>
          <w:rFonts w:hint="default" w:ascii="Times New Roman" w:hAnsi="Times New Roman" w:cs="Times New Roman"/>
          <w:color w:val="auto"/>
          <w:highlight w:val="none"/>
        </w:rPr>
        <w:t>本项目应严格按照国家相关规范要求，对工艺、管道、设备、污水储存及处理构筑物采取相应的措施，以防止和降低可能污染物的跑、冒、滴、漏，将废水、物料泄漏的环境风险事故降低到最低程度。针对易产生地下水/土壤污染的环节从源头控制措施有：选用优质的管道材料和底板材质，优化管网设计；定期组织人员检查管道、底板的情况，以减少因破损而引起渗漏，造成地下水和土壤的污染。</w:t>
      </w:r>
    </w:p>
    <w:p w14:paraId="0B6718FF">
      <w:pPr>
        <w:spacing w:line="500" w:lineRule="exact"/>
        <w:ind w:firstLine="482"/>
        <w:rPr>
          <w:rFonts w:cs="Times New Roman"/>
          <w:b/>
          <w:bCs/>
          <w:snapToGrid w:val="0"/>
          <w:color w:val="auto"/>
          <w:kern w:val="0"/>
          <w:szCs w:val="24"/>
          <w:highlight w:val="none"/>
        </w:rPr>
      </w:pPr>
      <w:r>
        <w:rPr>
          <w:rFonts w:cs="Times New Roman"/>
          <w:b/>
          <w:bCs/>
          <w:snapToGrid w:val="0"/>
          <w:color w:val="auto"/>
          <w:kern w:val="0"/>
          <w:szCs w:val="24"/>
          <w:highlight w:val="none"/>
        </w:rPr>
        <w:t>3、大气环境风险防范措施</w:t>
      </w:r>
    </w:p>
    <w:p w14:paraId="498BA1CE">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w:t>
      </w:r>
      <w:r>
        <w:rPr>
          <w:rFonts w:hint="eastAsia" w:cs="Times New Roman"/>
          <w:snapToGrid w:val="0"/>
          <w:color w:val="auto"/>
          <w:kern w:val="0"/>
          <w:szCs w:val="24"/>
          <w:highlight w:val="none"/>
          <w:lang w:val="en-US" w:eastAsia="zh-CN"/>
        </w:rPr>
        <w:t>次氯酸钠</w:t>
      </w:r>
      <w:r>
        <w:rPr>
          <w:rFonts w:cs="Times New Roman"/>
          <w:snapToGrid w:val="0"/>
          <w:color w:val="auto"/>
          <w:kern w:val="0"/>
          <w:szCs w:val="24"/>
          <w:highlight w:val="none"/>
        </w:rPr>
        <w:t>泄漏风险防范措施</w:t>
      </w:r>
    </w:p>
    <w:p w14:paraId="33F77022">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1）泄漏应急处理</w:t>
      </w:r>
    </w:p>
    <w:p w14:paraId="3909D196">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疏散泄漏污染区人员至上风处，并隔离直至气体散尽。应急处理人员戴正压自给式呼吸器，穿化学防护服、切断火源、喷洒雾状水稀释，抽排(室内)或强力通风(室外)，漏气容器不能再用，且要经过技术处理以清除可能剩下的气体。</w:t>
      </w:r>
    </w:p>
    <w:p w14:paraId="79D0229C">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2）防护措施</w:t>
      </w:r>
    </w:p>
    <w:p w14:paraId="5E734744">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呼吸系统防护：空气中浓度较高时，应该佩戴防毒面具。紧急事态抢救或撤离时，建议佩戴正压自给式呼吸器。</w:t>
      </w:r>
    </w:p>
    <w:p w14:paraId="3C1FB18C">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眼睛防护：带化学安全防护眼镜。</w:t>
      </w:r>
    </w:p>
    <w:p w14:paraId="5E443F0C">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身体防护：穿防腐工作服。</w:t>
      </w:r>
    </w:p>
    <w:p w14:paraId="60A6ACDA">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手防护：可能接触毒物时</w:t>
      </w:r>
      <w:r>
        <w:rPr>
          <w:rFonts w:hint="eastAsia" w:cs="Times New Roman"/>
          <w:snapToGrid w:val="0"/>
          <w:color w:val="auto"/>
          <w:kern w:val="0"/>
          <w:szCs w:val="24"/>
          <w:highlight w:val="none"/>
        </w:rPr>
        <w:t>，</w:t>
      </w:r>
      <w:r>
        <w:rPr>
          <w:rFonts w:cs="Times New Roman"/>
          <w:snapToGrid w:val="0"/>
          <w:color w:val="auto"/>
          <w:kern w:val="0"/>
          <w:szCs w:val="24"/>
          <w:highlight w:val="none"/>
        </w:rPr>
        <w:t>戴防化学品手套。</w:t>
      </w:r>
    </w:p>
    <w:p w14:paraId="084FBF5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其它：工作现场禁止吸烟。工作后，淋浴更衣。保持良好的卫生习惯。</w:t>
      </w:r>
    </w:p>
    <w:p w14:paraId="1AB966D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3）急救措施</w:t>
      </w:r>
    </w:p>
    <w:p w14:paraId="1D0D2FB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皮肤接触：脱去污染的衣着，立即用大量流动清水彻底冲洗至少15分钟。就医。</w:t>
      </w:r>
    </w:p>
    <w:p w14:paraId="742943AB">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眼睛接触：立即翻开上下眼睑</w:t>
      </w:r>
      <w:r>
        <w:rPr>
          <w:rFonts w:hint="eastAsia" w:cs="Times New Roman"/>
          <w:snapToGrid w:val="0"/>
          <w:color w:val="auto"/>
          <w:kern w:val="0"/>
          <w:szCs w:val="24"/>
          <w:highlight w:val="none"/>
        </w:rPr>
        <w:t>，</w:t>
      </w:r>
      <w:r>
        <w:rPr>
          <w:rFonts w:cs="Times New Roman"/>
          <w:snapToGrid w:val="0"/>
          <w:color w:val="auto"/>
          <w:kern w:val="0"/>
          <w:szCs w:val="24"/>
          <w:highlight w:val="none"/>
        </w:rPr>
        <w:t>用流动清水或生理盐水冲洗至少15分钟。就医。</w:t>
      </w:r>
    </w:p>
    <w:p w14:paraId="0E062388">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吸入：迅速脱离现场至空气新鲜处。保持呼吸通畅。呼吸困难时给输氧。呼吸停止时，即进行人工呼吸。就医。</w:t>
      </w:r>
    </w:p>
    <w:p w14:paraId="6A0EC20D">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食入：误服者漱口，饮牛奶或蛋清。就医。</w:t>
      </w:r>
    </w:p>
    <w:p w14:paraId="0C6AD7D3">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灭火方法：切断气源。喷水冷却容器，可能的话将容器从火场移至空旷处。</w:t>
      </w:r>
    </w:p>
    <w:p w14:paraId="6CF5E470">
      <w:pPr>
        <w:spacing w:line="500" w:lineRule="exact"/>
        <w:ind w:firstLine="482"/>
        <w:rPr>
          <w:rFonts w:cs="Times New Roman"/>
          <w:b/>
          <w:bCs/>
          <w:snapToGrid w:val="0"/>
          <w:color w:val="auto"/>
          <w:kern w:val="0"/>
          <w:szCs w:val="24"/>
          <w:highlight w:val="none"/>
        </w:rPr>
      </w:pPr>
      <w:r>
        <w:rPr>
          <w:rFonts w:cs="Times New Roman"/>
          <w:b/>
          <w:bCs/>
          <w:snapToGrid w:val="0"/>
          <w:color w:val="auto"/>
          <w:kern w:val="0"/>
          <w:szCs w:val="24"/>
          <w:highlight w:val="none"/>
        </w:rPr>
        <w:t>4、其他风险防范措施</w:t>
      </w:r>
    </w:p>
    <w:p w14:paraId="66FA7391">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1）为降低风险事故发生概率，企业应建立一套完善的安全管理制度，执行风险、工业安全卫生、劳动保护、环保、消防等相关规定；</w:t>
      </w:r>
    </w:p>
    <w:p w14:paraId="4744FD7F">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2）加强对职工的安全教育及技术培训，提高职工的安全防护及环保意识，防患于未然；</w:t>
      </w:r>
    </w:p>
    <w:p w14:paraId="40440EC6">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3）应设有安全生产监督员，专门负责安全方面的检查监督工作，能处理突发事故，由监督员严格执行制定的各项安全生产规章制度；</w:t>
      </w:r>
    </w:p>
    <w:p w14:paraId="07C198DF">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4）确保所购设备及设施的安全性，根据生产工艺选用合理材质的设备、设施；</w:t>
      </w:r>
    </w:p>
    <w:p w14:paraId="2E5F733A">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5）企业必须设置强有力的安全生产管理机构，根据安全管理工作的需要，配备必要的人员进行安全管理工作，建立健全安生产责任制，制定并教育全体职工遵守《安全生产规程》；</w:t>
      </w:r>
    </w:p>
    <w:p w14:paraId="5834603A">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6）加强对周围水环境的监测，对废水的泄露要及时掌握，防止废水的泄露对周围水环境造成危害；</w:t>
      </w:r>
    </w:p>
    <w:p w14:paraId="1F12A250">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7）强化岗位责任制，严格各项操作规程和奖惩制度，除设置专门环保机构外，各生产单位都要设专人具体负责本单位的安全和环保问题，对易发事故的各生产环节必须经常检查，杜绝事故隐患，发现问题及时处置并立即向有关部门报告；</w:t>
      </w:r>
    </w:p>
    <w:p w14:paraId="6508B093">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8）加强和强化安全检查和巡查体系的建立，定期、定点、定向的对公司所有存在安全隐患和环境风险隐患的设备设施进行安全排出和检查。对排查出的风险隐患要得到及时的处理，并作相关的记录，以便做到风险防范有帐可查；</w:t>
      </w:r>
    </w:p>
    <w:p w14:paraId="44AE8CB2">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9）原料来源必须有正规的渠道，有专门的运输车辆运输，要求押运人员持有押运证，并携带安全资料表，装卸过程要轻装轻放，避免撞击、重压和摩擦；</w:t>
      </w:r>
    </w:p>
    <w:p w14:paraId="78504F02">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10）应编制突发事件应急预案，并定期开展演练。</w:t>
      </w:r>
    </w:p>
    <w:p w14:paraId="573938B0">
      <w:pPr>
        <w:pStyle w:val="5"/>
        <w:rPr>
          <w:color w:val="auto"/>
          <w:highlight w:val="none"/>
        </w:rPr>
      </w:pPr>
      <w:r>
        <w:rPr>
          <w:color w:val="auto"/>
          <w:highlight w:val="none"/>
          <w:lang w:val="en-US"/>
        </w:rPr>
        <w:t>6.2.6.2</w:t>
      </w:r>
      <w:r>
        <w:rPr>
          <w:color w:val="auto"/>
          <w:highlight w:val="none"/>
        </w:rPr>
        <w:t>风险管理</w:t>
      </w:r>
    </w:p>
    <w:p w14:paraId="3E84ED6E">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企业应根据自身的生产特点，有针对性的进行环境风险管理：</w:t>
      </w:r>
    </w:p>
    <w:p w14:paraId="0E98264F">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1）明确风险管理应急组织机构组成及其职责，包括协调指挥机构及事故现场应急指挥部。协调指挥机构的总指挥应为企业负责人，组员为各部门的负责人，协调配合做好事故处理的各项工作。事故现场应急指挥部按照事故灾难等级和分级响应原则，由相应的地方人民政府组成现场应急救援指挥部，总指挥由地方政府负责人担任，全面负责应急救援指挥工作。</w:t>
      </w:r>
    </w:p>
    <w:p w14:paraId="7AFD664D">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2）建立预警及预防机制，制定环境污染事故相应的应急预案，定期对相关设施及流程进行检查，发现隐患及时进行整改。对于可能引起重大事故的异常状况，应及时向企业安全管理部门汇报，严重的应按照要求逐级向地方人民政府主管部门汇报。</w:t>
      </w:r>
    </w:p>
    <w:p w14:paraId="7D509E46">
      <w:pPr>
        <w:spacing w:line="500" w:lineRule="exact"/>
        <w:rPr>
          <w:rFonts w:cs="Times New Roman"/>
          <w:snapToGrid w:val="0"/>
          <w:color w:val="auto"/>
          <w:kern w:val="0"/>
          <w:szCs w:val="24"/>
          <w:highlight w:val="none"/>
        </w:rPr>
      </w:pPr>
      <w:r>
        <w:rPr>
          <w:rFonts w:cs="Times New Roman"/>
          <w:snapToGrid w:val="0"/>
          <w:color w:val="auto"/>
          <w:kern w:val="0"/>
          <w:szCs w:val="24"/>
          <w:highlight w:val="none"/>
        </w:rPr>
        <w:t>（3）针对环境污染事故的影响特点，建立完善的后期处理机制，妥善安排，降低事故的影响范围，防止次生事故发生。</w:t>
      </w:r>
    </w:p>
    <w:p w14:paraId="0B105128">
      <w:pPr>
        <w:spacing w:line="500" w:lineRule="exact"/>
        <w:rPr>
          <w:rFonts w:ascii="Times New Roman" w:hAnsi="Times New Roman" w:eastAsia="宋体" w:cs="Times New Roman"/>
          <w:snapToGrid w:val="0"/>
          <w:color w:val="auto"/>
          <w:kern w:val="0"/>
          <w:szCs w:val="24"/>
          <w:highlight w:val="none"/>
        </w:rPr>
      </w:pPr>
      <w:r>
        <w:rPr>
          <w:rFonts w:ascii="Times New Roman" w:hAnsi="Times New Roman" w:eastAsia="宋体" w:cs="Times New Roman"/>
          <w:snapToGrid w:val="0"/>
          <w:color w:val="auto"/>
          <w:kern w:val="0"/>
          <w:szCs w:val="24"/>
          <w:highlight w:val="none"/>
        </w:rPr>
        <w:t>（4）应做好事故的应急支援与保障工作。</w:t>
      </w:r>
    </w:p>
    <w:p w14:paraId="1892BC68">
      <w:pPr>
        <w:spacing w:line="500" w:lineRule="exact"/>
        <w:rPr>
          <w:rFonts w:hint="eastAsia" w:ascii="Times New Roman" w:hAnsi="Times New Roman" w:eastAsia="宋体" w:cs="Times New Roman"/>
          <w:snapToGrid w:val="0"/>
          <w:color w:val="auto"/>
          <w:kern w:val="0"/>
          <w:szCs w:val="24"/>
          <w:highlight w:val="none"/>
          <w:lang w:eastAsia="zh-CN"/>
        </w:rPr>
      </w:pPr>
      <w:r>
        <w:rPr>
          <w:rFonts w:hint="eastAsia" w:ascii="Times New Roman" w:hAnsi="Times New Roman" w:eastAsia="宋体" w:cs="Times New Roman"/>
          <w:snapToGrid w:val="0"/>
          <w:color w:val="auto"/>
          <w:kern w:val="0"/>
          <w:szCs w:val="24"/>
          <w:highlight w:val="none"/>
          <w:lang w:eastAsia="zh-CN"/>
        </w:rPr>
        <w:t>（</w:t>
      </w:r>
      <w:r>
        <w:rPr>
          <w:rFonts w:hint="eastAsia" w:ascii="Times New Roman" w:hAnsi="Times New Roman" w:eastAsia="宋体" w:cs="Times New Roman"/>
          <w:snapToGrid w:val="0"/>
          <w:color w:val="auto"/>
          <w:kern w:val="0"/>
          <w:szCs w:val="24"/>
          <w:highlight w:val="none"/>
          <w:lang w:val="en-US" w:eastAsia="zh-CN"/>
        </w:rPr>
        <w:t>5</w:t>
      </w:r>
      <w:r>
        <w:rPr>
          <w:rFonts w:hint="eastAsia" w:ascii="Times New Roman" w:hAnsi="Times New Roman" w:eastAsia="宋体" w:cs="Times New Roman"/>
          <w:snapToGrid w:val="0"/>
          <w:color w:val="auto"/>
          <w:kern w:val="0"/>
          <w:szCs w:val="24"/>
          <w:highlight w:val="none"/>
          <w:lang w:eastAsia="zh-CN"/>
        </w:rPr>
        <w:t>）</w:t>
      </w:r>
      <w:r>
        <w:rPr>
          <w:rFonts w:ascii="Times New Roman" w:hAnsi="Times New Roman" w:eastAsia="宋体" w:cs="Times New Roman"/>
          <w:snapToGrid w:val="0"/>
          <w:color w:val="auto"/>
          <w:kern w:val="0"/>
          <w:szCs w:val="24"/>
          <w:highlight w:val="none"/>
        </w:rPr>
        <w:t>当确诊疫病时，及时封锁，上报疫情。同时立即采取措施，就地扑灭，</w:t>
      </w:r>
      <w:r>
        <w:rPr>
          <w:rFonts w:hint="eastAsia" w:ascii="Times New Roman" w:hAnsi="Times New Roman" w:eastAsia="宋体" w:cs="Times New Roman"/>
          <w:snapToGrid w:val="0"/>
          <w:color w:val="auto"/>
          <w:kern w:val="0"/>
          <w:szCs w:val="24"/>
          <w:highlight w:val="none"/>
          <w:lang w:val="en-US" w:eastAsia="zh-CN"/>
        </w:rPr>
        <w:t>并进行全面消毒防疫，</w:t>
      </w:r>
      <w:r>
        <w:rPr>
          <w:rFonts w:ascii="Times New Roman" w:hAnsi="Times New Roman" w:eastAsia="宋体" w:cs="Times New Roman"/>
          <w:snapToGrid w:val="0"/>
          <w:color w:val="auto"/>
          <w:kern w:val="0"/>
          <w:szCs w:val="24"/>
          <w:highlight w:val="none"/>
        </w:rPr>
        <w:t>确保人畜的安全。</w:t>
      </w:r>
    </w:p>
    <w:p w14:paraId="44F680B5">
      <w:pPr>
        <w:spacing w:line="500" w:lineRule="exact"/>
        <w:rPr>
          <w:rFonts w:cs="Times New Roman"/>
          <w:snapToGrid w:val="0"/>
          <w:color w:val="auto"/>
          <w:kern w:val="0"/>
          <w:szCs w:val="24"/>
          <w:highlight w:val="none"/>
        </w:rPr>
      </w:pPr>
      <w:r>
        <w:rPr>
          <w:rFonts w:ascii="Times New Roman" w:hAnsi="Times New Roman" w:eastAsia="宋体" w:cs="Times New Roman"/>
          <w:snapToGrid w:val="0"/>
          <w:color w:val="auto"/>
          <w:kern w:val="0"/>
          <w:szCs w:val="24"/>
          <w:highlight w:val="none"/>
        </w:rPr>
        <w:t>（</w:t>
      </w:r>
      <w:r>
        <w:rPr>
          <w:rFonts w:hint="eastAsia" w:ascii="Times New Roman" w:hAnsi="Times New Roman" w:eastAsia="宋体" w:cs="Times New Roman"/>
          <w:snapToGrid w:val="0"/>
          <w:color w:val="auto"/>
          <w:kern w:val="0"/>
          <w:szCs w:val="24"/>
          <w:highlight w:val="none"/>
          <w:lang w:val="en-US" w:eastAsia="zh-CN"/>
        </w:rPr>
        <w:t>6</w:t>
      </w:r>
      <w:r>
        <w:rPr>
          <w:rFonts w:ascii="Times New Roman" w:hAnsi="Times New Roman" w:eastAsia="宋体" w:cs="Times New Roman"/>
          <w:snapToGrid w:val="0"/>
          <w:color w:val="auto"/>
          <w:kern w:val="0"/>
          <w:szCs w:val="24"/>
          <w:highlight w:val="none"/>
        </w:rPr>
        <w:t>）针对不同环境风险事故的特点，按照应急预案的要求，进行员工日常的安全培训，并定期进</w:t>
      </w:r>
      <w:r>
        <w:rPr>
          <w:rFonts w:cs="Times New Roman"/>
          <w:snapToGrid w:val="0"/>
          <w:color w:val="auto"/>
          <w:kern w:val="0"/>
          <w:szCs w:val="24"/>
          <w:highlight w:val="none"/>
        </w:rPr>
        <w:t>行应急预案演练，对于应急预案演练中发现的不完善之处，应及时进行改进。</w:t>
      </w:r>
    </w:p>
    <w:p w14:paraId="6FE00E1A">
      <w:pPr>
        <w:pStyle w:val="5"/>
        <w:rPr>
          <w:color w:val="auto"/>
          <w:highlight w:val="none"/>
          <w:lang w:val="en-US"/>
        </w:rPr>
      </w:pPr>
      <w:r>
        <w:rPr>
          <w:color w:val="auto"/>
          <w:highlight w:val="none"/>
          <w:lang w:val="en-US"/>
        </w:rPr>
        <w:t>6.2.6.3应急监测系统</w:t>
      </w:r>
    </w:p>
    <w:p w14:paraId="5547B35A">
      <w:pPr>
        <w:numPr>
          <w:ilvl w:val="0"/>
          <w:numId w:val="18"/>
        </w:numPr>
        <w:spacing w:line="500" w:lineRule="exact"/>
        <w:rPr>
          <w:rFonts w:cs="Times New Roman"/>
          <w:snapToGrid w:val="0"/>
          <w:color w:val="auto"/>
          <w:kern w:val="0"/>
          <w:szCs w:val="24"/>
          <w:highlight w:val="none"/>
        </w:rPr>
      </w:pPr>
      <w:r>
        <w:rPr>
          <w:rFonts w:cs="Times New Roman"/>
          <w:snapToGrid w:val="0"/>
          <w:color w:val="auto"/>
          <w:kern w:val="0"/>
          <w:szCs w:val="24"/>
          <w:highlight w:val="none"/>
        </w:rPr>
        <w:t>若突发环境事件，应根据事故波及范围确定监测方案。事件发生时要立即开展应急监测，在政府部门到达后，则配合政府部门相关机构进行监测。监测人员应在必要的防护措施和保证安全的情况下进行处理现场采样。此外，监测方案应根据的事故的具体情况由指挥部作调整和安排。</w:t>
      </w:r>
    </w:p>
    <w:p w14:paraId="1A1ABCBE">
      <w:pPr>
        <w:numPr>
          <w:ilvl w:val="0"/>
          <w:numId w:val="18"/>
        </w:numPr>
        <w:spacing w:line="500" w:lineRule="exact"/>
        <w:rPr>
          <w:rFonts w:cs="Times New Roman"/>
          <w:color w:val="auto"/>
          <w:kern w:val="0"/>
          <w:highlight w:val="none"/>
        </w:rPr>
      </w:pPr>
      <w:r>
        <w:rPr>
          <w:rFonts w:cs="Times New Roman"/>
          <w:snapToGrid w:val="0"/>
          <w:color w:val="auto"/>
          <w:kern w:val="0"/>
          <w:szCs w:val="24"/>
          <w:highlight w:val="none"/>
        </w:rPr>
        <w:t>在事故发生初期，要根据监测能力和突发事件的严重程度，适当增加监测点位和频次，随着污染物的扩散情况和监测结果的变化趋势</w:t>
      </w:r>
      <w:r>
        <w:rPr>
          <w:rFonts w:cs="Times New Roman"/>
          <w:color w:val="auto"/>
          <w:kern w:val="0"/>
          <w:highlight w:val="none"/>
        </w:rPr>
        <w:t>，调整监测频次和监测点位。</w:t>
      </w:r>
    </w:p>
    <w:p w14:paraId="00B536D8">
      <w:pPr>
        <w:numPr>
          <w:ilvl w:val="0"/>
          <w:numId w:val="18"/>
        </w:numPr>
        <w:spacing w:line="500" w:lineRule="exact"/>
        <w:rPr>
          <w:rFonts w:cs="Times New Roman"/>
          <w:color w:val="auto"/>
          <w:kern w:val="0"/>
          <w:highlight w:val="none"/>
        </w:rPr>
      </w:pPr>
      <w:r>
        <w:rPr>
          <w:rFonts w:cs="Times New Roman"/>
          <w:color w:val="auto"/>
          <w:kern w:val="0"/>
          <w:highlight w:val="none"/>
        </w:rPr>
        <w:t>根据监测结果，综合分析突发环境事件污染变化趋势，并通过专家咨询和讨论的方式，预测突发环境事件的发展情况和污染物的变化情况，为应急决策提供技术支撑。应急监测方案见下表。</w:t>
      </w:r>
    </w:p>
    <w:p w14:paraId="073AC98B">
      <w:pPr>
        <w:pStyle w:val="36"/>
        <w:ind w:left="0"/>
        <w:jc w:val="center"/>
        <w:rPr>
          <w:b/>
          <w:color w:val="auto"/>
          <w:sz w:val="24"/>
          <w:szCs w:val="24"/>
          <w:highlight w:val="none"/>
        </w:rPr>
      </w:pPr>
      <w:r>
        <w:rPr>
          <w:b/>
          <w:color w:val="auto"/>
          <w:sz w:val="24"/>
          <w:szCs w:val="24"/>
          <w:highlight w:val="none"/>
        </w:rPr>
        <w:t>表6</w:t>
      </w:r>
      <w:r>
        <w:rPr>
          <w:rFonts w:hint="eastAsia"/>
          <w:b/>
          <w:color w:val="auto"/>
          <w:sz w:val="24"/>
          <w:szCs w:val="24"/>
          <w:highlight w:val="none"/>
          <w:lang w:val="en-US" w:eastAsia="zh-CN"/>
        </w:rPr>
        <w:t>.</w:t>
      </w:r>
      <w:r>
        <w:rPr>
          <w:b/>
          <w:color w:val="auto"/>
          <w:sz w:val="24"/>
          <w:szCs w:val="24"/>
          <w:highlight w:val="none"/>
        </w:rPr>
        <w:t>2-</w:t>
      </w:r>
      <w:r>
        <w:rPr>
          <w:rFonts w:hint="eastAsia"/>
          <w:b/>
          <w:color w:val="auto"/>
          <w:sz w:val="24"/>
          <w:szCs w:val="24"/>
          <w:highlight w:val="none"/>
          <w:lang w:val="en-US" w:eastAsia="zh-CN"/>
        </w:rPr>
        <w:t>7</w:t>
      </w:r>
      <w:r>
        <w:rPr>
          <w:b/>
          <w:color w:val="auto"/>
          <w:sz w:val="24"/>
          <w:szCs w:val="24"/>
          <w:highlight w:val="none"/>
        </w:rPr>
        <w:t xml:space="preserve">  应急监测方案</w:t>
      </w:r>
    </w:p>
    <w:tbl>
      <w:tblPr>
        <w:tblStyle w:val="48"/>
        <w:tblW w:w="496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95"/>
        <w:gridCol w:w="1609"/>
        <w:gridCol w:w="2655"/>
        <w:gridCol w:w="2307"/>
        <w:gridCol w:w="1109"/>
      </w:tblGrid>
      <w:tr w14:paraId="0AD8A6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69" w:type="pct"/>
            <w:tcBorders>
              <w:tl2br w:val="nil"/>
              <w:tr2bl w:val="nil"/>
            </w:tcBorders>
            <w:vAlign w:val="center"/>
          </w:tcPr>
          <w:p w14:paraId="3DE76C5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类别</w:t>
            </w:r>
          </w:p>
        </w:tc>
        <w:tc>
          <w:tcPr>
            <w:tcW w:w="949" w:type="pct"/>
            <w:tcBorders>
              <w:tl2br w:val="nil"/>
              <w:tr2bl w:val="nil"/>
            </w:tcBorders>
            <w:vAlign w:val="center"/>
          </w:tcPr>
          <w:p w14:paraId="78F332D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事故点</w:t>
            </w:r>
          </w:p>
        </w:tc>
        <w:tc>
          <w:tcPr>
            <w:tcW w:w="1566" w:type="pct"/>
            <w:tcBorders>
              <w:tl2br w:val="nil"/>
              <w:tr2bl w:val="nil"/>
            </w:tcBorders>
            <w:vAlign w:val="center"/>
          </w:tcPr>
          <w:p w14:paraId="04F991B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监测点</w:t>
            </w:r>
          </w:p>
        </w:tc>
        <w:tc>
          <w:tcPr>
            <w:tcW w:w="1361" w:type="pct"/>
            <w:tcBorders>
              <w:tl2br w:val="nil"/>
              <w:tr2bl w:val="nil"/>
            </w:tcBorders>
            <w:vAlign w:val="center"/>
          </w:tcPr>
          <w:p w14:paraId="47CB4BB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监测频率</w:t>
            </w:r>
          </w:p>
        </w:tc>
        <w:tc>
          <w:tcPr>
            <w:tcW w:w="653" w:type="pct"/>
            <w:tcBorders>
              <w:tl2br w:val="nil"/>
              <w:tr2bl w:val="nil"/>
            </w:tcBorders>
            <w:vAlign w:val="center"/>
          </w:tcPr>
          <w:p w14:paraId="225FA1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监测项目</w:t>
            </w:r>
          </w:p>
        </w:tc>
      </w:tr>
      <w:tr w14:paraId="54472E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30" w:hRule="atLeast"/>
          <w:jc w:val="center"/>
        </w:trPr>
        <w:tc>
          <w:tcPr>
            <w:tcW w:w="469" w:type="pct"/>
            <w:tcBorders>
              <w:tl2br w:val="nil"/>
              <w:tr2bl w:val="nil"/>
            </w:tcBorders>
            <w:vAlign w:val="center"/>
          </w:tcPr>
          <w:p w14:paraId="2E1D774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地下水</w:t>
            </w:r>
          </w:p>
        </w:tc>
        <w:tc>
          <w:tcPr>
            <w:tcW w:w="949" w:type="pct"/>
            <w:tcBorders>
              <w:tl2br w:val="nil"/>
              <w:tr2bl w:val="nil"/>
            </w:tcBorders>
            <w:vAlign w:val="center"/>
          </w:tcPr>
          <w:p w14:paraId="6F50C40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事故废水渗入至地下水</w:t>
            </w:r>
          </w:p>
        </w:tc>
        <w:tc>
          <w:tcPr>
            <w:tcW w:w="1566" w:type="pct"/>
            <w:tcBorders>
              <w:tl2br w:val="nil"/>
              <w:tr2bl w:val="nil"/>
            </w:tcBorders>
            <w:vAlign w:val="center"/>
          </w:tcPr>
          <w:p w14:paraId="6880B5C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对事故源四周设置监控点，另根据事故污染情况增加监控点。</w:t>
            </w:r>
          </w:p>
        </w:tc>
        <w:tc>
          <w:tcPr>
            <w:tcW w:w="1361" w:type="pct"/>
            <w:tcBorders>
              <w:tl2br w:val="nil"/>
              <w:tr2bl w:val="nil"/>
            </w:tcBorders>
            <w:vAlign w:val="center"/>
          </w:tcPr>
          <w:p w14:paraId="1A3BCF7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1次/1h</w:t>
            </w:r>
          </w:p>
        </w:tc>
        <w:tc>
          <w:tcPr>
            <w:tcW w:w="653" w:type="pct"/>
            <w:tcBorders>
              <w:tl2br w:val="nil"/>
              <w:tr2bl w:val="nil"/>
            </w:tcBorders>
            <w:vAlign w:val="center"/>
          </w:tcPr>
          <w:p w14:paraId="7C3CE6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pH、COD、</w:t>
            </w:r>
          </w:p>
          <w:p w14:paraId="3C6175B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NH</w:t>
            </w:r>
            <w:r>
              <w:rPr>
                <w:rFonts w:cs="Times New Roman"/>
                <w:color w:val="auto"/>
                <w:sz w:val="21"/>
                <w:szCs w:val="21"/>
                <w:highlight w:val="none"/>
                <w:vertAlign w:val="subscript"/>
              </w:rPr>
              <w:t>3</w:t>
            </w:r>
            <w:r>
              <w:rPr>
                <w:rFonts w:cs="Times New Roman"/>
                <w:color w:val="auto"/>
                <w:sz w:val="21"/>
                <w:szCs w:val="21"/>
                <w:highlight w:val="none"/>
              </w:rPr>
              <w:t>-N等</w:t>
            </w:r>
          </w:p>
        </w:tc>
      </w:tr>
      <w:tr w14:paraId="23B645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469" w:type="pct"/>
            <w:tcBorders>
              <w:tl2br w:val="nil"/>
              <w:tr2bl w:val="nil"/>
            </w:tcBorders>
            <w:vAlign w:val="center"/>
          </w:tcPr>
          <w:p w14:paraId="367D515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环境空气</w:t>
            </w:r>
          </w:p>
        </w:tc>
        <w:tc>
          <w:tcPr>
            <w:tcW w:w="949" w:type="pct"/>
            <w:tcBorders>
              <w:tl2br w:val="nil"/>
              <w:tr2bl w:val="nil"/>
            </w:tcBorders>
            <w:vAlign w:val="center"/>
          </w:tcPr>
          <w:p w14:paraId="6129C77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废气泄漏</w:t>
            </w:r>
          </w:p>
        </w:tc>
        <w:tc>
          <w:tcPr>
            <w:tcW w:w="1566" w:type="pct"/>
            <w:tcBorders>
              <w:tl2br w:val="nil"/>
              <w:tr2bl w:val="nil"/>
            </w:tcBorders>
            <w:vAlign w:val="center"/>
          </w:tcPr>
          <w:p w14:paraId="532AFA0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距离事故源50m、100m、200m、400m不等距设点，设在下风向，并在周边村庄各设一个监测点。</w:t>
            </w:r>
          </w:p>
        </w:tc>
        <w:tc>
          <w:tcPr>
            <w:tcW w:w="1361" w:type="pct"/>
            <w:tcBorders>
              <w:tl2br w:val="nil"/>
              <w:tr2bl w:val="nil"/>
            </w:tcBorders>
            <w:vAlign w:val="center"/>
          </w:tcPr>
          <w:p w14:paraId="7A8DC72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事故初期，采样1次/30min，随后根据空气中有害物质浓度降低情况调整监测频率按1h、2h等采样。</w:t>
            </w:r>
          </w:p>
        </w:tc>
        <w:tc>
          <w:tcPr>
            <w:tcW w:w="653" w:type="pct"/>
            <w:tcBorders>
              <w:tl2br w:val="nil"/>
              <w:tr2bl w:val="nil"/>
            </w:tcBorders>
            <w:vAlign w:val="center"/>
          </w:tcPr>
          <w:p w14:paraId="1C2AC2BB">
            <w:pPr>
              <w:spacing w:line="360" w:lineRule="exact"/>
              <w:ind w:firstLine="0" w:firstLineChars="0"/>
              <w:jc w:val="center"/>
              <w:rPr>
                <w:rFonts w:cs="Times New Roman"/>
                <w:color w:val="auto"/>
                <w:sz w:val="21"/>
                <w:szCs w:val="21"/>
                <w:highlight w:val="none"/>
              </w:rPr>
            </w:pPr>
          </w:p>
          <w:p w14:paraId="0CDB20E0">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次氯酸钠</w:t>
            </w:r>
            <w:r>
              <w:rPr>
                <w:rFonts w:cs="Times New Roman"/>
                <w:color w:val="auto"/>
                <w:sz w:val="21"/>
                <w:szCs w:val="21"/>
                <w:highlight w:val="none"/>
              </w:rPr>
              <w:t>等</w:t>
            </w:r>
          </w:p>
        </w:tc>
      </w:tr>
      <w:tr w14:paraId="3995C2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69" w:type="pct"/>
            <w:tcBorders>
              <w:tl2br w:val="nil"/>
              <w:tr2bl w:val="nil"/>
            </w:tcBorders>
            <w:vAlign w:val="center"/>
          </w:tcPr>
          <w:p w14:paraId="0BB761E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土壤</w:t>
            </w:r>
          </w:p>
        </w:tc>
        <w:tc>
          <w:tcPr>
            <w:tcW w:w="4530" w:type="pct"/>
            <w:gridSpan w:val="4"/>
            <w:tcBorders>
              <w:tl2br w:val="nil"/>
              <w:tr2bl w:val="nil"/>
            </w:tcBorders>
            <w:vAlign w:val="center"/>
          </w:tcPr>
          <w:p w14:paraId="2EA88CB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事故后期应对污染的土壤、生物进行环境影响评估</w:t>
            </w:r>
          </w:p>
        </w:tc>
      </w:tr>
    </w:tbl>
    <w:p w14:paraId="7A4E8D8F">
      <w:pPr>
        <w:pStyle w:val="5"/>
        <w:rPr>
          <w:color w:val="auto"/>
          <w:highlight w:val="none"/>
          <w:lang w:val="en-US"/>
        </w:rPr>
      </w:pPr>
      <w:r>
        <w:rPr>
          <w:color w:val="auto"/>
          <w:highlight w:val="none"/>
          <w:lang w:val="en-US"/>
        </w:rPr>
        <w:t>6.2.6.4应急处置措施</w:t>
      </w:r>
    </w:p>
    <w:p w14:paraId="57C91968">
      <w:pPr>
        <w:spacing w:line="500" w:lineRule="exact"/>
        <w:rPr>
          <w:rFonts w:hint="default" w:eastAsia="宋体" w:cs="Times New Roman"/>
          <w:b/>
          <w:bCs/>
          <w:color w:val="auto"/>
          <w:highlight w:val="none"/>
          <w:lang w:val="en-US" w:eastAsia="zh-CN"/>
        </w:rPr>
      </w:pPr>
      <w:r>
        <w:rPr>
          <w:rFonts w:hint="eastAsia" w:cs="Times New Roman"/>
          <w:b/>
          <w:bCs/>
          <w:color w:val="auto"/>
          <w:highlight w:val="none"/>
          <w:lang w:val="en-US" w:eastAsia="zh-CN"/>
        </w:rPr>
        <w:t>1、</w:t>
      </w:r>
      <w:r>
        <w:rPr>
          <w:rFonts w:cs="Times New Roman"/>
          <w:b/>
          <w:bCs/>
          <w:color w:val="auto"/>
          <w:highlight w:val="none"/>
        </w:rPr>
        <w:t>泄漏</w:t>
      </w:r>
    </w:p>
    <w:p w14:paraId="19AA9466">
      <w:pPr>
        <w:spacing w:line="500" w:lineRule="exact"/>
        <w:rPr>
          <w:rFonts w:cs="Times New Roman"/>
          <w:color w:val="auto"/>
          <w:highlight w:val="none"/>
        </w:rPr>
      </w:pPr>
      <w:r>
        <w:rPr>
          <w:rFonts w:cs="Times New Roman"/>
          <w:color w:val="auto"/>
          <w:highlight w:val="none"/>
        </w:rPr>
        <w:t>废气泄漏，容易发生中毒或转化为火灾爆炸事故。因此泄漏处理要及时、得当，避免重大事故的发生。</w:t>
      </w:r>
    </w:p>
    <w:p w14:paraId="5EC0D178">
      <w:pPr>
        <w:spacing w:line="500" w:lineRule="exact"/>
        <w:rPr>
          <w:rFonts w:cs="Times New Roman"/>
          <w:color w:val="auto"/>
          <w:highlight w:val="none"/>
        </w:rPr>
      </w:pPr>
      <w:r>
        <w:rPr>
          <w:rFonts w:cs="Times New Roman"/>
          <w:color w:val="auto"/>
          <w:highlight w:val="none"/>
        </w:rPr>
        <w:t>进入泄漏现场进行处理时，应注意以下几项：</w:t>
      </w:r>
    </w:p>
    <w:p w14:paraId="4FB9345B">
      <w:pPr>
        <w:spacing w:line="500" w:lineRule="exact"/>
        <w:rPr>
          <w:rFonts w:cs="Times New Roman"/>
          <w:color w:val="auto"/>
          <w:highlight w:val="none"/>
        </w:rPr>
      </w:pPr>
      <w:r>
        <w:rPr>
          <w:rFonts w:cs="Times New Roman"/>
          <w:color w:val="auto"/>
          <w:highlight w:val="none"/>
        </w:rPr>
        <w:t>①进入现场人员必须配备必要的个人防护器具。</w:t>
      </w:r>
    </w:p>
    <w:p w14:paraId="6E659452">
      <w:pPr>
        <w:spacing w:line="500" w:lineRule="exact"/>
        <w:rPr>
          <w:rFonts w:cs="Times New Roman"/>
          <w:color w:val="auto"/>
          <w:highlight w:val="none"/>
        </w:rPr>
      </w:pPr>
      <w:r>
        <w:rPr>
          <w:rFonts w:cs="Times New Roman"/>
          <w:color w:val="auto"/>
          <w:highlight w:val="none"/>
        </w:rPr>
        <w:t>②如果泄漏物是易燃易爆的，应严禁火种。扑灭任何明火及任何其它形式的热源和火源，以降低发生火灾爆炸危险性；</w:t>
      </w:r>
    </w:p>
    <w:p w14:paraId="6FF8663D">
      <w:pPr>
        <w:spacing w:line="500" w:lineRule="exact"/>
        <w:rPr>
          <w:rFonts w:cs="Times New Roman"/>
          <w:color w:val="auto"/>
          <w:highlight w:val="none"/>
        </w:rPr>
      </w:pPr>
      <w:r>
        <w:rPr>
          <w:rFonts w:cs="Times New Roman"/>
          <w:color w:val="auto"/>
          <w:highlight w:val="none"/>
        </w:rPr>
        <w:t>③应急处理时严禁单独行动，要有监护人，必要时用水枪、水炮掩护。</w:t>
      </w:r>
    </w:p>
    <w:p w14:paraId="49AB494F">
      <w:pPr>
        <w:spacing w:line="500" w:lineRule="exact"/>
        <w:rPr>
          <w:rFonts w:hint="default" w:ascii="Times New Roman" w:hAnsi="Times New Roman" w:eastAsia="宋体" w:cs="Times New Roman"/>
          <w:b/>
          <w:bCs/>
          <w:color w:val="auto"/>
          <w:highlight w:val="none"/>
          <w:lang w:val="en-US" w:eastAsia="zh-CN"/>
        </w:rPr>
      </w:pPr>
      <w:r>
        <w:rPr>
          <w:rFonts w:cs="Times New Roman"/>
          <w:color w:val="auto"/>
          <w:highlight w:val="none"/>
        </w:rPr>
        <w:t>④应从上风、上坡处接近现场，严禁盲目进入。</w:t>
      </w:r>
    </w:p>
    <w:p w14:paraId="5B4B8310">
      <w:pPr>
        <w:pStyle w:val="5"/>
        <w:rPr>
          <w:color w:val="auto"/>
          <w:highlight w:val="none"/>
          <w:lang w:val="en-US"/>
        </w:rPr>
      </w:pPr>
      <w:r>
        <w:rPr>
          <w:color w:val="auto"/>
          <w:highlight w:val="none"/>
          <w:lang w:val="en-US"/>
        </w:rPr>
        <w:t>6.2.6.5环境风险应急预案</w:t>
      </w:r>
    </w:p>
    <w:p w14:paraId="0D907283">
      <w:pPr>
        <w:spacing w:line="500" w:lineRule="exact"/>
        <w:rPr>
          <w:rFonts w:cs="Times New Roman"/>
          <w:snapToGrid w:val="0"/>
          <w:color w:val="auto"/>
          <w:kern w:val="0"/>
          <w:highlight w:val="none"/>
        </w:rPr>
      </w:pPr>
      <w:r>
        <w:rPr>
          <w:rFonts w:cs="Times New Roman"/>
          <w:color w:val="auto"/>
          <w:szCs w:val="24"/>
          <w:highlight w:val="none"/>
        </w:rPr>
        <w:t>根据《建设项目环境风险评价技术导则》，建设单位应按照其中相关规定，并结合本项目实际情况，编制环境风险事故应急预案。应急预案的内容可参考下表。</w:t>
      </w:r>
    </w:p>
    <w:p w14:paraId="213AE22C">
      <w:pPr>
        <w:spacing w:line="240" w:lineRule="auto"/>
        <w:ind w:firstLine="482"/>
        <w:jc w:val="center"/>
        <w:rPr>
          <w:rFonts w:cs="Times New Roman"/>
          <w:b/>
          <w:color w:val="auto"/>
          <w:highlight w:val="none"/>
        </w:rPr>
      </w:pPr>
    </w:p>
    <w:p w14:paraId="435FA479">
      <w:pPr>
        <w:spacing w:line="240" w:lineRule="auto"/>
        <w:ind w:firstLine="482"/>
        <w:jc w:val="center"/>
        <w:rPr>
          <w:rFonts w:cs="Times New Roman"/>
          <w:b/>
          <w:color w:val="auto"/>
          <w:highlight w:val="none"/>
        </w:rPr>
      </w:pPr>
      <w:r>
        <w:rPr>
          <w:rFonts w:cs="Times New Roman"/>
          <w:b/>
          <w:color w:val="auto"/>
          <w:highlight w:val="none"/>
        </w:rPr>
        <w:t>表6</w:t>
      </w:r>
      <w:r>
        <w:rPr>
          <w:rFonts w:hint="eastAsia" w:cs="Times New Roman"/>
          <w:b/>
          <w:color w:val="auto"/>
          <w:highlight w:val="none"/>
          <w:lang w:val="en-US" w:eastAsia="zh-CN"/>
        </w:rPr>
        <w:t>.</w:t>
      </w:r>
      <w:r>
        <w:rPr>
          <w:rFonts w:cs="Times New Roman"/>
          <w:b/>
          <w:color w:val="auto"/>
          <w:highlight w:val="none"/>
        </w:rPr>
        <w:t>2-</w:t>
      </w:r>
      <w:r>
        <w:rPr>
          <w:rFonts w:hint="eastAsia" w:cs="Times New Roman"/>
          <w:b/>
          <w:color w:val="auto"/>
          <w:highlight w:val="none"/>
          <w:lang w:val="en-US" w:eastAsia="zh-CN"/>
        </w:rPr>
        <w:t>8</w:t>
      </w:r>
      <w:r>
        <w:rPr>
          <w:rFonts w:cs="Times New Roman"/>
          <w:b/>
          <w:color w:val="auto"/>
          <w:highlight w:val="none"/>
        </w:rPr>
        <w:t xml:space="preserve">  应急预案主要内容</w:t>
      </w:r>
    </w:p>
    <w:tbl>
      <w:tblPr>
        <w:tblStyle w:val="47"/>
        <w:tblW w:w="851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98"/>
        <w:gridCol w:w="2753"/>
        <w:gridCol w:w="4968"/>
      </w:tblGrid>
      <w:tr w14:paraId="529B6C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468" w:type="pct"/>
            <w:vAlign w:val="center"/>
          </w:tcPr>
          <w:p w14:paraId="6019B59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序号</w:t>
            </w:r>
          </w:p>
        </w:tc>
        <w:tc>
          <w:tcPr>
            <w:tcW w:w="1615" w:type="pct"/>
            <w:vAlign w:val="center"/>
          </w:tcPr>
          <w:p w14:paraId="58FCAA8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项目</w:t>
            </w:r>
          </w:p>
        </w:tc>
        <w:tc>
          <w:tcPr>
            <w:tcW w:w="2915" w:type="pct"/>
            <w:vAlign w:val="center"/>
          </w:tcPr>
          <w:p w14:paraId="4FD8FB8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内容及要求</w:t>
            </w:r>
          </w:p>
        </w:tc>
      </w:tr>
      <w:tr w14:paraId="5070CA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468" w:type="pct"/>
            <w:vAlign w:val="center"/>
          </w:tcPr>
          <w:p w14:paraId="33DADCF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w:t>
            </w:r>
          </w:p>
        </w:tc>
        <w:tc>
          <w:tcPr>
            <w:tcW w:w="1615" w:type="pct"/>
            <w:vAlign w:val="center"/>
          </w:tcPr>
          <w:p w14:paraId="78459BF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应急计划区</w:t>
            </w:r>
          </w:p>
        </w:tc>
        <w:tc>
          <w:tcPr>
            <w:tcW w:w="2915" w:type="pct"/>
            <w:vAlign w:val="center"/>
          </w:tcPr>
          <w:p w14:paraId="3D6D703F">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危险目标：消毒装置、环境保护目标</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疫情防控</w:t>
            </w:r>
          </w:p>
        </w:tc>
      </w:tr>
      <w:tr w14:paraId="395E7E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37" w:hRule="atLeast"/>
          <w:jc w:val="center"/>
        </w:trPr>
        <w:tc>
          <w:tcPr>
            <w:tcW w:w="468" w:type="pct"/>
            <w:vAlign w:val="center"/>
          </w:tcPr>
          <w:p w14:paraId="409EBB3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w:t>
            </w:r>
          </w:p>
        </w:tc>
        <w:tc>
          <w:tcPr>
            <w:tcW w:w="1615" w:type="pct"/>
            <w:vAlign w:val="center"/>
          </w:tcPr>
          <w:p w14:paraId="5A017BE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应急组织机构、人员</w:t>
            </w:r>
          </w:p>
        </w:tc>
        <w:tc>
          <w:tcPr>
            <w:tcW w:w="2915" w:type="pct"/>
            <w:vAlign w:val="center"/>
          </w:tcPr>
          <w:p w14:paraId="17BBF7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厂区设应急组织机构，公司负责人负责现场全面指挥，专业救援队伍负责事故控制、救援和善后处理临近地区：由厂区专人负责厂区附近地区全面指挥，救援、管制和疏散</w:t>
            </w:r>
          </w:p>
        </w:tc>
      </w:tr>
      <w:tr w14:paraId="57C608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468" w:type="pct"/>
            <w:vAlign w:val="center"/>
          </w:tcPr>
          <w:p w14:paraId="1FA7F78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w:t>
            </w:r>
          </w:p>
        </w:tc>
        <w:tc>
          <w:tcPr>
            <w:tcW w:w="1615" w:type="pct"/>
            <w:vAlign w:val="center"/>
          </w:tcPr>
          <w:p w14:paraId="00D4394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预案分级响应条件</w:t>
            </w:r>
          </w:p>
        </w:tc>
        <w:tc>
          <w:tcPr>
            <w:tcW w:w="2915" w:type="pct"/>
            <w:vAlign w:val="center"/>
          </w:tcPr>
          <w:p w14:paraId="3E3844B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规定预案的级别及分级响应程序</w:t>
            </w:r>
          </w:p>
        </w:tc>
      </w:tr>
      <w:tr w14:paraId="5B62CD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468" w:type="pct"/>
            <w:vAlign w:val="center"/>
          </w:tcPr>
          <w:p w14:paraId="34C82DE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w:t>
            </w:r>
          </w:p>
        </w:tc>
        <w:tc>
          <w:tcPr>
            <w:tcW w:w="1615" w:type="pct"/>
            <w:vAlign w:val="center"/>
          </w:tcPr>
          <w:p w14:paraId="3D5A61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应急救援保障</w:t>
            </w:r>
          </w:p>
        </w:tc>
        <w:tc>
          <w:tcPr>
            <w:tcW w:w="2915" w:type="pct"/>
            <w:vAlign w:val="center"/>
          </w:tcPr>
          <w:p w14:paraId="308727D1">
            <w:pPr>
              <w:spacing w:line="360" w:lineRule="exact"/>
              <w:ind w:firstLine="0" w:firstLineChars="0"/>
              <w:jc w:val="center"/>
              <w:rPr>
                <w:rFonts w:hint="eastAsia" w:eastAsia="宋体" w:cs="Times New Roman"/>
                <w:color w:val="auto"/>
                <w:sz w:val="21"/>
                <w:szCs w:val="21"/>
                <w:highlight w:val="none"/>
                <w:lang w:eastAsia="zh-CN"/>
              </w:rPr>
            </w:pPr>
            <w:r>
              <w:rPr>
                <w:rFonts w:ascii="Times New Roman" w:hAnsi="Times New Roman" w:eastAsia="宋体" w:cs="Times New Roman"/>
                <w:color w:val="auto"/>
                <w:sz w:val="21"/>
                <w:szCs w:val="21"/>
                <w:highlight w:val="none"/>
              </w:rPr>
              <w:t>应急设施，设备与器材等</w:t>
            </w:r>
            <w:r>
              <w:rPr>
                <w:rFonts w:hint="eastAsia" w:ascii="Times New Roman" w:hAnsi="Times New Roman" w:eastAsia="宋体" w:cs="Times New Roman"/>
                <w:color w:val="auto"/>
                <w:sz w:val="21"/>
                <w:szCs w:val="21"/>
                <w:highlight w:val="none"/>
                <w:lang w:eastAsia="zh-CN"/>
              </w:rPr>
              <w:t>，</w:t>
            </w:r>
            <w:r>
              <w:rPr>
                <w:rFonts w:ascii="Times New Roman" w:hAnsi="Times New Roman" w:eastAsia="宋体" w:cs="Times New Roman"/>
                <w:color w:val="auto"/>
                <w:sz w:val="21"/>
                <w:szCs w:val="21"/>
                <w:highlight w:val="none"/>
              </w:rPr>
              <w:t>当确诊疫病时，及时封锁，上报疫情。同时立即采取措施，就地扑灭，确保人畜的安全。</w:t>
            </w:r>
          </w:p>
        </w:tc>
      </w:tr>
      <w:tr w14:paraId="51F6CE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468" w:type="pct"/>
            <w:vAlign w:val="center"/>
          </w:tcPr>
          <w:p w14:paraId="1150B93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5</w:t>
            </w:r>
          </w:p>
        </w:tc>
        <w:tc>
          <w:tcPr>
            <w:tcW w:w="1615" w:type="pct"/>
            <w:vAlign w:val="center"/>
          </w:tcPr>
          <w:p w14:paraId="4C0CE49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报警、通讯联络方式</w:t>
            </w:r>
          </w:p>
        </w:tc>
        <w:tc>
          <w:tcPr>
            <w:tcW w:w="2915" w:type="pct"/>
            <w:vAlign w:val="center"/>
          </w:tcPr>
          <w:p w14:paraId="2FF996B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规定应急状态下的报警通讯方式、通知方式和交通保障、管制</w:t>
            </w:r>
          </w:p>
        </w:tc>
      </w:tr>
      <w:tr w14:paraId="7CC7D8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468" w:type="pct"/>
            <w:vAlign w:val="center"/>
          </w:tcPr>
          <w:p w14:paraId="1CC837A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6</w:t>
            </w:r>
          </w:p>
        </w:tc>
        <w:tc>
          <w:tcPr>
            <w:tcW w:w="1615" w:type="pct"/>
            <w:vAlign w:val="center"/>
          </w:tcPr>
          <w:p w14:paraId="583C853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应急环境监测、抢险、</w:t>
            </w:r>
          </w:p>
          <w:p w14:paraId="29C68FA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救援及控制措施</w:t>
            </w:r>
          </w:p>
        </w:tc>
        <w:tc>
          <w:tcPr>
            <w:tcW w:w="2915" w:type="pct"/>
            <w:vAlign w:val="center"/>
          </w:tcPr>
          <w:p w14:paraId="3F670E3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由专业队伍负责对事故现场进行侦察监测，对事故性质、参数与后果进行评估，为指挥部门提供决策依据</w:t>
            </w:r>
          </w:p>
        </w:tc>
      </w:tr>
      <w:tr w14:paraId="1EC5B1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468" w:type="pct"/>
            <w:vAlign w:val="center"/>
          </w:tcPr>
          <w:p w14:paraId="54DB67C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7</w:t>
            </w:r>
          </w:p>
        </w:tc>
        <w:tc>
          <w:tcPr>
            <w:tcW w:w="1615" w:type="pct"/>
            <w:vAlign w:val="center"/>
          </w:tcPr>
          <w:p w14:paraId="48FED02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应急检测、防护措施、</w:t>
            </w:r>
          </w:p>
          <w:p w14:paraId="3C2C0C1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清除泄漏措施和器材</w:t>
            </w:r>
          </w:p>
        </w:tc>
        <w:tc>
          <w:tcPr>
            <w:tcW w:w="2915" w:type="pct"/>
            <w:vAlign w:val="center"/>
          </w:tcPr>
          <w:p w14:paraId="4A03C448">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事故现场、邻近区域、控制防火区域，控制和清除污染措施及相应设备</w:t>
            </w:r>
            <w:r>
              <w:rPr>
                <w:rFonts w:hint="eastAsia" w:cs="Times New Roman"/>
                <w:color w:val="auto"/>
                <w:sz w:val="21"/>
                <w:szCs w:val="21"/>
                <w:highlight w:val="none"/>
                <w:lang w:eastAsia="zh-CN"/>
              </w:rPr>
              <w:t>，</w:t>
            </w:r>
          </w:p>
        </w:tc>
      </w:tr>
      <w:tr w14:paraId="604DDF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58" w:hRule="atLeast"/>
          <w:jc w:val="center"/>
        </w:trPr>
        <w:tc>
          <w:tcPr>
            <w:tcW w:w="468" w:type="pct"/>
            <w:vAlign w:val="center"/>
          </w:tcPr>
          <w:p w14:paraId="6A7868B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8</w:t>
            </w:r>
          </w:p>
        </w:tc>
        <w:tc>
          <w:tcPr>
            <w:tcW w:w="1615" w:type="pct"/>
            <w:vAlign w:val="center"/>
          </w:tcPr>
          <w:p w14:paraId="69B4939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人员紧急撤离、疏散，应急剂量控制、撤离组织计划</w:t>
            </w:r>
          </w:p>
        </w:tc>
        <w:tc>
          <w:tcPr>
            <w:tcW w:w="2915" w:type="pct"/>
            <w:vAlign w:val="center"/>
          </w:tcPr>
          <w:p w14:paraId="64BC4E2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事故现场、厂区邻近区、受事故影响的区域人员及公众对毒物应急剂量控制规定，撤离组织计划及救护，医疗救护与公众健康</w:t>
            </w:r>
          </w:p>
        </w:tc>
      </w:tr>
      <w:tr w14:paraId="7CFBD8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468" w:type="pct"/>
            <w:vAlign w:val="center"/>
          </w:tcPr>
          <w:p w14:paraId="01B4891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9</w:t>
            </w:r>
          </w:p>
        </w:tc>
        <w:tc>
          <w:tcPr>
            <w:tcW w:w="1615" w:type="pct"/>
            <w:vAlign w:val="center"/>
          </w:tcPr>
          <w:p w14:paraId="1E8B9EB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事故应急救援</w:t>
            </w:r>
          </w:p>
          <w:p w14:paraId="767EB59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关闭程序与恢复措施</w:t>
            </w:r>
          </w:p>
        </w:tc>
        <w:tc>
          <w:tcPr>
            <w:tcW w:w="2915" w:type="pct"/>
            <w:vAlign w:val="center"/>
          </w:tcPr>
          <w:p w14:paraId="6906120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规定应急状态终止程序事故现场善后处理，恢复措施邻近区域解除事故警戒及善后恢复措施</w:t>
            </w:r>
          </w:p>
        </w:tc>
      </w:tr>
      <w:tr w14:paraId="0FF5E6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468" w:type="pct"/>
            <w:vAlign w:val="center"/>
          </w:tcPr>
          <w:p w14:paraId="2BC8E9D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w:t>
            </w:r>
          </w:p>
        </w:tc>
        <w:tc>
          <w:tcPr>
            <w:tcW w:w="1615" w:type="pct"/>
            <w:vAlign w:val="center"/>
          </w:tcPr>
          <w:p w14:paraId="152FACC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应急培训计划</w:t>
            </w:r>
          </w:p>
        </w:tc>
        <w:tc>
          <w:tcPr>
            <w:tcW w:w="2915" w:type="pct"/>
            <w:vAlign w:val="center"/>
          </w:tcPr>
          <w:p w14:paraId="06E53B6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应急计划制定后，平时安排人员培训与演练</w:t>
            </w:r>
          </w:p>
        </w:tc>
      </w:tr>
      <w:tr w14:paraId="19AA98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68" w:type="pct"/>
            <w:vAlign w:val="center"/>
          </w:tcPr>
          <w:p w14:paraId="438948A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11</w:t>
            </w:r>
          </w:p>
        </w:tc>
        <w:tc>
          <w:tcPr>
            <w:tcW w:w="1615" w:type="pct"/>
            <w:vAlign w:val="center"/>
          </w:tcPr>
          <w:p w14:paraId="2D24A4E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公众教育和信息</w:t>
            </w:r>
          </w:p>
        </w:tc>
        <w:tc>
          <w:tcPr>
            <w:tcW w:w="2915" w:type="pct"/>
            <w:vAlign w:val="center"/>
          </w:tcPr>
          <w:p w14:paraId="60AE1EC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对项目邻近地区开展公众教育、培训和发布有关信息</w:t>
            </w:r>
          </w:p>
        </w:tc>
      </w:tr>
    </w:tbl>
    <w:p w14:paraId="2290948C">
      <w:pPr>
        <w:pStyle w:val="5"/>
        <w:rPr>
          <w:color w:val="auto"/>
          <w:highlight w:val="none"/>
          <w:lang w:val="en-US"/>
        </w:rPr>
      </w:pPr>
      <w:r>
        <w:rPr>
          <w:color w:val="auto"/>
          <w:highlight w:val="none"/>
          <w:lang w:val="en-US"/>
        </w:rPr>
        <w:t>6.2.6.</w:t>
      </w:r>
      <w:r>
        <w:rPr>
          <w:rFonts w:hint="eastAsia"/>
          <w:color w:val="auto"/>
          <w:highlight w:val="none"/>
          <w:lang w:val="en-US" w:eastAsia="zh-CN"/>
        </w:rPr>
        <w:t>6</w:t>
      </w:r>
      <w:r>
        <w:rPr>
          <w:color w:val="auto"/>
          <w:highlight w:val="none"/>
          <w:lang w:val="en-US"/>
        </w:rPr>
        <w:t>环境风险评价结论</w:t>
      </w:r>
    </w:p>
    <w:p w14:paraId="1A22C378">
      <w:pPr>
        <w:spacing w:line="500" w:lineRule="exact"/>
        <w:rPr>
          <w:rFonts w:cs="Times New Roman"/>
          <w:color w:val="auto"/>
          <w:szCs w:val="24"/>
          <w:highlight w:val="none"/>
        </w:rPr>
      </w:pPr>
      <w:r>
        <w:rPr>
          <w:rFonts w:cs="Times New Roman"/>
          <w:color w:val="auto"/>
          <w:szCs w:val="24"/>
          <w:highlight w:val="none"/>
        </w:rPr>
        <w:t>在严格落实应急措施后，可将风险发生的概率和影响后果降到最低限度。一旦发生事故，及时采取应急措施，可将对地表水和地下水的影响降到最低限度，其风险水平可以被接受。</w:t>
      </w:r>
    </w:p>
    <w:p w14:paraId="791FF903">
      <w:pPr>
        <w:pStyle w:val="3"/>
        <w:spacing w:before="163" w:after="163"/>
        <w:rPr>
          <w:rFonts w:cs="Times New Roman"/>
          <w:color w:val="auto"/>
          <w:highlight w:val="none"/>
        </w:rPr>
      </w:pPr>
      <w:bookmarkStart w:id="392" w:name="_Toc480447676"/>
      <w:bookmarkStart w:id="393" w:name="_Toc10192"/>
      <w:r>
        <w:rPr>
          <w:rFonts w:cs="Times New Roman"/>
          <w:color w:val="auto"/>
          <w:highlight w:val="none"/>
        </w:rPr>
        <w:t>6.3环境保护投资估算</w:t>
      </w:r>
      <w:bookmarkEnd w:id="392"/>
      <w:bookmarkEnd w:id="393"/>
    </w:p>
    <w:p w14:paraId="2EF1E192">
      <w:pPr>
        <w:rPr>
          <w:rFonts w:cs="Times New Roman"/>
          <w:b/>
          <w:bCs/>
          <w:snapToGrid w:val="0"/>
          <w:color w:val="auto"/>
          <w:kern w:val="0"/>
          <w:sz w:val="21"/>
          <w:szCs w:val="21"/>
          <w:highlight w:val="none"/>
          <w:lang w:val="zh-CN"/>
        </w:rPr>
      </w:pPr>
      <w:bookmarkStart w:id="394" w:name="_Hlk15373681"/>
      <w:bookmarkStart w:id="395" w:name="_Hlk480428871"/>
      <w:r>
        <w:rPr>
          <w:rFonts w:cs="Times New Roman"/>
          <w:snapToGrid w:val="0"/>
          <w:color w:val="auto"/>
          <w:kern w:val="0"/>
          <w:highlight w:val="none"/>
        </w:rPr>
        <w:t>本工程总投资为</w:t>
      </w:r>
      <w:r>
        <w:rPr>
          <w:rFonts w:hint="eastAsia" w:cs="Times New Roman"/>
          <w:snapToGrid w:val="0"/>
          <w:color w:val="auto"/>
          <w:kern w:val="0"/>
          <w:highlight w:val="none"/>
          <w:lang w:val="en-US" w:eastAsia="zh-CN"/>
        </w:rPr>
        <w:t>2600</w:t>
      </w:r>
      <w:r>
        <w:rPr>
          <w:rFonts w:cs="Times New Roman"/>
          <w:snapToGrid w:val="0"/>
          <w:color w:val="auto"/>
          <w:kern w:val="0"/>
          <w:highlight w:val="none"/>
        </w:rPr>
        <w:t>万元，环保投资估算为</w:t>
      </w:r>
      <w:r>
        <w:rPr>
          <w:rFonts w:hint="eastAsia" w:cs="Times New Roman"/>
          <w:snapToGrid w:val="0"/>
          <w:color w:val="auto"/>
          <w:kern w:val="0"/>
          <w:highlight w:val="none"/>
          <w:lang w:val="en-US" w:eastAsia="zh-CN"/>
        </w:rPr>
        <w:t>200</w:t>
      </w:r>
      <w:r>
        <w:rPr>
          <w:rFonts w:cs="Times New Roman"/>
          <w:snapToGrid w:val="0"/>
          <w:color w:val="auto"/>
          <w:kern w:val="0"/>
          <w:highlight w:val="none"/>
        </w:rPr>
        <w:t>万元，占总投资的</w:t>
      </w:r>
      <w:r>
        <w:rPr>
          <w:rFonts w:hint="eastAsia" w:cs="Times New Roman"/>
          <w:snapToGrid w:val="0"/>
          <w:color w:val="auto"/>
          <w:kern w:val="0"/>
          <w:highlight w:val="none"/>
          <w:lang w:val="en-US" w:eastAsia="zh-CN"/>
        </w:rPr>
        <w:t>7.7</w:t>
      </w:r>
      <w:r>
        <w:rPr>
          <w:rFonts w:cs="Times New Roman"/>
          <w:snapToGrid w:val="0"/>
          <w:color w:val="auto"/>
          <w:kern w:val="0"/>
          <w:highlight w:val="none"/>
        </w:rPr>
        <w:t>%。</w:t>
      </w:r>
      <w:bookmarkEnd w:id="394"/>
    </w:p>
    <w:p w14:paraId="46B18370">
      <w:pPr>
        <w:keepNext w:val="0"/>
        <w:keepLines w:val="0"/>
        <w:pageBreakBefore w:val="0"/>
        <w:widowControl w:val="0"/>
        <w:kinsoku/>
        <w:wordWrap/>
        <w:overflowPunct/>
        <w:topLinePunct w:val="0"/>
        <w:autoSpaceDE/>
        <w:autoSpaceDN/>
        <w:bidi w:val="0"/>
        <w:adjustRightInd w:val="0"/>
        <w:snapToGrid w:val="0"/>
        <w:spacing w:before="164" w:beforeLines="50" w:line="240" w:lineRule="auto"/>
        <w:ind w:firstLine="482"/>
        <w:jc w:val="center"/>
        <w:textAlignment w:val="auto"/>
        <w:rPr>
          <w:rFonts w:cs="Times New Roman"/>
          <w:b/>
          <w:color w:val="auto"/>
          <w:highlight w:val="none"/>
          <w:lang w:val="zh-CN"/>
        </w:rPr>
      </w:pPr>
      <w:r>
        <w:rPr>
          <w:rFonts w:cs="Times New Roman"/>
          <w:b/>
          <w:color w:val="auto"/>
          <w:highlight w:val="none"/>
          <w:lang w:val="zh-CN"/>
        </w:rPr>
        <w:t>表6</w:t>
      </w:r>
      <w:r>
        <w:rPr>
          <w:rFonts w:hint="eastAsia" w:cs="Times New Roman"/>
          <w:b/>
          <w:color w:val="auto"/>
          <w:highlight w:val="none"/>
          <w:lang w:val="en-US" w:eastAsia="zh-CN"/>
        </w:rPr>
        <w:t>.</w:t>
      </w:r>
      <w:r>
        <w:rPr>
          <w:rFonts w:cs="Times New Roman"/>
          <w:b/>
          <w:color w:val="auto"/>
          <w:highlight w:val="none"/>
          <w:lang w:val="zh-CN"/>
        </w:rPr>
        <w:t>3-1</w:t>
      </w:r>
      <w:r>
        <w:rPr>
          <w:rFonts w:cs="Times New Roman"/>
          <w:b/>
          <w:color w:val="auto"/>
          <w:highlight w:val="none"/>
        </w:rPr>
        <w:t xml:space="preserve">  </w:t>
      </w:r>
      <w:r>
        <w:rPr>
          <w:rFonts w:cs="Times New Roman"/>
          <w:b/>
          <w:color w:val="auto"/>
          <w:highlight w:val="none"/>
          <w:lang w:val="zh-CN"/>
        </w:rPr>
        <w:t>环保投资明细表</w:t>
      </w:r>
    </w:p>
    <w:tbl>
      <w:tblPr>
        <w:tblStyle w:val="39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25"/>
        <w:gridCol w:w="1779"/>
        <w:gridCol w:w="4889"/>
        <w:gridCol w:w="935"/>
      </w:tblGrid>
      <w:tr w14:paraId="40BB19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85" w:type="pct"/>
            <w:gridSpan w:val="2"/>
            <w:vAlign w:val="center"/>
          </w:tcPr>
          <w:p w14:paraId="33B17186">
            <w:pPr>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项目</w:t>
            </w:r>
          </w:p>
        </w:tc>
        <w:tc>
          <w:tcPr>
            <w:tcW w:w="2866" w:type="pct"/>
            <w:vAlign w:val="center"/>
          </w:tcPr>
          <w:p w14:paraId="3FE52CBD">
            <w:pPr>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治理设施内容</w:t>
            </w:r>
          </w:p>
        </w:tc>
        <w:tc>
          <w:tcPr>
            <w:tcW w:w="548" w:type="pct"/>
            <w:vAlign w:val="center"/>
          </w:tcPr>
          <w:p w14:paraId="2F9964C2">
            <w:pPr>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金额</w:t>
            </w:r>
          </w:p>
          <w:p w14:paraId="69772D3D">
            <w:pPr>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(万元)</w:t>
            </w:r>
          </w:p>
        </w:tc>
      </w:tr>
      <w:tr w14:paraId="51771D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85" w:type="pct"/>
            <w:gridSpan w:val="2"/>
            <w:vMerge w:val="restart"/>
            <w:vAlign w:val="center"/>
          </w:tcPr>
          <w:p w14:paraId="160E536F">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施工期</w:t>
            </w:r>
          </w:p>
        </w:tc>
        <w:tc>
          <w:tcPr>
            <w:tcW w:w="2866" w:type="pct"/>
            <w:vAlign w:val="center"/>
          </w:tcPr>
          <w:p w14:paraId="24B27728">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施工期设备的消声、减振措施</w:t>
            </w:r>
          </w:p>
        </w:tc>
        <w:tc>
          <w:tcPr>
            <w:tcW w:w="548" w:type="pct"/>
            <w:vAlign w:val="center"/>
          </w:tcPr>
          <w:p w14:paraId="03DBF79B">
            <w:pPr>
              <w:adjustRightInd/>
              <w:snapToGrid/>
              <w:spacing w:line="360" w:lineRule="exact"/>
              <w:ind w:firstLine="0" w:firstLineChars="0"/>
              <w:jc w:val="center"/>
              <w:rPr>
                <w:rFonts w:hint="eastAsia" w:eastAsia="宋体" w:cs="Times New Roman"/>
                <w:snapToGrid w:val="0"/>
                <w:color w:val="auto"/>
                <w:kern w:val="0"/>
                <w:sz w:val="21"/>
                <w:szCs w:val="21"/>
                <w:highlight w:val="none"/>
                <w:lang w:val="zh-CN" w:eastAsia="zh-CN"/>
              </w:rPr>
            </w:pPr>
            <w:r>
              <w:rPr>
                <w:rFonts w:cs="Times New Roman"/>
                <w:snapToGrid w:val="0"/>
                <w:color w:val="auto"/>
                <w:kern w:val="0"/>
                <w:sz w:val="21"/>
                <w:szCs w:val="21"/>
                <w:highlight w:val="none"/>
                <w:lang w:val="zh-CN"/>
              </w:rPr>
              <w:t>0.</w:t>
            </w:r>
            <w:r>
              <w:rPr>
                <w:rFonts w:hint="eastAsia" w:cs="Times New Roman"/>
                <w:snapToGrid w:val="0"/>
                <w:color w:val="auto"/>
                <w:kern w:val="0"/>
                <w:sz w:val="21"/>
                <w:szCs w:val="21"/>
                <w:highlight w:val="none"/>
                <w:lang w:val="en-US" w:eastAsia="zh-CN"/>
              </w:rPr>
              <w:t>5</w:t>
            </w:r>
          </w:p>
        </w:tc>
      </w:tr>
      <w:tr w14:paraId="3682F9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85" w:type="pct"/>
            <w:gridSpan w:val="2"/>
            <w:vMerge w:val="continue"/>
            <w:vAlign w:val="center"/>
          </w:tcPr>
          <w:p w14:paraId="672D87E6">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6C8E130D">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施工废水环保厕所、垃圾桶</w:t>
            </w:r>
          </w:p>
        </w:tc>
        <w:tc>
          <w:tcPr>
            <w:tcW w:w="548" w:type="pct"/>
            <w:vAlign w:val="center"/>
          </w:tcPr>
          <w:p w14:paraId="0D10216F">
            <w:pPr>
              <w:adjustRightInd/>
              <w:snapToGrid/>
              <w:spacing w:line="360" w:lineRule="exact"/>
              <w:ind w:firstLine="0" w:firstLineChars="0"/>
              <w:jc w:val="center"/>
              <w:rPr>
                <w:rFonts w:hint="eastAsia" w:eastAsia="宋体" w:cs="Times New Roman"/>
                <w:snapToGrid w:val="0"/>
                <w:color w:val="auto"/>
                <w:kern w:val="0"/>
                <w:sz w:val="21"/>
                <w:szCs w:val="21"/>
                <w:highlight w:val="none"/>
                <w:lang w:val="zh-CN" w:eastAsia="zh-CN"/>
              </w:rPr>
            </w:pPr>
            <w:r>
              <w:rPr>
                <w:rFonts w:cs="Times New Roman"/>
                <w:snapToGrid w:val="0"/>
                <w:color w:val="auto"/>
                <w:kern w:val="0"/>
                <w:sz w:val="21"/>
                <w:szCs w:val="21"/>
                <w:highlight w:val="none"/>
                <w:lang w:val="zh-CN"/>
              </w:rPr>
              <w:t>0.</w:t>
            </w:r>
            <w:r>
              <w:rPr>
                <w:rFonts w:hint="eastAsia" w:cs="Times New Roman"/>
                <w:snapToGrid w:val="0"/>
                <w:color w:val="auto"/>
                <w:kern w:val="0"/>
                <w:sz w:val="21"/>
                <w:szCs w:val="21"/>
                <w:highlight w:val="none"/>
                <w:lang w:val="en-US" w:eastAsia="zh-CN"/>
              </w:rPr>
              <w:t>5</w:t>
            </w:r>
          </w:p>
        </w:tc>
      </w:tr>
      <w:tr w14:paraId="571B21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85" w:type="pct"/>
            <w:gridSpan w:val="2"/>
            <w:vMerge w:val="continue"/>
            <w:vAlign w:val="center"/>
          </w:tcPr>
          <w:p w14:paraId="4133F32C">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78242801">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施工材料苫盖、洒水抑尘措施</w:t>
            </w:r>
          </w:p>
        </w:tc>
        <w:tc>
          <w:tcPr>
            <w:tcW w:w="548" w:type="pct"/>
            <w:vAlign w:val="center"/>
          </w:tcPr>
          <w:p w14:paraId="2833E80F">
            <w:pPr>
              <w:adjustRightInd/>
              <w:snapToGrid/>
              <w:spacing w:line="360" w:lineRule="exact"/>
              <w:ind w:firstLine="0" w:firstLineChars="0"/>
              <w:jc w:val="center"/>
              <w:rPr>
                <w:rFonts w:hint="eastAsia" w:eastAsia="宋体" w:cs="Times New Roman"/>
                <w:snapToGrid w:val="0"/>
                <w:color w:val="auto"/>
                <w:kern w:val="0"/>
                <w:sz w:val="21"/>
                <w:szCs w:val="21"/>
                <w:highlight w:val="none"/>
                <w:lang w:val="zh-CN" w:eastAsia="zh-CN"/>
              </w:rPr>
            </w:pPr>
            <w:r>
              <w:rPr>
                <w:rFonts w:cs="Times New Roman"/>
                <w:snapToGrid w:val="0"/>
                <w:color w:val="auto"/>
                <w:kern w:val="0"/>
                <w:sz w:val="21"/>
                <w:szCs w:val="21"/>
                <w:highlight w:val="none"/>
                <w:lang w:val="zh-CN"/>
              </w:rPr>
              <w:t>0.</w:t>
            </w:r>
            <w:r>
              <w:rPr>
                <w:rFonts w:hint="eastAsia" w:cs="Times New Roman"/>
                <w:snapToGrid w:val="0"/>
                <w:color w:val="auto"/>
                <w:kern w:val="0"/>
                <w:sz w:val="21"/>
                <w:szCs w:val="21"/>
                <w:highlight w:val="none"/>
                <w:lang w:val="en-US" w:eastAsia="zh-CN"/>
              </w:rPr>
              <w:t>8</w:t>
            </w:r>
          </w:p>
        </w:tc>
      </w:tr>
      <w:tr w14:paraId="6DB991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85" w:type="pct"/>
            <w:gridSpan w:val="2"/>
            <w:vMerge w:val="continue"/>
            <w:vAlign w:val="center"/>
          </w:tcPr>
          <w:p w14:paraId="19CF1630">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384F735F">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水土流失、生态保护与恢复</w:t>
            </w:r>
          </w:p>
        </w:tc>
        <w:tc>
          <w:tcPr>
            <w:tcW w:w="548" w:type="pct"/>
            <w:vAlign w:val="center"/>
          </w:tcPr>
          <w:p w14:paraId="0ADEDBA8">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1.2</w:t>
            </w:r>
          </w:p>
        </w:tc>
      </w:tr>
      <w:tr w14:paraId="451C32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restart"/>
            <w:vAlign w:val="center"/>
          </w:tcPr>
          <w:p w14:paraId="7115A63C">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运营期</w:t>
            </w:r>
          </w:p>
        </w:tc>
        <w:tc>
          <w:tcPr>
            <w:tcW w:w="1042" w:type="pct"/>
            <w:vAlign w:val="center"/>
          </w:tcPr>
          <w:p w14:paraId="364733B2">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废水治理</w:t>
            </w:r>
          </w:p>
        </w:tc>
        <w:tc>
          <w:tcPr>
            <w:tcW w:w="2866" w:type="pct"/>
            <w:vAlign w:val="center"/>
          </w:tcPr>
          <w:p w14:paraId="0BE00B33">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cs="Times New Roman"/>
                <w:snapToGrid w:val="0"/>
                <w:color w:val="auto"/>
                <w:kern w:val="0"/>
                <w:sz w:val="21"/>
                <w:szCs w:val="21"/>
                <w:highlight w:val="none"/>
                <w:lang w:val="zh-CN"/>
              </w:rPr>
              <w:t>污水处理站、事故池</w:t>
            </w:r>
            <w:r>
              <w:rPr>
                <w:rFonts w:hint="eastAsia" w:cs="Times New Roman"/>
                <w:snapToGrid w:val="0"/>
                <w:color w:val="auto"/>
                <w:kern w:val="0"/>
                <w:sz w:val="21"/>
                <w:szCs w:val="21"/>
                <w:highlight w:val="none"/>
                <w:lang w:val="zh-CN"/>
              </w:rPr>
              <w:t>、</w:t>
            </w:r>
            <w:r>
              <w:rPr>
                <w:rFonts w:hint="eastAsia" w:cs="Times New Roman"/>
                <w:snapToGrid w:val="0"/>
                <w:color w:val="auto"/>
                <w:kern w:val="0"/>
                <w:sz w:val="21"/>
                <w:szCs w:val="21"/>
                <w:highlight w:val="none"/>
                <w:lang w:val="en-US" w:eastAsia="zh-CN"/>
              </w:rPr>
              <w:t>自动监测设施</w:t>
            </w:r>
          </w:p>
        </w:tc>
        <w:tc>
          <w:tcPr>
            <w:tcW w:w="548" w:type="pct"/>
            <w:vAlign w:val="center"/>
          </w:tcPr>
          <w:p w14:paraId="57E56E41">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80</w:t>
            </w:r>
          </w:p>
        </w:tc>
      </w:tr>
      <w:tr w14:paraId="45CDFA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644FA49F">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Align w:val="center"/>
          </w:tcPr>
          <w:p w14:paraId="00B3E96F">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地下水防范</w:t>
            </w:r>
          </w:p>
        </w:tc>
        <w:tc>
          <w:tcPr>
            <w:tcW w:w="2866" w:type="pct"/>
            <w:vAlign w:val="center"/>
          </w:tcPr>
          <w:p w14:paraId="3F13885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分区防渗、</w:t>
            </w:r>
            <w:r>
              <w:rPr>
                <w:rFonts w:cs="Times New Roman"/>
                <w:snapToGrid w:val="0"/>
                <w:color w:val="auto"/>
                <w:kern w:val="0"/>
                <w:sz w:val="21"/>
                <w:szCs w:val="21"/>
                <w:highlight w:val="none"/>
                <w:lang w:val="zh-CN"/>
              </w:rPr>
              <w:t>地下水</w:t>
            </w:r>
            <w:r>
              <w:rPr>
                <w:rFonts w:hint="eastAsia" w:cs="Times New Roman"/>
                <w:snapToGrid w:val="0"/>
                <w:color w:val="auto"/>
                <w:kern w:val="0"/>
                <w:sz w:val="21"/>
                <w:szCs w:val="21"/>
                <w:highlight w:val="none"/>
                <w:lang w:val="en-US" w:eastAsia="zh-CN"/>
              </w:rPr>
              <w:t>跟踪</w:t>
            </w:r>
            <w:r>
              <w:rPr>
                <w:rFonts w:cs="Times New Roman"/>
                <w:snapToGrid w:val="0"/>
                <w:color w:val="auto"/>
                <w:kern w:val="0"/>
                <w:sz w:val="21"/>
                <w:szCs w:val="21"/>
                <w:highlight w:val="none"/>
                <w:lang w:val="zh-CN"/>
              </w:rPr>
              <w:t>监测井</w:t>
            </w:r>
          </w:p>
        </w:tc>
        <w:tc>
          <w:tcPr>
            <w:tcW w:w="548" w:type="pct"/>
            <w:vAlign w:val="center"/>
          </w:tcPr>
          <w:p w14:paraId="6E9DD0B8">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20</w:t>
            </w:r>
          </w:p>
        </w:tc>
      </w:tr>
      <w:tr w14:paraId="75A929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42" w:type="pct"/>
            <w:vMerge w:val="continue"/>
            <w:vAlign w:val="center"/>
          </w:tcPr>
          <w:p w14:paraId="173AA3A6">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Merge w:val="restart"/>
            <w:vAlign w:val="center"/>
          </w:tcPr>
          <w:p w14:paraId="16D5E756">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废气治理</w:t>
            </w:r>
          </w:p>
        </w:tc>
        <w:tc>
          <w:tcPr>
            <w:tcW w:w="2866" w:type="pct"/>
            <w:vAlign w:val="center"/>
          </w:tcPr>
          <w:p w14:paraId="5FD55F3E">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hint="eastAsia" w:cs="Times New Roman"/>
                <w:snapToGrid w:val="0"/>
                <w:color w:val="auto"/>
                <w:kern w:val="0"/>
                <w:sz w:val="21"/>
                <w:szCs w:val="21"/>
                <w:highlight w:val="none"/>
                <w:lang w:val="en-US" w:eastAsia="zh-CN"/>
              </w:rPr>
              <w:t>急宰间、隔离间及固体废物暂存间（一般固体废物暂存间、危险废物贮存点）、</w:t>
            </w:r>
            <w:r>
              <w:rPr>
                <w:rFonts w:cs="Times New Roman"/>
                <w:snapToGrid w:val="0"/>
                <w:color w:val="auto"/>
                <w:kern w:val="0"/>
                <w:sz w:val="21"/>
                <w:szCs w:val="21"/>
                <w:highlight w:val="none"/>
                <w:lang w:val="zh-CN"/>
              </w:rPr>
              <w:t>屠宰车间</w:t>
            </w:r>
            <w:r>
              <w:rPr>
                <w:rFonts w:hint="eastAsia" w:cs="Times New Roman"/>
                <w:snapToGrid w:val="0"/>
                <w:color w:val="auto"/>
                <w:kern w:val="0"/>
                <w:sz w:val="21"/>
                <w:szCs w:val="21"/>
                <w:highlight w:val="none"/>
                <w:lang w:val="en-US" w:eastAsia="zh-CN"/>
              </w:rPr>
              <w:t>吸风罩、冷凝除湿器、</w:t>
            </w:r>
            <w:r>
              <w:rPr>
                <w:rFonts w:cs="Times New Roman"/>
                <w:snapToGrid w:val="0"/>
                <w:color w:val="auto"/>
                <w:kern w:val="0"/>
                <w:sz w:val="21"/>
                <w:szCs w:val="21"/>
                <w:highlight w:val="none"/>
                <w:lang w:val="zh-CN"/>
              </w:rPr>
              <w:t>活性炭吸附+15m高排气筒</w:t>
            </w:r>
          </w:p>
        </w:tc>
        <w:tc>
          <w:tcPr>
            <w:tcW w:w="548" w:type="pct"/>
            <w:vMerge w:val="restart"/>
            <w:vAlign w:val="center"/>
          </w:tcPr>
          <w:p w14:paraId="798FD0EC">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55</w:t>
            </w:r>
          </w:p>
        </w:tc>
      </w:tr>
      <w:tr w14:paraId="4234DA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42" w:type="pct"/>
            <w:vMerge w:val="continue"/>
            <w:vAlign w:val="center"/>
          </w:tcPr>
          <w:p w14:paraId="10922ED8">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Merge w:val="continue"/>
            <w:vAlign w:val="center"/>
          </w:tcPr>
          <w:p w14:paraId="2642617F">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67C7370F">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污水处理站活性炭吸附+15m高排气筒</w:t>
            </w:r>
          </w:p>
        </w:tc>
        <w:tc>
          <w:tcPr>
            <w:tcW w:w="548" w:type="pct"/>
            <w:vMerge w:val="continue"/>
            <w:vAlign w:val="center"/>
          </w:tcPr>
          <w:p w14:paraId="3D2BBBC3">
            <w:pPr>
              <w:adjustRightInd/>
              <w:snapToGrid/>
              <w:spacing w:line="360" w:lineRule="exact"/>
              <w:ind w:firstLine="0" w:firstLineChars="0"/>
              <w:jc w:val="center"/>
              <w:rPr>
                <w:rFonts w:cs="Times New Roman"/>
                <w:snapToGrid w:val="0"/>
                <w:color w:val="auto"/>
                <w:kern w:val="0"/>
                <w:sz w:val="21"/>
                <w:szCs w:val="21"/>
                <w:highlight w:val="none"/>
              </w:rPr>
            </w:pPr>
          </w:p>
        </w:tc>
      </w:tr>
      <w:tr w14:paraId="30E01D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42" w:type="pct"/>
            <w:vMerge w:val="continue"/>
            <w:vAlign w:val="center"/>
          </w:tcPr>
          <w:p w14:paraId="73309470">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Merge w:val="continue"/>
            <w:vAlign w:val="center"/>
          </w:tcPr>
          <w:p w14:paraId="7C0AC831">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7C1CF877">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喷洒除臭剂</w:t>
            </w:r>
          </w:p>
        </w:tc>
        <w:tc>
          <w:tcPr>
            <w:tcW w:w="548" w:type="pct"/>
            <w:vMerge w:val="continue"/>
            <w:vAlign w:val="center"/>
          </w:tcPr>
          <w:p w14:paraId="4F34F596">
            <w:pPr>
              <w:adjustRightInd/>
              <w:snapToGrid/>
              <w:spacing w:line="360" w:lineRule="exact"/>
              <w:ind w:firstLine="0" w:firstLineChars="0"/>
              <w:jc w:val="center"/>
              <w:rPr>
                <w:rFonts w:cs="Times New Roman"/>
                <w:snapToGrid w:val="0"/>
                <w:color w:val="auto"/>
                <w:kern w:val="0"/>
                <w:sz w:val="21"/>
                <w:szCs w:val="21"/>
                <w:highlight w:val="none"/>
                <w:lang w:val="zh-CN"/>
              </w:rPr>
            </w:pPr>
          </w:p>
        </w:tc>
      </w:tr>
      <w:tr w14:paraId="0C5A92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0D40504B">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Merge w:val="restart"/>
            <w:vAlign w:val="center"/>
          </w:tcPr>
          <w:p w14:paraId="435C40D7">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固废治理</w:t>
            </w:r>
          </w:p>
        </w:tc>
        <w:tc>
          <w:tcPr>
            <w:tcW w:w="2866" w:type="pct"/>
            <w:vAlign w:val="center"/>
          </w:tcPr>
          <w:p w14:paraId="31997E15">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检疫不合格品、</w:t>
            </w:r>
            <w:r>
              <w:rPr>
                <w:rFonts w:cs="Times New Roman"/>
                <w:snapToGrid w:val="0"/>
                <w:color w:val="auto"/>
                <w:kern w:val="0"/>
                <w:sz w:val="21"/>
                <w:szCs w:val="21"/>
                <w:highlight w:val="none"/>
              </w:rPr>
              <w:t>病死牛羊、</w:t>
            </w:r>
            <w:r>
              <w:rPr>
                <w:rFonts w:cs="Times New Roman"/>
                <w:snapToGrid w:val="0"/>
                <w:color w:val="auto"/>
                <w:kern w:val="0"/>
                <w:sz w:val="21"/>
                <w:szCs w:val="21"/>
                <w:highlight w:val="none"/>
                <w:lang w:val="zh-CN"/>
              </w:rPr>
              <w:t>检疫废物委托处置</w:t>
            </w:r>
          </w:p>
        </w:tc>
        <w:tc>
          <w:tcPr>
            <w:tcW w:w="548" w:type="pct"/>
            <w:vAlign w:val="center"/>
          </w:tcPr>
          <w:p w14:paraId="12BC52AF">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14</w:t>
            </w:r>
          </w:p>
        </w:tc>
      </w:tr>
      <w:tr w14:paraId="0F4575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37FC417D">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Merge w:val="continue"/>
            <w:vAlign w:val="center"/>
          </w:tcPr>
          <w:p w14:paraId="69DD1FA0">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22CB40F6">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垃圾箱</w:t>
            </w:r>
          </w:p>
        </w:tc>
        <w:tc>
          <w:tcPr>
            <w:tcW w:w="548" w:type="pct"/>
            <w:vAlign w:val="center"/>
          </w:tcPr>
          <w:p w14:paraId="5896F50F">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2.0</w:t>
            </w:r>
          </w:p>
        </w:tc>
      </w:tr>
      <w:tr w14:paraId="34EF25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59017912">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Merge w:val="continue"/>
            <w:vAlign w:val="center"/>
          </w:tcPr>
          <w:p w14:paraId="42FAC18F">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2866" w:type="pct"/>
            <w:vAlign w:val="center"/>
          </w:tcPr>
          <w:p w14:paraId="5D4D36F8">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一般固废</w:t>
            </w:r>
            <w:r>
              <w:rPr>
                <w:rFonts w:hint="eastAsia" w:cs="Times New Roman"/>
                <w:snapToGrid w:val="0"/>
                <w:color w:val="auto"/>
                <w:kern w:val="0"/>
                <w:sz w:val="21"/>
                <w:szCs w:val="21"/>
                <w:highlight w:val="none"/>
                <w:lang w:val="en-US" w:eastAsia="zh-CN"/>
              </w:rPr>
              <w:t>及危险废物</w:t>
            </w:r>
            <w:r>
              <w:rPr>
                <w:rFonts w:cs="Times New Roman"/>
                <w:snapToGrid w:val="0"/>
                <w:color w:val="auto"/>
                <w:kern w:val="0"/>
                <w:sz w:val="21"/>
                <w:szCs w:val="21"/>
                <w:highlight w:val="none"/>
                <w:lang w:val="zh-CN"/>
              </w:rPr>
              <w:t>的收集</w:t>
            </w:r>
          </w:p>
        </w:tc>
        <w:tc>
          <w:tcPr>
            <w:tcW w:w="548" w:type="pct"/>
            <w:vAlign w:val="center"/>
          </w:tcPr>
          <w:p w14:paraId="7C566341">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3.5</w:t>
            </w:r>
          </w:p>
        </w:tc>
      </w:tr>
      <w:tr w14:paraId="4705EA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506FDCEF">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Align w:val="center"/>
          </w:tcPr>
          <w:p w14:paraId="2A5D4BE8">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噪声治理</w:t>
            </w:r>
          </w:p>
        </w:tc>
        <w:tc>
          <w:tcPr>
            <w:tcW w:w="2866" w:type="pct"/>
            <w:vAlign w:val="center"/>
          </w:tcPr>
          <w:p w14:paraId="2758422E">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隔声、减振、消声</w:t>
            </w:r>
          </w:p>
        </w:tc>
        <w:tc>
          <w:tcPr>
            <w:tcW w:w="548" w:type="pct"/>
            <w:vAlign w:val="center"/>
          </w:tcPr>
          <w:p w14:paraId="24227FFA">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5.5</w:t>
            </w:r>
          </w:p>
        </w:tc>
      </w:tr>
      <w:tr w14:paraId="05ABEF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54543E77">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Align w:val="center"/>
          </w:tcPr>
          <w:p w14:paraId="6DC2AE9D">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风险防范</w:t>
            </w:r>
          </w:p>
        </w:tc>
        <w:tc>
          <w:tcPr>
            <w:tcW w:w="2866" w:type="pct"/>
            <w:vAlign w:val="center"/>
          </w:tcPr>
          <w:p w14:paraId="6AB83D89">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消防水池、事故池（不重复投资）</w:t>
            </w:r>
          </w:p>
        </w:tc>
        <w:tc>
          <w:tcPr>
            <w:tcW w:w="548" w:type="pct"/>
            <w:vAlign w:val="center"/>
          </w:tcPr>
          <w:p w14:paraId="00A544F6">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12</w:t>
            </w:r>
          </w:p>
        </w:tc>
      </w:tr>
      <w:tr w14:paraId="569D7C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2" w:type="pct"/>
            <w:vMerge w:val="continue"/>
            <w:vAlign w:val="center"/>
          </w:tcPr>
          <w:p w14:paraId="75866F34">
            <w:pPr>
              <w:adjustRightInd/>
              <w:snapToGrid/>
              <w:spacing w:line="360" w:lineRule="exact"/>
              <w:ind w:firstLine="0" w:firstLineChars="0"/>
              <w:jc w:val="center"/>
              <w:rPr>
                <w:rFonts w:cs="Times New Roman"/>
                <w:snapToGrid w:val="0"/>
                <w:color w:val="auto"/>
                <w:kern w:val="0"/>
                <w:sz w:val="21"/>
                <w:szCs w:val="21"/>
                <w:highlight w:val="none"/>
                <w:lang w:val="zh-CN"/>
              </w:rPr>
            </w:pPr>
          </w:p>
        </w:tc>
        <w:tc>
          <w:tcPr>
            <w:tcW w:w="1042" w:type="pct"/>
            <w:vAlign w:val="center"/>
          </w:tcPr>
          <w:p w14:paraId="116D639A">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环保设施运行维护维修费用</w:t>
            </w:r>
          </w:p>
        </w:tc>
        <w:tc>
          <w:tcPr>
            <w:tcW w:w="2866" w:type="pct"/>
            <w:vAlign w:val="center"/>
          </w:tcPr>
          <w:p w14:paraId="7C1994D0">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运营期各环保设施的运行维护维修费用</w:t>
            </w:r>
          </w:p>
        </w:tc>
        <w:tc>
          <w:tcPr>
            <w:tcW w:w="548" w:type="pct"/>
            <w:vAlign w:val="center"/>
          </w:tcPr>
          <w:p w14:paraId="30235375">
            <w:pPr>
              <w:adjustRightInd/>
              <w:snapToGrid/>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5</w:t>
            </w:r>
          </w:p>
        </w:tc>
      </w:tr>
      <w:tr w14:paraId="2E1CA1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51" w:type="pct"/>
            <w:gridSpan w:val="3"/>
            <w:vAlign w:val="center"/>
          </w:tcPr>
          <w:p w14:paraId="76AB36F7">
            <w:pPr>
              <w:adjustRightInd/>
              <w:snapToGrid/>
              <w:spacing w:line="360" w:lineRule="exact"/>
              <w:ind w:firstLine="0" w:firstLineChars="0"/>
              <w:jc w:val="center"/>
              <w:rPr>
                <w:rFonts w:cs="Times New Roman"/>
                <w:snapToGrid w:val="0"/>
                <w:color w:val="auto"/>
                <w:kern w:val="0"/>
                <w:sz w:val="21"/>
                <w:szCs w:val="21"/>
                <w:highlight w:val="none"/>
                <w:lang w:val="zh-CN"/>
              </w:rPr>
            </w:pPr>
            <w:r>
              <w:rPr>
                <w:rFonts w:cs="Times New Roman"/>
                <w:snapToGrid w:val="0"/>
                <w:color w:val="auto"/>
                <w:kern w:val="0"/>
                <w:sz w:val="21"/>
                <w:szCs w:val="21"/>
                <w:highlight w:val="none"/>
                <w:lang w:val="zh-CN"/>
              </w:rPr>
              <w:t>合计</w:t>
            </w:r>
          </w:p>
        </w:tc>
        <w:tc>
          <w:tcPr>
            <w:tcW w:w="548" w:type="pct"/>
            <w:vAlign w:val="center"/>
          </w:tcPr>
          <w:p w14:paraId="50D52856">
            <w:pPr>
              <w:adjustRightInd/>
              <w:snapToGrid/>
              <w:spacing w:line="360" w:lineRule="exact"/>
              <w:ind w:firstLine="0" w:firstLineChars="0"/>
              <w:jc w:val="center"/>
              <w:rPr>
                <w:rFonts w:hint="default"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200</w:t>
            </w:r>
          </w:p>
        </w:tc>
      </w:tr>
      <w:bookmarkEnd w:id="395"/>
    </w:tbl>
    <w:p w14:paraId="4AD75C2B">
      <w:pPr>
        <w:rPr>
          <w:rFonts w:hint="eastAsia" w:cs="Times New Roman"/>
          <w:snapToGrid w:val="0"/>
          <w:color w:val="auto"/>
          <w:kern w:val="0"/>
          <w:szCs w:val="24"/>
          <w:highlight w:val="none"/>
          <w:lang w:val="en-US" w:eastAsia="zh-CN"/>
        </w:rPr>
      </w:pPr>
      <w:r>
        <w:rPr>
          <w:rFonts w:hint="eastAsia" w:cs="Times New Roman"/>
          <w:snapToGrid w:val="0"/>
          <w:color w:val="auto"/>
          <w:kern w:val="0"/>
          <w:szCs w:val="24"/>
          <w:highlight w:val="none"/>
          <w:lang w:val="en-US" w:eastAsia="zh-CN"/>
        </w:rPr>
        <w:t xml:space="preserve"> </w:t>
      </w:r>
    </w:p>
    <w:p w14:paraId="0016E07B">
      <w:pPr>
        <w:pStyle w:val="27"/>
        <w:rPr>
          <w:rFonts w:hint="eastAsia"/>
          <w:color w:val="auto"/>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0C7EC2BC">
      <w:pPr>
        <w:pStyle w:val="2"/>
        <w:rPr>
          <w:rFonts w:cs="Times New Roman"/>
          <w:color w:val="auto"/>
          <w:highlight w:val="none"/>
        </w:rPr>
      </w:pPr>
      <w:bookmarkStart w:id="396" w:name="_Toc61529213"/>
      <w:bookmarkStart w:id="397" w:name="_Toc838"/>
      <w:r>
        <w:rPr>
          <w:rFonts w:cs="Times New Roman"/>
          <w:color w:val="auto"/>
          <w:highlight w:val="none"/>
        </w:rPr>
        <w:t>7 环境影响经济损益分析</w:t>
      </w:r>
      <w:bookmarkEnd w:id="396"/>
      <w:bookmarkEnd w:id="397"/>
    </w:p>
    <w:p w14:paraId="4DF4C3FB">
      <w:pPr>
        <w:spacing w:line="500" w:lineRule="exact"/>
        <w:rPr>
          <w:rFonts w:cs="Times New Roman"/>
          <w:snapToGrid w:val="0"/>
          <w:color w:val="auto"/>
          <w:kern w:val="0"/>
          <w:highlight w:val="none"/>
        </w:rPr>
      </w:pPr>
      <w:r>
        <w:rPr>
          <w:rFonts w:cs="Times New Roman"/>
          <w:color w:val="auto"/>
          <w:szCs w:val="24"/>
          <w:highlight w:val="none"/>
        </w:rPr>
        <w:t>项目的建设除给企业自身带来一定的利益外，还增加了劳动就业机会，通过工商、税务、土地等方面的上缴，将为本地区的发展带来一定的经济效益和社会效益。但是本项目的建设对周围环境也将产生一定的影响，目前，这些影响还很难以货币价格来直接衡量，下面主要分析环境工程经济损益情况，除需计算用于控制污染所需的投资和费用外，同时核算可能收到的环境与经济实效。具体分析方法采用定性与半定量相结合的方法进行简要分析。</w:t>
      </w:r>
    </w:p>
    <w:p w14:paraId="3D31FCC1">
      <w:pPr>
        <w:pStyle w:val="3"/>
        <w:spacing w:before="163" w:after="163"/>
        <w:rPr>
          <w:rFonts w:cs="Times New Roman"/>
          <w:color w:val="auto"/>
          <w:highlight w:val="none"/>
        </w:rPr>
      </w:pPr>
      <w:bookmarkStart w:id="398" w:name="_Toc61529214"/>
      <w:bookmarkStart w:id="399" w:name="_Toc6514"/>
      <w:r>
        <w:rPr>
          <w:rFonts w:cs="Times New Roman"/>
          <w:color w:val="auto"/>
          <w:highlight w:val="none"/>
        </w:rPr>
        <w:t>7.1 社会效益</w:t>
      </w:r>
      <w:bookmarkEnd w:id="398"/>
      <w:bookmarkEnd w:id="399"/>
    </w:p>
    <w:p w14:paraId="323DFBB5">
      <w:pPr>
        <w:rPr>
          <w:rFonts w:cs="Times New Roman"/>
          <w:color w:val="auto"/>
          <w:szCs w:val="24"/>
          <w:highlight w:val="none"/>
        </w:rPr>
      </w:pPr>
      <w:r>
        <w:rPr>
          <w:rFonts w:cs="Times New Roman"/>
          <w:color w:val="auto"/>
          <w:szCs w:val="24"/>
          <w:highlight w:val="none"/>
        </w:rPr>
        <w:t>项目的建设将对当地的社会经济发展起到良好的推动作用。主要表现在以下几个方面：</w:t>
      </w:r>
    </w:p>
    <w:p w14:paraId="2CD628EE">
      <w:pPr>
        <w:rPr>
          <w:rFonts w:cs="Times New Roman"/>
          <w:color w:val="auto"/>
          <w:szCs w:val="24"/>
          <w:highlight w:val="none"/>
        </w:rPr>
      </w:pPr>
      <w:r>
        <w:rPr>
          <w:rFonts w:cs="Times New Roman"/>
          <w:color w:val="auto"/>
          <w:szCs w:val="24"/>
          <w:highlight w:val="none"/>
        </w:rPr>
        <w:t>1、本项目建设有利于调整区域农业结构，带动周边地区养殖业、运输业及相关产业的发展，加快农业产业化进程，有效解决“三农”问题，增加当地农民的收入。</w:t>
      </w:r>
    </w:p>
    <w:p w14:paraId="674F0681">
      <w:pPr>
        <w:rPr>
          <w:rFonts w:cs="Times New Roman"/>
          <w:color w:val="auto"/>
          <w:szCs w:val="24"/>
          <w:highlight w:val="none"/>
        </w:rPr>
      </w:pPr>
      <w:r>
        <w:rPr>
          <w:rFonts w:cs="Times New Roman"/>
          <w:color w:val="auto"/>
          <w:szCs w:val="24"/>
          <w:highlight w:val="none"/>
        </w:rPr>
        <w:t>2、随着该项目建成投产，在给企业增产增效的同时，又提供更多的工作岗位来安排闲散劳动力和下岗职工再就业，在一定程度上为推动其上下游行业生产发展、社会安定，减轻国家负担，提高当地民众的生活水平起到促进作用。</w:t>
      </w:r>
    </w:p>
    <w:p w14:paraId="61E2FFCE">
      <w:pPr>
        <w:rPr>
          <w:rFonts w:cs="Times New Roman"/>
          <w:color w:val="auto"/>
          <w:szCs w:val="24"/>
          <w:highlight w:val="none"/>
        </w:rPr>
      </w:pPr>
      <w:r>
        <w:rPr>
          <w:rFonts w:cs="Times New Roman"/>
          <w:color w:val="auto"/>
          <w:szCs w:val="24"/>
          <w:highlight w:val="none"/>
        </w:rPr>
        <w:t>3、本项目建筑材料、水、电等的消耗为当地带来间接经济效益。</w:t>
      </w:r>
    </w:p>
    <w:p w14:paraId="0D72D62D">
      <w:pPr>
        <w:rPr>
          <w:rFonts w:cs="Times New Roman"/>
          <w:color w:val="auto"/>
          <w:szCs w:val="24"/>
          <w:highlight w:val="none"/>
        </w:rPr>
      </w:pPr>
      <w:r>
        <w:rPr>
          <w:rFonts w:cs="Times New Roman"/>
          <w:color w:val="auto"/>
          <w:szCs w:val="24"/>
          <w:highlight w:val="none"/>
        </w:rPr>
        <w:t>综上所述，本项目的社会效益极为显著。</w:t>
      </w:r>
    </w:p>
    <w:p w14:paraId="127BFC6D">
      <w:pPr>
        <w:pStyle w:val="3"/>
        <w:spacing w:before="163" w:after="163"/>
        <w:rPr>
          <w:rFonts w:cs="Times New Roman"/>
          <w:color w:val="auto"/>
          <w:highlight w:val="none"/>
        </w:rPr>
      </w:pPr>
      <w:bookmarkStart w:id="400" w:name="_Toc61529215"/>
      <w:bookmarkStart w:id="401" w:name="_Toc31059"/>
      <w:r>
        <w:rPr>
          <w:rFonts w:cs="Times New Roman"/>
          <w:color w:val="auto"/>
          <w:highlight w:val="none"/>
        </w:rPr>
        <w:t>7.2 经济效益</w:t>
      </w:r>
      <w:bookmarkEnd w:id="400"/>
      <w:bookmarkEnd w:id="401"/>
    </w:p>
    <w:p w14:paraId="71BE2083">
      <w:pPr>
        <w:pStyle w:val="4"/>
        <w:spacing w:after="163"/>
        <w:rPr>
          <w:rFonts w:cs="Times New Roman"/>
          <w:color w:val="auto"/>
          <w:highlight w:val="none"/>
        </w:rPr>
      </w:pPr>
      <w:bookmarkStart w:id="402" w:name="_Toc700"/>
      <w:r>
        <w:rPr>
          <w:rFonts w:cs="Times New Roman"/>
          <w:color w:val="auto"/>
          <w:highlight w:val="none"/>
        </w:rPr>
        <w:t>7.2.1环境代价</w:t>
      </w:r>
      <w:bookmarkEnd w:id="402"/>
    </w:p>
    <w:p w14:paraId="1EC55A60">
      <w:pPr>
        <w:rPr>
          <w:rFonts w:cs="Times New Roman"/>
          <w:color w:val="auto"/>
          <w:szCs w:val="24"/>
          <w:highlight w:val="none"/>
        </w:rPr>
      </w:pPr>
      <w:r>
        <w:rPr>
          <w:rFonts w:ascii="Calibri" w:hAnsi="Calibri" w:eastAsia="宋体" w:cs="Times New Roman"/>
          <w:color w:val="auto"/>
          <w:kern w:val="2"/>
          <w:sz w:val="24"/>
          <w:szCs w:val="24"/>
          <w:highlight w:val="none"/>
          <w:lang w:val="en-US" w:eastAsia="zh-CN" w:bidi="ar-SA"/>
        </w:rPr>
        <w:t>本项目在设计中充分考虑了环境保护的要求，严格执行各项环境保护标准。遵循清洁生产的原则和循环经济理念，针对在生产过程中产生的污染物，从实际出发采取多种相应的治理措施，确保达标排放和总量控制要求。与此同时，采用先进的生产技术和设备，最大限度地提高水资源利用率，降低单位产品的水污染物产生量</w:t>
      </w:r>
      <w:r>
        <w:rPr>
          <w:rFonts w:ascii="Times New Roman" w:hAnsi="Times New Roman" w:eastAsia="宋体" w:cs="Times New Roman"/>
          <w:color w:val="auto"/>
          <w:kern w:val="2"/>
          <w:sz w:val="24"/>
          <w:szCs w:val="24"/>
          <w:highlight w:val="none"/>
          <w:lang w:val="en-US" w:eastAsia="zh-CN" w:bidi="ar-SA"/>
        </w:rPr>
        <w:t>。</w:t>
      </w:r>
    </w:p>
    <w:p w14:paraId="5493FBF9">
      <w:pPr>
        <w:pStyle w:val="4"/>
        <w:spacing w:after="163"/>
        <w:rPr>
          <w:rFonts w:cs="Times New Roman"/>
          <w:color w:val="auto"/>
          <w:highlight w:val="none"/>
        </w:rPr>
      </w:pPr>
      <w:bookmarkStart w:id="403" w:name="_Toc20819"/>
      <w:r>
        <w:rPr>
          <w:rFonts w:cs="Times New Roman"/>
          <w:color w:val="auto"/>
          <w:highlight w:val="none"/>
        </w:rPr>
        <w:t>7.2.2环境成本</w:t>
      </w:r>
      <w:bookmarkEnd w:id="403"/>
    </w:p>
    <w:p w14:paraId="1053CCE9">
      <w:pPr>
        <w:rPr>
          <w:rFonts w:cs="Times New Roman"/>
          <w:color w:val="auto"/>
          <w:szCs w:val="24"/>
          <w:highlight w:val="none"/>
        </w:rPr>
      </w:pPr>
      <w:r>
        <w:rPr>
          <w:rFonts w:cs="Times New Roman"/>
          <w:color w:val="auto"/>
          <w:highlight w:val="none"/>
        </w:rPr>
        <w:t>按照项目环保措施中提出的各项污染治理措施，环保工程投资主要包括：废水处理系统、废气处理系统、降噪工程、固废处置措施建设等。本项目环保投资估算为</w:t>
      </w:r>
      <w:r>
        <w:rPr>
          <w:rFonts w:hint="eastAsia" w:cs="Times New Roman"/>
          <w:snapToGrid w:val="0"/>
          <w:color w:val="auto"/>
          <w:kern w:val="0"/>
          <w:highlight w:val="none"/>
          <w:lang w:val="en-US" w:eastAsia="zh-CN"/>
        </w:rPr>
        <w:t>200</w:t>
      </w:r>
      <w:r>
        <w:rPr>
          <w:rFonts w:cs="Times New Roman"/>
          <w:color w:val="auto"/>
          <w:highlight w:val="none"/>
        </w:rPr>
        <w:t>万元，约占总投资</w:t>
      </w:r>
      <w:r>
        <w:rPr>
          <w:rFonts w:hint="eastAsia" w:cs="Times New Roman"/>
          <w:snapToGrid w:val="0"/>
          <w:color w:val="auto"/>
          <w:kern w:val="0"/>
          <w:highlight w:val="none"/>
          <w:lang w:val="en-US" w:eastAsia="zh-CN"/>
        </w:rPr>
        <w:t>2600</w:t>
      </w:r>
      <w:r>
        <w:rPr>
          <w:rFonts w:cs="Times New Roman"/>
          <w:color w:val="auto"/>
          <w:highlight w:val="none"/>
        </w:rPr>
        <w:t>万元的</w:t>
      </w:r>
      <w:r>
        <w:rPr>
          <w:rFonts w:hint="eastAsia" w:cs="Times New Roman"/>
          <w:snapToGrid w:val="0"/>
          <w:color w:val="auto"/>
          <w:kern w:val="0"/>
          <w:highlight w:val="none"/>
          <w:lang w:val="en-US" w:eastAsia="zh-CN"/>
        </w:rPr>
        <w:t>7.7</w:t>
      </w:r>
      <w:r>
        <w:rPr>
          <w:rFonts w:cs="Times New Roman"/>
          <w:snapToGrid w:val="0"/>
          <w:color w:val="auto"/>
          <w:kern w:val="0"/>
          <w:highlight w:val="none"/>
        </w:rPr>
        <w:t>%</w:t>
      </w:r>
      <w:r>
        <w:rPr>
          <w:rFonts w:cs="Times New Roman"/>
          <w:color w:val="auto"/>
          <w:highlight w:val="none"/>
        </w:rPr>
        <w:t>。投资比例相对比较合理，因此从经济上考虑，项目环保措施选取是可行的。</w:t>
      </w:r>
    </w:p>
    <w:p w14:paraId="0BC79EBE">
      <w:pPr>
        <w:pStyle w:val="3"/>
        <w:spacing w:before="163" w:after="163"/>
        <w:rPr>
          <w:rFonts w:cs="Times New Roman"/>
          <w:color w:val="auto"/>
          <w:highlight w:val="none"/>
        </w:rPr>
      </w:pPr>
      <w:bookmarkStart w:id="404" w:name="_Toc29900"/>
      <w:bookmarkStart w:id="405" w:name="_Toc61529216"/>
      <w:r>
        <w:rPr>
          <w:rFonts w:cs="Times New Roman"/>
          <w:color w:val="auto"/>
          <w:highlight w:val="none"/>
        </w:rPr>
        <w:t>7.3 环境效益</w:t>
      </w:r>
      <w:bookmarkEnd w:id="404"/>
      <w:bookmarkEnd w:id="405"/>
    </w:p>
    <w:p w14:paraId="746E92EF">
      <w:pPr>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通过环保投资，对投产后全厂污染物排放进行了有效的治理，各项污染防治措施实施后，可取得良好的环境效益。主要表现在：</w:t>
      </w:r>
    </w:p>
    <w:p w14:paraId="463470B4">
      <w:pPr>
        <w:rPr>
          <w:rFonts w:ascii="Times New Roman" w:hAnsi="Times New Roman" w:eastAsia="宋体" w:cs="Times New Roman"/>
          <w:b/>
          <w:bCs/>
          <w:color w:val="auto"/>
          <w:szCs w:val="24"/>
          <w:highlight w:val="none"/>
        </w:rPr>
      </w:pPr>
      <w:r>
        <w:rPr>
          <w:rFonts w:ascii="Times New Roman" w:hAnsi="Times New Roman" w:eastAsia="宋体" w:cs="Times New Roman"/>
          <w:b/>
          <w:bCs/>
          <w:color w:val="auto"/>
          <w:szCs w:val="24"/>
          <w:highlight w:val="none"/>
        </w:rPr>
        <w:t>1、废气治理的环境效益</w:t>
      </w:r>
    </w:p>
    <w:p w14:paraId="1CAF9DDC">
      <w:pPr>
        <w:rPr>
          <w:rFonts w:cs="Times New Roman"/>
          <w:snapToGrid w:val="0"/>
          <w:color w:val="auto"/>
          <w:kern w:val="0"/>
          <w:highlight w:val="none"/>
          <w:lang w:val="zh-CN"/>
        </w:rPr>
      </w:pPr>
      <w:r>
        <w:rPr>
          <w:rFonts w:cs="Times New Roman"/>
          <w:color w:val="auto"/>
          <w:highlight w:val="none"/>
          <w:lang w:val="zh-CN"/>
        </w:rPr>
        <w:t>本项目运营期产生的废气主要包括</w:t>
      </w:r>
      <w:r>
        <w:rPr>
          <w:rFonts w:hint="eastAsia" w:cs="Times New Roman"/>
          <w:color w:val="auto"/>
          <w:highlight w:val="none"/>
          <w:lang w:val="zh-CN"/>
        </w:rPr>
        <w:t>待宰圈</w:t>
      </w:r>
      <w:r>
        <w:rPr>
          <w:rFonts w:cs="Times New Roman"/>
          <w:color w:val="auto"/>
          <w:highlight w:val="none"/>
          <w:lang w:val="zh-CN"/>
        </w:rPr>
        <w:t>、屠宰车间、污水处理站、</w:t>
      </w:r>
      <w:r>
        <w:rPr>
          <w:rFonts w:hint="eastAsia" w:cs="Times New Roman"/>
          <w:color w:val="auto"/>
          <w:highlight w:val="none"/>
          <w:lang w:val="en-US" w:eastAsia="zh-CN"/>
        </w:rPr>
        <w:t>急宰间、</w:t>
      </w:r>
      <w:r>
        <w:rPr>
          <w:rFonts w:cs="Times New Roman"/>
          <w:color w:val="auto"/>
          <w:highlight w:val="none"/>
          <w:lang w:val="zh-CN"/>
        </w:rPr>
        <w:t>隔离圈、固废暂存间产生的恶臭废气。</w:t>
      </w:r>
    </w:p>
    <w:p w14:paraId="6035D943">
      <w:pPr>
        <w:widowControl/>
        <w:rPr>
          <w:rFonts w:ascii="Times New Roman" w:hAnsi="Times New Roman" w:eastAsia="宋体" w:cs="Times New Roman"/>
          <w:snapToGrid w:val="0"/>
          <w:color w:val="auto"/>
          <w:highlight w:val="none"/>
        </w:rPr>
      </w:pPr>
      <w:r>
        <w:rPr>
          <w:rFonts w:cs="Times New Roman"/>
          <w:color w:val="auto"/>
          <w:highlight w:val="none"/>
        </w:rPr>
        <w:t>屠宰车间产生的废气</w:t>
      </w:r>
      <w:r>
        <w:rPr>
          <w:rFonts w:hint="eastAsia" w:cs="Times New Roman"/>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color w:val="auto"/>
          <w:highlight w:val="none"/>
          <w:lang w:eastAsia="zh-CN"/>
        </w:rPr>
        <w:t>压集中收集后</w:t>
      </w:r>
      <w:r>
        <w:rPr>
          <w:rFonts w:cs="Times New Roman"/>
          <w:color w:val="auto"/>
          <w:highlight w:val="none"/>
        </w:rPr>
        <w:t>（收集率约90%左右），通过</w:t>
      </w:r>
      <w:r>
        <w:rPr>
          <w:rFonts w:hint="eastAsia" w:cs="Times New Roman"/>
          <w:color w:val="auto"/>
          <w:highlight w:val="none"/>
          <w:lang w:val="en-US" w:eastAsia="zh-CN"/>
        </w:rPr>
        <w:t>冷凝除湿器+</w:t>
      </w:r>
      <w:r>
        <w:rPr>
          <w:rFonts w:cs="Times New Roman"/>
          <w:color w:val="auto"/>
          <w:highlight w:val="none"/>
        </w:rPr>
        <w:t>活性炭净化装置（</w:t>
      </w:r>
      <w:r>
        <w:rPr>
          <w:rFonts w:hint="eastAsia" w:cs="Times New Roman"/>
          <w:color w:val="auto"/>
          <w:highlight w:val="none"/>
          <w:lang w:eastAsia="zh-CN"/>
        </w:rPr>
        <w:t>净化效率80%</w:t>
      </w:r>
      <w:r>
        <w:rPr>
          <w:rFonts w:cs="Times New Roman"/>
          <w:color w:val="auto"/>
          <w:highlight w:val="none"/>
        </w:rPr>
        <w:t>）处理后，经15m高的排气筒DA001排放；</w:t>
      </w:r>
      <w:r>
        <w:rPr>
          <w:rFonts w:hint="eastAsia" w:cs="Times New Roman"/>
          <w:color w:val="auto"/>
          <w:highlight w:val="none"/>
          <w:lang w:val="en-US" w:eastAsia="zh-CN"/>
        </w:rPr>
        <w:t>急宰间、</w:t>
      </w:r>
      <w:r>
        <w:rPr>
          <w:rFonts w:cs="Times New Roman"/>
          <w:color w:val="auto"/>
          <w:highlight w:val="none"/>
          <w:lang w:val="zh-CN"/>
        </w:rPr>
        <w:t>隔离圈、固废暂存间</w:t>
      </w:r>
      <w:r>
        <w:rPr>
          <w:rFonts w:cs="Times New Roman"/>
          <w:color w:val="auto"/>
          <w:highlight w:val="none"/>
        </w:rPr>
        <w:t>废气</w:t>
      </w:r>
      <w:r>
        <w:rPr>
          <w:rFonts w:hint="eastAsia" w:cs="Times New Roman"/>
          <w:color w:val="auto"/>
          <w:highlight w:val="none"/>
          <w:lang w:eastAsia="zh-CN"/>
        </w:rPr>
        <w:t>采用微负压集中收集后</w:t>
      </w:r>
      <w:r>
        <w:rPr>
          <w:rFonts w:cs="Times New Roman"/>
          <w:color w:val="auto"/>
          <w:highlight w:val="none"/>
        </w:rPr>
        <w:t>（收集率约90%左右），通过一套活性炭净化装置（</w:t>
      </w:r>
      <w:r>
        <w:rPr>
          <w:rFonts w:hint="eastAsia" w:cs="Times New Roman"/>
          <w:color w:val="auto"/>
          <w:highlight w:val="none"/>
          <w:lang w:eastAsia="zh-CN"/>
        </w:rPr>
        <w:t>净化效率80%</w:t>
      </w:r>
      <w:r>
        <w:rPr>
          <w:rFonts w:cs="Times New Roman"/>
          <w:color w:val="auto"/>
          <w:highlight w:val="none"/>
        </w:rPr>
        <w:t>），净化后的废气通过15m排气筒DA00</w:t>
      </w:r>
      <w:r>
        <w:rPr>
          <w:rFonts w:hint="eastAsia" w:cs="Times New Roman"/>
          <w:color w:val="auto"/>
          <w:highlight w:val="none"/>
          <w:lang w:val="en-US" w:eastAsia="zh-CN"/>
        </w:rPr>
        <w:t>1</w:t>
      </w:r>
      <w:r>
        <w:rPr>
          <w:rFonts w:cs="Times New Roman"/>
          <w:color w:val="auto"/>
          <w:highlight w:val="none"/>
        </w:rPr>
        <w:t>排放；</w:t>
      </w:r>
      <w:r>
        <w:rPr>
          <w:rFonts w:cs="Times New Roman"/>
          <w:color w:val="auto"/>
          <w:szCs w:val="24"/>
          <w:highlight w:val="none"/>
        </w:rPr>
        <w:t>污水处理站产生的废气，经负压收集</w:t>
      </w:r>
      <w:r>
        <w:rPr>
          <w:rFonts w:cs="Times New Roman"/>
          <w:color w:val="auto"/>
          <w:highlight w:val="none"/>
        </w:rPr>
        <w:t>（收集率约90%左右）</w:t>
      </w:r>
      <w:r>
        <w:rPr>
          <w:rFonts w:cs="Times New Roman"/>
          <w:color w:val="auto"/>
          <w:szCs w:val="24"/>
          <w:highlight w:val="none"/>
        </w:rPr>
        <w:t>至活性炭吸附装置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color w:val="auto"/>
          <w:szCs w:val="24"/>
          <w:highlight w:val="none"/>
        </w:rPr>
        <w:t>进行处理，处理后经15m高的排气筒DA00</w:t>
      </w:r>
      <w:r>
        <w:rPr>
          <w:rFonts w:hint="eastAsia" w:cs="Times New Roman"/>
          <w:color w:val="auto"/>
          <w:szCs w:val="24"/>
          <w:highlight w:val="none"/>
          <w:lang w:val="en-US" w:eastAsia="zh-CN"/>
        </w:rPr>
        <w:t>2</w:t>
      </w:r>
      <w:r>
        <w:rPr>
          <w:rFonts w:cs="Times New Roman"/>
          <w:color w:val="auto"/>
          <w:szCs w:val="24"/>
          <w:highlight w:val="none"/>
        </w:rPr>
        <w:t>排放；</w:t>
      </w:r>
      <w:r>
        <w:rPr>
          <w:rFonts w:cs="Times New Roman"/>
          <w:snapToGrid w:val="0"/>
          <w:color w:val="auto"/>
          <w:highlight w:val="none"/>
        </w:rPr>
        <w:t>DA001-DA00</w:t>
      </w:r>
      <w:r>
        <w:rPr>
          <w:rFonts w:hint="eastAsia" w:cs="Times New Roman"/>
          <w:snapToGrid w:val="0"/>
          <w:color w:val="auto"/>
          <w:highlight w:val="none"/>
          <w:lang w:val="en-US" w:eastAsia="zh-CN"/>
        </w:rPr>
        <w:t>2</w:t>
      </w:r>
      <w:r>
        <w:rPr>
          <w:rFonts w:cs="Times New Roman"/>
          <w:snapToGrid w:val="0"/>
          <w:color w:val="auto"/>
          <w:highlight w:val="none"/>
        </w:rPr>
        <w:t>排气筒排放速率及浓度均可满足《恶臭污染物排放标准》（GB14554-93）表2中排放标准限值。</w:t>
      </w:r>
    </w:p>
    <w:p w14:paraId="39CE1B8A">
      <w:pPr>
        <w:widowControl/>
        <w:rPr>
          <w:rFonts w:cs="Times New Roman"/>
          <w:color w:val="auto"/>
          <w:szCs w:val="24"/>
          <w:highlight w:val="none"/>
        </w:rPr>
      </w:pPr>
      <w:r>
        <w:rPr>
          <w:rFonts w:cs="Times New Roman"/>
          <w:snapToGrid w:val="0"/>
          <w:color w:val="auto"/>
          <w:highlight w:val="none"/>
          <w:lang w:val="zh-CN"/>
        </w:rPr>
        <w:t>同时</w:t>
      </w:r>
      <w:r>
        <w:rPr>
          <w:rFonts w:cs="Times New Roman"/>
          <w:color w:val="auto"/>
          <w:highlight w:val="none"/>
        </w:rPr>
        <w:t>屠宰车间及时清洗清运，</w:t>
      </w:r>
      <w:r>
        <w:rPr>
          <w:rFonts w:cs="Times New Roman"/>
          <w:color w:val="auto"/>
          <w:highlight w:val="none"/>
        </w:rPr>
        <w:t>定期喷洒除臭剂</w:t>
      </w:r>
      <w:r>
        <w:rPr>
          <w:rFonts w:hint="eastAsia" w:cs="Times New Roman"/>
          <w:color w:val="auto"/>
          <w:highlight w:val="none"/>
          <w:lang w:val="en-US" w:eastAsia="zh-CN"/>
        </w:rPr>
        <w:t>作来为控制恶臭的辅助性手段</w:t>
      </w:r>
      <w:r>
        <w:rPr>
          <w:rFonts w:cs="Times New Roman"/>
          <w:snapToGrid w:val="0"/>
          <w:color w:val="auto"/>
          <w:highlight w:val="none"/>
          <w:lang w:val="zh-CN"/>
        </w:rPr>
        <w:t>；</w:t>
      </w:r>
      <w:r>
        <w:rPr>
          <w:rFonts w:hint="eastAsia" w:cs="Times New Roman"/>
          <w:snapToGrid w:val="0"/>
          <w:color w:val="auto"/>
          <w:highlight w:val="none"/>
          <w:lang w:eastAsia="zh-CN"/>
        </w:rPr>
        <w:t>待宰圈</w:t>
      </w:r>
      <w:r>
        <w:rPr>
          <w:rFonts w:hint="eastAsia" w:cs="Times New Roman"/>
          <w:snapToGrid w:val="0"/>
          <w:color w:val="auto"/>
          <w:highlight w:val="none"/>
        </w:rPr>
        <w:t>设置专人管理</w:t>
      </w:r>
      <w:r>
        <w:rPr>
          <w:rFonts w:cs="Times New Roman"/>
          <w:snapToGrid w:val="0"/>
          <w:color w:val="auto"/>
          <w:highlight w:val="none"/>
        </w:rPr>
        <w:t>，及时清理地面上的粪便及尿液，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rPr>
        <w:t>定期冲洗待地面</w:t>
      </w:r>
      <w:r>
        <w:rPr>
          <w:rFonts w:cs="Times New Roman"/>
          <w:snapToGrid w:val="0"/>
          <w:color w:val="auto"/>
          <w:highlight w:val="none"/>
        </w:rPr>
        <w:t>，同时定期喷洒</w:t>
      </w:r>
      <w:r>
        <w:rPr>
          <w:rFonts w:hint="eastAsia" w:cs="Times New Roman"/>
          <w:snapToGrid w:val="0"/>
          <w:color w:val="auto"/>
          <w:highlight w:val="none"/>
          <w:lang w:val="en-US" w:eastAsia="zh-CN"/>
        </w:rPr>
        <w:t>环保型</w:t>
      </w:r>
      <w:r>
        <w:rPr>
          <w:rFonts w:cs="Times New Roman"/>
          <w:snapToGrid w:val="0"/>
          <w:color w:val="auto"/>
          <w:highlight w:val="none"/>
        </w:rPr>
        <w:t>除臭剂，减少恶臭源的散发；屠宰车间及时清洗清运</w:t>
      </w:r>
      <w:r>
        <w:rPr>
          <w:rFonts w:hint="eastAsia" w:cs="Times New Roman"/>
          <w:snapToGrid w:val="0"/>
          <w:color w:val="auto"/>
          <w:highlight w:val="none"/>
        </w:rPr>
        <w:t>，</w:t>
      </w:r>
      <w:r>
        <w:rPr>
          <w:rFonts w:cs="Times New Roman"/>
          <w:snapToGrid w:val="0"/>
          <w:color w:val="auto"/>
          <w:highlight w:val="none"/>
        </w:rPr>
        <w:t>定期喷洒</w:t>
      </w:r>
      <w:r>
        <w:rPr>
          <w:rFonts w:hint="eastAsia" w:cs="Times New Roman"/>
          <w:snapToGrid w:val="0"/>
          <w:color w:val="auto"/>
          <w:highlight w:val="none"/>
          <w:lang w:val="en-US" w:eastAsia="zh-CN"/>
        </w:rPr>
        <w:t>环保型</w:t>
      </w:r>
      <w:r>
        <w:rPr>
          <w:rFonts w:cs="Times New Roman"/>
          <w:snapToGrid w:val="0"/>
          <w:color w:val="auto"/>
          <w:highlight w:val="none"/>
        </w:rPr>
        <w:t>除臭剂；对于污水处理站产生恶臭区域加盖、喷洒</w:t>
      </w:r>
      <w:r>
        <w:rPr>
          <w:rFonts w:hint="eastAsia" w:cs="Times New Roman"/>
          <w:snapToGrid w:val="0"/>
          <w:color w:val="auto"/>
          <w:highlight w:val="none"/>
          <w:lang w:val="en-US" w:eastAsia="zh-CN"/>
        </w:rPr>
        <w:t>环保型</w:t>
      </w:r>
      <w:r>
        <w:rPr>
          <w:rFonts w:cs="Times New Roman"/>
          <w:snapToGrid w:val="0"/>
          <w:color w:val="auto"/>
          <w:highlight w:val="none"/>
        </w:rPr>
        <w:t>除臭剂，来降低污水处理站恶臭对厂区内外的影响；固废暂存间内废物暂存于加盖的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内，正常情况下为密封，仅输送生产废物时，将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rPr>
        <w:t>，</w:t>
      </w:r>
      <w:r>
        <w:rPr>
          <w:rFonts w:hint="eastAsia" w:cs="Times New Roman"/>
          <w:snapToGrid w:val="0"/>
          <w:color w:val="auto"/>
          <w:highlight w:val="none"/>
          <w:lang w:val="en-US" w:eastAsia="zh-CN"/>
        </w:rPr>
        <w:t>并放置新的转运桶用于存放下一个周期的固体废物，定期喷洒环保型除臭剂，</w:t>
      </w:r>
      <w:r>
        <w:rPr>
          <w:rFonts w:hint="eastAsia" w:cs="Times New Roman"/>
          <w:snapToGrid w:val="0"/>
          <w:color w:val="auto"/>
          <w:highlight w:val="none"/>
          <w:lang w:val="en-US"/>
        </w:rPr>
        <w:t>减少恶臭的释放</w:t>
      </w:r>
      <w:r>
        <w:rPr>
          <w:rFonts w:hint="eastAsia" w:cs="Times New Roman"/>
          <w:snapToGrid w:val="0"/>
          <w:color w:val="auto"/>
          <w:highlight w:val="none"/>
          <w:lang w:val="en-US" w:eastAsia="zh-CN"/>
        </w:rPr>
        <w:t>。</w:t>
      </w:r>
      <w:r>
        <w:rPr>
          <w:rFonts w:cs="Times New Roman"/>
          <w:color w:val="auto"/>
          <w:highlight w:val="none"/>
        </w:rPr>
        <w:t>采取以上措施后可满足《恶臭污染物排放标准》（GB14554-93）表1中二级标准要求。</w:t>
      </w:r>
      <w:r>
        <w:rPr>
          <w:rFonts w:cs="Times New Roman"/>
          <w:color w:val="auto"/>
          <w:spacing w:val="-3"/>
          <w:szCs w:val="24"/>
          <w:highlight w:val="none"/>
        </w:rPr>
        <w:t>对周围大气环境影响较小。</w:t>
      </w:r>
    </w:p>
    <w:p w14:paraId="1772C7FE">
      <w:pPr>
        <w:ind w:firstLine="482"/>
        <w:rPr>
          <w:rFonts w:cs="Times New Roman"/>
          <w:b/>
          <w:bCs/>
          <w:color w:val="auto"/>
          <w:szCs w:val="24"/>
          <w:highlight w:val="none"/>
        </w:rPr>
      </w:pPr>
      <w:r>
        <w:rPr>
          <w:rFonts w:cs="Times New Roman"/>
          <w:b/>
          <w:bCs/>
          <w:color w:val="auto"/>
          <w:szCs w:val="24"/>
          <w:highlight w:val="none"/>
        </w:rPr>
        <w:t>2、废水治理的环境效益</w:t>
      </w:r>
    </w:p>
    <w:p w14:paraId="34AE1D02">
      <w:pPr>
        <w:rPr>
          <w:rFonts w:cs="Times New Roman"/>
          <w:color w:val="auto"/>
          <w:szCs w:val="24"/>
          <w:highlight w:val="none"/>
        </w:rPr>
      </w:pPr>
      <w:r>
        <w:rPr>
          <w:rFonts w:cs="Times New Roman"/>
          <w:bCs/>
          <w:color w:val="auto"/>
          <w:szCs w:val="24"/>
          <w:highlight w:val="none"/>
        </w:rPr>
        <w:t>本项目运营期产生的废水包括生产废水和生活污水。其中，生产废水</w:t>
      </w:r>
      <w:r>
        <w:rPr>
          <w:rFonts w:hint="eastAsia" w:cs="Times New Roman"/>
          <w:bCs/>
          <w:color w:val="auto"/>
          <w:szCs w:val="24"/>
          <w:highlight w:val="none"/>
          <w:lang w:eastAsia="zh-CN"/>
        </w:rPr>
        <w:t>包括</w:t>
      </w:r>
      <w:r>
        <w:rPr>
          <w:rFonts w:cs="Times New Roman"/>
          <w:bCs/>
          <w:color w:val="auto"/>
          <w:szCs w:val="24"/>
          <w:highlight w:val="none"/>
        </w:rPr>
        <w:t>屠宰废水</w:t>
      </w:r>
      <w:r>
        <w:rPr>
          <w:rFonts w:hint="eastAsia" w:cs="Times New Roman"/>
          <w:bCs/>
          <w:color w:val="auto"/>
          <w:szCs w:val="24"/>
          <w:highlight w:val="none"/>
          <w:lang w:eastAsia="zh-CN"/>
        </w:rPr>
        <w:t>、</w:t>
      </w:r>
      <w:r>
        <w:rPr>
          <w:rFonts w:hint="eastAsia" w:cs="Times New Roman"/>
          <w:bCs/>
          <w:color w:val="auto"/>
          <w:szCs w:val="24"/>
          <w:highlight w:val="none"/>
          <w:lang w:val="en-US" w:eastAsia="zh-CN"/>
        </w:rPr>
        <w:t>车辆冲洗废水</w:t>
      </w:r>
      <w:r>
        <w:rPr>
          <w:rFonts w:cs="Times New Roman"/>
          <w:bCs/>
          <w:color w:val="auto"/>
          <w:szCs w:val="24"/>
          <w:highlight w:val="none"/>
        </w:rPr>
        <w:t>，</w:t>
      </w:r>
      <w:r>
        <w:rPr>
          <w:rFonts w:cs="Times New Roman"/>
          <w:color w:val="auto"/>
          <w:highlight w:val="none"/>
        </w:rPr>
        <w:t>生活污水为</w:t>
      </w:r>
      <w:r>
        <w:rPr>
          <w:rFonts w:cs="Times New Roman"/>
          <w:bCs/>
          <w:color w:val="auto"/>
          <w:szCs w:val="24"/>
          <w:highlight w:val="none"/>
        </w:rPr>
        <w:t>员工日常生活污水。屠宰废水经厂区自建的污水处理站进行处理，</w:t>
      </w:r>
      <w:r>
        <w:rPr>
          <w:rFonts w:cs="Times New Roman"/>
          <w:snapToGrid w:val="0"/>
          <w:color w:val="auto"/>
          <w:highlight w:val="none"/>
          <w:lang w:val="en-GB"/>
        </w:rPr>
        <w:t>处理达到《肉类加工工业水污染物排放标准》（GB13457-92）中畜类屠宰加工三级标准</w:t>
      </w:r>
      <w:r>
        <w:rPr>
          <w:rFonts w:cs="Times New Roman"/>
          <w:snapToGrid w:val="0"/>
          <w:color w:val="auto"/>
          <w:highlight w:val="none"/>
        </w:rPr>
        <w:t>同生活污水经市政污水管网进入</w:t>
      </w:r>
      <w:r>
        <w:rPr>
          <w:rFonts w:hint="eastAsia" w:cs="Times New Roman"/>
          <w:snapToGrid w:val="0"/>
          <w:color w:val="auto"/>
          <w:highlight w:val="none"/>
          <w:lang w:val="en-GB" w:eastAsia="zh-CN"/>
        </w:rPr>
        <w:t>双鸭山市畅源排水有限公司</w:t>
      </w:r>
      <w:r>
        <w:rPr>
          <w:rFonts w:cs="Times New Roman"/>
          <w:snapToGrid w:val="0"/>
          <w:color w:val="auto"/>
          <w:highlight w:val="none"/>
          <w:lang w:val="en-GB"/>
        </w:rPr>
        <w:t>处理，达标后排入</w:t>
      </w:r>
      <w:r>
        <w:rPr>
          <w:rFonts w:hint="eastAsia" w:cs="Times New Roman"/>
          <w:snapToGrid w:val="0"/>
          <w:color w:val="auto"/>
          <w:highlight w:val="none"/>
          <w:lang w:val="en-GB" w:eastAsia="zh-CN"/>
        </w:rPr>
        <w:t>安邦河</w:t>
      </w:r>
      <w:r>
        <w:rPr>
          <w:rFonts w:cs="Times New Roman"/>
          <w:bCs/>
          <w:color w:val="auto"/>
          <w:szCs w:val="24"/>
          <w:highlight w:val="none"/>
        </w:rPr>
        <w:t>。在采取以上述措施处理后，</w:t>
      </w:r>
      <w:r>
        <w:rPr>
          <w:rFonts w:cs="Times New Roman"/>
          <w:color w:val="auto"/>
          <w:szCs w:val="24"/>
          <w:highlight w:val="none"/>
        </w:rPr>
        <w:t>本项目运营期产生的废水不会对周围环境产生明显的影响。</w:t>
      </w:r>
    </w:p>
    <w:p w14:paraId="4C2B3806">
      <w:pPr>
        <w:ind w:firstLine="482"/>
        <w:rPr>
          <w:rFonts w:cs="Times New Roman"/>
          <w:b/>
          <w:bCs/>
          <w:color w:val="auto"/>
          <w:szCs w:val="24"/>
          <w:highlight w:val="none"/>
        </w:rPr>
      </w:pPr>
      <w:r>
        <w:rPr>
          <w:rFonts w:cs="Times New Roman"/>
          <w:b/>
          <w:bCs/>
          <w:color w:val="auto"/>
          <w:szCs w:val="24"/>
          <w:highlight w:val="none"/>
        </w:rPr>
        <w:t>3、噪声治理的环境效益</w:t>
      </w:r>
    </w:p>
    <w:p w14:paraId="6E09FC31">
      <w:pPr>
        <w:rPr>
          <w:rFonts w:hint="default" w:eastAsia="宋体" w:cs="Times New Roman"/>
          <w:color w:val="auto"/>
          <w:szCs w:val="24"/>
          <w:highlight w:val="none"/>
          <w:lang w:val="en-US" w:eastAsia="zh-CN"/>
        </w:rPr>
      </w:pPr>
      <w:r>
        <w:rPr>
          <w:rFonts w:cs="Times New Roman"/>
          <w:color w:val="auto"/>
          <w:szCs w:val="24"/>
          <w:highlight w:val="none"/>
        </w:rPr>
        <w:t>厂内设备噪声污染源采取相应治理措施，使厂界噪声符合《工业企业厂界环境噪声排放标准》（GB12348-2008）表1中</w:t>
      </w:r>
      <w:r>
        <w:rPr>
          <w:rFonts w:hint="eastAsia" w:cs="Times New Roman"/>
          <w:color w:val="auto"/>
          <w:szCs w:val="24"/>
          <w:highlight w:val="none"/>
          <w:lang w:val="en-US" w:eastAsia="zh-CN"/>
        </w:rPr>
        <w:t>2</w:t>
      </w:r>
      <w:r>
        <w:rPr>
          <w:rFonts w:cs="Times New Roman"/>
          <w:color w:val="auto"/>
          <w:szCs w:val="24"/>
          <w:highlight w:val="none"/>
        </w:rPr>
        <w:t>类标准</w:t>
      </w:r>
      <w:r>
        <w:rPr>
          <w:rFonts w:hint="eastAsia" w:cs="Times New Roman"/>
          <w:color w:val="auto"/>
          <w:szCs w:val="24"/>
          <w:highlight w:val="none"/>
          <w:lang w:eastAsia="zh-CN"/>
        </w:rPr>
        <w:t>；</w:t>
      </w:r>
      <w:r>
        <w:rPr>
          <w:rFonts w:hint="eastAsia" w:cs="Times New Roman"/>
          <w:color w:val="auto"/>
          <w:szCs w:val="24"/>
          <w:highlight w:val="none"/>
          <w:lang w:val="en-US" w:eastAsia="zh-CN"/>
        </w:rPr>
        <w:t>厂区西侧敏感点噪声符合《声环境质量标准》（GB3096-2008）中2类标准。</w:t>
      </w:r>
    </w:p>
    <w:p w14:paraId="24D82958">
      <w:pPr>
        <w:ind w:firstLine="482"/>
        <w:rPr>
          <w:rFonts w:cs="Times New Roman"/>
          <w:b/>
          <w:bCs/>
          <w:color w:val="auto"/>
          <w:szCs w:val="24"/>
          <w:highlight w:val="none"/>
        </w:rPr>
      </w:pPr>
      <w:r>
        <w:rPr>
          <w:rFonts w:cs="Times New Roman"/>
          <w:b/>
          <w:bCs/>
          <w:color w:val="auto"/>
          <w:szCs w:val="24"/>
          <w:highlight w:val="none"/>
        </w:rPr>
        <w:t>4、固体废物治理的环境效益</w:t>
      </w:r>
    </w:p>
    <w:p w14:paraId="45381B43">
      <w:pPr>
        <w:rPr>
          <w:rFonts w:cs="Times New Roman"/>
          <w:color w:val="auto"/>
          <w:szCs w:val="24"/>
          <w:highlight w:val="none"/>
        </w:rPr>
      </w:pPr>
      <w:r>
        <w:rPr>
          <w:rFonts w:cs="Times New Roman"/>
          <w:color w:val="auto"/>
          <w:szCs w:val="24"/>
          <w:highlight w:val="none"/>
        </w:rPr>
        <w:t>固体废物的综合利用或有效处置，</w:t>
      </w:r>
      <w:r>
        <w:rPr>
          <w:rFonts w:cs="Times New Roman"/>
          <w:snapToGrid w:val="0"/>
          <w:color w:val="auto"/>
          <w:kern w:val="0"/>
          <w:szCs w:val="24"/>
          <w:highlight w:val="none"/>
        </w:rPr>
        <w:t>运营期产生的固体废物对周围环境影响较小</w:t>
      </w:r>
      <w:r>
        <w:rPr>
          <w:rFonts w:hint="eastAsia" w:cs="Times New Roman"/>
          <w:snapToGrid w:val="0"/>
          <w:color w:val="auto"/>
          <w:kern w:val="0"/>
          <w:szCs w:val="24"/>
          <w:highlight w:val="none"/>
          <w:lang w:eastAsia="zh-CN"/>
        </w:rPr>
        <w:t>，</w:t>
      </w:r>
      <w:r>
        <w:rPr>
          <w:rFonts w:cs="Times New Roman"/>
          <w:color w:val="auto"/>
          <w:szCs w:val="24"/>
          <w:highlight w:val="none"/>
        </w:rPr>
        <w:t>不仅消除了对环境的污染，而且变废为宝。</w:t>
      </w:r>
    </w:p>
    <w:p w14:paraId="6C371262">
      <w:pPr>
        <w:pStyle w:val="4"/>
        <w:spacing w:after="163"/>
        <w:rPr>
          <w:rFonts w:cs="Times New Roman"/>
          <w:color w:val="auto"/>
          <w:highlight w:val="none"/>
        </w:rPr>
      </w:pPr>
      <w:bookmarkStart w:id="406" w:name="_Toc61529217"/>
      <w:bookmarkStart w:id="407" w:name="_Toc11666"/>
      <w:r>
        <w:rPr>
          <w:rFonts w:cs="Times New Roman"/>
          <w:color w:val="auto"/>
          <w:highlight w:val="none"/>
        </w:rPr>
        <w:t>7.4 分析结论</w:t>
      </w:r>
      <w:bookmarkEnd w:id="406"/>
      <w:bookmarkEnd w:id="407"/>
    </w:p>
    <w:p w14:paraId="7037A17F">
      <w:pPr>
        <w:rPr>
          <w:rFonts w:cs="Times New Roman"/>
          <w:color w:val="auto"/>
          <w:szCs w:val="24"/>
          <w:highlight w:val="none"/>
        </w:rPr>
      </w:pPr>
      <w:r>
        <w:rPr>
          <w:rFonts w:cs="Times New Roman"/>
          <w:color w:val="auto"/>
          <w:szCs w:val="24"/>
          <w:highlight w:val="none"/>
        </w:rPr>
        <w:t>在社会效益方面，本项目建设促进了当地的轻工行业的发展，并为促进地方的经济发展有重要贡献。</w:t>
      </w:r>
    </w:p>
    <w:p w14:paraId="7D099F96">
      <w:pPr>
        <w:rPr>
          <w:rFonts w:cs="Times New Roman"/>
          <w:color w:val="auto"/>
          <w:szCs w:val="24"/>
          <w:highlight w:val="none"/>
        </w:rPr>
      </w:pPr>
      <w:r>
        <w:rPr>
          <w:rFonts w:cs="Times New Roman"/>
          <w:color w:val="auto"/>
          <w:szCs w:val="24"/>
          <w:highlight w:val="none"/>
        </w:rPr>
        <w:t>在环境效益方面，本项目的建设和运营对环境产生一定的影响，但只要严格落实环保措施，对环境的影响可控制在允许的范围内。</w:t>
      </w:r>
    </w:p>
    <w:p w14:paraId="4A42B560">
      <w:pPr>
        <w:rPr>
          <w:rFonts w:cs="Times New Roman"/>
          <w:color w:val="auto"/>
          <w:szCs w:val="24"/>
          <w:highlight w:val="none"/>
        </w:rPr>
      </w:pPr>
      <w:r>
        <w:rPr>
          <w:rFonts w:cs="Times New Roman"/>
          <w:color w:val="auto"/>
          <w:szCs w:val="24"/>
          <w:highlight w:val="none"/>
        </w:rPr>
        <w:t>在经济效益方面，项目投资利润率与投资税率较高，有较好的经济效益。</w:t>
      </w:r>
    </w:p>
    <w:p w14:paraId="315048F8">
      <w:pPr>
        <w:rPr>
          <w:rFonts w:cs="Times New Roman"/>
          <w:color w:val="auto"/>
          <w:szCs w:val="24"/>
          <w:highlight w:val="none"/>
        </w:rPr>
      </w:pPr>
      <w:r>
        <w:rPr>
          <w:rFonts w:cs="Times New Roman"/>
          <w:color w:val="auto"/>
          <w:szCs w:val="24"/>
          <w:highlight w:val="none"/>
        </w:rPr>
        <w:t>综上分析本项目的环境效益、经济效益、社会效益均较好，从环境经济学的角度看，本项目建设是可行的。</w:t>
      </w:r>
    </w:p>
    <w:p w14:paraId="46686CC1">
      <w:pPr>
        <w:adjustRightInd/>
        <w:snapToGrid/>
        <w:spacing w:line="500" w:lineRule="exact"/>
        <w:rPr>
          <w:rFonts w:cs="Times New Roman"/>
          <w:snapToGrid w:val="0"/>
          <w:color w:val="auto"/>
          <w:kern w:val="0"/>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10DAB034">
      <w:pPr>
        <w:pStyle w:val="2"/>
        <w:rPr>
          <w:rFonts w:cs="Times New Roman"/>
          <w:color w:val="auto"/>
          <w:highlight w:val="none"/>
        </w:rPr>
      </w:pPr>
      <w:bookmarkStart w:id="408" w:name="_Toc26331"/>
      <w:bookmarkStart w:id="409" w:name="_Toc61529218"/>
      <w:bookmarkStart w:id="410" w:name="_Toc246147595"/>
      <w:bookmarkStart w:id="411" w:name="_Toc480447683"/>
      <w:bookmarkStart w:id="412" w:name="_Toc342462533"/>
      <w:bookmarkStart w:id="413" w:name="_Toc455043909"/>
      <w:bookmarkStart w:id="414" w:name="_Toc456590417"/>
      <w:bookmarkStart w:id="415" w:name="_Toc75075829"/>
      <w:bookmarkStart w:id="416" w:name="_Toc371751594"/>
      <w:bookmarkStart w:id="417" w:name="_Toc45678602"/>
      <w:bookmarkStart w:id="418" w:name="_Toc75075767"/>
      <w:bookmarkStart w:id="419" w:name="_Toc415146721"/>
      <w:r>
        <w:rPr>
          <w:rFonts w:cs="Times New Roman"/>
          <w:color w:val="auto"/>
          <w:highlight w:val="none"/>
        </w:rPr>
        <w:t>8 环境管理及监测计划</w:t>
      </w:r>
      <w:bookmarkEnd w:id="408"/>
      <w:bookmarkEnd w:id="409"/>
    </w:p>
    <w:bookmarkEnd w:id="410"/>
    <w:p w14:paraId="0069B34C">
      <w:pPr>
        <w:pStyle w:val="3"/>
        <w:spacing w:before="120" w:after="120"/>
        <w:rPr>
          <w:rFonts w:cs="Times New Roman"/>
          <w:color w:val="auto"/>
          <w:highlight w:val="none"/>
        </w:rPr>
      </w:pPr>
      <w:bookmarkStart w:id="420" w:name="_Toc26782"/>
      <w:r>
        <w:rPr>
          <w:rFonts w:cs="Times New Roman"/>
          <w:color w:val="auto"/>
          <w:highlight w:val="none"/>
        </w:rPr>
        <w:t>8.1环境管理</w:t>
      </w:r>
      <w:bookmarkEnd w:id="411"/>
      <w:bookmarkEnd w:id="412"/>
      <w:bookmarkEnd w:id="413"/>
      <w:bookmarkEnd w:id="414"/>
      <w:bookmarkEnd w:id="420"/>
    </w:p>
    <w:p w14:paraId="1D6561EF">
      <w:pPr>
        <w:pStyle w:val="35"/>
        <w:spacing w:line="360" w:lineRule="auto"/>
        <w:ind w:firstLine="480" w:firstLineChars="200"/>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t>为了贯彻执行国家和地方环境保护法律、法规、政策与标准，及时掌握和了解污染控制措施的效果，以及项目所在区域环境质量的变化情况，更好地监控环保设施的运行情况，协调与地方环保职能部门和其它有关部门的工作，同时保证企业生产管理和环境管理的正常运作，建立环境管理体系与监测制度是非常必要和重要的。</w:t>
      </w:r>
    </w:p>
    <w:p w14:paraId="3456A2F6">
      <w:pPr>
        <w:rPr>
          <w:rFonts w:cs="Times New Roman"/>
          <w:snapToGrid w:val="0"/>
          <w:color w:val="auto"/>
          <w:kern w:val="0"/>
          <w:highlight w:val="none"/>
        </w:rPr>
      </w:pPr>
      <w:r>
        <w:rPr>
          <w:rFonts w:cs="Times New Roman"/>
          <w:color w:val="auto"/>
          <w:szCs w:val="24"/>
          <w:highlight w:val="none"/>
        </w:rPr>
        <w:t>环境管理体系与监测机构的建立能够帮助企业及早发现问题，使企业在发展生产的同时节约能源、降低原材料的消耗，控制污染物排放量，减轻污染物排放对环境产生的影响，为企业创造更好的经济效益和环境效益，树立良好的社会形象，建议建设方制定完善的环境保护管理体系。</w:t>
      </w:r>
    </w:p>
    <w:p w14:paraId="66B0C1A4">
      <w:pPr>
        <w:pStyle w:val="4"/>
        <w:spacing w:after="120"/>
        <w:rPr>
          <w:rFonts w:cs="Times New Roman"/>
          <w:color w:val="auto"/>
          <w:highlight w:val="none"/>
        </w:rPr>
      </w:pPr>
      <w:bookmarkStart w:id="421" w:name="_Toc4396"/>
      <w:r>
        <w:rPr>
          <w:rFonts w:cs="Times New Roman"/>
          <w:color w:val="auto"/>
          <w:highlight w:val="none"/>
        </w:rPr>
        <w:t>8.1.1环境管理体系</w:t>
      </w:r>
      <w:bookmarkEnd w:id="421"/>
    </w:p>
    <w:p w14:paraId="6088685C">
      <w:pPr>
        <w:rPr>
          <w:rFonts w:cs="Times New Roman"/>
          <w:snapToGrid w:val="0"/>
          <w:color w:val="auto"/>
          <w:kern w:val="0"/>
          <w:highlight w:val="none"/>
        </w:rPr>
      </w:pPr>
      <w:r>
        <w:rPr>
          <w:rFonts w:cs="Times New Roman"/>
          <w:snapToGrid w:val="0"/>
          <w:color w:val="auto"/>
          <w:kern w:val="0"/>
          <w:highlight w:val="none"/>
        </w:rPr>
        <w:t>为确实做好本项目投产后环境管理、环境监测等工作，建议成立安全环保部，并设专职环境管理人员。</w:t>
      </w:r>
    </w:p>
    <w:p w14:paraId="349AC50D">
      <w:pPr>
        <w:rPr>
          <w:rFonts w:cs="Times New Roman"/>
          <w:snapToGrid w:val="0"/>
          <w:color w:val="auto"/>
          <w:kern w:val="0"/>
          <w:highlight w:val="none"/>
        </w:rPr>
      </w:pPr>
      <w:r>
        <w:rPr>
          <w:rFonts w:cs="Times New Roman"/>
          <w:snapToGrid w:val="0"/>
          <w:color w:val="auto"/>
          <w:kern w:val="0"/>
          <w:highlight w:val="none"/>
        </w:rPr>
        <w:t>贯彻执行国家和地方颁布的环境保护法规、政策和环境保护标准，协助厂区领导确定厂区环境保护方针、目标。</w:t>
      </w:r>
    </w:p>
    <w:p w14:paraId="1E1CDAB1">
      <w:pPr>
        <w:rPr>
          <w:rFonts w:cs="Times New Roman"/>
          <w:snapToGrid w:val="0"/>
          <w:color w:val="auto"/>
          <w:kern w:val="0"/>
          <w:highlight w:val="none"/>
        </w:rPr>
      </w:pPr>
      <w:r>
        <w:rPr>
          <w:rFonts w:cs="Times New Roman"/>
          <w:snapToGrid w:val="0"/>
          <w:color w:val="auto"/>
          <w:kern w:val="0"/>
          <w:highlight w:val="none"/>
        </w:rPr>
        <w:t xml:space="preserve">制订厂区环境保护管理规章、制度和实施办法，并经常监督检查执行情况；组织制定厂区环境保护规划和年度计划，并组织或监督实施。 </w:t>
      </w:r>
    </w:p>
    <w:p w14:paraId="0B56E082">
      <w:pPr>
        <w:rPr>
          <w:rFonts w:cs="Times New Roman"/>
          <w:snapToGrid w:val="0"/>
          <w:color w:val="auto"/>
          <w:kern w:val="0"/>
          <w:highlight w:val="none"/>
        </w:rPr>
      </w:pPr>
      <w:r>
        <w:rPr>
          <w:rFonts w:cs="Times New Roman"/>
          <w:snapToGrid w:val="0"/>
          <w:color w:val="auto"/>
          <w:kern w:val="0"/>
          <w:highlight w:val="none"/>
        </w:rPr>
        <w:t>负责厂区环境监测管理工作，制定环境监测计划，并组织实施；掌握厂区“三废”排放状况，建立污染源排污档案，按规定向地方环保部门汇报排污情况以及企业年度排污申报登记，并为解决厂区重大环境问题和综合治理决策提供依据。</w:t>
      </w:r>
    </w:p>
    <w:p w14:paraId="6B8B259A">
      <w:pPr>
        <w:rPr>
          <w:rFonts w:cs="Times New Roman"/>
          <w:snapToGrid w:val="0"/>
          <w:color w:val="auto"/>
          <w:kern w:val="0"/>
          <w:highlight w:val="none"/>
        </w:rPr>
      </w:pPr>
      <w:r>
        <w:rPr>
          <w:rFonts w:cs="Times New Roman"/>
          <w:snapToGrid w:val="0"/>
          <w:color w:val="auto"/>
          <w:kern w:val="0"/>
          <w:highlight w:val="none"/>
        </w:rPr>
        <w:t xml:space="preserve">监督检查环境保护设施的运行情况，并建立运行档案。 </w:t>
      </w:r>
    </w:p>
    <w:p w14:paraId="155387BD">
      <w:pPr>
        <w:rPr>
          <w:rFonts w:cs="Times New Roman"/>
          <w:snapToGrid w:val="0"/>
          <w:color w:val="auto"/>
          <w:kern w:val="0"/>
          <w:highlight w:val="none"/>
        </w:rPr>
      </w:pPr>
      <w:r>
        <w:rPr>
          <w:rFonts w:cs="Times New Roman"/>
          <w:snapToGrid w:val="0"/>
          <w:color w:val="auto"/>
          <w:kern w:val="0"/>
          <w:highlight w:val="none"/>
        </w:rPr>
        <w:t>制定切实可行的各类污染物排放控制指标、环境保护设施运行效果和污染防治措施落实效果考核指标、“三废”综合利用指标及绿化建设等环保责任指标，层层落实并定期组织考核。</w:t>
      </w:r>
    </w:p>
    <w:p w14:paraId="6A3ED34F">
      <w:pPr>
        <w:rPr>
          <w:rFonts w:cs="Times New Roman"/>
          <w:snapToGrid w:val="0"/>
          <w:color w:val="auto"/>
          <w:kern w:val="0"/>
          <w:highlight w:val="none"/>
        </w:rPr>
      </w:pPr>
      <w:r>
        <w:rPr>
          <w:rFonts w:cs="Times New Roman"/>
          <w:snapToGrid w:val="0"/>
          <w:color w:val="auto"/>
          <w:kern w:val="0"/>
          <w:highlight w:val="none"/>
        </w:rPr>
        <w:t>制定预防突发性污染事件防范措施和应急处理方案。一旦发生事故，协助有关部门及组织环境监测、事故原因调查分析和处理工作，并应认真总结经验教训，及时上报有关结果。</w:t>
      </w:r>
    </w:p>
    <w:p w14:paraId="2ED1E904">
      <w:pPr>
        <w:rPr>
          <w:rFonts w:cs="Times New Roman"/>
          <w:snapToGrid w:val="0"/>
          <w:color w:val="auto"/>
          <w:kern w:val="0"/>
          <w:highlight w:val="none"/>
        </w:rPr>
      </w:pPr>
      <w:r>
        <w:rPr>
          <w:rFonts w:cs="Times New Roman"/>
          <w:snapToGrid w:val="0"/>
          <w:color w:val="auto"/>
          <w:kern w:val="0"/>
          <w:highlight w:val="none"/>
        </w:rPr>
        <w:t>组织开展厂区污染治理工作和“三废”综合利用的环保科研、技术攻关工作，积极推广污染防治先进技术和经验；组织开展有关环境保护的宣传教育、培训工作。</w:t>
      </w:r>
    </w:p>
    <w:p w14:paraId="15E25034">
      <w:pPr>
        <w:pStyle w:val="4"/>
        <w:spacing w:after="120"/>
        <w:rPr>
          <w:rFonts w:cs="Times New Roman"/>
          <w:color w:val="auto"/>
          <w:highlight w:val="none"/>
        </w:rPr>
      </w:pPr>
      <w:bookmarkStart w:id="422" w:name="_Toc10735"/>
      <w:r>
        <w:rPr>
          <w:rFonts w:cs="Times New Roman"/>
          <w:color w:val="auto"/>
          <w:highlight w:val="none"/>
        </w:rPr>
        <w:t>8.1.2环境管理内容</w:t>
      </w:r>
      <w:bookmarkEnd w:id="422"/>
    </w:p>
    <w:p w14:paraId="2B8CB288">
      <w:pPr>
        <w:pStyle w:val="5"/>
        <w:rPr>
          <w:color w:val="auto"/>
          <w:highlight w:val="none"/>
        </w:rPr>
      </w:pPr>
      <w:r>
        <w:rPr>
          <w:color w:val="auto"/>
          <w:highlight w:val="none"/>
        </w:rPr>
        <w:t>8.1.2.1施工期管理内容</w:t>
      </w:r>
    </w:p>
    <w:p w14:paraId="3A87FAB0">
      <w:pPr>
        <w:spacing w:line="500" w:lineRule="exact"/>
        <w:rPr>
          <w:rFonts w:cs="Times New Roman"/>
          <w:snapToGrid w:val="0"/>
          <w:color w:val="auto"/>
          <w:kern w:val="0"/>
          <w:highlight w:val="none"/>
        </w:rPr>
      </w:pPr>
      <w:r>
        <w:rPr>
          <w:rFonts w:cs="Times New Roman"/>
          <w:snapToGrid w:val="0"/>
          <w:color w:val="auto"/>
          <w:kern w:val="0"/>
          <w:highlight w:val="none"/>
        </w:rPr>
        <w:t>施工期对环境的影响主要为噪声、粉尘、施工废水、生活污水及建筑垃圾。施工过程中要做到建筑垃圾集中堆放、及时清运；施工废水设沉淀池；保证施工设备完好、先进，降低其噪声，固定声源隔声降噪等；指定行车路线，定期洒水、防止扬尘等。作业点要定期检查，督促环境管理措施的落实情况，增强施工人员的环保意识。</w:t>
      </w:r>
    </w:p>
    <w:p w14:paraId="0243DA75">
      <w:pPr>
        <w:pStyle w:val="5"/>
        <w:rPr>
          <w:color w:val="auto"/>
          <w:highlight w:val="none"/>
        </w:rPr>
      </w:pPr>
      <w:r>
        <w:rPr>
          <w:color w:val="auto"/>
          <w:highlight w:val="none"/>
        </w:rPr>
        <w:t>8.1.2.2运营期管理内容</w:t>
      </w:r>
    </w:p>
    <w:p w14:paraId="45DA1103">
      <w:pPr>
        <w:spacing w:line="500" w:lineRule="exact"/>
        <w:ind w:firstLine="482"/>
        <w:rPr>
          <w:rFonts w:cs="Times New Roman"/>
          <w:b/>
          <w:bCs/>
          <w:snapToGrid w:val="0"/>
          <w:color w:val="auto"/>
          <w:kern w:val="0"/>
          <w:highlight w:val="none"/>
        </w:rPr>
      </w:pPr>
      <w:r>
        <w:rPr>
          <w:rFonts w:cs="Times New Roman"/>
          <w:b/>
          <w:bCs/>
          <w:snapToGrid w:val="0"/>
          <w:color w:val="auto"/>
          <w:kern w:val="0"/>
          <w:highlight w:val="none"/>
        </w:rPr>
        <w:t>1、大气环境管理</w:t>
      </w:r>
    </w:p>
    <w:p w14:paraId="0101871E">
      <w:pPr>
        <w:spacing w:line="500" w:lineRule="exact"/>
        <w:rPr>
          <w:rFonts w:cs="Times New Roman"/>
          <w:snapToGrid w:val="0"/>
          <w:color w:val="auto"/>
          <w:kern w:val="0"/>
          <w:highlight w:val="none"/>
        </w:rPr>
      </w:pPr>
      <w:r>
        <w:rPr>
          <w:rFonts w:cs="Times New Roman"/>
          <w:color w:val="auto"/>
          <w:highlight w:val="none"/>
          <w:lang w:val="zh-CN"/>
        </w:rPr>
        <w:t>本项目运营期产生的废气主要包括</w:t>
      </w:r>
      <w:r>
        <w:rPr>
          <w:rFonts w:hint="eastAsia" w:cs="Times New Roman"/>
          <w:color w:val="auto"/>
          <w:highlight w:val="none"/>
          <w:lang w:val="zh-CN"/>
        </w:rPr>
        <w:t>待宰圈</w:t>
      </w:r>
      <w:r>
        <w:rPr>
          <w:rFonts w:cs="Times New Roman"/>
          <w:color w:val="auto"/>
          <w:highlight w:val="none"/>
          <w:lang w:val="zh-CN"/>
        </w:rPr>
        <w:t>、屠宰车间、污水处理站、</w:t>
      </w:r>
      <w:r>
        <w:rPr>
          <w:rFonts w:hint="eastAsia" w:cs="Times New Roman"/>
          <w:color w:val="auto"/>
          <w:highlight w:val="none"/>
          <w:lang w:val="en-US" w:eastAsia="zh-CN"/>
        </w:rPr>
        <w:t>急宰间、</w:t>
      </w:r>
      <w:r>
        <w:rPr>
          <w:rFonts w:cs="Times New Roman"/>
          <w:color w:val="auto"/>
          <w:highlight w:val="none"/>
          <w:lang w:val="zh-CN"/>
        </w:rPr>
        <w:t>隔离圈、固废暂存间产生的恶臭废气</w:t>
      </w:r>
      <w:r>
        <w:rPr>
          <w:rFonts w:cs="Times New Roman"/>
          <w:snapToGrid w:val="0"/>
          <w:color w:val="auto"/>
          <w:kern w:val="0"/>
          <w:highlight w:val="none"/>
          <w:lang w:val="zh-CN"/>
        </w:rPr>
        <w:t>。</w:t>
      </w:r>
      <w:r>
        <w:rPr>
          <w:rFonts w:cs="Times New Roman"/>
          <w:snapToGrid w:val="0"/>
          <w:color w:val="auto"/>
          <w:kern w:val="0"/>
          <w:highlight w:val="none"/>
        </w:rPr>
        <w:t>为保证各项大气污染物均能达标排放，项目采取了相应的环保措施。公司环保管理人员应对环保设备经常检查，及时维护检修，强化岗位责任制，避免事故排放。</w:t>
      </w:r>
    </w:p>
    <w:p w14:paraId="1395F0CD">
      <w:pPr>
        <w:spacing w:line="500" w:lineRule="exact"/>
        <w:ind w:firstLine="482"/>
        <w:rPr>
          <w:rFonts w:cs="Times New Roman"/>
          <w:b/>
          <w:bCs/>
          <w:snapToGrid w:val="0"/>
          <w:color w:val="auto"/>
          <w:kern w:val="0"/>
          <w:highlight w:val="none"/>
        </w:rPr>
      </w:pPr>
      <w:r>
        <w:rPr>
          <w:rFonts w:cs="Times New Roman"/>
          <w:b/>
          <w:bCs/>
          <w:snapToGrid w:val="0"/>
          <w:color w:val="auto"/>
          <w:kern w:val="0"/>
          <w:highlight w:val="none"/>
        </w:rPr>
        <w:t>2、污水处理站管理</w:t>
      </w:r>
    </w:p>
    <w:p w14:paraId="7C9C90E6">
      <w:pPr>
        <w:spacing w:line="500" w:lineRule="exact"/>
        <w:rPr>
          <w:rFonts w:cs="Times New Roman"/>
          <w:snapToGrid w:val="0"/>
          <w:color w:val="auto"/>
          <w:kern w:val="0"/>
          <w:highlight w:val="none"/>
        </w:rPr>
      </w:pPr>
      <w:r>
        <w:rPr>
          <w:rFonts w:cs="Times New Roman"/>
          <w:snapToGrid w:val="0"/>
          <w:color w:val="auto"/>
          <w:kern w:val="0"/>
          <w:highlight w:val="none"/>
        </w:rPr>
        <w:t>定期对污水处理站的运行情况进行巡查，要掌握、了解设施是否损坏及出现异常现象，发现异常情况及时通报上级领导。</w:t>
      </w:r>
    </w:p>
    <w:p w14:paraId="79A635D1">
      <w:pPr>
        <w:spacing w:line="500" w:lineRule="exact"/>
        <w:ind w:firstLine="482"/>
        <w:rPr>
          <w:rFonts w:cs="Times New Roman"/>
          <w:b/>
          <w:bCs/>
          <w:snapToGrid w:val="0"/>
          <w:color w:val="auto"/>
          <w:kern w:val="0"/>
          <w:highlight w:val="none"/>
        </w:rPr>
      </w:pPr>
      <w:r>
        <w:rPr>
          <w:rFonts w:cs="Times New Roman"/>
          <w:b/>
          <w:bCs/>
          <w:snapToGrid w:val="0"/>
          <w:color w:val="auto"/>
          <w:kern w:val="0"/>
          <w:highlight w:val="none"/>
        </w:rPr>
        <w:t>3、噪声环境管理</w:t>
      </w:r>
    </w:p>
    <w:p w14:paraId="2FB5266E">
      <w:pPr>
        <w:spacing w:line="500" w:lineRule="exact"/>
        <w:rPr>
          <w:rFonts w:cs="Times New Roman"/>
          <w:snapToGrid w:val="0"/>
          <w:color w:val="auto"/>
          <w:kern w:val="0"/>
          <w:highlight w:val="none"/>
        </w:rPr>
      </w:pPr>
      <w:r>
        <w:rPr>
          <w:rFonts w:cs="Times New Roman"/>
          <w:snapToGrid w:val="0"/>
          <w:color w:val="auto"/>
          <w:kern w:val="0"/>
          <w:highlight w:val="none"/>
        </w:rPr>
        <w:t>选择低噪声设备，对高噪声设备采取减振、隔声、厂房封闭等措施，防止对周围环境造成噪声污染。</w:t>
      </w:r>
    </w:p>
    <w:p w14:paraId="1B6FD49D">
      <w:pPr>
        <w:spacing w:line="500" w:lineRule="exact"/>
        <w:ind w:firstLine="482"/>
        <w:rPr>
          <w:rFonts w:cs="Times New Roman"/>
          <w:b/>
          <w:bCs/>
          <w:snapToGrid w:val="0"/>
          <w:color w:val="auto"/>
          <w:kern w:val="0"/>
          <w:highlight w:val="none"/>
        </w:rPr>
      </w:pPr>
      <w:r>
        <w:rPr>
          <w:rFonts w:cs="Times New Roman"/>
          <w:b/>
          <w:bCs/>
          <w:snapToGrid w:val="0"/>
          <w:color w:val="auto"/>
          <w:kern w:val="0"/>
          <w:highlight w:val="none"/>
        </w:rPr>
        <w:t>4、固体废物管理</w:t>
      </w:r>
    </w:p>
    <w:p w14:paraId="0AFAB55D">
      <w:pPr>
        <w:spacing w:line="500" w:lineRule="exact"/>
        <w:rPr>
          <w:rFonts w:cs="Times New Roman"/>
          <w:snapToGrid w:val="0"/>
          <w:color w:val="auto"/>
          <w:kern w:val="0"/>
          <w:highlight w:val="none"/>
        </w:rPr>
      </w:pPr>
      <w:r>
        <w:rPr>
          <w:rFonts w:cs="Times New Roman"/>
          <w:snapToGrid w:val="0"/>
          <w:color w:val="auto"/>
          <w:kern w:val="0"/>
          <w:highlight w:val="none"/>
        </w:rPr>
        <w:t>定期对一般固体废物的收集、运输等设施进行巡查，要掌握、了解设施是否损坏及出现异常现象，发现异常情况及时通报上级领导，检查收集设施是否处于正常工作状态。</w:t>
      </w:r>
    </w:p>
    <w:p w14:paraId="6FA27FC5">
      <w:pPr>
        <w:pStyle w:val="4"/>
        <w:spacing w:after="120"/>
        <w:rPr>
          <w:rFonts w:cs="Times New Roman"/>
          <w:color w:val="auto"/>
          <w:highlight w:val="none"/>
        </w:rPr>
      </w:pPr>
      <w:bookmarkStart w:id="423" w:name="_Toc5263"/>
      <w:r>
        <w:rPr>
          <w:rFonts w:cs="Times New Roman"/>
          <w:color w:val="auto"/>
          <w:highlight w:val="none"/>
        </w:rPr>
        <w:t>8.1.3污染物排放管理要求</w:t>
      </w:r>
      <w:bookmarkEnd w:id="423"/>
    </w:p>
    <w:p w14:paraId="3CB19ECD">
      <w:pPr>
        <w:pStyle w:val="8"/>
        <w:spacing w:after="0" w:line="500" w:lineRule="exact"/>
        <w:rPr>
          <w:rFonts w:cs="Times New Roman"/>
          <w:color w:val="auto"/>
          <w:szCs w:val="24"/>
          <w:highlight w:val="none"/>
        </w:rPr>
        <w:sectPr>
          <w:pgSz w:w="11906" w:h="16838"/>
          <w:pgMar w:top="1588" w:right="1418" w:bottom="1418" w:left="1418" w:header="964" w:footer="964" w:gutter="0"/>
          <w:pgBorders>
            <w:top w:val="none" w:sz="0" w:space="0"/>
            <w:left w:val="none" w:sz="0" w:space="0"/>
            <w:bottom w:val="none" w:sz="0" w:space="0"/>
            <w:right w:val="none" w:sz="0" w:space="0"/>
          </w:pgBorders>
          <w:pgNumType w:fmt="decimal"/>
          <w:cols w:space="720" w:num="1"/>
          <w:docGrid w:linePitch="312" w:charSpace="0"/>
        </w:sectPr>
      </w:pPr>
      <w:r>
        <w:rPr>
          <w:rFonts w:cs="Times New Roman"/>
          <w:color w:val="auto"/>
          <w:szCs w:val="24"/>
          <w:highlight w:val="none"/>
        </w:rPr>
        <w:t>本项目主要污染物排放清单详见表8</w:t>
      </w:r>
      <w:r>
        <w:rPr>
          <w:rFonts w:hint="eastAsia" w:cs="Times New Roman"/>
          <w:color w:val="auto"/>
          <w:szCs w:val="24"/>
          <w:highlight w:val="none"/>
          <w:lang w:val="en-US" w:eastAsia="zh-CN"/>
        </w:rPr>
        <w:t>.</w:t>
      </w:r>
      <w:r>
        <w:rPr>
          <w:rFonts w:cs="Times New Roman"/>
          <w:color w:val="auto"/>
          <w:szCs w:val="24"/>
          <w:highlight w:val="none"/>
        </w:rPr>
        <w:t>1-1。</w:t>
      </w:r>
    </w:p>
    <w:p w14:paraId="0CD38F58">
      <w:pPr>
        <w:spacing w:line="240" w:lineRule="auto"/>
        <w:ind w:firstLine="0" w:firstLineChars="0"/>
        <w:jc w:val="center"/>
        <w:rPr>
          <w:rFonts w:cs="Times New Roman"/>
          <w:b/>
          <w:color w:val="auto"/>
          <w:szCs w:val="24"/>
          <w:highlight w:val="none"/>
        </w:rPr>
      </w:pPr>
      <w:r>
        <w:rPr>
          <w:rFonts w:cs="Times New Roman"/>
          <w:b/>
          <w:color w:val="auto"/>
          <w:szCs w:val="24"/>
          <w:highlight w:val="none"/>
        </w:rPr>
        <w:t>表8</w:t>
      </w:r>
      <w:r>
        <w:rPr>
          <w:rFonts w:hint="eastAsia" w:cs="Times New Roman"/>
          <w:b/>
          <w:color w:val="auto"/>
          <w:szCs w:val="24"/>
          <w:highlight w:val="none"/>
          <w:lang w:val="en-US" w:eastAsia="zh-CN"/>
        </w:rPr>
        <w:t>.</w:t>
      </w:r>
      <w:r>
        <w:rPr>
          <w:rFonts w:cs="Times New Roman"/>
          <w:b/>
          <w:color w:val="auto"/>
          <w:szCs w:val="24"/>
          <w:highlight w:val="none"/>
        </w:rPr>
        <w:t>1-1  污染物排放清单</w:t>
      </w:r>
    </w:p>
    <w:tbl>
      <w:tblPr>
        <w:tblStyle w:val="47"/>
        <w:tblW w:w="15390"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23" w:type="dxa"/>
          <w:bottom w:w="0" w:type="dxa"/>
          <w:right w:w="23" w:type="dxa"/>
        </w:tblCellMar>
      </w:tblPr>
      <w:tblGrid>
        <w:gridCol w:w="666"/>
        <w:gridCol w:w="480"/>
        <w:gridCol w:w="731"/>
        <w:gridCol w:w="1134"/>
        <w:gridCol w:w="3424"/>
        <w:gridCol w:w="1493"/>
        <w:gridCol w:w="1493"/>
        <w:gridCol w:w="2385"/>
        <w:gridCol w:w="1792"/>
        <w:gridCol w:w="1792"/>
      </w:tblGrid>
      <w:tr w14:paraId="0BA7213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tcBorders>
              <w:tl2br w:val="nil"/>
              <w:tr2bl w:val="nil"/>
            </w:tcBorders>
            <w:vAlign w:val="center"/>
          </w:tcPr>
          <w:p w14:paraId="1429890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类别</w:t>
            </w:r>
          </w:p>
        </w:tc>
        <w:tc>
          <w:tcPr>
            <w:tcW w:w="1211" w:type="dxa"/>
            <w:gridSpan w:val="2"/>
            <w:tcBorders>
              <w:tl2br w:val="nil"/>
              <w:tr2bl w:val="nil"/>
            </w:tcBorders>
            <w:vAlign w:val="center"/>
          </w:tcPr>
          <w:p w14:paraId="607B821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项目</w:t>
            </w:r>
          </w:p>
        </w:tc>
        <w:tc>
          <w:tcPr>
            <w:tcW w:w="1134" w:type="dxa"/>
            <w:tcBorders>
              <w:tl2br w:val="nil"/>
              <w:tr2bl w:val="nil"/>
            </w:tcBorders>
            <w:vAlign w:val="center"/>
          </w:tcPr>
          <w:p w14:paraId="6178680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污染因子</w:t>
            </w:r>
          </w:p>
        </w:tc>
        <w:tc>
          <w:tcPr>
            <w:tcW w:w="3424" w:type="dxa"/>
            <w:tcBorders>
              <w:tl2br w:val="nil"/>
              <w:tr2bl w:val="nil"/>
            </w:tcBorders>
            <w:vAlign w:val="center"/>
          </w:tcPr>
          <w:p w14:paraId="24308EF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污染防治措施</w:t>
            </w:r>
          </w:p>
        </w:tc>
        <w:tc>
          <w:tcPr>
            <w:tcW w:w="1493" w:type="dxa"/>
            <w:tcBorders>
              <w:tl2br w:val="nil"/>
              <w:tr2bl w:val="nil"/>
            </w:tcBorders>
            <w:vAlign w:val="center"/>
          </w:tcPr>
          <w:p w14:paraId="59884B7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排放浓度</w:t>
            </w:r>
          </w:p>
          <w:p w14:paraId="373BD2F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mg/l或mg/m</w:t>
            </w:r>
            <w:r>
              <w:rPr>
                <w:rFonts w:cs="Times New Roman"/>
                <w:color w:val="auto"/>
                <w:sz w:val="21"/>
                <w:szCs w:val="21"/>
                <w:highlight w:val="none"/>
                <w:vertAlign w:val="superscript"/>
              </w:rPr>
              <w:t>3</w:t>
            </w:r>
          </w:p>
        </w:tc>
        <w:tc>
          <w:tcPr>
            <w:tcW w:w="1493" w:type="dxa"/>
            <w:tcBorders>
              <w:tl2br w:val="nil"/>
              <w:tr2bl w:val="nil"/>
            </w:tcBorders>
            <w:vAlign w:val="center"/>
          </w:tcPr>
          <w:p w14:paraId="4CC4BF2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排放量t/a</w:t>
            </w:r>
          </w:p>
        </w:tc>
        <w:tc>
          <w:tcPr>
            <w:tcW w:w="2385" w:type="dxa"/>
            <w:tcBorders>
              <w:tl2br w:val="nil"/>
              <w:tr2bl w:val="nil"/>
            </w:tcBorders>
            <w:vAlign w:val="center"/>
          </w:tcPr>
          <w:p w14:paraId="2BECE62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排放标准</w:t>
            </w:r>
          </w:p>
        </w:tc>
        <w:tc>
          <w:tcPr>
            <w:tcW w:w="1792" w:type="dxa"/>
            <w:tcBorders>
              <w:tl2br w:val="nil"/>
              <w:tr2bl w:val="nil"/>
            </w:tcBorders>
            <w:vAlign w:val="center"/>
          </w:tcPr>
          <w:p w14:paraId="592DF50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排放口编码</w:t>
            </w:r>
          </w:p>
        </w:tc>
        <w:tc>
          <w:tcPr>
            <w:tcW w:w="1792" w:type="dxa"/>
            <w:tcBorders>
              <w:tl2br w:val="nil"/>
              <w:tr2bl w:val="nil"/>
            </w:tcBorders>
            <w:vAlign w:val="center"/>
          </w:tcPr>
          <w:p w14:paraId="375B5A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排放口信息</w:t>
            </w:r>
          </w:p>
        </w:tc>
      </w:tr>
      <w:tr w14:paraId="0B0FDB7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522" w:hRule="atLeast"/>
          <w:jc w:val="center"/>
        </w:trPr>
        <w:tc>
          <w:tcPr>
            <w:tcW w:w="666" w:type="dxa"/>
            <w:vMerge w:val="restart"/>
            <w:tcBorders>
              <w:tl2br w:val="nil"/>
              <w:tr2bl w:val="nil"/>
            </w:tcBorders>
            <w:vAlign w:val="center"/>
          </w:tcPr>
          <w:p w14:paraId="02B0013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废水</w:t>
            </w:r>
          </w:p>
        </w:tc>
        <w:tc>
          <w:tcPr>
            <w:tcW w:w="1211" w:type="dxa"/>
            <w:gridSpan w:val="2"/>
            <w:vMerge w:val="restart"/>
            <w:tcBorders>
              <w:tl2br w:val="nil"/>
              <w:tr2bl w:val="nil"/>
            </w:tcBorders>
            <w:vAlign w:val="center"/>
          </w:tcPr>
          <w:p w14:paraId="08650FA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废水</w:t>
            </w:r>
          </w:p>
        </w:tc>
        <w:tc>
          <w:tcPr>
            <w:tcW w:w="1134" w:type="dxa"/>
            <w:tcBorders>
              <w:tl2br w:val="nil"/>
              <w:tr2bl w:val="nil"/>
            </w:tcBorders>
            <w:vAlign w:val="center"/>
          </w:tcPr>
          <w:p w14:paraId="5EDED1BA">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COD</w:t>
            </w:r>
          </w:p>
        </w:tc>
        <w:tc>
          <w:tcPr>
            <w:tcW w:w="3424" w:type="dxa"/>
            <w:vMerge w:val="restart"/>
            <w:tcBorders>
              <w:tl2br w:val="nil"/>
              <w:tr2bl w:val="nil"/>
            </w:tcBorders>
            <w:vAlign w:val="center"/>
          </w:tcPr>
          <w:p w14:paraId="0B677CF9">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屠宰废水经污水处理站（处理工艺：</w:t>
            </w:r>
            <w:r>
              <w:rPr>
                <w:rFonts w:hint="eastAsia" w:cs="Times New Roman"/>
                <w:color w:val="auto"/>
                <w:sz w:val="21"/>
                <w:szCs w:val="21"/>
                <w:highlight w:val="none"/>
                <w:lang w:eastAsia="zh-CN"/>
              </w:rPr>
              <w:t>格栅+</w:t>
            </w:r>
            <w:r>
              <w:rPr>
                <w:rFonts w:hint="eastAsia" w:cs="Times New Roman"/>
                <w:color w:val="auto"/>
                <w:sz w:val="21"/>
                <w:szCs w:val="21"/>
                <w:highlight w:val="none"/>
                <w:lang w:val="en-US" w:eastAsia="zh-CN"/>
              </w:rPr>
              <w:t>隔油池+调节池</w:t>
            </w:r>
            <w:r>
              <w:rPr>
                <w:rFonts w:hint="eastAsia" w:cs="Times New Roman"/>
                <w:color w:val="auto"/>
                <w:sz w:val="21"/>
                <w:szCs w:val="21"/>
                <w:highlight w:val="none"/>
                <w:lang w:eastAsia="zh-CN"/>
              </w:rPr>
              <w:t>+气浮+水解酸化+</w:t>
            </w:r>
            <w:r>
              <w:rPr>
                <w:rFonts w:hint="eastAsia" w:cs="Times New Roman"/>
                <w:color w:val="auto"/>
                <w:sz w:val="21"/>
                <w:szCs w:val="21"/>
                <w:highlight w:val="none"/>
                <w:lang w:val="en-US" w:eastAsia="zh-CN"/>
              </w:rPr>
              <w:t>反硝化缺氧+好氧</w:t>
            </w:r>
            <w:r>
              <w:rPr>
                <w:rFonts w:hint="eastAsia" w:cs="Times New Roman"/>
                <w:color w:val="auto"/>
                <w:sz w:val="21"/>
                <w:szCs w:val="21"/>
                <w:highlight w:val="none"/>
                <w:lang w:eastAsia="zh-CN"/>
              </w:rPr>
              <w:t>+沉淀+消毒（</w:t>
            </w:r>
            <w:r>
              <w:rPr>
                <w:rFonts w:hint="eastAsia" w:cs="Times New Roman"/>
                <w:color w:val="auto"/>
                <w:sz w:val="21"/>
                <w:szCs w:val="21"/>
                <w:highlight w:val="none"/>
                <w:lang w:val="en-US" w:eastAsia="zh-CN"/>
              </w:rPr>
              <w:t>次氯酸钠）</w:t>
            </w:r>
            <w:r>
              <w:rPr>
                <w:rFonts w:cs="Times New Roman"/>
                <w:color w:val="auto"/>
                <w:sz w:val="21"/>
                <w:szCs w:val="21"/>
                <w:highlight w:val="none"/>
              </w:rPr>
              <w:t>能够达到《肉类加工工业水污染物排放标准》（GB13457-92）表3三级标准限值</w:t>
            </w:r>
            <w:r>
              <w:rPr>
                <w:rFonts w:cs="Times New Roman"/>
                <w:color w:val="auto"/>
                <w:sz w:val="21"/>
                <w:szCs w:val="21"/>
                <w:highlight w:val="none"/>
                <w:lang w:val="en-GB"/>
              </w:rPr>
              <w:t>后</w:t>
            </w:r>
            <w:r>
              <w:rPr>
                <w:rFonts w:cs="Times New Roman"/>
                <w:color w:val="auto"/>
                <w:sz w:val="21"/>
                <w:szCs w:val="21"/>
                <w:highlight w:val="none"/>
              </w:rPr>
              <w:t>与生活污水一同经污水管网进入</w:t>
            </w:r>
            <w:r>
              <w:rPr>
                <w:rFonts w:hint="eastAsia" w:cs="Times New Roman"/>
                <w:color w:val="auto"/>
                <w:sz w:val="21"/>
                <w:szCs w:val="21"/>
                <w:highlight w:val="none"/>
                <w:lang w:val="en-GB" w:eastAsia="zh-CN"/>
              </w:rPr>
              <w:t>双鸭山市畅源排水有限公司</w:t>
            </w:r>
            <w:r>
              <w:rPr>
                <w:rFonts w:cs="Times New Roman"/>
                <w:color w:val="auto"/>
                <w:sz w:val="21"/>
                <w:szCs w:val="21"/>
                <w:highlight w:val="none"/>
              </w:rPr>
              <w:t>处理，处理</w:t>
            </w:r>
            <w:r>
              <w:rPr>
                <w:rFonts w:cs="Times New Roman"/>
                <w:color w:val="auto"/>
                <w:sz w:val="21"/>
                <w:szCs w:val="21"/>
                <w:highlight w:val="none"/>
                <w:lang w:val="en-GB"/>
              </w:rPr>
              <w:t>达标后排入</w:t>
            </w:r>
            <w:r>
              <w:rPr>
                <w:rFonts w:hint="eastAsia" w:cs="Times New Roman"/>
                <w:color w:val="auto"/>
                <w:sz w:val="21"/>
                <w:szCs w:val="21"/>
                <w:highlight w:val="none"/>
                <w:lang w:val="en-GB" w:eastAsia="zh-CN"/>
              </w:rPr>
              <w:t>安邦河</w:t>
            </w:r>
          </w:p>
        </w:tc>
        <w:tc>
          <w:tcPr>
            <w:tcW w:w="1493" w:type="dxa"/>
            <w:tcBorders>
              <w:tl2br w:val="nil"/>
              <w:tr2bl w:val="nil"/>
            </w:tcBorders>
            <w:shd w:val="clear" w:color="auto" w:fill="auto"/>
            <w:vAlign w:val="center"/>
          </w:tcPr>
          <w:p w14:paraId="145B64C8">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196</w:t>
            </w:r>
          </w:p>
        </w:tc>
        <w:tc>
          <w:tcPr>
            <w:tcW w:w="1493" w:type="dxa"/>
            <w:tcBorders>
              <w:tl2br w:val="nil"/>
              <w:tr2bl w:val="nil"/>
            </w:tcBorders>
            <w:shd w:val="clear" w:color="auto" w:fill="auto"/>
            <w:vAlign w:val="center"/>
          </w:tcPr>
          <w:p w14:paraId="7AA3B733">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19.1</w:t>
            </w:r>
          </w:p>
        </w:tc>
        <w:tc>
          <w:tcPr>
            <w:tcW w:w="2385" w:type="dxa"/>
            <w:vMerge w:val="restart"/>
            <w:tcBorders>
              <w:tl2br w:val="nil"/>
              <w:tr2bl w:val="nil"/>
            </w:tcBorders>
            <w:vAlign w:val="center"/>
          </w:tcPr>
          <w:p w14:paraId="06B8B0D1">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《肉类加工工业水污染物排放标准》（GB13457-92）表3三级标准限值</w:t>
            </w:r>
          </w:p>
        </w:tc>
        <w:tc>
          <w:tcPr>
            <w:tcW w:w="1792" w:type="dxa"/>
            <w:vMerge w:val="restart"/>
            <w:tcBorders>
              <w:tl2br w:val="nil"/>
              <w:tr2bl w:val="nil"/>
            </w:tcBorders>
            <w:vAlign w:val="center"/>
          </w:tcPr>
          <w:p w14:paraId="15F09C8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DW001</w:t>
            </w:r>
          </w:p>
        </w:tc>
        <w:tc>
          <w:tcPr>
            <w:tcW w:w="1792" w:type="dxa"/>
            <w:vMerge w:val="restart"/>
            <w:tcBorders>
              <w:tl2br w:val="nil"/>
              <w:tr2bl w:val="nil"/>
            </w:tcBorders>
            <w:vAlign w:val="center"/>
          </w:tcPr>
          <w:p w14:paraId="66E31265">
            <w:pPr>
              <w:spacing w:line="360" w:lineRule="exact"/>
              <w:ind w:firstLine="0" w:firstLineChars="0"/>
              <w:jc w:val="center"/>
              <w:rPr>
                <w:rFonts w:cs="Times New Roman"/>
                <w:color w:val="auto"/>
                <w:highlight w:val="none"/>
              </w:rPr>
            </w:pPr>
          </w:p>
          <w:p w14:paraId="36933AA2">
            <w:pPr>
              <w:spacing w:line="360" w:lineRule="exact"/>
              <w:ind w:firstLine="0" w:firstLineChars="0"/>
              <w:jc w:val="center"/>
              <w:rPr>
                <w:rFonts w:cs="Times New Roman"/>
                <w:color w:val="auto"/>
                <w:highlight w:val="none"/>
              </w:rPr>
            </w:pPr>
          </w:p>
          <w:p w14:paraId="691AF2C1">
            <w:pPr>
              <w:spacing w:line="360" w:lineRule="exact"/>
              <w:ind w:firstLine="0" w:firstLineChars="0"/>
              <w:jc w:val="center"/>
              <w:rPr>
                <w:rFonts w:cs="Times New Roman"/>
                <w:color w:val="auto"/>
                <w:highlight w:val="none"/>
              </w:rPr>
            </w:pPr>
            <w:r>
              <w:rPr>
                <w:rFonts w:cs="Times New Roman"/>
                <w:color w:val="auto"/>
                <w:highlight w:val="none"/>
              </w:rPr>
              <w:drawing>
                <wp:anchor distT="0" distB="0" distL="114300" distR="114300" simplePos="0" relativeHeight="251667456" behindDoc="0" locked="0" layoutInCell="1" allowOverlap="1">
                  <wp:simplePos x="0" y="0"/>
                  <wp:positionH relativeFrom="column">
                    <wp:posOffset>139065</wp:posOffset>
                  </wp:positionH>
                  <wp:positionV relativeFrom="paragraph">
                    <wp:posOffset>22860</wp:posOffset>
                  </wp:positionV>
                  <wp:extent cx="779780" cy="724535"/>
                  <wp:effectExtent l="0" t="0" r="1270" b="18415"/>
                  <wp:wrapNone/>
                  <wp:docPr id="33" name="图片 9" descr="C:/Users/Administrator/AppData/Local/Temp/picturecompress_20211105115811/output_17.pngoutput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descr="C:/Users/Administrator/AppData/Local/Temp/picturecompress_20211105115811/output_17.pngoutput_17"/>
                          <pic:cNvPicPr>
                            <a:picLocks noChangeAspect="1"/>
                          </pic:cNvPicPr>
                        </pic:nvPicPr>
                        <pic:blipFill>
                          <a:blip r:embed="rId65"/>
                          <a:stretch>
                            <a:fillRect/>
                          </a:stretch>
                        </pic:blipFill>
                        <pic:spPr>
                          <a:xfrm>
                            <a:off x="0" y="0"/>
                            <a:ext cx="779780" cy="724535"/>
                          </a:xfrm>
                          <a:prstGeom prst="rect">
                            <a:avLst/>
                          </a:prstGeom>
                          <a:noFill/>
                          <a:ln>
                            <a:noFill/>
                          </a:ln>
                        </pic:spPr>
                      </pic:pic>
                    </a:graphicData>
                  </a:graphic>
                </wp:anchor>
              </w:drawing>
            </w:r>
          </w:p>
          <w:p w14:paraId="31B1DEAC">
            <w:pPr>
              <w:spacing w:line="360" w:lineRule="exact"/>
              <w:ind w:firstLine="0" w:firstLineChars="0"/>
              <w:jc w:val="center"/>
              <w:rPr>
                <w:rFonts w:cs="Times New Roman"/>
                <w:color w:val="auto"/>
                <w:highlight w:val="none"/>
              </w:rPr>
            </w:pPr>
          </w:p>
          <w:p w14:paraId="60397BD2">
            <w:pPr>
              <w:ind w:firstLine="0" w:firstLineChars="0"/>
              <w:rPr>
                <w:rFonts w:cs="Times New Roman"/>
                <w:color w:val="auto"/>
                <w:highlight w:val="none"/>
              </w:rPr>
            </w:pPr>
          </w:p>
          <w:p w14:paraId="073A3CB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drawing>
                <wp:anchor distT="0" distB="0" distL="114300" distR="114300" simplePos="0" relativeHeight="251688960"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drawing>
                <wp:anchor distT="0" distB="0" distL="114300" distR="114300" simplePos="0" relativeHeight="251687936"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drawing>
                <wp:anchor distT="0" distB="0" distL="114300" distR="114300" simplePos="0" relativeHeight="251686912"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drawing>
                <wp:anchor distT="0" distB="0" distL="114300" distR="114300" simplePos="0" relativeHeight="251685888"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78"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39"/>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t>提示图形符号</w:t>
            </w:r>
          </w:p>
          <w:p w14:paraId="5C04F934">
            <w:pPr>
              <w:pStyle w:val="36"/>
              <w:rPr>
                <w:color w:val="auto"/>
                <w:highlight w:val="none"/>
              </w:rPr>
            </w:pPr>
          </w:p>
        </w:tc>
      </w:tr>
      <w:tr w14:paraId="3ECB1AB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473" w:hRule="atLeast"/>
          <w:jc w:val="center"/>
        </w:trPr>
        <w:tc>
          <w:tcPr>
            <w:tcW w:w="666" w:type="dxa"/>
            <w:vMerge w:val="continue"/>
            <w:tcBorders>
              <w:tl2br w:val="nil"/>
              <w:tr2bl w:val="nil"/>
            </w:tcBorders>
            <w:vAlign w:val="center"/>
          </w:tcPr>
          <w:p w14:paraId="0241CD02">
            <w:pPr>
              <w:widowControl/>
              <w:spacing w:line="360" w:lineRule="exact"/>
              <w:ind w:firstLine="0" w:firstLineChars="0"/>
              <w:jc w:val="center"/>
              <w:rPr>
                <w:rFonts w:cs="Times New Roman"/>
                <w:color w:val="auto"/>
                <w:sz w:val="21"/>
                <w:szCs w:val="21"/>
                <w:highlight w:val="none"/>
              </w:rPr>
            </w:pPr>
          </w:p>
        </w:tc>
        <w:tc>
          <w:tcPr>
            <w:tcW w:w="1211" w:type="dxa"/>
            <w:gridSpan w:val="2"/>
            <w:vMerge w:val="continue"/>
            <w:tcBorders>
              <w:tl2br w:val="nil"/>
              <w:tr2bl w:val="nil"/>
            </w:tcBorders>
            <w:vAlign w:val="center"/>
          </w:tcPr>
          <w:p w14:paraId="4BCCE0D1">
            <w:pPr>
              <w:widowControl/>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06B4552E">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BOD</w:t>
            </w:r>
            <w:r>
              <w:rPr>
                <w:rFonts w:cs="Times New Roman"/>
                <w:color w:val="auto"/>
                <w:kern w:val="0"/>
                <w:sz w:val="21"/>
                <w:szCs w:val="21"/>
                <w:highlight w:val="none"/>
                <w:vertAlign w:val="subscript"/>
                <w:lang w:bidi="ar"/>
              </w:rPr>
              <w:t>5</w:t>
            </w:r>
          </w:p>
        </w:tc>
        <w:tc>
          <w:tcPr>
            <w:tcW w:w="3424" w:type="dxa"/>
            <w:vMerge w:val="continue"/>
            <w:tcBorders>
              <w:tl2br w:val="nil"/>
              <w:tr2bl w:val="nil"/>
            </w:tcBorders>
            <w:vAlign w:val="center"/>
          </w:tcPr>
          <w:p w14:paraId="379F2445">
            <w:pPr>
              <w:widowControl/>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4A7AA7E3">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75</w:t>
            </w:r>
          </w:p>
        </w:tc>
        <w:tc>
          <w:tcPr>
            <w:tcW w:w="1493" w:type="dxa"/>
            <w:tcBorders>
              <w:tl2br w:val="nil"/>
              <w:tr2bl w:val="nil"/>
            </w:tcBorders>
            <w:shd w:val="clear" w:color="auto" w:fill="auto"/>
            <w:vAlign w:val="center"/>
          </w:tcPr>
          <w:p w14:paraId="24DFFA8E">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7.03</w:t>
            </w:r>
          </w:p>
        </w:tc>
        <w:tc>
          <w:tcPr>
            <w:tcW w:w="2385" w:type="dxa"/>
            <w:vMerge w:val="continue"/>
            <w:tcBorders>
              <w:tl2br w:val="nil"/>
              <w:tr2bl w:val="nil"/>
            </w:tcBorders>
            <w:vAlign w:val="center"/>
          </w:tcPr>
          <w:p w14:paraId="304BEAE0">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A4B2F3C">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17F446C">
            <w:pPr>
              <w:widowControl/>
              <w:spacing w:line="360" w:lineRule="exact"/>
              <w:ind w:firstLine="0" w:firstLineChars="0"/>
              <w:jc w:val="center"/>
              <w:rPr>
                <w:rFonts w:cs="Times New Roman"/>
                <w:color w:val="auto"/>
                <w:sz w:val="21"/>
                <w:szCs w:val="21"/>
                <w:highlight w:val="none"/>
              </w:rPr>
            </w:pPr>
          </w:p>
        </w:tc>
      </w:tr>
      <w:tr w14:paraId="640E9BAA">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438" w:hRule="atLeast"/>
          <w:jc w:val="center"/>
        </w:trPr>
        <w:tc>
          <w:tcPr>
            <w:tcW w:w="666" w:type="dxa"/>
            <w:vMerge w:val="continue"/>
            <w:tcBorders>
              <w:tl2br w:val="nil"/>
              <w:tr2bl w:val="nil"/>
            </w:tcBorders>
            <w:vAlign w:val="center"/>
          </w:tcPr>
          <w:p w14:paraId="3808E320">
            <w:pPr>
              <w:widowControl/>
              <w:spacing w:line="360" w:lineRule="exact"/>
              <w:ind w:firstLine="0" w:firstLineChars="0"/>
              <w:jc w:val="center"/>
              <w:rPr>
                <w:rFonts w:cs="Times New Roman"/>
                <w:color w:val="auto"/>
                <w:sz w:val="21"/>
                <w:szCs w:val="21"/>
                <w:highlight w:val="none"/>
              </w:rPr>
            </w:pPr>
          </w:p>
        </w:tc>
        <w:tc>
          <w:tcPr>
            <w:tcW w:w="1211" w:type="dxa"/>
            <w:gridSpan w:val="2"/>
            <w:vMerge w:val="continue"/>
            <w:tcBorders>
              <w:tl2br w:val="nil"/>
              <w:tr2bl w:val="nil"/>
            </w:tcBorders>
            <w:vAlign w:val="center"/>
          </w:tcPr>
          <w:p w14:paraId="72155D5A">
            <w:pPr>
              <w:widowControl/>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32667C6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SS</w:t>
            </w:r>
          </w:p>
        </w:tc>
        <w:tc>
          <w:tcPr>
            <w:tcW w:w="3424" w:type="dxa"/>
            <w:vMerge w:val="continue"/>
            <w:tcBorders>
              <w:tl2br w:val="nil"/>
              <w:tr2bl w:val="nil"/>
            </w:tcBorders>
            <w:vAlign w:val="center"/>
          </w:tcPr>
          <w:p w14:paraId="742085CA">
            <w:pPr>
              <w:widowControl/>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02608B4C">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78</w:t>
            </w:r>
          </w:p>
        </w:tc>
        <w:tc>
          <w:tcPr>
            <w:tcW w:w="1493" w:type="dxa"/>
            <w:tcBorders>
              <w:tl2br w:val="nil"/>
              <w:tr2bl w:val="nil"/>
            </w:tcBorders>
            <w:shd w:val="clear" w:color="auto" w:fill="auto"/>
            <w:vAlign w:val="center"/>
          </w:tcPr>
          <w:p w14:paraId="5EB3F1BA">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7.03</w:t>
            </w:r>
          </w:p>
        </w:tc>
        <w:tc>
          <w:tcPr>
            <w:tcW w:w="2385" w:type="dxa"/>
            <w:vMerge w:val="continue"/>
            <w:tcBorders>
              <w:tl2br w:val="nil"/>
              <w:tr2bl w:val="nil"/>
            </w:tcBorders>
            <w:vAlign w:val="center"/>
          </w:tcPr>
          <w:p w14:paraId="15427C2E">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33B793FB">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515DFED">
            <w:pPr>
              <w:widowControl/>
              <w:spacing w:line="360" w:lineRule="exact"/>
              <w:ind w:firstLine="0" w:firstLineChars="0"/>
              <w:jc w:val="center"/>
              <w:rPr>
                <w:rFonts w:cs="Times New Roman"/>
                <w:color w:val="auto"/>
                <w:sz w:val="21"/>
                <w:szCs w:val="21"/>
                <w:highlight w:val="none"/>
              </w:rPr>
            </w:pPr>
          </w:p>
        </w:tc>
      </w:tr>
      <w:tr w14:paraId="274B781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495" w:hRule="atLeast"/>
          <w:jc w:val="center"/>
        </w:trPr>
        <w:tc>
          <w:tcPr>
            <w:tcW w:w="666" w:type="dxa"/>
            <w:vMerge w:val="continue"/>
            <w:tcBorders>
              <w:tl2br w:val="nil"/>
              <w:tr2bl w:val="nil"/>
            </w:tcBorders>
            <w:vAlign w:val="center"/>
          </w:tcPr>
          <w:p w14:paraId="33DC7CA0">
            <w:pPr>
              <w:widowControl/>
              <w:spacing w:line="360" w:lineRule="exact"/>
              <w:ind w:firstLine="0" w:firstLineChars="0"/>
              <w:jc w:val="center"/>
              <w:rPr>
                <w:rFonts w:cs="Times New Roman"/>
                <w:color w:val="auto"/>
                <w:sz w:val="21"/>
                <w:szCs w:val="21"/>
                <w:highlight w:val="none"/>
              </w:rPr>
            </w:pPr>
          </w:p>
        </w:tc>
        <w:tc>
          <w:tcPr>
            <w:tcW w:w="1211" w:type="dxa"/>
            <w:gridSpan w:val="2"/>
            <w:vMerge w:val="continue"/>
            <w:tcBorders>
              <w:tl2br w:val="nil"/>
              <w:tr2bl w:val="nil"/>
            </w:tcBorders>
            <w:vAlign w:val="center"/>
          </w:tcPr>
          <w:p w14:paraId="7F060B19">
            <w:pPr>
              <w:widowControl/>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17A6B81C">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氨氮</w:t>
            </w:r>
          </w:p>
        </w:tc>
        <w:tc>
          <w:tcPr>
            <w:tcW w:w="3424" w:type="dxa"/>
            <w:vMerge w:val="continue"/>
            <w:tcBorders>
              <w:tl2br w:val="nil"/>
              <w:tr2bl w:val="nil"/>
            </w:tcBorders>
            <w:vAlign w:val="center"/>
          </w:tcPr>
          <w:p w14:paraId="48910B60">
            <w:pPr>
              <w:widowControl/>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2B44CFFA">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28</w:t>
            </w:r>
          </w:p>
        </w:tc>
        <w:tc>
          <w:tcPr>
            <w:tcW w:w="1493" w:type="dxa"/>
            <w:tcBorders>
              <w:tl2br w:val="nil"/>
              <w:tr2bl w:val="nil"/>
            </w:tcBorders>
            <w:shd w:val="clear" w:color="auto" w:fill="auto"/>
            <w:vAlign w:val="center"/>
          </w:tcPr>
          <w:p w14:paraId="7C128890">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2.41</w:t>
            </w:r>
          </w:p>
        </w:tc>
        <w:tc>
          <w:tcPr>
            <w:tcW w:w="2385" w:type="dxa"/>
            <w:vMerge w:val="continue"/>
            <w:tcBorders>
              <w:tl2br w:val="nil"/>
              <w:tr2bl w:val="nil"/>
            </w:tcBorders>
            <w:vAlign w:val="center"/>
          </w:tcPr>
          <w:p w14:paraId="14B3CCC8">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06978101">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7079AD1F">
            <w:pPr>
              <w:widowControl/>
              <w:spacing w:line="360" w:lineRule="exact"/>
              <w:ind w:firstLine="0" w:firstLineChars="0"/>
              <w:jc w:val="center"/>
              <w:rPr>
                <w:rFonts w:cs="Times New Roman"/>
                <w:color w:val="auto"/>
                <w:sz w:val="21"/>
                <w:szCs w:val="21"/>
                <w:highlight w:val="none"/>
              </w:rPr>
            </w:pPr>
          </w:p>
        </w:tc>
      </w:tr>
      <w:tr w14:paraId="5F8FF8C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508" w:hRule="atLeast"/>
          <w:jc w:val="center"/>
        </w:trPr>
        <w:tc>
          <w:tcPr>
            <w:tcW w:w="666" w:type="dxa"/>
            <w:vMerge w:val="continue"/>
            <w:tcBorders>
              <w:tl2br w:val="nil"/>
              <w:tr2bl w:val="nil"/>
            </w:tcBorders>
            <w:vAlign w:val="center"/>
          </w:tcPr>
          <w:p w14:paraId="2CF460C3">
            <w:pPr>
              <w:widowControl/>
              <w:spacing w:line="360" w:lineRule="exact"/>
              <w:ind w:firstLine="0" w:firstLineChars="0"/>
              <w:jc w:val="center"/>
              <w:rPr>
                <w:rFonts w:cs="Times New Roman"/>
                <w:color w:val="auto"/>
                <w:sz w:val="21"/>
                <w:szCs w:val="21"/>
                <w:highlight w:val="none"/>
              </w:rPr>
            </w:pPr>
          </w:p>
        </w:tc>
        <w:tc>
          <w:tcPr>
            <w:tcW w:w="1211" w:type="dxa"/>
            <w:gridSpan w:val="2"/>
            <w:vMerge w:val="continue"/>
            <w:tcBorders>
              <w:tl2br w:val="nil"/>
              <w:tr2bl w:val="nil"/>
            </w:tcBorders>
            <w:vAlign w:val="center"/>
          </w:tcPr>
          <w:p w14:paraId="121A1AB6">
            <w:pPr>
              <w:widowControl/>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596E68E8">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动植物油</w:t>
            </w:r>
          </w:p>
        </w:tc>
        <w:tc>
          <w:tcPr>
            <w:tcW w:w="3424" w:type="dxa"/>
            <w:vMerge w:val="continue"/>
            <w:tcBorders>
              <w:tl2br w:val="nil"/>
              <w:tr2bl w:val="nil"/>
            </w:tcBorders>
            <w:vAlign w:val="center"/>
          </w:tcPr>
          <w:p w14:paraId="00EB8DBF">
            <w:pPr>
              <w:widowControl/>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730227A7">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50</w:t>
            </w:r>
          </w:p>
        </w:tc>
        <w:tc>
          <w:tcPr>
            <w:tcW w:w="1493" w:type="dxa"/>
            <w:tcBorders>
              <w:tl2br w:val="nil"/>
              <w:tr2bl w:val="nil"/>
            </w:tcBorders>
            <w:shd w:val="clear" w:color="auto" w:fill="auto"/>
            <w:vAlign w:val="center"/>
          </w:tcPr>
          <w:p w14:paraId="19469DFB">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3.48</w:t>
            </w:r>
          </w:p>
        </w:tc>
        <w:tc>
          <w:tcPr>
            <w:tcW w:w="2385" w:type="dxa"/>
            <w:vMerge w:val="continue"/>
            <w:tcBorders>
              <w:tl2br w:val="nil"/>
              <w:tr2bl w:val="nil"/>
            </w:tcBorders>
            <w:vAlign w:val="center"/>
          </w:tcPr>
          <w:p w14:paraId="0F2A3D3F">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792BF684">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EF0B966">
            <w:pPr>
              <w:widowControl/>
              <w:spacing w:line="360" w:lineRule="exact"/>
              <w:ind w:firstLine="0" w:firstLineChars="0"/>
              <w:jc w:val="center"/>
              <w:rPr>
                <w:rFonts w:cs="Times New Roman"/>
                <w:color w:val="auto"/>
                <w:sz w:val="21"/>
                <w:szCs w:val="21"/>
                <w:highlight w:val="none"/>
              </w:rPr>
            </w:pPr>
          </w:p>
        </w:tc>
      </w:tr>
      <w:tr w14:paraId="4C36BE9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464" w:hRule="atLeast"/>
          <w:jc w:val="center"/>
        </w:trPr>
        <w:tc>
          <w:tcPr>
            <w:tcW w:w="666" w:type="dxa"/>
            <w:vMerge w:val="continue"/>
            <w:tcBorders>
              <w:tl2br w:val="nil"/>
              <w:tr2bl w:val="nil"/>
            </w:tcBorders>
            <w:vAlign w:val="center"/>
          </w:tcPr>
          <w:p w14:paraId="261C0697">
            <w:pPr>
              <w:spacing w:line="360" w:lineRule="exact"/>
              <w:ind w:firstLine="0" w:firstLineChars="0"/>
              <w:jc w:val="center"/>
              <w:rPr>
                <w:rFonts w:cs="Times New Roman"/>
                <w:color w:val="auto"/>
                <w:sz w:val="21"/>
                <w:szCs w:val="21"/>
                <w:highlight w:val="none"/>
              </w:rPr>
            </w:pPr>
          </w:p>
        </w:tc>
        <w:tc>
          <w:tcPr>
            <w:tcW w:w="1211" w:type="dxa"/>
            <w:gridSpan w:val="2"/>
            <w:vMerge w:val="continue"/>
            <w:tcBorders>
              <w:tl2br w:val="nil"/>
              <w:tr2bl w:val="nil"/>
            </w:tcBorders>
            <w:vAlign w:val="center"/>
          </w:tcPr>
          <w:p w14:paraId="7440C85D">
            <w:pPr>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4FDBD99D">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总氮</w:t>
            </w:r>
          </w:p>
        </w:tc>
        <w:tc>
          <w:tcPr>
            <w:tcW w:w="3424" w:type="dxa"/>
            <w:vMerge w:val="continue"/>
            <w:tcBorders>
              <w:tl2br w:val="nil"/>
              <w:tr2bl w:val="nil"/>
            </w:tcBorders>
            <w:vAlign w:val="center"/>
          </w:tcPr>
          <w:p w14:paraId="2EA666A6">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6E86C953">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49</w:t>
            </w:r>
          </w:p>
        </w:tc>
        <w:tc>
          <w:tcPr>
            <w:tcW w:w="1493" w:type="dxa"/>
            <w:tcBorders>
              <w:tl2br w:val="nil"/>
              <w:tr2bl w:val="nil"/>
            </w:tcBorders>
            <w:shd w:val="clear" w:color="auto" w:fill="auto"/>
            <w:vAlign w:val="center"/>
          </w:tcPr>
          <w:p w14:paraId="15D50B4F">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3.48 </w:t>
            </w:r>
          </w:p>
        </w:tc>
        <w:tc>
          <w:tcPr>
            <w:tcW w:w="2385" w:type="dxa"/>
            <w:vMerge w:val="continue"/>
            <w:tcBorders>
              <w:tl2br w:val="nil"/>
              <w:tr2bl w:val="nil"/>
            </w:tcBorders>
            <w:vAlign w:val="center"/>
          </w:tcPr>
          <w:p w14:paraId="28B44A09">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70C289EF">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C547CCF">
            <w:pPr>
              <w:spacing w:line="360" w:lineRule="exact"/>
              <w:ind w:firstLine="0" w:firstLineChars="0"/>
              <w:jc w:val="center"/>
              <w:rPr>
                <w:rFonts w:cs="Times New Roman"/>
                <w:color w:val="auto"/>
                <w:sz w:val="21"/>
                <w:szCs w:val="21"/>
                <w:highlight w:val="none"/>
              </w:rPr>
            </w:pPr>
          </w:p>
        </w:tc>
      </w:tr>
      <w:tr w14:paraId="0C92F4A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229" w:hRule="atLeast"/>
          <w:jc w:val="center"/>
        </w:trPr>
        <w:tc>
          <w:tcPr>
            <w:tcW w:w="666" w:type="dxa"/>
            <w:vMerge w:val="continue"/>
            <w:tcBorders>
              <w:tl2br w:val="nil"/>
              <w:tr2bl w:val="nil"/>
            </w:tcBorders>
            <w:vAlign w:val="center"/>
          </w:tcPr>
          <w:p w14:paraId="6B9BD882">
            <w:pPr>
              <w:spacing w:line="360" w:lineRule="exact"/>
              <w:ind w:firstLine="0" w:firstLineChars="0"/>
              <w:jc w:val="center"/>
              <w:rPr>
                <w:rFonts w:cs="Times New Roman"/>
                <w:color w:val="auto"/>
                <w:sz w:val="21"/>
                <w:szCs w:val="21"/>
                <w:highlight w:val="none"/>
              </w:rPr>
            </w:pPr>
          </w:p>
        </w:tc>
        <w:tc>
          <w:tcPr>
            <w:tcW w:w="1211" w:type="dxa"/>
            <w:gridSpan w:val="2"/>
            <w:vMerge w:val="continue"/>
            <w:tcBorders>
              <w:tl2br w:val="nil"/>
              <w:tr2bl w:val="nil"/>
            </w:tcBorders>
            <w:vAlign w:val="center"/>
          </w:tcPr>
          <w:p w14:paraId="38DC469E">
            <w:pPr>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3C416654">
            <w:pPr>
              <w:widowControl/>
              <w:spacing w:line="360" w:lineRule="exact"/>
              <w:ind w:firstLine="0" w:firstLineChars="0"/>
              <w:jc w:val="center"/>
              <w:textAlignment w:val="center"/>
              <w:rPr>
                <w:rFonts w:cs="Times New Roman"/>
                <w:color w:val="auto"/>
                <w:sz w:val="21"/>
                <w:szCs w:val="21"/>
                <w:highlight w:val="none"/>
              </w:rPr>
            </w:pPr>
            <w:r>
              <w:rPr>
                <w:rFonts w:cs="Times New Roman"/>
                <w:color w:val="auto"/>
                <w:kern w:val="0"/>
                <w:sz w:val="21"/>
                <w:szCs w:val="21"/>
                <w:highlight w:val="none"/>
                <w:lang w:bidi="ar"/>
              </w:rPr>
              <w:t>总磷</w:t>
            </w:r>
          </w:p>
        </w:tc>
        <w:tc>
          <w:tcPr>
            <w:tcW w:w="3424" w:type="dxa"/>
            <w:vMerge w:val="continue"/>
            <w:tcBorders>
              <w:tl2br w:val="nil"/>
              <w:tr2bl w:val="nil"/>
            </w:tcBorders>
            <w:vAlign w:val="center"/>
          </w:tcPr>
          <w:p w14:paraId="458900DE">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41B985BA">
            <w:pPr>
              <w:spacing w:line="360" w:lineRule="exact"/>
              <w:ind w:firstLine="0" w:firstLineChars="0"/>
              <w:jc w:val="center"/>
              <w:rPr>
                <w:rFonts w:hint="eastAsia" w:cs="Times New Roman"/>
                <w:color w:val="auto"/>
                <w:sz w:val="21"/>
                <w:szCs w:val="21"/>
                <w:highlight w:val="none"/>
                <w:lang w:val="en-US" w:eastAsia="zh-CN"/>
              </w:rPr>
            </w:pPr>
            <w:r>
              <w:rPr>
                <w:rFonts w:hint="default" w:cs="Times New Roman"/>
                <w:color w:val="auto"/>
                <w:sz w:val="21"/>
                <w:szCs w:val="21"/>
                <w:highlight w:val="none"/>
                <w:lang w:val="en-US" w:eastAsia="zh-CN"/>
              </w:rPr>
              <w:t>5</w:t>
            </w:r>
          </w:p>
        </w:tc>
        <w:tc>
          <w:tcPr>
            <w:tcW w:w="1493" w:type="dxa"/>
            <w:tcBorders>
              <w:tl2br w:val="nil"/>
              <w:tr2bl w:val="nil"/>
            </w:tcBorders>
            <w:shd w:val="clear" w:color="auto" w:fill="auto"/>
            <w:vAlign w:val="center"/>
          </w:tcPr>
          <w:p w14:paraId="4BD9191D">
            <w:pPr>
              <w:spacing w:line="360" w:lineRule="exact"/>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 xml:space="preserve">0.36 </w:t>
            </w:r>
          </w:p>
        </w:tc>
        <w:tc>
          <w:tcPr>
            <w:tcW w:w="2385" w:type="dxa"/>
            <w:vMerge w:val="continue"/>
            <w:tcBorders>
              <w:tl2br w:val="nil"/>
              <w:tr2bl w:val="nil"/>
            </w:tcBorders>
            <w:vAlign w:val="center"/>
          </w:tcPr>
          <w:p w14:paraId="51A142BD">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492B482">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5D1F8E7">
            <w:pPr>
              <w:spacing w:line="360" w:lineRule="exact"/>
              <w:ind w:firstLine="0" w:firstLineChars="0"/>
              <w:jc w:val="center"/>
              <w:rPr>
                <w:rFonts w:cs="Times New Roman"/>
                <w:color w:val="auto"/>
                <w:sz w:val="21"/>
                <w:szCs w:val="21"/>
                <w:highlight w:val="none"/>
              </w:rPr>
            </w:pPr>
          </w:p>
        </w:tc>
      </w:tr>
      <w:tr w14:paraId="059F666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1178" w:hRule="atLeast"/>
          <w:jc w:val="center"/>
        </w:trPr>
        <w:tc>
          <w:tcPr>
            <w:tcW w:w="666" w:type="dxa"/>
            <w:vMerge w:val="restart"/>
            <w:tcBorders>
              <w:tl2br w:val="nil"/>
              <w:tr2bl w:val="nil"/>
            </w:tcBorders>
            <w:vAlign w:val="center"/>
          </w:tcPr>
          <w:p w14:paraId="2F0409D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废气</w:t>
            </w:r>
          </w:p>
        </w:tc>
        <w:tc>
          <w:tcPr>
            <w:tcW w:w="480" w:type="dxa"/>
            <w:vMerge w:val="restart"/>
            <w:tcBorders>
              <w:tl2br w:val="nil"/>
              <w:tr2bl w:val="nil"/>
            </w:tcBorders>
            <w:vAlign w:val="center"/>
          </w:tcPr>
          <w:p w14:paraId="2C55C2E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有组织</w:t>
            </w:r>
          </w:p>
        </w:tc>
        <w:tc>
          <w:tcPr>
            <w:tcW w:w="731" w:type="dxa"/>
            <w:vMerge w:val="restart"/>
            <w:tcBorders>
              <w:tl2br w:val="nil"/>
              <w:tr2bl w:val="nil"/>
            </w:tcBorders>
            <w:vAlign w:val="center"/>
          </w:tcPr>
          <w:p w14:paraId="201A038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w:t>
            </w:r>
          </w:p>
        </w:tc>
        <w:tc>
          <w:tcPr>
            <w:tcW w:w="1134" w:type="dxa"/>
            <w:tcBorders>
              <w:tl2br w:val="nil"/>
              <w:tr2bl w:val="nil"/>
            </w:tcBorders>
            <w:vAlign w:val="center"/>
          </w:tcPr>
          <w:p w14:paraId="2DD5330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3424" w:type="dxa"/>
            <w:vMerge w:val="restart"/>
            <w:tcBorders>
              <w:tl2br w:val="nil"/>
              <w:tr2bl w:val="nil"/>
            </w:tcBorders>
            <w:vAlign w:val="center"/>
          </w:tcPr>
          <w:p w14:paraId="629F4E47">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活性炭吸附装置+15m排气筒</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DA001</w:t>
            </w:r>
            <w:r>
              <w:rPr>
                <w:rFonts w:hint="eastAsia" w:cs="Times New Roman"/>
                <w:color w:val="auto"/>
                <w:sz w:val="21"/>
                <w:szCs w:val="21"/>
                <w:highlight w:val="none"/>
                <w:lang w:eastAsia="zh-CN"/>
              </w:rPr>
              <w:t>）</w:t>
            </w:r>
          </w:p>
        </w:tc>
        <w:tc>
          <w:tcPr>
            <w:tcW w:w="1493" w:type="dxa"/>
            <w:tcBorders>
              <w:tl2br w:val="nil"/>
              <w:tr2bl w:val="nil"/>
            </w:tcBorders>
            <w:shd w:val="clear" w:color="auto" w:fill="auto"/>
            <w:vAlign w:val="center"/>
          </w:tcPr>
          <w:p w14:paraId="57170386">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4.4</w:t>
            </w:r>
          </w:p>
        </w:tc>
        <w:tc>
          <w:tcPr>
            <w:tcW w:w="1493" w:type="dxa"/>
            <w:tcBorders>
              <w:tl2br w:val="nil"/>
              <w:tr2bl w:val="nil"/>
            </w:tcBorders>
            <w:shd w:val="clear" w:color="auto" w:fill="auto"/>
            <w:vAlign w:val="center"/>
          </w:tcPr>
          <w:p w14:paraId="1058C396">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0.068</w:t>
            </w:r>
          </w:p>
        </w:tc>
        <w:tc>
          <w:tcPr>
            <w:tcW w:w="2385" w:type="dxa"/>
            <w:vMerge w:val="restart"/>
            <w:tcBorders>
              <w:tl2br w:val="nil"/>
              <w:tr2bl w:val="nil"/>
            </w:tcBorders>
            <w:vAlign w:val="center"/>
          </w:tcPr>
          <w:p w14:paraId="126D1E8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《恶臭污染物排放标准》（GB14554-93）表2标准</w:t>
            </w:r>
          </w:p>
        </w:tc>
        <w:tc>
          <w:tcPr>
            <w:tcW w:w="1792" w:type="dxa"/>
            <w:vMerge w:val="restart"/>
            <w:tcBorders>
              <w:tl2br w:val="nil"/>
              <w:tr2bl w:val="nil"/>
            </w:tcBorders>
            <w:vAlign w:val="center"/>
          </w:tcPr>
          <w:p w14:paraId="6408B09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DA001</w:t>
            </w:r>
          </w:p>
        </w:tc>
        <w:tc>
          <w:tcPr>
            <w:tcW w:w="1792" w:type="dxa"/>
            <w:vMerge w:val="restart"/>
            <w:tcBorders>
              <w:tl2br w:val="nil"/>
              <w:tr2bl w:val="nil"/>
            </w:tcBorders>
            <w:vAlign w:val="center"/>
          </w:tcPr>
          <w:p w14:paraId="781C4B3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drawing>
                <wp:anchor distT="0" distB="0" distL="114300" distR="114300" simplePos="0" relativeHeight="251673600" behindDoc="0" locked="0" layoutInCell="1" allowOverlap="1">
                  <wp:simplePos x="0" y="0"/>
                  <wp:positionH relativeFrom="column">
                    <wp:posOffset>140970</wp:posOffset>
                  </wp:positionH>
                  <wp:positionV relativeFrom="paragraph">
                    <wp:posOffset>46990</wp:posOffset>
                  </wp:positionV>
                  <wp:extent cx="788670" cy="617220"/>
                  <wp:effectExtent l="0" t="0" r="11430" b="11430"/>
                  <wp:wrapNone/>
                  <wp:docPr id="20" name="图片 10" descr="C:/Users/Administrator/AppData/Local/Temp/picturecompress_20211105115811/output_23.pngoutput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descr="C:/Users/Administrator/AppData/Local/Temp/picturecompress_20211105115811/output_23.pngoutput_23"/>
                          <pic:cNvPicPr>
                            <a:picLocks noChangeAspect="1"/>
                          </pic:cNvPicPr>
                        </pic:nvPicPr>
                        <pic:blipFill>
                          <a:blip r:embed="rId67"/>
                          <a:stretch>
                            <a:fillRect/>
                          </a:stretch>
                        </pic:blipFill>
                        <pic:spPr>
                          <a:xfrm>
                            <a:off x="0" y="0"/>
                            <a:ext cx="788670" cy="617220"/>
                          </a:xfrm>
                          <a:prstGeom prst="rect">
                            <a:avLst/>
                          </a:prstGeom>
                          <a:noFill/>
                          <a:ln>
                            <a:noFill/>
                          </a:ln>
                        </pic:spPr>
                      </pic:pic>
                    </a:graphicData>
                  </a:graphic>
                </wp:anchor>
              </w:drawing>
            </w:r>
          </w:p>
          <w:p w14:paraId="3FEA52EA">
            <w:pPr>
              <w:spacing w:line="360" w:lineRule="exact"/>
              <w:ind w:firstLine="0" w:firstLineChars="0"/>
              <w:jc w:val="center"/>
              <w:rPr>
                <w:rFonts w:cs="Times New Roman"/>
                <w:color w:val="auto"/>
                <w:sz w:val="21"/>
                <w:szCs w:val="21"/>
                <w:highlight w:val="none"/>
              </w:rPr>
            </w:pPr>
          </w:p>
          <w:p w14:paraId="4EFA9A9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drawing>
                <wp:anchor distT="0" distB="0" distL="114300" distR="114300" simplePos="0" relativeHeight="251672576"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p>
          <w:p w14:paraId="382A3C1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drawing>
                <wp:anchor distT="0" distB="0" distL="114300" distR="114300" simplePos="0" relativeHeight="251671552"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drawing>
                <wp:anchor distT="0" distB="0" distL="114300" distR="114300" simplePos="0" relativeHeight="251670528"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drawing>
                <wp:anchor distT="0" distB="0" distL="114300" distR="114300" simplePos="0" relativeHeight="251669504"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drawing>
                <wp:anchor distT="0" distB="0" distL="114300" distR="114300" simplePos="0" relativeHeight="251668480" behindDoc="0" locked="0" layoutInCell="1" allowOverlap="1">
                  <wp:simplePos x="0" y="0"/>
                  <wp:positionH relativeFrom="column">
                    <wp:posOffset>8591550</wp:posOffset>
                  </wp:positionH>
                  <wp:positionV relativeFrom="paragraph">
                    <wp:posOffset>4698365</wp:posOffset>
                  </wp:positionV>
                  <wp:extent cx="826135" cy="636905"/>
                  <wp:effectExtent l="0" t="0" r="12065" b="10795"/>
                  <wp:wrapNone/>
                  <wp:docPr id="28"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39"/>
                          <pic:cNvPicPr>
                            <a:picLocks noChangeAspect="1"/>
                          </pic:cNvPicPr>
                        </pic:nvPicPr>
                        <pic:blipFill>
                          <a:blip r:embed="rId66"/>
                          <a:stretch>
                            <a:fillRect/>
                          </a:stretch>
                        </pic:blipFill>
                        <pic:spPr>
                          <a:xfrm>
                            <a:off x="0" y="0"/>
                            <a:ext cx="826135" cy="636905"/>
                          </a:xfrm>
                          <a:prstGeom prst="rect">
                            <a:avLst/>
                          </a:prstGeom>
                          <a:noFill/>
                          <a:ln>
                            <a:noFill/>
                          </a:ln>
                        </pic:spPr>
                      </pic:pic>
                    </a:graphicData>
                  </a:graphic>
                </wp:anchor>
              </w:drawing>
            </w:r>
            <w:r>
              <w:rPr>
                <w:rFonts w:cs="Times New Roman"/>
                <w:color w:val="auto"/>
                <w:sz w:val="21"/>
                <w:szCs w:val="21"/>
                <w:highlight w:val="none"/>
              </w:rPr>
              <w:t>提示图形符号</w:t>
            </w:r>
          </w:p>
          <w:p w14:paraId="636342FD">
            <w:pPr>
              <w:pStyle w:val="82"/>
              <w:spacing w:line="360" w:lineRule="exact"/>
              <w:ind w:firstLine="42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drawing>
                <wp:anchor distT="0" distB="0" distL="114300" distR="114300" simplePos="0" relativeHeight="251666432" behindDoc="0" locked="0" layoutInCell="1" allowOverlap="1">
                  <wp:simplePos x="0" y="0"/>
                  <wp:positionH relativeFrom="column">
                    <wp:posOffset>109220</wp:posOffset>
                  </wp:positionH>
                  <wp:positionV relativeFrom="paragraph">
                    <wp:posOffset>212725</wp:posOffset>
                  </wp:positionV>
                  <wp:extent cx="847725" cy="586105"/>
                  <wp:effectExtent l="0" t="0" r="9525" b="4445"/>
                  <wp:wrapNone/>
                  <wp:docPr id="17"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40"/>
                          <pic:cNvPicPr>
                            <a:picLocks noChangeAspect="1"/>
                          </pic:cNvPicPr>
                        </pic:nvPicPr>
                        <pic:blipFill>
                          <a:blip r:embed="rId68"/>
                          <a:stretch>
                            <a:fillRect/>
                          </a:stretch>
                        </pic:blipFill>
                        <pic:spPr>
                          <a:xfrm>
                            <a:off x="0" y="0"/>
                            <a:ext cx="847725" cy="586105"/>
                          </a:xfrm>
                          <a:prstGeom prst="rect">
                            <a:avLst/>
                          </a:prstGeom>
                          <a:noFill/>
                          <a:ln>
                            <a:noFill/>
                          </a:ln>
                        </pic:spPr>
                      </pic:pic>
                    </a:graphicData>
                  </a:graphic>
                </wp:anchor>
              </w:drawing>
            </w:r>
          </w:p>
          <w:p w14:paraId="19A496BA">
            <w:pPr>
              <w:spacing w:line="360" w:lineRule="exact"/>
              <w:ind w:firstLine="0" w:firstLineChars="0"/>
              <w:jc w:val="center"/>
              <w:rPr>
                <w:rFonts w:cs="Times New Roman"/>
                <w:color w:val="auto"/>
                <w:sz w:val="21"/>
                <w:szCs w:val="21"/>
                <w:highlight w:val="none"/>
              </w:rPr>
            </w:pPr>
          </w:p>
          <w:p w14:paraId="3EB7C045">
            <w:pPr>
              <w:spacing w:line="360" w:lineRule="exact"/>
              <w:ind w:firstLine="0" w:firstLineChars="0"/>
              <w:jc w:val="center"/>
              <w:rPr>
                <w:rFonts w:cs="Times New Roman"/>
                <w:color w:val="auto"/>
                <w:sz w:val="21"/>
                <w:szCs w:val="21"/>
                <w:highlight w:val="none"/>
              </w:rPr>
            </w:pPr>
          </w:p>
          <w:p w14:paraId="74FB8FFC">
            <w:pPr>
              <w:spacing w:line="360" w:lineRule="exact"/>
              <w:ind w:firstLine="0" w:firstLineChars="0"/>
              <w:rPr>
                <w:rFonts w:cs="Times New Roman"/>
                <w:color w:val="auto"/>
                <w:sz w:val="21"/>
                <w:szCs w:val="21"/>
                <w:highlight w:val="none"/>
              </w:rPr>
            </w:pPr>
          </w:p>
          <w:p w14:paraId="5BC3B7F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警告图形符号</w:t>
            </w:r>
          </w:p>
        </w:tc>
      </w:tr>
      <w:tr w14:paraId="7538649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5DCC387F">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0F6EFF2B">
            <w:pPr>
              <w:widowControl/>
              <w:spacing w:line="360" w:lineRule="exact"/>
              <w:ind w:firstLine="0" w:firstLineChars="0"/>
              <w:jc w:val="center"/>
              <w:rPr>
                <w:rFonts w:cs="Times New Roman"/>
                <w:color w:val="auto"/>
                <w:sz w:val="21"/>
                <w:szCs w:val="21"/>
                <w:highlight w:val="none"/>
              </w:rPr>
            </w:pPr>
          </w:p>
        </w:tc>
        <w:tc>
          <w:tcPr>
            <w:tcW w:w="731" w:type="dxa"/>
            <w:vMerge w:val="continue"/>
            <w:tcBorders>
              <w:tl2br w:val="nil"/>
              <w:tr2bl w:val="nil"/>
            </w:tcBorders>
            <w:vAlign w:val="center"/>
          </w:tcPr>
          <w:p w14:paraId="3C152ACA">
            <w:pPr>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203B420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3424" w:type="dxa"/>
            <w:vMerge w:val="continue"/>
            <w:tcBorders>
              <w:tl2br w:val="nil"/>
              <w:tr2bl w:val="nil"/>
            </w:tcBorders>
            <w:vAlign w:val="center"/>
          </w:tcPr>
          <w:p w14:paraId="643FF43A">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51DFB744">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0.055</w:t>
            </w:r>
          </w:p>
        </w:tc>
        <w:tc>
          <w:tcPr>
            <w:tcW w:w="1493" w:type="dxa"/>
            <w:tcBorders>
              <w:tl2br w:val="nil"/>
              <w:tr2bl w:val="nil"/>
            </w:tcBorders>
            <w:shd w:val="clear" w:color="auto" w:fill="auto"/>
            <w:vAlign w:val="center"/>
          </w:tcPr>
          <w:p w14:paraId="79B88895">
            <w:pPr>
              <w:spacing w:line="360" w:lineRule="exact"/>
              <w:ind w:firstLine="0" w:firstLineChars="0"/>
              <w:jc w:val="center"/>
              <w:rPr>
                <w:rFonts w:hint="eastAsia" w:ascii="Times New Roman" w:hAnsi="Times New Roman" w:eastAsia="宋体" w:cs="Times New Roman"/>
                <w:color w:val="auto"/>
                <w:kern w:val="0"/>
                <w:sz w:val="21"/>
                <w:szCs w:val="21"/>
                <w:highlight w:val="none"/>
                <w:vertAlign w:val="superscript"/>
                <w:lang w:val="en-US" w:eastAsia="zh-CN" w:bidi="ar-SA"/>
              </w:rPr>
            </w:pPr>
            <w:r>
              <w:rPr>
                <w:rFonts w:hint="eastAsia" w:cs="Times New Roman"/>
                <w:color w:val="auto"/>
                <w:kern w:val="0"/>
                <w:sz w:val="21"/>
                <w:szCs w:val="21"/>
                <w:highlight w:val="none"/>
                <w:vertAlign w:val="baseline"/>
                <w:lang w:val="en-US" w:eastAsia="zh-CN"/>
              </w:rPr>
              <w:t>8.2</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-4</w:t>
            </w:r>
          </w:p>
        </w:tc>
        <w:tc>
          <w:tcPr>
            <w:tcW w:w="2385" w:type="dxa"/>
            <w:vMerge w:val="continue"/>
            <w:tcBorders>
              <w:tl2br w:val="nil"/>
              <w:tr2bl w:val="nil"/>
            </w:tcBorders>
            <w:vAlign w:val="center"/>
          </w:tcPr>
          <w:p w14:paraId="218B07E0">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42D1A08C">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40F61C7">
            <w:pPr>
              <w:widowControl/>
              <w:spacing w:line="360" w:lineRule="exact"/>
              <w:ind w:firstLine="0" w:firstLineChars="0"/>
              <w:jc w:val="center"/>
              <w:rPr>
                <w:rFonts w:cs="Times New Roman"/>
                <w:color w:val="auto"/>
                <w:sz w:val="21"/>
                <w:szCs w:val="21"/>
                <w:highlight w:val="none"/>
              </w:rPr>
            </w:pPr>
          </w:p>
        </w:tc>
      </w:tr>
      <w:tr w14:paraId="0602F23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01C6DDA6">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7374DBB9">
            <w:pPr>
              <w:widowControl/>
              <w:spacing w:line="360" w:lineRule="exact"/>
              <w:ind w:firstLine="0" w:firstLineChars="0"/>
              <w:jc w:val="center"/>
              <w:rPr>
                <w:rFonts w:cs="Times New Roman"/>
                <w:color w:val="auto"/>
                <w:sz w:val="21"/>
                <w:szCs w:val="21"/>
                <w:highlight w:val="none"/>
              </w:rPr>
            </w:pPr>
          </w:p>
        </w:tc>
        <w:tc>
          <w:tcPr>
            <w:tcW w:w="731" w:type="dxa"/>
            <w:vMerge w:val="restart"/>
            <w:tcBorders>
              <w:tl2br w:val="nil"/>
              <w:tr2bl w:val="nil"/>
            </w:tcBorders>
            <w:vAlign w:val="center"/>
          </w:tcPr>
          <w:p w14:paraId="0141BBC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污水处理站</w:t>
            </w:r>
          </w:p>
        </w:tc>
        <w:tc>
          <w:tcPr>
            <w:tcW w:w="1134" w:type="dxa"/>
            <w:tcBorders>
              <w:tl2br w:val="nil"/>
              <w:tr2bl w:val="nil"/>
            </w:tcBorders>
            <w:vAlign w:val="center"/>
          </w:tcPr>
          <w:p w14:paraId="6EB13E1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3424" w:type="dxa"/>
            <w:vMerge w:val="restart"/>
            <w:tcBorders>
              <w:tl2br w:val="nil"/>
              <w:tr2bl w:val="nil"/>
            </w:tcBorders>
            <w:vAlign w:val="center"/>
          </w:tcPr>
          <w:p w14:paraId="1FBA441D">
            <w:pPr>
              <w:spacing w:line="360" w:lineRule="exact"/>
              <w:ind w:firstLine="0" w:firstLineChars="0"/>
              <w:jc w:val="center"/>
              <w:rPr>
                <w:rFonts w:hint="eastAsia" w:eastAsia="宋体" w:cs="Times New Roman"/>
                <w:color w:val="auto"/>
                <w:sz w:val="21"/>
                <w:szCs w:val="21"/>
                <w:highlight w:val="none"/>
                <w:lang w:val="en-US" w:eastAsia="zh-CN"/>
              </w:rPr>
            </w:pPr>
            <w:r>
              <w:rPr>
                <w:rFonts w:cs="Times New Roman"/>
                <w:color w:val="auto"/>
                <w:sz w:val="21"/>
                <w:szCs w:val="21"/>
                <w:highlight w:val="none"/>
              </w:rPr>
              <w:t>活性炭吸附装置+15m排气筒</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DA002</w:t>
            </w:r>
            <w:r>
              <w:rPr>
                <w:rFonts w:hint="eastAsia" w:cs="Times New Roman"/>
                <w:color w:val="auto"/>
                <w:sz w:val="21"/>
                <w:szCs w:val="21"/>
                <w:highlight w:val="none"/>
                <w:lang w:eastAsia="zh-CN"/>
              </w:rPr>
              <w:t>）</w:t>
            </w:r>
          </w:p>
        </w:tc>
        <w:tc>
          <w:tcPr>
            <w:tcW w:w="1493" w:type="dxa"/>
            <w:tcBorders>
              <w:tl2br w:val="nil"/>
              <w:tr2bl w:val="nil"/>
            </w:tcBorders>
            <w:shd w:val="clear" w:color="auto" w:fill="auto"/>
            <w:vAlign w:val="center"/>
          </w:tcPr>
          <w:p w14:paraId="249A84F8">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2.7</w:t>
            </w:r>
          </w:p>
        </w:tc>
        <w:tc>
          <w:tcPr>
            <w:tcW w:w="1493" w:type="dxa"/>
            <w:tcBorders>
              <w:tl2br w:val="nil"/>
              <w:tr2bl w:val="nil"/>
            </w:tcBorders>
            <w:shd w:val="clear" w:color="auto" w:fill="auto"/>
            <w:vAlign w:val="center"/>
          </w:tcPr>
          <w:p w14:paraId="0772F493">
            <w:pPr>
              <w:spacing w:line="360" w:lineRule="exact"/>
              <w:ind w:firstLine="0" w:firstLineChars="0"/>
              <w:jc w:val="center"/>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cs="Times New Roman"/>
                <w:color w:val="auto"/>
                <w:kern w:val="0"/>
                <w:sz w:val="21"/>
                <w:szCs w:val="21"/>
                <w:highlight w:val="none"/>
                <w:vertAlign w:val="baseline"/>
                <w:lang w:val="en-US" w:eastAsia="zh-CN"/>
              </w:rPr>
              <w:t>0.040</w:t>
            </w:r>
          </w:p>
        </w:tc>
        <w:tc>
          <w:tcPr>
            <w:tcW w:w="2385" w:type="dxa"/>
            <w:vMerge w:val="continue"/>
            <w:tcBorders>
              <w:tl2br w:val="nil"/>
              <w:tr2bl w:val="nil"/>
            </w:tcBorders>
            <w:vAlign w:val="center"/>
          </w:tcPr>
          <w:p w14:paraId="25B46A94">
            <w:pPr>
              <w:widowControl/>
              <w:spacing w:line="360" w:lineRule="exact"/>
              <w:ind w:firstLine="0" w:firstLineChars="0"/>
              <w:jc w:val="center"/>
              <w:rPr>
                <w:rFonts w:cs="Times New Roman"/>
                <w:color w:val="auto"/>
                <w:sz w:val="21"/>
                <w:szCs w:val="21"/>
                <w:highlight w:val="none"/>
              </w:rPr>
            </w:pPr>
          </w:p>
        </w:tc>
        <w:tc>
          <w:tcPr>
            <w:tcW w:w="1792" w:type="dxa"/>
            <w:vMerge w:val="restart"/>
            <w:tcBorders>
              <w:tl2br w:val="nil"/>
              <w:tr2bl w:val="nil"/>
            </w:tcBorders>
            <w:vAlign w:val="center"/>
          </w:tcPr>
          <w:p w14:paraId="4BF98B94">
            <w:pPr>
              <w:widowControl/>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DA00</w:t>
            </w:r>
            <w:r>
              <w:rPr>
                <w:rFonts w:hint="eastAsia" w:cs="Times New Roman"/>
                <w:color w:val="auto"/>
                <w:sz w:val="21"/>
                <w:szCs w:val="21"/>
                <w:highlight w:val="none"/>
                <w:lang w:val="en-US" w:eastAsia="zh-CN"/>
              </w:rPr>
              <w:t>2</w:t>
            </w:r>
          </w:p>
        </w:tc>
        <w:tc>
          <w:tcPr>
            <w:tcW w:w="1792" w:type="dxa"/>
            <w:vMerge w:val="continue"/>
            <w:tcBorders>
              <w:tl2br w:val="nil"/>
              <w:tr2bl w:val="nil"/>
            </w:tcBorders>
            <w:vAlign w:val="center"/>
          </w:tcPr>
          <w:p w14:paraId="3D0A7C5C">
            <w:pPr>
              <w:widowControl/>
              <w:spacing w:line="360" w:lineRule="exact"/>
              <w:ind w:firstLine="0" w:firstLineChars="0"/>
              <w:jc w:val="center"/>
              <w:rPr>
                <w:rFonts w:cs="Times New Roman"/>
                <w:color w:val="auto"/>
                <w:sz w:val="21"/>
                <w:szCs w:val="21"/>
                <w:highlight w:val="none"/>
              </w:rPr>
            </w:pPr>
          </w:p>
        </w:tc>
      </w:tr>
      <w:tr w14:paraId="06E1254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753" w:hRule="atLeast"/>
          <w:jc w:val="center"/>
        </w:trPr>
        <w:tc>
          <w:tcPr>
            <w:tcW w:w="666" w:type="dxa"/>
            <w:vMerge w:val="continue"/>
            <w:tcBorders>
              <w:tl2br w:val="nil"/>
              <w:tr2bl w:val="nil"/>
            </w:tcBorders>
            <w:vAlign w:val="center"/>
          </w:tcPr>
          <w:p w14:paraId="362F7EA7">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1915A05A">
            <w:pPr>
              <w:widowControl/>
              <w:spacing w:line="360" w:lineRule="exact"/>
              <w:ind w:firstLine="0" w:firstLineChars="0"/>
              <w:jc w:val="center"/>
              <w:rPr>
                <w:rFonts w:cs="Times New Roman"/>
                <w:color w:val="auto"/>
                <w:sz w:val="21"/>
                <w:szCs w:val="21"/>
                <w:highlight w:val="none"/>
              </w:rPr>
            </w:pPr>
          </w:p>
        </w:tc>
        <w:tc>
          <w:tcPr>
            <w:tcW w:w="731" w:type="dxa"/>
            <w:vMerge w:val="continue"/>
            <w:tcBorders>
              <w:tl2br w:val="nil"/>
              <w:tr2bl w:val="nil"/>
            </w:tcBorders>
            <w:vAlign w:val="center"/>
          </w:tcPr>
          <w:p w14:paraId="1F881BF5">
            <w:pPr>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15C73C3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3424" w:type="dxa"/>
            <w:vMerge w:val="continue"/>
            <w:tcBorders>
              <w:tl2br w:val="nil"/>
              <w:tr2bl w:val="nil"/>
            </w:tcBorders>
            <w:vAlign w:val="center"/>
          </w:tcPr>
          <w:p w14:paraId="361C948B">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shd w:val="clear" w:color="auto" w:fill="auto"/>
            <w:vAlign w:val="center"/>
          </w:tcPr>
          <w:p w14:paraId="5E93A0C3">
            <w:pPr>
              <w:spacing w:line="360" w:lineRule="exact"/>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0.1</w:t>
            </w:r>
          </w:p>
        </w:tc>
        <w:tc>
          <w:tcPr>
            <w:tcW w:w="1493" w:type="dxa"/>
            <w:tcBorders>
              <w:tl2br w:val="nil"/>
              <w:tr2bl w:val="nil"/>
            </w:tcBorders>
            <w:shd w:val="clear" w:color="auto" w:fill="auto"/>
            <w:vAlign w:val="center"/>
          </w:tcPr>
          <w:p w14:paraId="41C829F7">
            <w:pPr>
              <w:spacing w:line="360" w:lineRule="exact"/>
              <w:ind w:firstLine="0" w:firstLineChars="0"/>
              <w:jc w:val="center"/>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cs="Times New Roman"/>
                <w:color w:val="auto"/>
                <w:kern w:val="0"/>
                <w:sz w:val="21"/>
                <w:szCs w:val="21"/>
                <w:highlight w:val="none"/>
                <w:vertAlign w:val="baseline"/>
                <w:lang w:val="en-US" w:eastAsia="zh-CN"/>
              </w:rPr>
              <w:t>1.5</w:t>
            </w:r>
            <w:r>
              <w:rPr>
                <w:rFonts w:hint="default" w:ascii="Arial" w:hAnsi="Arial" w:eastAsia="宋体" w:cs="Arial"/>
                <w:snapToGrid w:val="0"/>
                <w:color w:val="auto"/>
                <w:kern w:val="0"/>
                <w:sz w:val="21"/>
                <w:highlight w:val="none"/>
                <w:lang w:val="en-US" w:eastAsia="zh-CN"/>
              </w:rPr>
              <w:t>×</w:t>
            </w:r>
            <w:r>
              <w:rPr>
                <w:rFonts w:hint="eastAsia" w:ascii="Times New Roman" w:hAnsi="Times New Roman" w:eastAsia="宋体" w:cs="Times New Roman"/>
                <w:snapToGrid w:val="0"/>
                <w:color w:val="auto"/>
                <w:kern w:val="0"/>
                <w:sz w:val="21"/>
                <w:highlight w:val="none"/>
                <w:lang w:val="en-US" w:eastAsia="zh-CN"/>
              </w:rPr>
              <w:t>10</w:t>
            </w:r>
            <w:r>
              <w:rPr>
                <w:rFonts w:hint="eastAsia" w:ascii="Times New Roman" w:hAnsi="Times New Roman" w:eastAsia="宋体" w:cs="Times New Roman"/>
                <w:snapToGrid w:val="0"/>
                <w:color w:val="auto"/>
                <w:kern w:val="0"/>
                <w:sz w:val="21"/>
                <w:highlight w:val="none"/>
                <w:vertAlign w:val="superscript"/>
                <w:lang w:val="en-US" w:eastAsia="zh-CN"/>
              </w:rPr>
              <w:t>-</w:t>
            </w:r>
            <w:r>
              <w:rPr>
                <w:rFonts w:hint="eastAsia" w:cs="Times New Roman"/>
                <w:snapToGrid w:val="0"/>
                <w:color w:val="auto"/>
                <w:kern w:val="0"/>
                <w:sz w:val="21"/>
                <w:highlight w:val="none"/>
                <w:vertAlign w:val="superscript"/>
                <w:lang w:val="en-US" w:eastAsia="zh-CN"/>
              </w:rPr>
              <w:t>3</w:t>
            </w:r>
          </w:p>
        </w:tc>
        <w:tc>
          <w:tcPr>
            <w:tcW w:w="2385" w:type="dxa"/>
            <w:vMerge w:val="continue"/>
            <w:tcBorders>
              <w:tl2br w:val="nil"/>
              <w:tr2bl w:val="nil"/>
            </w:tcBorders>
            <w:vAlign w:val="center"/>
          </w:tcPr>
          <w:p w14:paraId="1B51D6E9">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35DDAED2">
            <w:pPr>
              <w:widowControl/>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08271F7C">
            <w:pPr>
              <w:widowControl/>
              <w:spacing w:line="360" w:lineRule="exact"/>
              <w:ind w:firstLine="0" w:firstLineChars="0"/>
              <w:jc w:val="center"/>
              <w:rPr>
                <w:rFonts w:cs="Times New Roman"/>
                <w:color w:val="auto"/>
                <w:sz w:val="21"/>
                <w:szCs w:val="21"/>
                <w:highlight w:val="none"/>
              </w:rPr>
            </w:pPr>
          </w:p>
        </w:tc>
      </w:tr>
      <w:tr w14:paraId="04507F6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1172" w:hRule="atLeast"/>
          <w:jc w:val="center"/>
        </w:trPr>
        <w:tc>
          <w:tcPr>
            <w:tcW w:w="666" w:type="dxa"/>
            <w:vMerge w:val="continue"/>
            <w:tcBorders>
              <w:tl2br w:val="nil"/>
              <w:tr2bl w:val="nil"/>
            </w:tcBorders>
            <w:vAlign w:val="center"/>
          </w:tcPr>
          <w:p w14:paraId="41D479A0">
            <w:pPr>
              <w:widowControl/>
              <w:spacing w:line="360" w:lineRule="exact"/>
              <w:ind w:firstLine="0" w:firstLineChars="0"/>
              <w:jc w:val="center"/>
              <w:rPr>
                <w:rFonts w:cs="Times New Roman"/>
                <w:color w:val="auto"/>
                <w:sz w:val="21"/>
                <w:szCs w:val="21"/>
                <w:highlight w:val="none"/>
              </w:rPr>
            </w:pPr>
          </w:p>
        </w:tc>
        <w:tc>
          <w:tcPr>
            <w:tcW w:w="480" w:type="dxa"/>
            <w:vMerge w:val="restart"/>
            <w:tcBorders>
              <w:tl2br w:val="nil"/>
              <w:tr2bl w:val="nil"/>
            </w:tcBorders>
            <w:vAlign w:val="center"/>
          </w:tcPr>
          <w:p w14:paraId="132F5D2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无组织</w:t>
            </w:r>
          </w:p>
        </w:tc>
        <w:tc>
          <w:tcPr>
            <w:tcW w:w="731" w:type="dxa"/>
            <w:vMerge w:val="restart"/>
            <w:tcBorders>
              <w:tl2br w:val="nil"/>
              <w:tr2bl w:val="nil"/>
            </w:tcBorders>
            <w:vAlign w:val="center"/>
          </w:tcPr>
          <w:p w14:paraId="0C38DA5C">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w:t>
            </w:r>
          </w:p>
        </w:tc>
        <w:tc>
          <w:tcPr>
            <w:tcW w:w="1134" w:type="dxa"/>
            <w:tcBorders>
              <w:tl2br w:val="nil"/>
              <w:tr2bl w:val="nil"/>
            </w:tcBorders>
            <w:vAlign w:val="center"/>
          </w:tcPr>
          <w:p w14:paraId="61F2F85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3424" w:type="dxa"/>
            <w:vMerge w:val="restart"/>
            <w:tcBorders>
              <w:tl2br w:val="nil"/>
              <w:tr2bl w:val="nil"/>
            </w:tcBorders>
            <w:vAlign w:val="center"/>
          </w:tcPr>
          <w:p w14:paraId="26C5806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增加清洗车间地面频次</w:t>
            </w:r>
            <w:r>
              <w:rPr>
                <w:rFonts w:hint="eastAsia" w:cs="Times New Roman"/>
                <w:color w:val="auto"/>
                <w:sz w:val="21"/>
                <w:szCs w:val="21"/>
                <w:highlight w:val="none"/>
                <w:lang w:eastAsia="zh-CN"/>
              </w:rPr>
              <w:t>，</w:t>
            </w:r>
            <w:r>
              <w:rPr>
                <w:rFonts w:cs="Times New Roman"/>
                <w:color w:val="auto"/>
                <w:sz w:val="21"/>
                <w:szCs w:val="21"/>
                <w:highlight w:val="none"/>
              </w:rPr>
              <w:t>喷洒除臭剂</w:t>
            </w:r>
          </w:p>
        </w:tc>
        <w:tc>
          <w:tcPr>
            <w:tcW w:w="1493" w:type="dxa"/>
            <w:tcBorders>
              <w:tl2br w:val="nil"/>
              <w:tr2bl w:val="nil"/>
            </w:tcBorders>
            <w:vAlign w:val="center"/>
          </w:tcPr>
          <w:p w14:paraId="07A9CBB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shd w:val="clear" w:color="auto" w:fill="auto"/>
            <w:vAlign w:val="center"/>
          </w:tcPr>
          <w:p w14:paraId="029F9B31">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7.4</w:t>
            </w:r>
            <w:r>
              <w:rPr>
                <w:rFonts w:cs="Times New Roman"/>
                <w:color w:val="auto"/>
                <w:kern w:val="0"/>
                <w:sz w:val="21"/>
                <w:szCs w:val="21"/>
                <w:highlight w:val="none"/>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3</w:t>
            </w:r>
          </w:p>
        </w:tc>
        <w:tc>
          <w:tcPr>
            <w:tcW w:w="2385" w:type="dxa"/>
            <w:vMerge w:val="restart"/>
            <w:tcBorders>
              <w:tl2br w:val="nil"/>
              <w:tr2bl w:val="nil"/>
            </w:tcBorders>
            <w:vAlign w:val="center"/>
          </w:tcPr>
          <w:p w14:paraId="3AA0CD2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《恶臭污染物排放标准》（GB14554-93）中表1中二级标准</w:t>
            </w:r>
          </w:p>
        </w:tc>
        <w:tc>
          <w:tcPr>
            <w:tcW w:w="1792" w:type="dxa"/>
            <w:tcBorders>
              <w:tl2br w:val="nil"/>
              <w:tr2bl w:val="nil"/>
            </w:tcBorders>
            <w:vAlign w:val="center"/>
          </w:tcPr>
          <w:p w14:paraId="18747B65">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7F797148">
            <w:pPr>
              <w:widowControl/>
              <w:spacing w:line="360" w:lineRule="exact"/>
              <w:ind w:firstLine="0" w:firstLineChars="0"/>
              <w:jc w:val="center"/>
              <w:rPr>
                <w:rFonts w:cs="Times New Roman"/>
                <w:color w:val="auto"/>
                <w:sz w:val="21"/>
                <w:szCs w:val="21"/>
                <w:highlight w:val="none"/>
              </w:rPr>
            </w:pPr>
          </w:p>
        </w:tc>
      </w:tr>
      <w:tr w14:paraId="64DE95AA">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1172" w:hRule="atLeast"/>
          <w:jc w:val="center"/>
        </w:trPr>
        <w:tc>
          <w:tcPr>
            <w:tcW w:w="666" w:type="dxa"/>
            <w:vMerge w:val="continue"/>
            <w:tcBorders>
              <w:tl2br w:val="nil"/>
              <w:tr2bl w:val="nil"/>
            </w:tcBorders>
            <w:vAlign w:val="center"/>
          </w:tcPr>
          <w:p w14:paraId="54E112DC">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294216A3">
            <w:pPr>
              <w:spacing w:line="360" w:lineRule="exact"/>
              <w:ind w:firstLine="0" w:firstLineChars="0"/>
              <w:jc w:val="center"/>
              <w:rPr>
                <w:rFonts w:cs="Times New Roman"/>
                <w:color w:val="auto"/>
                <w:sz w:val="21"/>
                <w:szCs w:val="21"/>
                <w:highlight w:val="none"/>
              </w:rPr>
            </w:pPr>
          </w:p>
        </w:tc>
        <w:tc>
          <w:tcPr>
            <w:tcW w:w="731" w:type="dxa"/>
            <w:vMerge w:val="continue"/>
            <w:tcBorders>
              <w:tl2br w:val="nil"/>
              <w:tr2bl w:val="nil"/>
            </w:tcBorders>
            <w:vAlign w:val="center"/>
          </w:tcPr>
          <w:p w14:paraId="59FDE0BD">
            <w:pPr>
              <w:widowControl/>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7A2BD2C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3424" w:type="dxa"/>
            <w:vMerge w:val="continue"/>
            <w:tcBorders>
              <w:tl2br w:val="nil"/>
              <w:tr2bl w:val="nil"/>
            </w:tcBorders>
            <w:vAlign w:val="center"/>
          </w:tcPr>
          <w:p w14:paraId="6511EA97">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vAlign w:val="center"/>
          </w:tcPr>
          <w:p w14:paraId="0B77FD8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shd w:val="clear" w:color="auto" w:fill="auto"/>
            <w:vAlign w:val="center"/>
          </w:tcPr>
          <w:p w14:paraId="578E8A31">
            <w:pPr>
              <w:spacing w:line="360" w:lineRule="exact"/>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8.9</w:t>
            </w:r>
            <w:r>
              <w:rPr>
                <w:rFonts w:cs="Times New Roman"/>
                <w:color w:val="auto"/>
                <w:kern w:val="0"/>
                <w:sz w:val="21"/>
                <w:szCs w:val="21"/>
                <w:highlight w:val="none"/>
              </w:rPr>
              <w:t>×10</w:t>
            </w:r>
            <w:r>
              <w:rPr>
                <w:rFonts w:cs="Times New Roman"/>
                <w:color w:val="auto"/>
                <w:kern w:val="0"/>
                <w:sz w:val="21"/>
                <w:szCs w:val="21"/>
                <w:highlight w:val="none"/>
                <w:vertAlign w:val="superscript"/>
              </w:rPr>
              <w:t>-</w:t>
            </w:r>
            <w:r>
              <w:rPr>
                <w:rFonts w:hint="eastAsia" w:cs="Times New Roman"/>
                <w:color w:val="auto"/>
                <w:kern w:val="0"/>
                <w:sz w:val="21"/>
                <w:szCs w:val="21"/>
                <w:highlight w:val="none"/>
                <w:vertAlign w:val="superscript"/>
                <w:lang w:val="en-US" w:eastAsia="zh-CN"/>
              </w:rPr>
              <w:t>5</w:t>
            </w:r>
          </w:p>
        </w:tc>
        <w:tc>
          <w:tcPr>
            <w:tcW w:w="2385" w:type="dxa"/>
            <w:vMerge w:val="continue"/>
            <w:tcBorders>
              <w:tl2br w:val="nil"/>
              <w:tr2bl w:val="nil"/>
            </w:tcBorders>
            <w:vAlign w:val="center"/>
          </w:tcPr>
          <w:p w14:paraId="5EBAC439">
            <w:pPr>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32D34A6A">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48D3959B">
            <w:pPr>
              <w:widowControl/>
              <w:spacing w:line="360" w:lineRule="exact"/>
              <w:ind w:firstLine="0" w:firstLineChars="0"/>
              <w:jc w:val="center"/>
              <w:rPr>
                <w:rFonts w:cs="Times New Roman"/>
                <w:color w:val="auto"/>
                <w:sz w:val="21"/>
                <w:szCs w:val="21"/>
                <w:highlight w:val="none"/>
              </w:rPr>
            </w:pPr>
          </w:p>
        </w:tc>
      </w:tr>
      <w:tr w14:paraId="5A9BBB1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65680AE2">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1A8EAD27">
            <w:pPr>
              <w:spacing w:line="360" w:lineRule="exact"/>
              <w:ind w:firstLine="0" w:firstLineChars="0"/>
              <w:jc w:val="center"/>
              <w:rPr>
                <w:rFonts w:cs="Times New Roman"/>
                <w:color w:val="auto"/>
                <w:sz w:val="21"/>
                <w:szCs w:val="21"/>
                <w:highlight w:val="none"/>
              </w:rPr>
            </w:pPr>
          </w:p>
        </w:tc>
        <w:tc>
          <w:tcPr>
            <w:tcW w:w="731" w:type="dxa"/>
            <w:vMerge w:val="restart"/>
            <w:tcBorders>
              <w:tl2br w:val="nil"/>
              <w:tr2bl w:val="nil"/>
            </w:tcBorders>
            <w:vAlign w:val="center"/>
          </w:tcPr>
          <w:p w14:paraId="2837B0B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污水处理</w:t>
            </w:r>
          </w:p>
        </w:tc>
        <w:tc>
          <w:tcPr>
            <w:tcW w:w="1134" w:type="dxa"/>
            <w:tcBorders>
              <w:tl2br w:val="nil"/>
              <w:tr2bl w:val="nil"/>
            </w:tcBorders>
            <w:vAlign w:val="center"/>
          </w:tcPr>
          <w:p w14:paraId="6A8BB47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3424" w:type="dxa"/>
            <w:vMerge w:val="restart"/>
            <w:tcBorders>
              <w:tl2br w:val="nil"/>
              <w:tr2bl w:val="nil"/>
            </w:tcBorders>
            <w:vAlign w:val="center"/>
          </w:tcPr>
          <w:p w14:paraId="0E46CD9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产生恶臭区域加盖，喷洒除臭剂</w:t>
            </w:r>
          </w:p>
        </w:tc>
        <w:tc>
          <w:tcPr>
            <w:tcW w:w="1493" w:type="dxa"/>
            <w:tcBorders>
              <w:tl2br w:val="nil"/>
              <w:tr2bl w:val="nil"/>
            </w:tcBorders>
            <w:vAlign w:val="center"/>
          </w:tcPr>
          <w:p w14:paraId="733EBD9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shd w:val="clear" w:color="auto" w:fill="auto"/>
            <w:vAlign w:val="center"/>
          </w:tcPr>
          <w:p w14:paraId="31602629">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0.022</w:t>
            </w:r>
          </w:p>
        </w:tc>
        <w:tc>
          <w:tcPr>
            <w:tcW w:w="2385" w:type="dxa"/>
            <w:vMerge w:val="continue"/>
            <w:tcBorders>
              <w:tl2br w:val="nil"/>
              <w:tr2bl w:val="nil"/>
            </w:tcBorders>
            <w:vAlign w:val="center"/>
          </w:tcPr>
          <w:p w14:paraId="3B2BB47A">
            <w:pPr>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09F17248">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7EBDFF11">
            <w:pPr>
              <w:widowControl/>
              <w:spacing w:line="360" w:lineRule="exact"/>
              <w:ind w:firstLine="0" w:firstLineChars="0"/>
              <w:jc w:val="center"/>
              <w:rPr>
                <w:rFonts w:cs="Times New Roman"/>
                <w:color w:val="auto"/>
                <w:sz w:val="21"/>
                <w:szCs w:val="21"/>
                <w:highlight w:val="none"/>
              </w:rPr>
            </w:pPr>
          </w:p>
        </w:tc>
      </w:tr>
      <w:tr w14:paraId="6BEE7BE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2F59251E">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2EBC534E">
            <w:pPr>
              <w:widowControl/>
              <w:spacing w:line="360" w:lineRule="exact"/>
              <w:ind w:firstLine="0" w:firstLineChars="0"/>
              <w:jc w:val="center"/>
              <w:rPr>
                <w:rFonts w:cs="Times New Roman"/>
                <w:color w:val="auto"/>
                <w:sz w:val="21"/>
                <w:szCs w:val="21"/>
                <w:highlight w:val="none"/>
              </w:rPr>
            </w:pPr>
          </w:p>
        </w:tc>
        <w:tc>
          <w:tcPr>
            <w:tcW w:w="731" w:type="dxa"/>
            <w:vMerge w:val="continue"/>
            <w:tcBorders>
              <w:tl2br w:val="nil"/>
              <w:tr2bl w:val="nil"/>
            </w:tcBorders>
            <w:vAlign w:val="center"/>
          </w:tcPr>
          <w:p w14:paraId="0899FD00">
            <w:pPr>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1F0E4B3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3424" w:type="dxa"/>
            <w:vMerge w:val="continue"/>
            <w:tcBorders>
              <w:tl2br w:val="nil"/>
              <w:tr2bl w:val="nil"/>
            </w:tcBorders>
            <w:vAlign w:val="center"/>
          </w:tcPr>
          <w:p w14:paraId="054AD06A">
            <w:pPr>
              <w:widowControl/>
              <w:spacing w:line="360" w:lineRule="exact"/>
              <w:ind w:firstLine="0" w:firstLineChars="0"/>
              <w:jc w:val="center"/>
              <w:rPr>
                <w:rFonts w:cs="Times New Roman"/>
                <w:color w:val="auto"/>
                <w:sz w:val="21"/>
                <w:szCs w:val="21"/>
                <w:highlight w:val="none"/>
              </w:rPr>
            </w:pPr>
          </w:p>
        </w:tc>
        <w:tc>
          <w:tcPr>
            <w:tcW w:w="1493" w:type="dxa"/>
            <w:tcBorders>
              <w:tl2br w:val="nil"/>
              <w:tr2bl w:val="nil"/>
            </w:tcBorders>
            <w:vAlign w:val="center"/>
          </w:tcPr>
          <w:p w14:paraId="31591EB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shd w:val="clear" w:color="auto" w:fill="auto"/>
            <w:vAlign w:val="center"/>
          </w:tcPr>
          <w:p w14:paraId="3F48B3EF">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8.2</w:t>
            </w:r>
            <w:r>
              <w:rPr>
                <w:rFonts w:hint="eastAsia" w:cs="Times New Roman"/>
                <w:color w:val="auto"/>
                <w:sz w:val="21"/>
                <w:szCs w:val="21"/>
                <w:highlight w:val="none"/>
                <w:lang w:eastAsia="zh-CN"/>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4</w:t>
            </w:r>
          </w:p>
        </w:tc>
        <w:tc>
          <w:tcPr>
            <w:tcW w:w="2385" w:type="dxa"/>
            <w:vMerge w:val="continue"/>
            <w:tcBorders>
              <w:tl2br w:val="nil"/>
              <w:tr2bl w:val="nil"/>
            </w:tcBorders>
            <w:vAlign w:val="center"/>
          </w:tcPr>
          <w:p w14:paraId="08CD7C0E">
            <w:pPr>
              <w:widowControl/>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7FE4394D">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0E09157B">
            <w:pPr>
              <w:widowControl/>
              <w:spacing w:line="360" w:lineRule="exact"/>
              <w:ind w:firstLine="0" w:firstLineChars="0"/>
              <w:jc w:val="center"/>
              <w:rPr>
                <w:rFonts w:cs="Times New Roman"/>
                <w:color w:val="auto"/>
                <w:sz w:val="21"/>
                <w:szCs w:val="21"/>
                <w:highlight w:val="none"/>
              </w:rPr>
            </w:pPr>
          </w:p>
        </w:tc>
      </w:tr>
      <w:tr w14:paraId="47DE0FE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2CBE86F7">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0B1A7B56">
            <w:pPr>
              <w:widowControl/>
              <w:spacing w:line="360" w:lineRule="exact"/>
              <w:ind w:firstLine="0" w:firstLineChars="0"/>
              <w:jc w:val="center"/>
              <w:rPr>
                <w:rFonts w:cs="Times New Roman"/>
                <w:color w:val="auto"/>
                <w:sz w:val="21"/>
                <w:szCs w:val="21"/>
                <w:highlight w:val="none"/>
              </w:rPr>
            </w:pPr>
          </w:p>
        </w:tc>
        <w:tc>
          <w:tcPr>
            <w:tcW w:w="731" w:type="dxa"/>
            <w:vMerge w:val="restart"/>
            <w:tcBorders>
              <w:tl2br w:val="nil"/>
              <w:tr2bl w:val="nil"/>
            </w:tcBorders>
            <w:vAlign w:val="center"/>
          </w:tcPr>
          <w:p w14:paraId="1C36D5CA">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待宰</w:t>
            </w:r>
            <w:r>
              <w:rPr>
                <w:rFonts w:cs="Times New Roman"/>
                <w:color w:val="auto"/>
                <w:sz w:val="21"/>
                <w:szCs w:val="21"/>
                <w:highlight w:val="none"/>
              </w:rPr>
              <w:t>圈</w:t>
            </w:r>
          </w:p>
        </w:tc>
        <w:tc>
          <w:tcPr>
            <w:tcW w:w="1134" w:type="dxa"/>
            <w:tcBorders>
              <w:tl2br w:val="nil"/>
              <w:tr2bl w:val="nil"/>
            </w:tcBorders>
            <w:vAlign w:val="center"/>
          </w:tcPr>
          <w:p w14:paraId="59D65CA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w:t>
            </w:r>
          </w:p>
        </w:tc>
        <w:tc>
          <w:tcPr>
            <w:tcW w:w="3424" w:type="dxa"/>
            <w:vMerge w:val="restart"/>
            <w:tcBorders>
              <w:tl2br w:val="nil"/>
              <w:tr2bl w:val="nil"/>
            </w:tcBorders>
            <w:vAlign w:val="center"/>
          </w:tcPr>
          <w:p w14:paraId="4B69216D">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及时清运粪便，喷洒除臭剂</w:t>
            </w:r>
          </w:p>
        </w:tc>
        <w:tc>
          <w:tcPr>
            <w:tcW w:w="1493" w:type="dxa"/>
            <w:tcBorders>
              <w:tl2br w:val="nil"/>
              <w:tr2bl w:val="nil"/>
            </w:tcBorders>
            <w:vAlign w:val="center"/>
          </w:tcPr>
          <w:p w14:paraId="17B5528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shd w:val="clear" w:color="auto" w:fill="auto"/>
            <w:vAlign w:val="center"/>
          </w:tcPr>
          <w:p w14:paraId="30C807BF">
            <w:pPr>
              <w:spacing w:line="360" w:lineRule="exact"/>
              <w:ind w:firstLine="0" w:firstLineChars="0"/>
              <w:jc w:val="center"/>
              <w:rPr>
                <w:rFonts w:hint="eastAsia" w:ascii="Times New Roman" w:hAnsi="Times New Roman" w:eastAsia="宋体" w:cs="Times New Roman"/>
                <w:color w:val="auto"/>
                <w:kern w:val="2"/>
                <w:sz w:val="21"/>
                <w:szCs w:val="21"/>
                <w:highlight w:val="none"/>
                <w:vertAlign w:val="superscript"/>
                <w:lang w:val="en-US" w:eastAsia="zh-CN" w:bidi="ar-SA"/>
              </w:rPr>
            </w:pPr>
            <w:r>
              <w:rPr>
                <w:rFonts w:hint="eastAsia" w:cs="Times New Roman"/>
                <w:color w:val="auto"/>
                <w:sz w:val="21"/>
                <w:szCs w:val="21"/>
                <w:highlight w:val="none"/>
                <w:lang w:val="en-US" w:eastAsia="zh-CN"/>
              </w:rPr>
              <w:t>1.9</w:t>
            </w:r>
            <w:r>
              <w:rPr>
                <w:rFonts w:cs="Times New Roman"/>
                <w:color w:val="auto"/>
                <w:sz w:val="21"/>
                <w:szCs w:val="21"/>
                <w:highlight w:val="none"/>
              </w:rPr>
              <w:t>×10</w:t>
            </w:r>
            <w:r>
              <w:rPr>
                <w:rFonts w:cs="Times New Roman"/>
                <w:color w:val="auto"/>
                <w:sz w:val="21"/>
                <w:szCs w:val="21"/>
                <w:highlight w:val="none"/>
                <w:vertAlign w:val="superscript"/>
              </w:rPr>
              <w:t>-</w:t>
            </w:r>
            <w:r>
              <w:rPr>
                <w:rFonts w:hint="eastAsia" w:cs="Times New Roman"/>
                <w:color w:val="auto"/>
                <w:sz w:val="21"/>
                <w:szCs w:val="21"/>
                <w:highlight w:val="none"/>
                <w:vertAlign w:val="superscript"/>
                <w:lang w:val="en-US" w:eastAsia="zh-CN"/>
              </w:rPr>
              <w:t>3</w:t>
            </w:r>
          </w:p>
        </w:tc>
        <w:tc>
          <w:tcPr>
            <w:tcW w:w="2385" w:type="dxa"/>
            <w:vMerge w:val="continue"/>
            <w:tcBorders>
              <w:tl2br w:val="nil"/>
              <w:tr2bl w:val="nil"/>
            </w:tcBorders>
            <w:vAlign w:val="center"/>
          </w:tcPr>
          <w:p w14:paraId="690718A6">
            <w:pPr>
              <w:widowControl/>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751C86F1">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2898F03F">
            <w:pPr>
              <w:widowControl/>
              <w:spacing w:line="360" w:lineRule="exact"/>
              <w:ind w:firstLine="0" w:firstLineChars="0"/>
              <w:jc w:val="center"/>
              <w:rPr>
                <w:rFonts w:cs="Times New Roman"/>
                <w:color w:val="auto"/>
                <w:sz w:val="21"/>
                <w:szCs w:val="21"/>
                <w:highlight w:val="none"/>
              </w:rPr>
            </w:pPr>
          </w:p>
        </w:tc>
      </w:tr>
      <w:tr w14:paraId="53CFC44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5859E220">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5E9B5E67">
            <w:pPr>
              <w:widowControl/>
              <w:spacing w:line="360" w:lineRule="exact"/>
              <w:ind w:firstLine="0" w:firstLineChars="0"/>
              <w:jc w:val="center"/>
              <w:rPr>
                <w:rFonts w:cs="Times New Roman"/>
                <w:color w:val="auto"/>
                <w:sz w:val="21"/>
                <w:szCs w:val="21"/>
                <w:highlight w:val="none"/>
              </w:rPr>
            </w:pPr>
          </w:p>
        </w:tc>
        <w:tc>
          <w:tcPr>
            <w:tcW w:w="731" w:type="dxa"/>
            <w:vMerge w:val="continue"/>
            <w:tcBorders>
              <w:tl2br w:val="nil"/>
              <w:tr2bl w:val="nil"/>
            </w:tcBorders>
            <w:vAlign w:val="center"/>
          </w:tcPr>
          <w:p w14:paraId="62B7FC56">
            <w:pPr>
              <w:spacing w:line="360" w:lineRule="exact"/>
              <w:ind w:firstLine="0" w:firstLineChars="0"/>
              <w:jc w:val="center"/>
              <w:rPr>
                <w:rFonts w:cs="Times New Roman"/>
                <w:color w:val="auto"/>
                <w:sz w:val="21"/>
                <w:szCs w:val="21"/>
                <w:highlight w:val="none"/>
              </w:rPr>
            </w:pPr>
          </w:p>
        </w:tc>
        <w:tc>
          <w:tcPr>
            <w:tcW w:w="1134" w:type="dxa"/>
            <w:tcBorders>
              <w:tl2br w:val="nil"/>
              <w:tr2bl w:val="nil"/>
            </w:tcBorders>
            <w:vAlign w:val="center"/>
          </w:tcPr>
          <w:p w14:paraId="46D44B8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硫化氢</w:t>
            </w:r>
          </w:p>
        </w:tc>
        <w:tc>
          <w:tcPr>
            <w:tcW w:w="3424" w:type="dxa"/>
            <w:vMerge w:val="continue"/>
            <w:tcBorders>
              <w:tl2br w:val="nil"/>
              <w:tr2bl w:val="nil"/>
            </w:tcBorders>
            <w:vAlign w:val="center"/>
          </w:tcPr>
          <w:p w14:paraId="344B66D6">
            <w:pPr>
              <w:widowControl/>
              <w:spacing w:line="360" w:lineRule="exact"/>
              <w:ind w:firstLine="0" w:firstLineChars="0"/>
              <w:jc w:val="center"/>
              <w:rPr>
                <w:rFonts w:cs="Times New Roman"/>
                <w:color w:val="auto"/>
                <w:sz w:val="21"/>
                <w:szCs w:val="21"/>
                <w:highlight w:val="none"/>
              </w:rPr>
            </w:pPr>
          </w:p>
        </w:tc>
        <w:tc>
          <w:tcPr>
            <w:tcW w:w="1493" w:type="dxa"/>
            <w:tcBorders>
              <w:tl2br w:val="nil"/>
              <w:tr2bl w:val="nil"/>
            </w:tcBorders>
            <w:vAlign w:val="center"/>
          </w:tcPr>
          <w:p w14:paraId="1E1BD94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shd w:val="clear" w:color="auto" w:fill="auto"/>
            <w:vAlign w:val="center"/>
          </w:tcPr>
          <w:p w14:paraId="67C13CE5">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2.8</w:t>
            </w:r>
            <w:r>
              <w:rPr>
                <w:rFonts w:cs="Times New Roman"/>
                <w:color w:val="auto"/>
                <w:sz w:val="21"/>
                <w:szCs w:val="21"/>
                <w:highlight w:val="none"/>
                <w:lang w:val="zh-CN"/>
              </w:rPr>
              <w:t>×10</w:t>
            </w:r>
            <w:r>
              <w:rPr>
                <w:rFonts w:cs="Times New Roman"/>
                <w:color w:val="auto"/>
                <w:sz w:val="21"/>
                <w:szCs w:val="21"/>
                <w:highlight w:val="none"/>
                <w:vertAlign w:val="superscript"/>
                <w:lang w:val="zh-CN"/>
              </w:rPr>
              <w:t>-</w:t>
            </w:r>
            <w:r>
              <w:rPr>
                <w:rFonts w:hint="eastAsia" w:cs="Times New Roman"/>
                <w:color w:val="auto"/>
                <w:sz w:val="21"/>
                <w:szCs w:val="21"/>
                <w:highlight w:val="none"/>
                <w:vertAlign w:val="superscript"/>
                <w:lang w:val="en-US" w:eastAsia="zh-CN"/>
              </w:rPr>
              <w:t>4</w:t>
            </w:r>
          </w:p>
        </w:tc>
        <w:tc>
          <w:tcPr>
            <w:tcW w:w="2385" w:type="dxa"/>
            <w:vMerge w:val="continue"/>
            <w:tcBorders>
              <w:tl2br w:val="nil"/>
              <w:tr2bl w:val="nil"/>
            </w:tcBorders>
            <w:vAlign w:val="center"/>
          </w:tcPr>
          <w:p w14:paraId="1BCFAB97">
            <w:pPr>
              <w:widowControl/>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06D35EB9">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43437164">
            <w:pPr>
              <w:widowControl/>
              <w:spacing w:line="360" w:lineRule="exact"/>
              <w:ind w:firstLine="0" w:firstLineChars="0"/>
              <w:jc w:val="center"/>
              <w:rPr>
                <w:rFonts w:cs="Times New Roman"/>
                <w:color w:val="auto"/>
                <w:sz w:val="21"/>
                <w:szCs w:val="21"/>
                <w:highlight w:val="none"/>
              </w:rPr>
            </w:pPr>
          </w:p>
        </w:tc>
      </w:tr>
      <w:tr w14:paraId="7B9A532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3CBAE2DB">
            <w:pPr>
              <w:widowControl/>
              <w:spacing w:line="360" w:lineRule="exact"/>
              <w:ind w:firstLine="0" w:firstLineChars="0"/>
              <w:jc w:val="center"/>
              <w:rPr>
                <w:rFonts w:cs="Times New Roman"/>
                <w:color w:val="auto"/>
                <w:sz w:val="21"/>
                <w:szCs w:val="21"/>
                <w:highlight w:val="none"/>
              </w:rPr>
            </w:pPr>
          </w:p>
        </w:tc>
        <w:tc>
          <w:tcPr>
            <w:tcW w:w="480" w:type="dxa"/>
            <w:vMerge w:val="continue"/>
            <w:tcBorders>
              <w:tl2br w:val="nil"/>
              <w:tr2bl w:val="nil"/>
            </w:tcBorders>
            <w:vAlign w:val="center"/>
          </w:tcPr>
          <w:p w14:paraId="588E73A3">
            <w:pPr>
              <w:widowControl/>
              <w:spacing w:line="360" w:lineRule="exact"/>
              <w:ind w:firstLine="0" w:firstLineChars="0"/>
              <w:jc w:val="center"/>
              <w:rPr>
                <w:rFonts w:cs="Times New Roman"/>
                <w:color w:val="auto"/>
                <w:sz w:val="21"/>
                <w:szCs w:val="21"/>
                <w:highlight w:val="none"/>
              </w:rPr>
            </w:pPr>
          </w:p>
        </w:tc>
        <w:tc>
          <w:tcPr>
            <w:tcW w:w="731" w:type="dxa"/>
            <w:tcBorders>
              <w:tl2br w:val="nil"/>
              <w:tr2bl w:val="nil"/>
            </w:tcBorders>
            <w:vAlign w:val="center"/>
          </w:tcPr>
          <w:p w14:paraId="262FE9F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固废暂存间</w:t>
            </w:r>
          </w:p>
        </w:tc>
        <w:tc>
          <w:tcPr>
            <w:tcW w:w="1134" w:type="dxa"/>
            <w:tcBorders>
              <w:tl2br w:val="nil"/>
              <w:tr2bl w:val="nil"/>
            </w:tcBorders>
            <w:vAlign w:val="center"/>
          </w:tcPr>
          <w:p w14:paraId="4F6C4DC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恶臭</w:t>
            </w:r>
          </w:p>
        </w:tc>
        <w:tc>
          <w:tcPr>
            <w:tcW w:w="3424" w:type="dxa"/>
            <w:tcBorders>
              <w:tl2br w:val="nil"/>
              <w:tr2bl w:val="nil"/>
            </w:tcBorders>
            <w:vAlign w:val="center"/>
          </w:tcPr>
          <w:p w14:paraId="2F3EC8D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各储存池密封</w:t>
            </w:r>
          </w:p>
        </w:tc>
        <w:tc>
          <w:tcPr>
            <w:tcW w:w="1493" w:type="dxa"/>
            <w:tcBorders>
              <w:tl2br w:val="nil"/>
              <w:tr2bl w:val="nil"/>
            </w:tcBorders>
            <w:vAlign w:val="center"/>
          </w:tcPr>
          <w:p w14:paraId="174F0D0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20DCE2D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30918318">
            <w:pPr>
              <w:widowControl/>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130F394F">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1C0804F4">
            <w:pPr>
              <w:widowControl/>
              <w:spacing w:line="360" w:lineRule="exact"/>
              <w:ind w:firstLine="0" w:firstLineChars="0"/>
              <w:jc w:val="center"/>
              <w:rPr>
                <w:rFonts w:cs="Times New Roman"/>
                <w:color w:val="auto"/>
                <w:sz w:val="21"/>
                <w:szCs w:val="21"/>
                <w:highlight w:val="none"/>
              </w:rPr>
            </w:pPr>
          </w:p>
        </w:tc>
      </w:tr>
      <w:tr w14:paraId="72A0811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1653" w:hRule="atLeast"/>
          <w:jc w:val="center"/>
        </w:trPr>
        <w:tc>
          <w:tcPr>
            <w:tcW w:w="666" w:type="dxa"/>
            <w:vMerge w:val="restart"/>
            <w:tcBorders>
              <w:tl2br w:val="nil"/>
              <w:tr2bl w:val="nil"/>
            </w:tcBorders>
            <w:vAlign w:val="center"/>
          </w:tcPr>
          <w:p w14:paraId="6F6E8E0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w:t>
            </w:r>
          </w:p>
        </w:tc>
        <w:tc>
          <w:tcPr>
            <w:tcW w:w="2345" w:type="dxa"/>
            <w:gridSpan w:val="3"/>
            <w:tcBorders>
              <w:tl2br w:val="nil"/>
              <w:tr2bl w:val="nil"/>
            </w:tcBorders>
            <w:vAlign w:val="center"/>
          </w:tcPr>
          <w:p w14:paraId="35AC55C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设备</w:t>
            </w:r>
          </w:p>
        </w:tc>
        <w:tc>
          <w:tcPr>
            <w:tcW w:w="3424" w:type="dxa"/>
            <w:tcBorders>
              <w:tl2br w:val="nil"/>
              <w:tr2bl w:val="nil"/>
            </w:tcBorders>
            <w:vAlign w:val="center"/>
          </w:tcPr>
          <w:p w14:paraId="2140658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低噪声设备、封闭厂房、消声、减振</w:t>
            </w:r>
          </w:p>
        </w:tc>
        <w:tc>
          <w:tcPr>
            <w:tcW w:w="1493" w:type="dxa"/>
            <w:tcBorders>
              <w:tl2br w:val="nil"/>
              <w:tr2bl w:val="nil"/>
            </w:tcBorders>
            <w:vAlign w:val="center"/>
          </w:tcPr>
          <w:p w14:paraId="402A414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421DD2A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restart"/>
            <w:tcBorders>
              <w:tl2br w:val="nil"/>
              <w:tr2bl w:val="nil"/>
            </w:tcBorders>
            <w:vAlign w:val="center"/>
          </w:tcPr>
          <w:p w14:paraId="494F491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《工业企业厂界环境噪声排放标准》（GB12348-2008）中</w:t>
            </w:r>
            <w:r>
              <w:rPr>
                <w:rFonts w:hint="eastAsia" w:cs="Times New Roman"/>
                <w:color w:val="auto"/>
                <w:sz w:val="21"/>
                <w:szCs w:val="21"/>
                <w:highlight w:val="none"/>
                <w:lang w:val="en-US" w:eastAsia="zh-CN"/>
              </w:rPr>
              <w:t>2</w:t>
            </w:r>
            <w:r>
              <w:rPr>
                <w:rFonts w:cs="Times New Roman"/>
                <w:color w:val="auto"/>
                <w:sz w:val="21"/>
                <w:szCs w:val="21"/>
                <w:highlight w:val="none"/>
              </w:rPr>
              <w:t>类标准</w:t>
            </w:r>
          </w:p>
        </w:tc>
        <w:tc>
          <w:tcPr>
            <w:tcW w:w="1792" w:type="dxa"/>
            <w:tcBorders>
              <w:tl2br w:val="nil"/>
              <w:tr2bl w:val="nil"/>
            </w:tcBorders>
            <w:vAlign w:val="center"/>
          </w:tcPr>
          <w:p w14:paraId="14637AA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restart"/>
            <w:tcBorders>
              <w:tl2br w:val="nil"/>
              <w:tr2bl w:val="nil"/>
            </w:tcBorders>
            <w:vAlign w:val="center"/>
          </w:tcPr>
          <w:p w14:paraId="518881E9">
            <w:pPr>
              <w:spacing w:line="360" w:lineRule="exact"/>
              <w:ind w:firstLine="0" w:firstLineChars="0"/>
              <w:jc w:val="center"/>
              <w:rPr>
                <w:rFonts w:cs="Times New Roman"/>
                <w:color w:val="auto"/>
                <w:sz w:val="21"/>
                <w:szCs w:val="21"/>
                <w:highlight w:val="none"/>
              </w:rPr>
            </w:pPr>
          </w:p>
          <w:p w14:paraId="2B95DDC5">
            <w:pPr>
              <w:spacing w:line="360" w:lineRule="exact"/>
              <w:ind w:firstLine="0" w:firstLineChars="0"/>
              <w:jc w:val="center"/>
              <w:rPr>
                <w:rFonts w:cs="Times New Roman"/>
                <w:color w:val="auto"/>
                <w:sz w:val="21"/>
                <w:szCs w:val="21"/>
                <w:highlight w:val="none"/>
              </w:rPr>
            </w:pPr>
          </w:p>
          <w:p w14:paraId="71706F47">
            <w:pPr>
              <w:pStyle w:val="82"/>
              <w:spacing w:line="360" w:lineRule="exact"/>
              <w:ind w:firstLine="420"/>
              <w:rPr>
                <w:rFonts w:ascii="Times New Roman" w:hAnsi="Times New Roman" w:cs="Times New Roman"/>
                <w:color w:val="auto"/>
                <w:sz w:val="21"/>
                <w:szCs w:val="21"/>
                <w:highlight w:val="none"/>
              </w:rPr>
            </w:pPr>
          </w:p>
          <w:p w14:paraId="2CC88D7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drawing>
                <wp:anchor distT="0" distB="0" distL="114300" distR="114300" simplePos="0" relativeHeight="251674624" behindDoc="0" locked="0" layoutInCell="1" allowOverlap="1">
                  <wp:simplePos x="0" y="0"/>
                  <wp:positionH relativeFrom="column">
                    <wp:posOffset>116205</wp:posOffset>
                  </wp:positionH>
                  <wp:positionV relativeFrom="paragraph">
                    <wp:posOffset>-600710</wp:posOffset>
                  </wp:positionV>
                  <wp:extent cx="866775" cy="731520"/>
                  <wp:effectExtent l="0" t="0" r="9525" b="11430"/>
                  <wp:wrapNone/>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69"/>
                          <a:stretch>
                            <a:fillRect/>
                          </a:stretch>
                        </pic:blipFill>
                        <pic:spPr>
                          <a:xfrm>
                            <a:off x="0" y="0"/>
                            <a:ext cx="866775" cy="731520"/>
                          </a:xfrm>
                          <a:prstGeom prst="rect">
                            <a:avLst/>
                          </a:prstGeom>
                          <a:noFill/>
                          <a:ln>
                            <a:noFill/>
                          </a:ln>
                        </pic:spPr>
                      </pic:pic>
                    </a:graphicData>
                  </a:graphic>
                </wp:anchor>
              </w:drawing>
            </w:r>
          </w:p>
          <w:p w14:paraId="7D51FAC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drawing>
                <wp:anchor distT="0" distB="0" distL="114300" distR="114300" simplePos="0" relativeHeight="251675648" behindDoc="0" locked="0" layoutInCell="1" allowOverlap="1">
                  <wp:simplePos x="0" y="0"/>
                  <wp:positionH relativeFrom="column">
                    <wp:posOffset>116205</wp:posOffset>
                  </wp:positionH>
                  <wp:positionV relativeFrom="paragraph">
                    <wp:posOffset>215265</wp:posOffset>
                  </wp:positionV>
                  <wp:extent cx="866140" cy="675005"/>
                  <wp:effectExtent l="0" t="0" r="10160" b="10795"/>
                  <wp:wrapNone/>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70"/>
                          <a:stretch>
                            <a:fillRect/>
                          </a:stretch>
                        </pic:blipFill>
                        <pic:spPr>
                          <a:xfrm>
                            <a:off x="0" y="0"/>
                            <a:ext cx="866140" cy="675005"/>
                          </a:xfrm>
                          <a:prstGeom prst="rect">
                            <a:avLst/>
                          </a:prstGeom>
                          <a:noFill/>
                          <a:ln>
                            <a:noFill/>
                          </a:ln>
                        </pic:spPr>
                      </pic:pic>
                    </a:graphicData>
                  </a:graphic>
                </wp:anchor>
              </w:drawing>
            </w:r>
            <w:r>
              <w:rPr>
                <w:rFonts w:cs="Times New Roman"/>
                <w:color w:val="auto"/>
                <w:sz w:val="21"/>
                <w:szCs w:val="21"/>
                <w:highlight w:val="none"/>
              </w:rPr>
              <w:t>提示图形符号</w:t>
            </w:r>
          </w:p>
          <w:p w14:paraId="0B1DDA0E">
            <w:pPr>
              <w:pStyle w:val="82"/>
              <w:spacing w:line="360" w:lineRule="exact"/>
              <w:ind w:firstLine="420"/>
              <w:rPr>
                <w:rFonts w:ascii="Times New Roman" w:hAnsi="Times New Roman" w:cs="Times New Roman"/>
                <w:color w:val="auto"/>
                <w:sz w:val="21"/>
                <w:szCs w:val="21"/>
                <w:highlight w:val="none"/>
              </w:rPr>
            </w:pPr>
          </w:p>
          <w:p w14:paraId="7A2F70FF">
            <w:pPr>
              <w:spacing w:line="360" w:lineRule="exact"/>
              <w:ind w:firstLine="420"/>
              <w:rPr>
                <w:rFonts w:cs="Times New Roman"/>
                <w:color w:val="auto"/>
                <w:sz w:val="21"/>
                <w:szCs w:val="21"/>
                <w:highlight w:val="none"/>
              </w:rPr>
            </w:pPr>
          </w:p>
          <w:p w14:paraId="7DC2B33D">
            <w:pPr>
              <w:spacing w:line="360" w:lineRule="exact"/>
              <w:ind w:firstLine="0" w:firstLineChars="0"/>
              <w:jc w:val="center"/>
              <w:rPr>
                <w:rFonts w:cs="Times New Roman"/>
                <w:color w:val="auto"/>
                <w:sz w:val="21"/>
                <w:szCs w:val="21"/>
                <w:highlight w:val="none"/>
              </w:rPr>
            </w:pPr>
          </w:p>
          <w:p w14:paraId="317A6ED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警示图形符号</w:t>
            </w:r>
          </w:p>
        </w:tc>
      </w:tr>
      <w:tr w14:paraId="1257BAE7">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1576" w:hRule="atLeast"/>
          <w:jc w:val="center"/>
        </w:trPr>
        <w:tc>
          <w:tcPr>
            <w:tcW w:w="666" w:type="dxa"/>
            <w:vMerge w:val="continue"/>
            <w:tcBorders>
              <w:tl2br w:val="nil"/>
              <w:tr2bl w:val="nil"/>
            </w:tcBorders>
            <w:vAlign w:val="center"/>
          </w:tcPr>
          <w:p w14:paraId="103D6722">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403795A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嚎叫</w:t>
            </w:r>
          </w:p>
        </w:tc>
        <w:tc>
          <w:tcPr>
            <w:tcW w:w="3424" w:type="dxa"/>
            <w:tcBorders>
              <w:tl2br w:val="nil"/>
              <w:tr2bl w:val="nil"/>
            </w:tcBorders>
            <w:vAlign w:val="center"/>
          </w:tcPr>
          <w:p w14:paraId="26144FC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厂房隔声</w:t>
            </w:r>
          </w:p>
        </w:tc>
        <w:tc>
          <w:tcPr>
            <w:tcW w:w="1493" w:type="dxa"/>
            <w:tcBorders>
              <w:tl2br w:val="nil"/>
              <w:tr2bl w:val="nil"/>
            </w:tcBorders>
            <w:vAlign w:val="center"/>
          </w:tcPr>
          <w:p w14:paraId="3194E69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0B56B7F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0B8574A6">
            <w:pPr>
              <w:spacing w:line="360" w:lineRule="exact"/>
              <w:ind w:firstLine="0" w:firstLineChars="0"/>
              <w:jc w:val="center"/>
              <w:rPr>
                <w:rFonts w:cs="Times New Roman"/>
                <w:color w:val="auto"/>
                <w:sz w:val="21"/>
                <w:szCs w:val="21"/>
                <w:highlight w:val="none"/>
              </w:rPr>
            </w:pPr>
          </w:p>
        </w:tc>
        <w:tc>
          <w:tcPr>
            <w:tcW w:w="1792" w:type="dxa"/>
            <w:tcBorders>
              <w:tl2br w:val="nil"/>
              <w:tr2bl w:val="nil"/>
            </w:tcBorders>
            <w:vAlign w:val="center"/>
          </w:tcPr>
          <w:p w14:paraId="5EE0FEB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continue"/>
            <w:tcBorders>
              <w:tl2br w:val="nil"/>
              <w:tr2bl w:val="nil"/>
            </w:tcBorders>
            <w:vAlign w:val="center"/>
          </w:tcPr>
          <w:p w14:paraId="19B8C259">
            <w:pPr>
              <w:spacing w:line="360" w:lineRule="exact"/>
              <w:ind w:firstLine="0" w:firstLineChars="0"/>
              <w:jc w:val="center"/>
              <w:rPr>
                <w:rFonts w:cs="Times New Roman"/>
                <w:color w:val="auto"/>
                <w:sz w:val="21"/>
                <w:szCs w:val="21"/>
                <w:highlight w:val="none"/>
              </w:rPr>
            </w:pPr>
          </w:p>
        </w:tc>
      </w:tr>
      <w:tr w14:paraId="04B9A21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324" w:hRule="atLeast"/>
          <w:jc w:val="center"/>
        </w:trPr>
        <w:tc>
          <w:tcPr>
            <w:tcW w:w="666" w:type="dxa"/>
            <w:vMerge w:val="restart"/>
            <w:tcBorders>
              <w:tl2br w:val="nil"/>
              <w:tr2bl w:val="nil"/>
            </w:tcBorders>
            <w:vAlign w:val="center"/>
          </w:tcPr>
          <w:p w14:paraId="42341DD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固体废物</w:t>
            </w:r>
          </w:p>
        </w:tc>
        <w:tc>
          <w:tcPr>
            <w:tcW w:w="2345" w:type="dxa"/>
            <w:gridSpan w:val="3"/>
            <w:tcBorders>
              <w:tl2br w:val="nil"/>
              <w:tr2bl w:val="nil"/>
            </w:tcBorders>
            <w:vAlign w:val="center"/>
          </w:tcPr>
          <w:p w14:paraId="387C7AF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3424" w:type="dxa"/>
            <w:tcBorders>
              <w:tl2br w:val="nil"/>
              <w:tr2bl w:val="nil"/>
            </w:tcBorders>
            <w:vAlign w:val="center"/>
          </w:tcPr>
          <w:p w14:paraId="08F321E7">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由市政环卫部门统一清运</w:t>
            </w:r>
          </w:p>
        </w:tc>
        <w:tc>
          <w:tcPr>
            <w:tcW w:w="1493" w:type="dxa"/>
            <w:tcBorders>
              <w:tl2br w:val="nil"/>
              <w:tr2bl w:val="nil"/>
            </w:tcBorders>
            <w:vAlign w:val="center"/>
          </w:tcPr>
          <w:p w14:paraId="41052B3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395459B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restart"/>
            <w:tcBorders>
              <w:tl2br w:val="nil"/>
              <w:tr2bl w:val="nil"/>
            </w:tcBorders>
            <w:vAlign w:val="center"/>
          </w:tcPr>
          <w:p w14:paraId="7915AC8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100%处置</w:t>
            </w:r>
          </w:p>
        </w:tc>
        <w:tc>
          <w:tcPr>
            <w:tcW w:w="1792" w:type="dxa"/>
            <w:vMerge w:val="restart"/>
            <w:tcBorders>
              <w:tl2br w:val="nil"/>
              <w:tr2bl w:val="nil"/>
            </w:tcBorders>
            <w:vAlign w:val="center"/>
          </w:tcPr>
          <w:p w14:paraId="00BDEBB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792" w:type="dxa"/>
            <w:vMerge w:val="restart"/>
            <w:tcBorders>
              <w:tl2br w:val="nil"/>
              <w:tr2bl w:val="nil"/>
            </w:tcBorders>
            <w:vAlign w:val="center"/>
          </w:tcPr>
          <w:p w14:paraId="669AEFB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52A29DF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324" w:hRule="atLeast"/>
          <w:jc w:val="center"/>
        </w:trPr>
        <w:tc>
          <w:tcPr>
            <w:tcW w:w="666" w:type="dxa"/>
            <w:vMerge w:val="continue"/>
            <w:tcBorders>
              <w:tl2br w:val="nil"/>
              <w:tr2bl w:val="nil"/>
            </w:tcBorders>
            <w:vAlign w:val="center"/>
          </w:tcPr>
          <w:p w14:paraId="091A3D68">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13BE607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检疫不合格品</w:t>
            </w:r>
          </w:p>
        </w:tc>
        <w:tc>
          <w:tcPr>
            <w:tcW w:w="3424" w:type="dxa"/>
            <w:vMerge w:val="restart"/>
            <w:tcBorders>
              <w:tl2br w:val="nil"/>
              <w:tr2bl w:val="nil"/>
            </w:tcBorders>
            <w:vAlign w:val="center"/>
          </w:tcPr>
          <w:p w14:paraId="71D8C52E">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委托</w:t>
            </w:r>
            <w:r>
              <w:rPr>
                <w:rFonts w:hint="eastAsia" w:cs="Times New Roman"/>
                <w:color w:val="auto"/>
                <w:sz w:val="21"/>
                <w:szCs w:val="21"/>
                <w:highlight w:val="none"/>
                <w:lang w:eastAsia="zh-CN"/>
              </w:rPr>
              <w:t>双鸭山百奥迈斯生物科技有限公司</w:t>
            </w:r>
            <w:r>
              <w:rPr>
                <w:rFonts w:hint="eastAsia" w:cs="Times New Roman"/>
                <w:color w:val="auto"/>
                <w:sz w:val="21"/>
                <w:szCs w:val="21"/>
                <w:highlight w:val="none"/>
                <w:lang w:val="en-US" w:eastAsia="zh-CN"/>
              </w:rPr>
              <w:t>处置</w:t>
            </w:r>
          </w:p>
        </w:tc>
        <w:tc>
          <w:tcPr>
            <w:tcW w:w="1493" w:type="dxa"/>
            <w:tcBorders>
              <w:tl2br w:val="nil"/>
              <w:tr2bl w:val="nil"/>
            </w:tcBorders>
            <w:vAlign w:val="center"/>
          </w:tcPr>
          <w:p w14:paraId="587C0C8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2E25529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69E0FAE9">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0DAE419">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7F142C52">
            <w:pPr>
              <w:spacing w:line="360" w:lineRule="exact"/>
              <w:ind w:firstLine="0" w:firstLineChars="0"/>
              <w:jc w:val="center"/>
              <w:rPr>
                <w:rFonts w:cs="Times New Roman"/>
                <w:color w:val="auto"/>
                <w:sz w:val="21"/>
                <w:szCs w:val="21"/>
                <w:highlight w:val="none"/>
              </w:rPr>
            </w:pPr>
          </w:p>
        </w:tc>
      </w:tr>
      <w:tr w14:paraId="336FE81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324" w:hRule="atLeast"/>
          <w:jc w:val="center"/>
        </w:trPr>
        <w:tc>
          <w:tcPr>
            <w:tcW w:w="666" w:type="dxa"/>
            <w:vMerge w:val="continue"/>
            <w:tcBorders>
              <w:tl2br w:val="nil"/>
              <w:tr2bl w:val="nil"/>
            </w:tcBorders>
            <w:vAlign w:val="center"/>
          </w:tcPr>
          <w:p w14:paraId="76597141">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6517FA4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病死牛羊</w:t>
            </w:r>
          </w:p>
        </w:tc>
        <w:tc>
          <w:tcPr>
            <w:tcW w:w="3424" w:type="dxa"/>
            <w:vMerge w:val="continue"/>
            <w:tcBorders>
              <w:tl2br w:val="nil"/>
              <w:tr2bl w:val="nil"/>
            </w:tcBorders>
            <w:vAlign w:val="center"/>
          </w:tcPr>
          <w:p w14:paraId="4F18E2AA">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vAlign w:val="center"/>
          </w:tcPr>
          <w:p w14:paraId="4E34272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5AE9413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29D1C306">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65923B8">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3EBE8ADF">
            <w:pPr>
              <w:spacing w:line="360" w:lineRule="exact"/>
              <w:ind w:firstLine="0" w:firstLineChars="0"/>
              <w:jc w:val="center"/>
              <w:rPr>
                <w:rFonts w:cs="Times New Roman"/>
                <w:color w:val="auto"/>
                <w:sz w:val="21"/>
                <w:szCs w:val="21"/>
                <w:highlight w:val="none"/>
              </w:rPr>
            </w:pPr>
          </w:p>
        </w:tc>
      </w:tr>
      <w:tr w14:paraId="0581F904">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0468C9C1">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4F8373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边角料</w:t>
            </w:r>
          </w:p>
        </w:tc>
        <w:tc>
          <w:tcPr>
            <w:tcW w:w="3424" w:type="dxa"/>
            <w:vMerge w:val="restart"/>
            <w:tcBorders>
              <w:tl2br w:val="nil"/>
              <w:tr2bl w:val="nil"/>
            </w:tcBorders>
            <w:vAlign w:val="center"/>
          </w:tcPr>
          <w:p w14:paraId="20EB24D6">
            <w:pPr>
              <w:spacing w:line="360" w:lineRule="exact"/>
              <w:ind w:firstLine="0" w:firstLineChars="0"/>
              <w:jc w:val="center"/>
              <w:rPr>
                <w:rFonts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外售作为</w:t>
            </w:r>
            <w:r>
              <w:rPr>
                <w:rFonts w:ascii="Times New Roman" w:hAnsi="Times New Roman" w:eastAsia="宋体" w:cs="Times New Roman"/>
                <w:color w:val="auto"/>
                <w:sz w:val="21"/>
                <w:szCs w:val="21"/>
                <w:highlight w:val="none"/>
              </w:rPr>
              <w:t>优质的有机肥原料</w:t>
            </w:r>
          </w:p>
        </w:tc>
        <w:tc>
          <w:tcPr>
            <w:tcW w:w="1493" w:type="dxa"/>
            <w:tcBorders>
              <w:tl2br w:val="nil"/>
              <w:tr2bl w:val="nil"/>
            </w:tcBorders>
            <w:vAlign w:val="center"/>
          </w:tcPr>
          <w:p w14:paraId="32721E9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4528276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4DB11521">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3E9BE438">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0691DFBD">
            <w:pPr>
              <w:spacing w:line="360" w:lineRule="exact"/>
              <w:ind w:firstLine="0" w:firstLineChars="0"/>
              <w:jc w:val="center"/>
              <w:rPr>
                <w:rFonts w:cs="Times New Roman"/>
                <w:color w:val="auto"/>
                <w:sz w:val="21"/>
                <w:szCs w:val="21"/>
                <w:highlight w:val="none"/>
              </w:rPr>
            </w:pPr>
          </w:p>
        </w:tc>
      </w:tr>
      <w:tr w14:paraId="0A4C65F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412F1B8C">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0B5D04A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胃容物及肠内物</w:t>
            </w:r>
          </w:p>
        </w:tc>
        <w:tc>
          <w:tcPr>
            <w:tcW w:w="3424" w:type="dxa"/>
            <w:vMerge w:val="continue"/>
            <w:tcBorders>
              <w:tl2br w:val="nil"/>
              <w:tr2bl w:val="nil"/>
            </w:tcBorders>
            <w:vAlign w:val="center"/>
          </w:tcPr>
          <w:p w14:paraId="45C581B0">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vAlign w:val="center"/>
          </w:tcPr>
          <w:p w14:paraId="0AF6D25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342444A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06946EF3">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080F56CA">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5CCCB6D">
            <w:pPr>
              <w:spacing w:line="360" w:lineRule="exact"/>
              <w:ind w:firstLine="0" w:firstLineChars="0"/>
              <w:jc w:val="center"/>
              <w:rPr>
                <w:rFonts w:cs="Times New Roman"/>
                <w:color w:val="auto"/>
                <w:sz w:val="21"/>
                <w:szCs w:val="21"/>
                <w:highlight w:val="none"/>
              </w:rPr>
            </w:pPr>
          </w:p>
        </w:tc>
      </w:tr>
      <w:tr w14:paraId="4AAD477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90" w:hRule="atLeast"/>
          <w:jc w:val="center"/>
        </w:trPr>
        <w:tc>
          <w:tcPr>
            <w:tcW w:w="666" w:type="dxa"/>
            <w:vMerge w:val="continue"/>
            <w:tcBorders>
              <w:tl2br w:val="nil"/>
              <w:tr2bl w:val="nil"/>
            </w:tcBorders>
            <w:vAlign w:val="center"/>
          </w:tcPr>
          <w:p w14:paraId="74BB2F0D">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597315F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粪便</w:t>
            </w:r>
          </w:p>
        </w:tc>
        <w:tc>
          <w:tcPr>
            <w:tcW w:w="3424" w:type="dxa"/>
            <w:vMerge w:val="continue"/>
            <w:tcBorders>
              <w:tl2br w:val="nil"/>
              <w:tr2bl w:val="nil"/>
            </w:tcBorders>
            <w:vAlign w:val="center"/>
          </w:tcPr>
          <w:p w14:paraId="471E9CD1">
            <w:pPr>
              <w:spacing w:line="360" w:lineRule="exact"/>
              <w:ind w:firstLine="0" w:firstLineChars="0"/>
              <w:jc w:val="center"/>
              <w:rPr>
                <w:rFonts w:cs="Times New Roman"/>
                <w:color w:val="auto"/>
                <w:sz w:val="21"/>
                <w:szCs w:val="21"/>
                <w:highlight w:val="none"/>
              </w:rPr>
            </w:pPr>
          </w:p>
        </w:tc>
        <w:tc>
          <w:tcPr>
            <w:tcW w:w="1493" w:type="dxa"/>
            <w:tcBorders>
              <w:tl2br w:val="nil"/>
              <w:tr2bl w:val="nil"/>
            </w:tcBorders>
            <w:vAlign w:val="center"/>
          </w:tcPr>
          <w:p w14:paraId="2B2D1F8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6539A7F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4F95DACF">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35D0CEF8">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7178457C">
            <w:pPr>
              <w:spacing w:line="360" w:lineRule="exact"/>
              <w:ind w:firstLine="0" w:firstLineChars="0"/>
              <w:jc w:val="center"/>
              <w:rPr>
                <w:rFonts w:cs="Times New Roman"/>
                <w:color w:val="auto"/>
                <w:sz w:val="21"/>
                <w:szCs w:val="21"/>
                <w:highlight w:val="none"/>
              </w:rPr>
            </w:pPr>
          </w:p>
        </w:tc>
      </w:tr>
      <w:tr w14:paraId="5A51F1D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90" w:hRule="atLeast"/>
          <w:jc w:val="center"/>
        </w:trPr>
        <w:tc>
          <w:tcPr>
            <w:tcW w:w="666" w:type="dxa"/>
            <w:vMerge w:val="continue"/>
            <w:tcBorders>
              <w:tl2br w:val="nil"/>
              <w:tr2bl w:val="nil"/>
            </w:tcBorders>
            <w:vAlign w:val="center"/>
          </w:tcPr>
          <w:p w14:paraId="1F8C5CB2">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1D33260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废包装</w:t>
            </w:r>
          </w:p>
        </w:tc>
        <w:tc>
          <w:tcPr>
            <w:tcW w:w="3424" w:type="dxa"/>
            <w:tcBorders>
              <w:tl2br w:val="nil"/>
              <w:tr2bl w:val="nil"/>
            </w:tcBorders>
            <w:vAlign w:val="center"/>
          </w:tcPr>
          <w:p w14:paraId="7575E8B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定期外售综合利用</w:t>
            </w:r>
          </w:p>
        </w:tc>
        <w:tc>
          <w:tcPr>
            <w:tcW w:w="1493" w:type="dxa"/>
            <w:tcBorders>
              <w:tl2br w:val="nil"/>
              <w:tr2bl w:val="nil"/>
            </w:tcBorders>
            <w:vAlign w:val="center"/>
          </w:tcPr>
          <w:p w14:paraId="7FE145E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048CA38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104EEE4B">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6DDA7FF7">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2D8C6226">
            <w:pPr>
              <w:spacing w:line="360" w:lineRule="exact"/>
              <w:ind w:firstLine="0" w:firstLineChars="0"/>
              <w:jc w:val="center"/>
              <w:rPr>
                <w:rFonts w:cs="Times New Roman"/>
                <w:color w:val="auto"/>
                <w:sz w:val="21"/>
                <w:szCs w:val="21"/>
                <w:highlight w:val="none"/>
              </w:rPr>
            </w:pPr>
          </w:p>
        </w:tc>
      </w:tr>
      <w:tr w14:paraId="5FB002D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90" w:hRule="atLeast"/>
          <w:jc w:val="center"/>
        </w:trPr>
        <w:tc>
          <w:tcPr>
            <w:tcW w:w="666" w:type="dxa"/>
            <w:vMerge w:val="continue"/>
            <w:tcBorders>
              <w:tl2br w:val="nil"/>
              <w:tr2bl w:val="nil"/>
            </w:tcBorders>
            <w:vAlign w:val="center"/>
          </w:tcPr>
          <w:p w14:paraId="4A19AB48">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3D60D5FF">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隔油池废油脂</w:t>
            </w:r>
          </w:p>
        </w:tc>
        <w:tc>
          <w:tcPr>
            <w:tcW w:w="3424" w:type="dxa"/>
            <w:tcBorders>
              <w:tl2br w:val="nil"/>
              <w:tr2bl w:val="nil"/>
            </w:tcBorders>
            <w:vAlign w:val="center"/>
          </w:tcPr>
          <w:p w14:paraId="138830D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收集后交由有能力处置单位进行运输处理</w:t>
            </w:r>
          </w:p>
        </w:tc>
        <w:tc>
          <w:tcPr>
            <w:tcW w:w="1493" w:type="dxa"/>
            <w:tcBorders>
              <w:tl2br w:val="nil"/>
              <w:tr2bl w:val="nil"/>
            </w:tcBorders>
            <w:vAlign w:val="center"/>
          </w:tcPr>
          <w:p w14:paraId="69135E8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493" w:type="dxa"/>
            <w:tcBorders>
              <w:tl2br w:val="nil"/>
              <w:tr2bl w:val="nil"/>
            </w:tcBorders>
            <w:vAlign w:val="center"/>
          </w:tcPr>
          <w:p w14:paraId="38FB98CE">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385" w:type="dxa"/>
            <w:vMerge w:val="continue"/>
            <w:tcBorders>
              <w:tl2br w:val="nil"/>
              <w:tr2bl w:val="nil"/>
            </w:tcBorders>
            <w:vAlign w:val="center"/>
          </w:tcPr>
          <w:p w14:paraId="790E298A">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6058F031">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CAFD5BD">
            <w:pPr>
              <w:spacing w:line="360" w:lineRule="exact"/>
              <w:ind w:firstLine="0" w:firstLineChars="0"/>
              <w:jc w:val="center"/>
              <w:rPr>
                <w:rFonts w:cs="Times New Roman"/>
                <w:color w:val="auto"/>
                <w:sz w:val="21"/>
                <w:szCs w:val="21"/>
                <w:highlight w:val="none"/>
              </w:rPr>
            </w:pPr>
          </w:p>
        </w:tc>
      </w:tr>
      <w:tr w14:paraId="79B09B4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2A2862B4">
            <w:pPr>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4B49A4B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脱水污泥（含栅渣）</w:t>
            </w:r>
          </w:p>
        </w:tc>
        <w:tc>
          <w:tcPr>
            <w:tcW w:w="3424" w:type="dxa"/>
            <w:tcBorders>
              <w:tl2br w:val="nil"/>
              <w:tr2bl w:val="nil"/>
            </w:tcBorders>
            <w:vAlign w:val="center"/>
          </w:tcPr>
          <w:p w14:paraId="116570A4">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送</w:t>
            </w:r>
            <w:r>
              <w:rPr>
                <w:rFonts w:hint="eastAsia" w:cs="Times New Roman"/>
                <w:color w:val="auto"/>
                <w:sz w:val="21"/>
                <w:szCs w:val="21"/>
                <w:highlight w:val="none"/>
                <w:lang w:val="en-US" w:eastAsia="zh-CN"/>
              </w:rPr>
              <w:t>至有能力处置单位进行处理</w:t>
            </w:r>
          </w:p>
        </w:tc>
        <w:tc>
          <w:tcPr>
            <w:tcW w:w="1493" w:type="dxa"/>
            <w:tcBorders>
              <w:tl2br w:val="nil"/>
              <w:tr2bl w:val="nil"/>
            </w:tcBorders>
            <w:vAlign w:val="center"/>
          </w:tcPr>
          <w:p w14:paraId="6F3FCCD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192B7B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30EED84E">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005CD667">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68F79353">
            <w:pPr>
              <w:spacing w:line="360" w:lineRule="exact"/>
              <w:ind w:firstLine="0" w:firstLineChars="0"/>
              <w:jc w:val="center"/>
              <w:rPr>
                <w:rFonts w:cs="Times New Roman"/>
                <w:color w:val="auto"/>
                <w:sz w:val="21"/>
                <w:szCs w:val="21"/>
                <w:highlight w:val="none"/>
              </w:rPr>
            </w:pPr>
          </w:p>
        </w:tc>
      </w:tr>
      <w:tr w14:paraId="22D905AA">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trHeight w:val="256" w:hRule="atLeast"/>
          <w:jc w:val="center"/>
        </w:trPr>
        <w:tc>
          <w:tcPr>
            <w:tcW w:w="666" w:type="dxa"/>
            <w:vMerge w:val="continue"/>
            <w:tcBorders>
              <w:tl2br w:val="nil"/>
              <w:tr2bl w:val="nil"/>
            </w:tcBorders>
            <w:vAlign w:val="center"/>
          </w:tcPr>
          <w:p w14:paraId="74A403B2">
            <w:pPr>
              <w:widowControl/>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218B0DF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废活性炭</w:t>
            </w:r>
          </w:p>
        </w:tc>
        <w:tc>
          <w:tcPr>
            <w:tcW w:w="3424" w:type="dxa"/>
            <w:tcBorders>
              <w:tl2br w:val="nil"/>
              <w:tr2bl w:val="nil"/>
            </w:tcBorders>
            <w:vAlign w:val="center"/>
          </w:tcPr>
          <w:p w14:paraId="2A42137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定期由有资质的单位处置</w:t>
            </w:r>
          </w:p>
        </w:tc>
        <w:tc>
          <w:tcPr>
            <w:tcW w:w="1493" w:type="dxa"/>
            <w:tcBorders>
              <w:tl2br w:val="nil"/>
              <w:tr2bl w:val="nil"/>
            </w:tcBorders>
            <w:vAlign w:val="center"/>
          </w:tcPr>
          <w:p w14:paraId="013A4FD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65E74BB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402CD665">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1A624D18">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29974FDB">
            <w:pPr>
              <w:spacing w:line="360" w:lineRule="exact"/>
              <w:ind w:firstLine="0" w:firstLineChars="0"/>
              <w:jc w:val="center"/>
              <w:rPr>
                <w:rFonts w:cs="Times New Roman"/>
                <w:color w:val="auto"/>
                <w:sz w:val="21"/>
                <w:szCs w:val="21"/>
                <w:highlight w:val="none"/>
              </w:rPr>
            </w:pPr>
          </w:p>
        </w:tc>
      </w:tr>
      <w:tr w14:paraId="2D83FDD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69AAFC5C">
            <w:pPr>
              <w:widowControl/>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5EC0530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检疫废物</w:t>
            </w:r>
          </w:p>
        </w:tc>
        <w:tc>
          <w:tcPr>
            <w:tcW w:w="3424" w:type="dxa"/>
            <w:tcBorders>
              <w:tl2br w:val="nil"/>
              <w:tr2bl w:val="nil"/>
            </w:tcBorders>
            <w:vAlign w:val="center"/>
          </w:tcPr>
          <w:p w14:paraId="259FD0E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定期由有资质的单位处置</w:t>
            </w:r>
          </w:p>
        </w:tc>
        <w:tc>
          <w:tcPr>
            <w:tcW w:w="1493" w:type="dxa"/>
            <w:tcBorders>
              <w:tl2br w:val="nil"/>
              <w:tr2bl w:val="nil"/>
            </w:tcBorders>
            <w:vAlign w:val="center"/>
          </w:tcPr>
          <w:p w14:paraId="650C692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1493" w:type="dxa"/>
            <w:tcBorders>
              <w:tl2br w:val="nil"/>
              <w:tr2bl w:val="nil"/>
            </w:tcBorders>
            <w:vAlign w:val="center"/>
          </w:tcPr>
          <w:p w14:paraId="0CDEA5C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c>
          <w:tcPr>
            <w:tcW w:w="2385" w:type="dxa"/>
            <w:vMerge w:val="continue"/>
            <w:tcBorders>
              <w:tl2br w:val="nil"/>
              <w:tr2bl w:val="nil"/>
            </w:tcBorders>
            <w:vAlign w:val="center"/>
          </w:tcPr>
          <w:p w14:paraId="54FE41A9">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69A12FCF">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6062B80A">
            <w:pPr>
              <w:spacing w:line="360" w:lineRule="exact"/>
              <w:ind w:firstLine="0" w:firstLineChars="0"/>
              <w:jc w:val="center"/>
              <w:rPr>
                <w:rFonts w:cs="Times New Roman"/>
                <w:color w:val="auto"/>
                <w:sz w:val="21"/>
                <w:szCs w:val="21"/>
                <w:highlight w:val="none"/>
              </w:rPr>
            </w:pPr>
          </w:p>
        </w:tc>
      </w:tr>
      <w:tr w14:paraId="60FADE5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448ED944">
            <w:pPr>
              <w:widowControl/>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600868F5">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废润滑油</w:t>
            </w:r>
          </w:p>
        </w:tc>
        <w:tc>
          <w:tcPr>
            <w:tcW w:w="3424" w:type="dxa"/>
            <w:tcBorders>
              <w:tl2br w:val="nil"/>
              <w:tr2bl w:val="nil"/>
            </w:tcBorders>
            <w:vAlign w:val="center"/>
          </w:tcPr>
          <w:p w14:paraId="3A05D60A">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定期由有资质的单位处置</w:t>
            </w:r>
          </w:p>
        </w:tc>
        <w:tc>
          <w:tcPr>
            <w:tcW w:w="1493" w:type="dxa"/>
            <w:tcBorders>
              <w:tl2br w:val="nil"/>
              <w:tr2bl w:val="nil"/>
            </w:tcBorders>
            <w:vAlign w:val="center"/>
          </w:tcPr>
          <w:p w14:paraId="246E346C">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1493" w:type="dxa"/>
            <w:tcBorders>
              <w:tl2br w:val="nil"/>
              <w:tr2bl w:val="nil"/>
            </w:tcBorders>
            <w:vAlign w:val="center"/>
          </w:tcPr>
          <w:p w14:paraId="4A2AFE62">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2385" w:type="dxa"/>
            <w:vMerge w:val="continue"/>
            <w:tcBorders>
              <w:tl2br w:val="nil"/>
              <w:tr2bl w:val="nil"/>
            </w:tcBorders>
            <w:vAlign w:val="center"/>
          </w:tcPr>
          <w:p w14:paraId="3728D380">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37458E48">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26F3015E">
            <w:pPr>
              <w:spacing w:line="360" w:lineRule="exact"/>
              <w:ind w:firstLine="0" w:firstLineChars="0"/>
              <w:jc w:val="center"/>
              <w:rPr>
                <w:rFonts w:cs="Times New Roman"/>
                <w:color w:val="auto"/>
                <w:sz w:val="21"/>
                <w:szCs w:val="21"/>
                <w:highlight w:val="none"/>
              </w:rPr>
            </w:pPr>
          </w:p>
        </w:tc>
      </w:tr>
      <w:tr w14:paraId="418BA05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745BD376">
            <w:pPr>
              <w:widowControl/>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15B14265">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含油抹布、劳保手套</w:t>
            </w:r>
          </w:p>
        </w:tc>
        <w:tc>
          <w:tcPr>
            <w:tcW w:w="3424" w:type="dxa"/>
            <w:tcBorders>
              <w:tl2br w:val="nil"/>
              <w:tr2bl w:val="nil"/>
            </w:tcBorders>
            <w:vAlign w:val="center"/>
          </w:tcPr>
          <w:p w14:paraId="006A9E51">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定期由有资质的单位处置</w:t>
            </w:r>
          </w:p>
        </w:tc>
        <w:tc>
          <w:tcPr>
            <w:tcW w:w="1493" w:type="dxa"/>
            <w:tcBorders>
              <w:tl2br w:val="nil"/>
              <w:tr2bl w:val="nil"/>
            </w:tcBorders>
            <w:vAlign w:val="center"/>
          </w:tcPr>
          <w:p w14:paraId="2230EF59">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1493" w:type="dxa"/>
            <w:tcBorders>
              <w:tl2br w:val="nil"/>
              <w:tr2bl w:val="nil"/>
            </w:tcBorders>
            <w:vAlign w:val="center"/>
          </w:tcPr>
          <w:p w14:paraId="16A4FED5">
            <w:pPr>
              <w:spacing w:line="360" w:lineRule="exact"/>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2385" w:type="dxa"/>
            <w:vMerge w:val="continue"/>
            <w:tcBorders>
              <w:tl2br w:val="nil"/>
              <w:tr2bl w:val="nil"/>
            </w:tcBorders>
            <w:vAlign w:val="center"/>
          </w:tcPr>
          <w:p w14:paraId="4DC44C74">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65835D8E">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4022D31B">
            <w:pPr>
              <w:spacing w:line="360" w:lineRule="exact"/>
              <w:ind w:firstLine="0" w:firstLineChars="0"/>
              <w:jc w:val="center"/>
              <w:rPr>
                <w:rFonts w:cs="Times New Roman"/>
                <w:color w:val="auto"/>
                <w:sz w:val="21"/>
                <w:szCs w:val="21"/>
                <w:highlight w:val="none"/>
              </w:rPr>
            </w:pPr>
          </w:p>
        </w:tc>
      </w:tr>
      <w:tr w14:paraId="0546FC41">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3" w:type="dxa"/>
            <w:bottom w:w="0" w:type="dxa"/>
            <w:right w:w="23" w:type="dxa"/>
          </w:tblCellMar>
        </w:tblPrEx>
        <w:trPr>
          <w:jc w:val="center"/>
        </w:trPr>
        <w:tc>
          <w:tcPr>
            <w:tcW w:w="666" w:type="dxa"/>
            <w:vMerge w:val="continue"/>
            <w:tcBorders>
              <w:tl2br w:val="nil"/>
              <w:tr2bl w:val="nil"/>
            </w:tcBorders>
            <w:vAlign w:val="center"/>
          </w:tcPr>
          <w:p w14:paraId="29E08393">
            <w:pPr>
              <w:widowControl/>
              <w:spacing w:line="360" w:lineRule="exact"/>
              <w:ind w:firstLine="0" w:firstLineChars="0"/>
              <w:jc w:val="center"/>
              <w:rPr>
                <w:rFonts w:cs="Times New Roman"/>
                <w:color w:val="auto"/>
                <w:sz w:val="21"/>
                <w:szCs w:val="21"/>
                <w:highlight w:val="none"/>
              </w:rPr>
            </w:pPr>
          </w:p>
        </w:tc>
        <w:tc>
          <w:tcPr>
            <w:tcW w:w="2345" w:type="dxa"/>
            <w:gridSpan w:val="3"/>
            <w:tcBorders>
              <w:tl2br w:val="nil"/>
              <w:tr2bl w:val="nil"/>
            </w:tcBorders>
            <w:vAlign w:val="center"/>
          </w:tcPr>
          <w:p w14:paraId="7252A15A">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在线监测废液</w:t>
            </w:r>
          </w:p>
        </w:tc>
        <w:tc>
          <w:tcPr>
            <w:tcW w:w="3424" w:type="dxa"/>
            <w:tcBorders>
              <w:tl2br w:val="nil"/>
              <w:tr2bl w:val="nil"/>
            </w:tcBorders>
            <w:vAlign w:val="center"/>
          </w:tcPr>
          <w:p w14:paraId="43BFDD63">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定期由有资质的单位处置</w:t>
            </w:r>
          </w:p>
        </w:tc>
        <w:tc>
          <w:tcPr>
            <w:tcW w:w="1493" w:type="dxa"/>
            <w:tcBorders>
              <w:tl2br w:val="nil"/>
              <w:tr2bl w:val="nil"/>
            </w:tcBorders>
            <w:shd w:val="clear" w:color="auto" w:fill="auto"/>
            <w:vAlign w:val="center"/>
          </w:tcPr>
          <w:p w14:paraId="3D447DFF">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w:t>
            </w:r>
          </w:p>
        </w:tc>
        <w:tc>
          <w:tcPr>
            <w:tcW w:w="1493" w:type="dxa"/>
            <w:tcBorders>
              <w:tl2br w:val="nil"/>
              <w:tr2bl w:val="nil"/>
            </w:tcBorders>
            <w:shd w:val="clear" w:color="auto" w:fill="auto"/>
            <w:vAlign w:val="center"/>
          </w:tcPr>
          <w:p w14:paraId="2FDA4610">
            <w:pPr>
              <w:spacing w:line="360" w:lineRule="exact"/>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w:t>
            </w:r>
          </w:p>
        </w:tc>
        <w:tc>
          <w:tcPr>
            <w:tcW w:w="2385" w:type="dxa"/>
            <w:vMerge w:val="continue"/>
            <w:tcBorders>
              <w:tl2br w:val="nil"/>
              <w:tr2bl w:val="nil"/>
            </w:tcBorders>
            <w:vAlign w:val="center"/>
          </w:tcPr>
          <w:p w14:paraId="0F173504">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57643295">
            <w:pPr>
              <w:spacing w:line="360" w:lineRule="exact"/>
              <w:ind w:firstLine="0" w:firstLineChars="0"/>
              <w:jc w:val="center"/>
              <w:rPr>
                <w:rFonts w:cs="Times New Roman"/>
                <w:color w:val="auto"/>
                <w:sz w:val="21"/>
                <w:szCs w:val="21"/>
                <w:highlight w:val="none"/>
              </w:rPr>
            </w:pPr>
          </w:p>
        </w:tc>
        <w:tc>
          <w:tcPr>
            <w:tcW w:w="1792" w:type="dxa"/>
            <w:vMerge w:val="continue"/>
            <w:tcBorders>
              <w:tl2br w:val="nil"/>
              <w:tr2bl w:val="nil"/>
            </w:tcBorders>
            <w:vAlign w:val="center"/>
          </w:tcPr>
          <w:p w14:paraId="075B4CAF">
            <w:pPr>
              <w:spacing w:line="360" w:lineRule="exact"/>
              <w:ind w:firstLine="0" w:firstLineChars="0"/>
              <w:jc w:val="center"/>
              <w:rPr>
                <w:rFonts w:cs="Times New Roman"/>
                <w:color w:val="auto"/>
                <w:sz w:val="21"/>
                <w:szCs w:val="21"/>
                <w:highlight w:val="none"/>
              </w:rPr>
            </w:pPr>
          </w:p>
        </w:tc>
      </w:tr>
    </w:tbl>
    <w:p w14:paraId="28F2EF70">
      <w:pPr>
        <w:rPr>
          <w:rFonts w:cs="Times New Roman"/>
          <w:snapToGrid w:val="0"/>
          <w:color w:val="auto"/>
          <w:kern w:val="0"/>
          <w:highlight w:val="none"/>
        </w:rPr>
      </w:pPr>
    </w:p>
    <w:p w14:paraId="68B57523">
      <w:pPr>
        <w:rPr>
          <w:rFonts w:cs="Times New Roman"/>
          <w:snapToGrid w:val="0"/>
          <w:color w:val="auto"/>
          <w:kern w:val="0"/>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1CAB1622">
      <w:pPr>
        <w:pStyle w:val="4"/>
        <w:spacing w:after="120"/>
        <w:rPr>
          <w:rFonts w:cs="Times New Roman"/>
          <w:color w:val="auto"/>
          <w:highlight w:val="none"/>
        </w:rPr>
      </w:pPr>
      <w:bookmarkStart w:id="424" w:name="_Toc12645"/>
      <w:bookmarkStart w:id="425" w:name="_Toc455043910"/>
      <w:bookmarkStart w:id="426" w:name="_Toc456590418"/>
      <w:bookmarkStart w:id="427" w:name="_Toc342462534"/>
      <w:r>
        <w:rPr>
          <w:rFonts w:cs="Times New Roman"/>
          <w:color w:val="auto"/>
          <w:highlight w:val="none"/>
        </w:rPr>
        <w:t>8.1.4排污口管理信息</w:t>
      </w:r>
      <w:bookmarkEnd w:id="424"/>
    </w:p>
    <w:p w14:paraId="0A236E2D">
      <w:pPr>
        <w:spacing w:line="500" w:lineRule="exact"/>
        <w:rPr>
          <w:rFonts w:cs="Times New Roman"/>
          <w:color w:val="auto"/>
          <w:szCs w:val="24"/>
          <w:highlight w:val="none"/>
        </w:rPr>
      </w:pPr>
      <w:r>
        <w:rPr>
          <w:rFonts w:cs="Times New Roman"/>
          <w:color w:val="auto"/>
          <w:kern w:val="0"/>
          <w:szCs w:val="24"/>
          <w:highlight w:val="none"/>
        </w:rPr>
        <w:t>企</w:t>
      </w:r>
      <w:r>
        <w:rPr>
          <w:rFonts w:cs="Times New Roman"/>
          <w:color w:val="auto"/>
          <w:szCs w:val="24"/>
          <w:highlight w:val="none"/>
        </w:rPr>
        <w:t>业在严格进行环境管理的同时还应遵照国家对排污口规范的要求，“三废”及噪声排放点设置明显标志，标志的设置应执行《环境保护图形标志排放口》（GB15562.1-1995）、《环境保护图形标志固体废物贮存（处置）场》（GB15562.2-1995）中有关规定</w:t>
      </w:r>
    </w:p>
    <w:p w14:paraId="01D3266A">
      <w:pPr>
        <w:spacing w:line="500" w:lineRule="exact"/>
        <w:rPr>
          <w:rFonts w:cs="Times New Roman"/>
          <w:color w:val="auto"/>
          <w:szCs w:val="24"/>
          <w:highlight w:val="none"/>
        </w:rPr>
      </w:pPr>
      <w:r>
        <w:rPr>
          <w:rFonts w:cs="Times New Roman"/>
          <w:color w:val="auto"/>
          <w:szCs w:val="24"/>
          <w:highlight w:val="none"/>
        </w:rPr>
        <w:t>①根据国家环境保护总局《关于开展排放口规范化整治工作的通知》环发[1999]24号文件的规定，一切新建、扩建、改建的排污单位必须在建设污染治理设施的同时建设规范化排污口，作为落实环境保护“三同时”制度的必要组成和项目验收内容之一。具体管理原则如下：</w:t>
      </w:r>
    </w:p>
    <w:p w14:paraId="30363B09">
      <w:pPr>
        <w:spacing w:line="500" w:lineRule="exact"/>
        <w:rPr>
          <w:rFonts w:cs="Times New Roman"/>
          <w:color w:val="auto"/>
          <w:szCs w:val="24"/>
          <w:highlight w:val="none"/>
        </w:rPr>
      </w:pPr>
      <w:r>
        <w:rPr>
          <w:rFonts w:cs="Times New Roman"/>
          <w:color w:val="auto"/>
          <w:szCs w:val="24"/>
          <w:highlight w:val="none"/>
        </w:rPr>
        <w:t>（1）向环境排放的污染物的排放口必须规范化。</w:t>
      </w:r>
    </w:p>
    <w:p w14:paraId="02DC45D3">
      <w:pPr>
        <w:spacing w:line="500" w:lineRule="exact"/>
        <w:rPr>
          <w:rFonts w:cs="Times New Roman"/>
          <w:color w:val="auto"/>
          <w:szCs w:val="24"/>
          <w:highlight w:val="none"/>
        </w:rPr>
      </w:pPr>
      <w:r>
        <w:rPr>
          <w:rFonts w:cs="Times New Roman"/>
          <w:color w:val="auto"/>
          <w:szCs w:val="24"/>
          <w:highlight w:val="none"/>
        </w:rPr>
        <w:t>（2）列入总量控制的污染物、排污口列为管理的重点。</w:t>
      </w:r>
    </w:p>
    <w:p w14:paraId="58287DC9">
      <w:pPr>
        <w:spacing w:line="500" w:lineRule="exact"/>
        <w:rPr>
          <w:rFonts w:cs="Times New Roman"/>
          <w:color w:val="auto"/>
          <w:szCs w:val="24"/>
          <w:highlight w:val="none"/>
        </w:rPr>
      </w:pPr>
      <w:r>
        <w:rPr>
          <w:rFonts w:cs="Times New Roman"/>
          <w:color w:val="auto"/>
          <w:szCs w:val="24"/>
          <w:highlight w:val="none"/>
        </w:rPr>
        <w:t>（3）排污口应便于采样与计量监测，便于日常现场监督检查。</w:t>
      </w:r>
    </w:p>
    <w:p w14:paraId="4FB8290A">
      <w:pPr>
        <w:spacing w:line="500" w:lineRule="exact"/>
        <w:rPr>
          <w:rFonts w:cs="Times New Roman"/>
          <w:color w:val="auto"/>
          <w:szCs w:val="24"/>
          <w:highlight w:val="none"/>
        </w:rPr>
      </w:pPr>
      <w:r>
        <w:rPr>
          <w:rFonts w:cs="Times New Roman"/>
          <w:color w:val="auto"/>
          <w:szCs w:val="24"/>
          <w:highlight w:val="none"/>
        </w:rPr>
        <w:t>（4）如实向环保管理部门申报排污口数量、位置及所排放的主要污染物种类、数量、浓度、排放去向等情况。</w:t>
      </w:r>
    </w:p>
    <w:p w14:paraId="152C307B">
      <w:pPr>
        <w:spacing w:line="500" w:lineRule="exact"/>
        <w:rPr>
          <w:rFonts w:cs="Times New Roman"/>
          <w:color w:val="auto"/>
          <w:szCs w:val="24"/>
          <w:highlight w:val="none"/>
        </w:rPr>
      </w:pPr>
      <w:r>
        <w:rPr>
          <w:rFonts w:cs="Times New Roman"/>
          <w:color w:val="auto"/>
          <w:szCs w:val="24"/>
          <w:highlight w:val="none"/>
        </w:rPr>
        <w:t>（5）废气排气及废水排放口装置应设置便于采样、监测的采样孔和采样平台，设置应符合《污染源监测技术规范》。</w:t>
      </w:r>
    </w:p>
    <w:p w14:paraId="7777ADBB">
      <w:pPr>
        <w:spacing w:line="500" w:lineRule="exact"/>
        <w:rPr>
          <w:rFonts w:cs="Times New Roman"/>
          <w:color w:val="auto"/>
          <w:szCs w:val="24"/>
          <w:highlight w:val="none"/>
        </w:rPr>
      </w:pPr>
      <w:r>
        <w:rPr>
          <w:rFonts w:cs="Times New Roman"/>
          <w:color w:val="auto"/>
          <w:szCs w:val="24"/>
          <w:highlight w:val="none"/>
        </w:rPr>
        <w:t>（6）工程固废堆存时，专用堆放场应设有防扬散、防流失、防渗漏措施。</w:t>
      </w:r>
    </w:p>
    <w:p w14:paraId="64994D5D">
      <w:pPr>
        <w:spacing w:line="500" w:lineRule="exact"/>
        <w:rPr>
          <w:rFonts w:cs="Times New Roman"/>
          <w:color w:val="auto"/>
          <w:szCs w:val="24"/>
          <w:highlight w:val="none"/>
        </w:rPr>
      </w:pPr>
      <w:r>
        <w:rPr>
          <w:rFonts w:cs="Times New Roman"/>
          <w:color w:val="auto"/>
          <w:szCs w:val="24"/>
          <w:highlight w:val="none"/>
        </w:rPr>
        <w:t>②排污口立标管理</w:t>
      </w:r>
    </w:p>
    <w:p w14:paraId="41FC0565">
      <w:pPr>
        <w:spacing w:line="500" w:lineRule="exact"/>
        <w:rPr>
          <w:rFonts w:cs="Times New Roman"/>
          <w:color w:val="auto"/>
          <w:szCs w:val="24"/>
          <w:highlight w:val="none"/>
        </w:rPr>
      </w:pPr>
      <w:r>
        <w:rPr>
          <w:rFonts w:cs="Times New Roman"/>
          <w:color w:val="auto"/>
          <w:szCs w:val="24"/>
          <w:highlight w:val="none"/>
        </w:rPr>
        <w:t>对高噪声排放源、废水排放口以及固体废物堆场，应按照国家《环境保护图形标志》（GB15562.1-1995）与《环境保护图形标志固体废物贮存（处置）场》（GB1556.2-1995）规定，设置国家环保局统一制作的环境保护图形标志牌，排污口标志设置见表8.1-2：</w:t>
      </w:r>
    </w:p>
    <w:p w14:paraId="3AB3376D">
      <w:pPr>
        <w:spacing w:line="500" w:lineRule="exact"/>
        <w:rPr>
          <w:rFonts w:cs="Times New Roman"/>
          <w:color w:val="auto"/>
          <w:szCs w:val="24"/>
          <w:highlight w:val="none"/>
        </w:rPr>
      </w:pPr>
      <w:r>
        <w:rPr>
          <w:rFonts w:cs="Times New Roman"/>
          <w:color w:val="auto"/>
          <w:szCs w:val="24"/>
          <w:highlight w:val="none"/>
        </w:rPr>
        <w:t>（1）污染物排放口的环保图形标志牌应设置在靠近采样点且醒目处，标志牌设置高度为其上边缘距离地面约2m；</w:t>
      </w:r>
    </w:p>
    <w:p w14:paraId="0C33D6B9">
      <w:pPr>
        <w:spacing w:line="500" w:lineRule="exact"/>
        <w:rPr>
          <w:rFonts w:cs="Times New Roman"/>
          <w:color w:val="auto"/>
          <w:szCs w:val="24"/>
          <w:highlight w:val="none"/>
        </w:rPr>
      </w:pPr>
      <w:r>
        <w:rPr>
          <w:rFonts w:cs="Times New Roman"/>
          <w:color w:val="auto"/>
          <w:szCs w:val="24"/>
          <w:highlight w:val="none"/>
        </w:rPr>
        <w:t>（2）重点排污单位的污染物排放口以设置立式标志牌为主，一般排污单位的污染物排放口，可根据情况设置立式或平面固定式标志牌。</w:t>
      </w:r>
    </w:p>
    <w:p w14:paraId="7B372006">
      <w:pPr>
        <w:spacing w:line="500" w:lineRule="exact"/>
        <w:rPr>
          <w:rFonts w:cs="Times New Roman"/>
          <w:color w:val="auto"/>
          <w:szCs w:val="24"/>
          <w:highlight w:val="none"/>
        </w:rPr>
      </w:pPr>
      <w:r>
        <w:rPr>
          <w:rFonts w:cs="Times New Roman"/>
          <w:color w:val="auto"/>
          <w:szCs w:val="24"/>
          <w:highlight w:val="none"/>
        </w:rPr>
        <w:t>③排污口建档管理</w:t>
      </w:r>
    </w:p>
    <w:p w14:paraId="64936EC0">
      <w:pPr>
        <w:spacing w:line="500" w:lineRule="exact"/>
        <w:rPr>
          <w:rFonts w:cs="Times New Roman"/>
          <w:color w:val="auto"/>
          <w:szCs w:val="24"/>
          <w:highlight w:val="none"/>
        </w:rPr>
      </w:pPr>
      <w:r>
        <w:rPr>
          <w:rFonts w:cs="Times New Roman"/>
          <w:color w:val="auto"/>
          <w:szCs w:val="24"/>
          <w:highlight w:val="none"/>
        </w:rPr>
        <w:t>（1）本项目应使用国家环保局统一印制的《中华人民共和国规范化排污口标志登记证》，并按要求填写有关内容；</w:t>
      </w:r>
    </w:p>
    <w:p w14:paraId="373CA614">
      <w:pPr>
        <w:spacing w:line="500" w:lineRule="exact"/>
        <w:rPr>
          <w:rFonts w:cs="Times New Roman"/>
          <w:snapToGrid w:val="0"/>
          <w:color w:val="auto"/>
          <w:kern w:val="0"/>
          <w:highlight w:val="none"/>
        </w:rPr>
      </w:pPr>
      <w:r>
        <w:rPr>
          <w:rFonts w:cs="Times New Roman"/>
          <w:color w:val="auto"/>
          <w:szCs w:val="24"/>
          <w:highlight w:val="none"/>
        </w:rPr>
        <w:t>（2）根据排污口管理内容要求，项目建成投产后，应将主要污染物种类、数量、浓度、排放去向，立标情况及设施运行情况记录于档案。</w:t>
      </w:r>
    </w:p>
    <w:p w14:paraId="683E5DBA">
      <w:pPr>
        <w:keepNext/>
        <w:keepLines/>
        <w:spacing w:line="500" w:lineRule="exact"/>
        <w:ind w:firstLine="0" w:firstLineChars="0"/>
        <w:jc w:val="left"/>
        <w:outlineLvl w:val="2"/>
        <w:rPr>
          <w:rFonts w:eastAsia="黑体" w:cs="Times New Roman"/>
          <w:bCs/>
          <w:snapToGrid w:val="0"/>
          <w:color w:val="auto"/>
          <w:kern w:val="0"/>
          <w:szCs w:val="32"/>
          <w:highlight w:val="none"/>
        </w:rPr>
      </w:pPr>
      <w:bookmarkStart w:id="428" w:name="_Toc4716"/>
      <w:r>
        <w:rPr>
          <w:rFonts w:eastAsia="黑体" w:cs="Times New Roman"/>
          <w:bCs/>
          <w:snapToGrid w:val="0"/>
          <w:color w:val="auto"/>
          <w:kern w:val="0"/>
          <w:szCs w:val="32"/>
          <w:highlight w:val="none"/>
        </w:rPr>
        <w:t>8.1.5企业信息公开</w:t>
      </w:r>
      <w:bookmarkEnd w:id="428"/>
    </w:p>
    <w:p w14:paraId="6DF2AF12">
      <w:pPr>
        <w:spacing w:line="500" w:lineRule="exact"/>
        <w:rPr>
          <w:rFonts w:cs="Times New Roman"/>
          <w:color w:val="auto"/>
          <w:highlight w:val="none"/>
        </w:rPr>
      </w:pPr>
      <w:bookmarkStart w:id="429" w:name="_Toc480447684"/>
      <w:r>
        <w:rPr>
          <w:rFonts w:cs="Times New Roman"/>
          <w:color w:val="auto"/>
          <w:highlight w:val="none"/>
        </w:rPr>
        <w:t>根据《企事业单位环境信息公开办法》（环保部令第31号），本项目应当采取主动公开和申请公开两种方式及时、如实地公开其环境信息。</w:t>
      </w:r>
    </w:p>
    <w:p w14:paraId="37C95EC9">
      <w:pPr>
        <w:spacing w:line="500" w:lineRule="exact"/>
        <w:rPr>
          <w:rFonts w:cs="Times New Roman"/>
          <w:color w:val="auto"/>
          <w:highlight w:val="none"/>
        </w:rPr>
      </w:pPr>
      <w:r>
        <w:rPr>
          <w:rFonts w:cs="Times New Roman"/>
          <w:color w:val="auto"/>
          <w:highlight w:val="none"/>
        </w:rPr>
        <w:t>（1）主动公开</w:t>
      </w:r>
    </w:p>
    <w:p w14:paraId="6F4BB61F">
      <w:pPr>
        <w:spacing w:line="500" w:lineRule="exact"/>
        <w:rPr>
          <w:rFonts w:cs="Times New Roman"/>
          <w:color w:val="auto"/>
          <w:highlight w:val="none"/>
        </w:rPr>
      </w:pPr>
      <w:r>
        <w:rPr>
          <w:rFonts w:cs="Times New Roman"/>
          <w:color w:val="auto"/>
          <w:highlight w:val="none"/>
        </w:rPr>
        <w:t>主动向社会公开的信息内容包括项目名称、建设单位、地址、联系方式、排污信息（污染源名称、监测点位名称、监测日期，监测指标名称、监测指标浓度、排放浓度限值）和污染设施运行情况等。主动公开的环保信息，主要通过</w:t>
      </w:r>
      <w:r>
        <w:rPr>
          <w:rFonts w:hint="eastAsia" w:cs="Times New Roman"/>
          <w:color w:val="auto"/>
          <w:highlight w:val="none"/>
          <w:lang w:val="en-US" w:eastAsia="zh-CN"/>
        </w:rPr>
        <w:t>双鸭山</w:t>
      </w:r>
      <w:r>
        <w:rPr>
          <w:rFonts w:cs="Times New Roman"/>
          <w:color w:val="auto"/>
          <w:highlight w:val="none"/>
        </w:rPr>
        <w:t>政府门户网站、生态环境局网站公开，同时，根据政府信息内容和特点通过报刊、广播、电视等便于公众知晓的辅助方式公开。</w:t>
      </w:r>
    </w:p>
    <w:p w14:paraId="0B576B56">
      <w:pPr>
        <w:spacing w:line="500" w:lineRule="exact"/>
        <w:rPr>
          <w:rFonts w:cs="Times New Roman"/>
          <w:color w:val="auto"/>
          <w:highlight w:val="none"/>
        </w:rPr>
      </w:pPr>
      <w:r>
        <w:rPr>
          <w:rFonts w:cs="Times New Roman"/>
          <w:color w:val="auto"/>
          <w:highlight w:val="none"/>
        </w:rPr>
        <w:t>（2）依法申请公开</w:t>
      </w:r>
    </w:p>
    <w:p w14:paraId="0F8C965E">
      <w:pPr>
        <w:spacing w:line="500" w:lineRule="exact"/>
        <w:rPr>
          <w:rFonts w:ascii="Times New Roman" w:hAnsi="Times New Roman" w:eastAsia="宋体" w:cs="Times New Roman"/>
          <w:color w:val="auto"/>
          <w:highlight w:val="none"/>
        </w:rPr>
      </w:pPr>
      <w:r>
        <w:rPr>
          <w:rFonts w:ascii="Times New Roman" w:hAnsi="Times New Roman" w:eastAsia="宋体" w:cs="Times New Roman"/>
          <w:color w:val="auto"/>
          <w:highlight w:val="none"/>
        </w:rPr>
        <w:t>公民、法人和其他组织依照《中华人民共和国政府信息公开条例》的规定，向</w:t>
      </w:r>
      <w:r>
        <w:rPr>
          <w:rFonts w:hint="eastAsia" w:cs="Times New Roman"/>
          <w:color w:val="auto"/>
          <w:highlight w:val="none"/>
          <w:lang w:val="en-US" w:eastAsia="zh-CN"/>
        </w:rPr>
        <w:t>双鸭山市</w:t>
      </w:r>
      <w:r>
        <w:rPr>
          <w:rFonts w:ascii="Times New Roman" w:hAnsi="Times New Roman" w:eastAsia="宋体" w:cs="Times New Roman"/>
          <w:color w:val="auto"/>
          <w:highlight w:val="none"/>
        </w:rPr>
        <w:t>生态环境局及其直属机构申请主动公开以外的环境信息。</w:t>
      </w:r>
    </w:p>
    <w:p w14:paraId="5C5B2267">
      <w:pPr>
        <w:pStyle w:val="3"/>
        <w:spacing w:before="120" w:after="120"/>
        <w:rPr>
          <w:rFonts w:cs="Times New Roman"/>
          <w:color w:val="auto"/>
          <w:highlight w:val="none"/>
        </w:rPr>
      </w:pPr>
      <w:bookmarkStart w:id="430" w:name="_Toc8108"/>
      <w:r>
        <w:rPr>
          <w:rFonts w:cs="Times New Roman"/>
          <w:color w:val="auto"/>
          <w:highlight w:val="none"/>
        </w:rPr>
        <w:t>8.2</w:t>
      </w:r>
      <w:bookmarkEnd w:id="425"/>
      <w:bookmarkEnd w:id="426"/>
      <w:bookmarkEnd w:id="427"/>
      <w:bookmarkEnd w:id="429"/>
      <w:r>
        <w:rPr>
          <w:rFonts w:cs="Times New Roman"/>
          <w:color w:val="auto"/>
          <w:highlight w:val="none"/>
        </w:rPr>
        <w:t>环境监测计划</w:t>
      </w:r>
      <w:bookmarkEnd w:id="430"/>
    </w:p>
    <w:p w14:paraId="15AA45A0">
      <w:pPr>
        <w:pStyle w:val="253"/>
        <w:adjustRightInd w:val="0"/>
        <w:snapToGrid w:val="0"/>
        <w:spacing w:before="0" w:line="500" w:lineRule="exact"/>
        <w:rPr>
          <w:color w:val="auto"/>
          <w:highlight w:val="none"/>
        </w:rPr>
      </w:pPr>
      <w:r>
        <w:rPr>
          <w:color w:val="auto"/>
          <w:highlight w:val="none"/>
        </w:rPr>
        <w:t>根据本项目的建设规模，通过环境监测手段，掌握各种污染物的排放情况，如排放量或排放浓度是否符合相应的环境标准，监督生产安全运行和配合环境管理工作的改进，并为控制污染和保护环境提供科学依据。</w:t>
      </w:r>
    </w:p>
    <w:p w14:paraId="095C6C02">
      <w:pPr>
        <w:pStyle w:val="253"/>
        <w:adjustRightInd w:val="0"/>
        <w:snapToGrid w:val="0"/>
        <w:spacing w:before="0" w:line="500" w:lineRule="exact"/>
        <w:rPr>
          <w:snapToGrid w:val="0"/>
          <w:color w:val="auto"/>
          <w:highlight w:val="none"/>
        </w:rPr>
      </w:pPr>
      <w:r>
        <w:rPr>
          <w:color w:val="auto"/>
          <w:highlight w:val="none"/>
        </w:rPr>
        <w:t>环境监测制度的制定和执行，将会保证环保措施的实施和落实，可以及时发现环保措施的不足，进行修正和改进。</w:t>
      </w:r>
    </w:p>
    <w:p w14:paraId="431D18C7">
      <w:pPr>
        <w:pStyle w:val="4"/>
        <w:spacing w:after="120"/>
        <w:rPr>
          <w:rFonts w:cs="Times New Roman"/>
          <w:color w:val="auto"/>
          <w:highlight w:val="none"/>
        </w:rPr>
      </w:pPr>
      <w:bookmarkStart w:id="431" w:name="_Toc8734"/>
      <w:r>
        <w:rPr>
          <w:rFonts w:cs="Times New Roman"/>
          <w:color w:val="auto"/>
          <w:highlight w:val="none"/>
        </w:rPr>
        <w:t>8.2.1环境监测机构职责</w:t>
      </w:r>
      <w:bookmarkEnd w:id="431"/>
    </w:p>
    <w:p w14:paraId="5C6F577A">
      <w:pPr>
        <w:pStyle w:val="462"/>
        <w:spacing w:line="500" w:lineRule="exact"/>
        <w:ind w:left="0" w:right="0"/>
        <w:rPr>
          <w:rFonts w:cs="Times New Roman"/>
          <w:color w:val="auto"/>
          <w:szCs w:val="24"/>
          <w:highlight w:val="none"/>
        </w:rPr>
      </w:pPr>
      <w:r>
        <w:rPr>
          <w:rFonts w:cs="Times New Roman"/>
          <w:color w:val="auto"/>
          <w:szCs w:val="24"/>
          <w:highlight w:val="none"/>
        </w:rPr>
        <w:t>环境监测机构应是国家明文规定的有资质监测机构，按就近原则，对于本项目环境监测站的职责主要有：</w:t>
      </w:r>
    </w:p>
    <w:p w14:paraId="0C66C0BF">
      <w:pPr>
        <w:pStyle w:val="462"/>
        <w:spacing w:line="500" w:lineRule="exact"/>
        <w:ind w:left="0" w:right="0"/>
        <w:rPr>
          <w:rFonts w:cs="Times New Roman"/>
          <w:color w:val="auto"/>
          <w:szCs w:val="24"/>
          <w:highlight w:val="none"/>
        </w:rPr>
      </w:pPr>
      <w:r>
        <w:rPr>
          <w:rFonts w:cs="Times New Roman"/>
          <w:color w:val="auto"/>
          <w:szCs w:val="24"/>
          <w:highlight w:val="none"/>
        </w:rPr>
        <w:t>（1）测试、收集环境状况基本资料；</w:t>
      </w:r>
    </w:p>
    <w:p w14:paraId="282C17E0">
      <w:pPr>
        <w:pStyle w:val="462"/>
        <w:spacing w:line="500" w:lineRule="exact"/>
        <w:ind w:left="0" w:right="0"/>
        <w:rPr>
          <w:rFonts w:cs="Times New Roman"/>
          <w:color w:val="auto"/>
          <w:szCs w:val="24"/>
          <w:highlight w:val="none"/>
        </w:rPr>
      </w:pPr>
      <w:r>
        <w:rPr>
          <w:rFonts w:cs="Times New Roman"/>
          <w:color w:val="auto"/>
          <w:szCs w:val="24"/>
          <w:highlight w:val="none"/>
        </w:rPr>
        <w:t>（2）对环保设施运行状况进行监测；</w:t>
      </w:r>
    </w:p>
    <w:p w14:paraId="179374A7">
      <w:pPr>
        <w:pStyle w:val="462"/>
        <w:spacing w:line="500" w:lineRule="exact"/>
        <w:ind w:left="0" w:right="0"/>
        <w:rPr>
          <w:rFonts w:cs="Times New Roman"/>
          <w:snapToGrid w:val="0"/>
          <w:color w:val="auto"/>
          <w:highlight w:val="none"/>
        </w:rPr>
      </w:pPr>
      <w:r>
        <w:rPr>
          <w:rFonts w:cs="Times New Roman"/>
          <w:color w:val="auto"/>
          <w:szCs w:val="24"/>
          <w:highlight w:val="none"/>
        </w:rPr>
        <w:t>（3）整理、统计分析监测结果，上报当地生态环境局，归档管理。</w:t>
      </w:r>
    </w:p>
    <w:p w14:paraId="4755A400">
      <w:pPr>
        <w:keepNext/>
        <w:keepLines/>
        <w:spacing w:line="500" w:lineRule="exact"/>
        <w:ind w:firstLine="0" w:firstLineChars="0"/>
        <w:jc w:val="left"/>
        <w:outlineLvl w:val="2"/>
        <w:rPr>
          <w:rFonts w:eastAsia="黑体" w:cs="Times New Roman"/>
          <w:bCs/>
          <w:snapToGrid w:val="0"/>
          <w:color w:val="auto"/>
          <w:kern w:val="0"/>
          <w:szCs w:val="32"/>
          <w:highlight w:val="none"/>
        </w:rPr>
      </w:pPr>
      <w:bookmarkStart w:id="432" w:name="_Toc10918"/>
      <w:r>
        <w:rPr>
          <w:rFonts w:eastAsia="黑体" w:cs="Times New Roman"/>
          <w:bCs/>
          <w:snapToGrid w:val="0"/>
          <w:color w:val="auto"/>
          <w:kern w:val="0"/>
          <w:szCs w:val="32"/>
          <w:highlight w:val="none"/>
        </w:rPr>
        <w:t>8.2.2环境监测计划</w:t>
      </w:r>
      <w:bookmarkEnd w:id="432"/>
    </w:p>
    <w:p w14:paraId="7D715514">
      <w:pPr>
        <w:pStyle w:val="462"/>
        <w:spacing w:line="500" w:lineRule="exact"/>
        <w:ind w:left="0" w:right="0"/>
        <w:rPr>
          <w:rFonts w:cs="Times New Roman"/>
          <w:b/>
          <w:color w:val="auto"/>
          <w:sz w:val="21"/>
          <w:szCs w:val="21"/>
          <w:highlight w:val="none"/>
        </w:rPr>
      </w:pPr>
      <w:r>
        <w:rPr>
          <w:rFonts w:hint="eastAsia" w:ascii="宋体" w:hAnsi="宋体" w:cs="宋体"/>
          <w:color w:val="auto"/>
          <w:sz w:val="24"/>
          <w:szCs w:val="24"/>
          <w:highlight w:val="none"/>
          <w:lang w:val="en-US" w:eastAsia="zh-CN"/>
        </w:rPr>
        <w:t>本项目为屠宰项目，根据</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重点排污单位名录管理规定</w:t>
      </w:r>
      <w:r>
        <w:rPr>
          <w:rFonts w:hint="eastAsia" w:ascii="宋体" w:hAnsi="宋体" w:eastAsia="宋体" w:cs="宋体"/>
          <w:color w:val="auto"/>
          <w:sz w:val="24"/>
          <w:szCs w:val="24"/>
          <w:highlight w:val="none"/>
          <w:lang w:eastAsia="zh-CN"/>
        </w:rPr>
        <w:t>》</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本项目为重点排污单位。</w:t>
      </w:r>
      <w:r>
        <w:rPr>
          <w:rFonts w:cs="Times New Roman"/>
          <w:color w:val="auto"/>
          <w:szCs w:val="24"/>
          <w:highlight w:val="none"/>
        </w:rPr>
        <w:t>根据《排污单位自行监测技术指南 总则》（HJ 819-2017）、《排污单位自行监测技术指南 农副食品加工业》（HJ 986-2018）</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并</w:t>
      </w:r>
      <w:r>
        <w:rPr>
          <w:rFonts w:hint="eastAsia" w:cs="Times New Roman"/>
          <w:color w:val="auto"/>
          <w:szCs w:val="24"/>
          <w:highlight w:val="none"/>
          <w:lang w:val="en-US" w:eastAsia="zh-CN"/>
        </w:rPr>
        <w:t>结合</w:t>
      </w:r>
      <w:r>
        <w:rPr>
          <w:rFonts w:cs="Times New Roman"/>
          <w:color w:val="auto"/>
          <w:szCs w:val="24"/>
          <w:highlight w:val="none"/>
        </w:rPr>
        <w:t>本项目的污染特征</w:t>
      </w:r>
      <w:r>
        <w:rPr>
          <w:rFonts w:hint="eastAsia" w:cs="Times New Roman"/>
          <w:color w:val="auto"/>
          <w:szCs w:val="24"/>
          <w:highlight w:val="none"/>
          <w:lang w:val="en-US" w:eastAsia="zh-CN"/>
        </w:rPr>
        <w:t>制定本项目环境监测计划</w:t>
      </w:r>
      <w:r>
        <w:rPr>
          <w:rFonts w:hint="eastAsia" w:cs="Times New Roman"/>
          <w:color w:val="auto"/>
          <w:szCs w:val="24"/>
          <w:highlight w:val="none"/>
        </w:rPr>
        <w:t>，</w:t>
      </w:r>
      <w:r>
        <w:rPr>
          <w:rFonts w:cs="Times New Roman"/>
          <w:color w:val="auto"/>
          <w:szCs w:val="24"/>
          <w:highlight w:val="none"/>
        </w:rPr>
        <w:t>本项目营运期监测计划见表8</w:t>
      </w:r>
      <w:r>
        <w:rPr>
          <w:rFonts w:hint="eastAsia" w:cs="Times New Roman"/>
          <w:color w:val="auto"/>
          <w:szCs w:val="24"/>
          <w:highlight w:val="none"/>
          <w:lang w:val="en-US" w:eastAsia="zh-CN"/>
        </w:rPr>
        <w:t>.</w:t>
      </w:r>
      <w:r>
        <w:rPr>
          <w:rFonts w:cs="Times New Roman"/>
          <w:color w:val="auto"/>
          <w:szCs w:val="24"/>
          <w:highlight w:val="none"/>
        </w:rPr>
        <w:t>2-1。</w:t>
      </w:r>
    </w:p>
    <w:p w14:paraId="1479C3D7">
      <w:pPr>
        <w:pStyle w:val="462"/>
        <w:spacing w:line="240" w:lineRule="auto"/>
        <w:ind w:left="0" w:right="0" w:firstLine="0" w:firstLineChars="0"/>
        <w:jc w:val="center"/>
        <w:rPr>
          <w:rFonts w:cs="Times New Roman"/>
          <w:b/>
          <w:color w:val="auto"/>
          <w:szCs w:val="24"/>
          <w:highlight w:val="none"/>
        </w:rPr>
      </w:pPr>
      <w:r>
        <w:rPr>
          <w:rFonts w:cs="Times New Roman"/>
          <w:b/>
          <w:color w:val="auto"/>
          <w:szCs w:val="24"/>
          <w:highlight w:val="none"/>
        </w:rPr>
        <w:t>表8</w:t>
      </w:r>
      <w:r>
        <w:rPr>
          <w:rFonts w:hint="eastAsia" w:cs="Times New Roman"/>
          <w:b/>
          <w:color w:val="auto"/>
          <w:szCs w:val="24"/>
          <w:highlight w:val="none"/>
          <w:lang w:val="en-US" w:eastAsia="zh-CN"/>
        </w:rPr>
        <w:t>.</w:t>
      </w:r>
      <w:r>
        <w:rPr>
          <w:rFonts w:cs="Times New Roman"/>
          <w:b/>
          <w:color w:val="auto"/>
          <w:szCs w:val="24"/>
          <w:highlight w:val="none"/>
        </w:rPr>
        <w:t xml:space="preserve">2-1  </w:t>
      </w:r>
      <w:r>
        <w:rPr>
          <w:rFonts w:hint="eastAsia" w:cs="Times New Roman"/>
          <w:b/>
          <w:color w:val="auto"/>
          <w:szCs w:val="24"/>
          <w:highlight w:val="none"/>
          <w:lang w:val="en-US" w:eastAsia="zh-CN"/>
        </w:rPr>
        <w:t>污染源</w:t>
      </w:r>
      <w:r>
        <w:rPr>
          <w:rFonts w:cs="Times New Roman"/>
          <w:b/>
          <w:color w:val="auto"/>
          <w:szCs w:val="24"/>
          <w:highlight w:val="none"/>
        </w:rPr>
        <w:t>环境监测计划</w:t>
      </w:r>
    </w:p>
    <w:tbl>
      <w:tblPr>
        <w:tblStyle w:val="47"/>
        <w:tblW w:w="928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08"/>
        <w:gridCol w:w="3815"/>
        <w:gridCol w:w="1662"/>
        <w:gridCol w:w="2301"/>
      </w:tblGrid>
      <w:tr w14:paraId="12490D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508" w:type="dxa"/>
            <w:vAlign w:val="center"/>
          </w:tcPr>
          <w:p w14:paraId="697BE9F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名称</w:t>
            </w:r>
          </w:p>
        </w:tc>
        <w:tc>
          <w:tcPr>
            <w:tcW w:w="3815" w:type="dxa"/>
            <w:vAlign w:val="center"/>
          </w:tcPr>
          <w:p w14:paraId="4E9FE66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监测项目</w:t>
            </w:r>
          </w:p>
        </w:tc>
        <w:tc>
          <w:tcPr>
            <w:tcW w:w="1662" w:type="dxa"/>
            <w:vAlign w:val="center"/>
          </w:tcPr>
          <w:p w14:paraId="64E848F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监测计划</w:t>
            </w:r>
          </w:p>
        </w:tc>
        <w:tc>
          <w:tcPr>
            <w:tcW w:w="2301" w:type="dxa"/>
            <w:vAlign w:val="center"/>
          </w:tcPr>
          <w:p w14:paraId="16456EF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监测点位</w:t>
            </w:r>
          </w:p>
        </w:tc>
      </w:tr>
      <w:tr w14:paraId="2583CE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2" w:hRule="atLeast"/>
        </w:trPr>
        <w:tc>
          <w:tcPr>
            <w:tcW w:w="1508" w:type="dxa"/>
            <w:vMerge w:val="restart"/>
            <w:vAlign w:val="center"/>
          </w:tcPr>
          <w:p w14:paraId="1DF98E8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大气污染源</w:t>
            </w:r>
          </w:p>
        </w:tc>
        <w:tc>
          <w:tcPr>
            <w:tcW w:w="3815" w:type="dxa"/>
            <w:vAlign w:val="center"/>
          </w:tcPr>
          <w:p w14:paraId="78C4F92D">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氨、硫化氢、臭气浓度</w:t>
            </w:r>
          </w:p>
        </w:tc>
        <w:tc>
          <w:tcPr>
            <w:tcW w:w="1662" w:type="dxa"/>
            <w:vAlign w:val="center"/>
          </w:tcPr>
          <w:p w14:paraId="67181F1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1次/半年</w:t>
            </w:r>
          </w:p>
        </w:tc>
        <w:tc>
          <w:tcPr>
            <w:tcW w:w="2301" w:type="dxa"/>
            <w:vAlign w:val="center"/>
          </w:tcPr>
          <w:p w14:paraId="3B607D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厂界</w:t>
            </w:r>
          </w:p>
        </w:tc>
      </w:tr>
      <w:tr w14:paraId="598A3B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1508" w:type="dxa"/>
            <w:vMerge w:val="continue"/>
            <w:vAlign w:val="center"/>
          </w:tcPr>
          <w:p w14:paraId="109C4B16">
            <w:pPr>
              <w:spacing w:line="360" w:lineRule="exact"/>
              <w:ind w:firstLine="0" w:firstLineChars="0"/>
              <w:jc w:val="center"/>
              <w:rPr>
                <w:rFonts w:cs="Times New Roman"/>
                <w:color w:val="auto"/>
                <w:sz w:val="21"/>
                <w:szCs w:val="21"/>
                <w:highlight w:val="none"/>
              </w:rPr>
            </w:pPr>
          </w:p>
        </w:tc>
        <w:tc>
          <w:tcPr>
            <w:tcW w:w="3815" w:type="dxa"/>
            <w:vAlign w:val="center"/>
          </w:tcPr>
          <w:p w14:paraId="669A76C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氨、硫化氢、臭气浓度</w:t>
            </w:r>
          </w:p>
        </w:tc>
        <w:tc>
          <w:tcPr>
            <w:tcW w:w="1662" w:type="dxa"/>
            <w:vAlign w:val="center"/>
          </w:tcPr>
          <w:p w14:paraId="1524967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1次/半年</w:t>
            </w:r>
          </w:p>
        </w:tc>
        <w:tc>
          <w:tcPr>
            <w:tcW w:w="2301" w:type="dxa"/>
            <w:vAlign w:val="center"/>
          </w:tcPr>
          <w:p w14:paraId="2A57D24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DA001、DA002</w:t>
            </w:r>
          </w:p>
        </w:tc>
      </w:tr>
      <w:tr w14:paraId="038FFC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1508" w:type="dxa"/>
            <w:vMerge w:val="restart"/>
            <w:vAlign w:val="center"/>
          </w:tcPr>
          <w:p w14:paraId="3D3C16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废水</w:t>
            </w:r>
          </w:p>
        </w:tc>
        <w:tc>
          <w:tcPr>
            <w:tcW w:w="3815" w:type="dxa"/>
            <w:vAlign w:val="center"/>
          </w:tcPr>
          <w:p w14:paraId="43388BFF">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流量、pH值、化学需氧量、氨氮</w:t>
            </w:r>
          </w:p>
        </w:tc>
        <w:tc>
          <w:tcPr>
            <w:tcW w:w="1662" w:type="dxa"/>
            <w:vAlign w:val="center"/>
          </w:tcPr>
          <w:p w14:paraId="76540A33">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val="en-US" w:eastAsia="zh-CN"/>
              </w:rPr>
              <w:t>自动监测</w:t>
            </w:r>
          </w:p>
        </w:tc>
        <w:tc>
          <w:tcPr>
            <w:tcW w:w="2301" w:type="dxa"/>
            <w:vMerge w:val="restart"/>
            <w:vAlign w:val="center"/>
          </w:tcPr>
          <w:p w14:paraId="61989608">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DW001</w:t>
            </w:r>
          </w:p>
        </w:tc>
      </w:tr>
      <w:tr w14:paraId="79034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1508" w:type="dxa"/>
            <w:vMerge w:val="continue"/>
            <w:vAlign w:val="center"/>
          </w:tcPr>
          <w:p w14:paraId="5D246289">
            <w:pPr>
              <w:spacing w:line="360" w:lineRule="exact"/>
              <w:ind w:firstLine="0" w:firstLineChars="0"/>
              <w:jc w:val="center"/>
              <w:rPr>
                <w:rFonts w:cs="Times New Roman"/>
                <w:color w:val="auto"/>
                <w:sz w:val="21"/>
                <w:szCs w:val="21"/>
                <w:highlight w:val="none"/>
              </w:rPr>
            </w:pPr>
          </w:p>
        </w:tc>
        <w:tc>
          <w:tcPr>
            <w:tcW w:w="3815" w:type="dxa"/>
            <w:vAlign w:val="center"/>
          </w:tcPr>
          <w:p w14:paraId="1BA70CFF">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五日生化需氧量、悬浮物</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动植物油、大肠菌群数、色度</w:t>
            </w:r>
            <w:r>
              <w:rPr>
                <w:rFonts w:cs="Times New Roman"/>
                <w:color w:val="auto"/>
                <w:sz w:val="21"/>
                <w:szCs w:val="21"/>
                <w:highlight w:val="none"/>
              </w:rPr>
              <w:t>、总磷</w:t>
            </w:r>
            <w:r>
              <w:rPr>
                <w:rFonts w:hint="eastAsia" w:cs="Times New Roman"/>
                <w:color w:val="auto"/>
                <w:sz w:val="21"/>
                <w:szCs w:val="21"/>
                <w:highlight w:val="none"/>
                <w:lang w:eastAsia="zh-CN"/>
              </w:rPr>
              <w:t>、</w:t>
            </w:r>
            <w:r>
              <w:rPr>
                <w:rFonts w:cs="Times New Roman"/>
                <w:color w:val="auto"/>
                <w:sz w:val="21"/>
                <w:szCs w:val="21"/>
                <w:highlight w:val="none"/>
              </w:rPr>
              <w:t>总氮</w:t>
            </w:r>
          </w:p>
        </w:tc>
        <w:tc>
          <w:tcPr>
            <w:tcW w:w="1662" w:type="dxa"/>
            <w:vAlign w:val="center"/>
          </w:tcPr>
          <w:p w14:paraId="6235CA74">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1</w:t>
            </w:r>
            <w:r>
              <w:rPr>
                <w:rFonts w:cs="Times New Roman"/>
                <w:color w:val="auto"/>
                <w:sz w:val="21"/>
                <w:szCs w:val="21"/>
                <w:highlight w:val="none"/>
              </w:rPr>
              <w:t>次/季度</w:t>
            </w:r>
          </w:p>
        </w:tc>
        <w:tc>
          <w:tcPr>
            <w:tcW w:w="2301" w:type="dxa"/>
            <w:vMerge w:val="continue"/>
            <w:vAlign w:val="center"/>
          </w:tcPr>
          <w:p w14:paraId="6BC7CF76">
            <w:pPr>
              <w:spacing w:line="360" w:lineRule="exact"/>
              <w:ind w:firstLine="0" w:firstLineChars="0"/>
              <w:jc w:val="center"/>
              <w:rPr>
                <w:rFonts w:hint="eastAsia" w:cs="Times New Roman"/>
                <w:color w:val="auto"/>
                <w:sz w:val="21"/>
                <w:szCs w:val="21"/>
                <w:highlight w:val="none"/>
                <w:lang w:val="en-US" w:eastAsia="zh-CN"/>
              </w:rPr>
            </w:pPr>
          </w:p>
        </w:tc>
      </w:tr>
      <w:tr w14:paraId="79226D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1508" w:type="dxa"/>
            <w:vAlign w:val="center"/>
          </w:tcPr>
          <w:p w14:paraId="749AA3C4">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雨水</w:t>
            </w:r>
          </w:p>
        </w:tc>
        <w:tc>
          <w:tcPr>
            <w:tcW w:w="3815" w:type="dxa"/>
            <w:vAlign w:val="center"/>
          </w:tcPr>
          <w:p w14:paraId="43A9E28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化学需氧量、悬浮物</w:t>
            </w:r>
          </w:p>
        </w:tc>
        <w:tc>
          <w:tcPr>
            <w:tcW w:w="1662" w:type="dxa"/>
            <w:vAlign w:val="center"/>
          </w:tcPr>
          <w:p w14:paraId="15FDF2FF">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1次/</w:t>
            </w:r>
            <w:r>
              <w:rPr>
                <w:rFonts w:hint="eastAsia" w:cs="Times New Roman"/>
                <w:color w:val="auto"/>
                <w:sz w:val="21"/>
                <w:szCs w:val="21"/>
                <w:highlight w:val="none"/>
                <w:lang w:val="en-US" w:eastAsia="zh-CN"/>
              </w:rPr>
              <w:t>日</w:t>
            </w:r>
            <w:r>
              <w:rPr>
                <w:rFonts w:hint="eastAsia" w:cs="Times New Roman"/>
                <w:color w:val="auto"/>
                <w:sz w:val="21"/>
                <w:szCs w:val="21"/>
                <w:highlight w:val="none"/>
                <w:vertAlign w:val="superscript"/>
                <w:lang w:val="en-US" w:eastAsia="zh-CN"/>
              </w:rPr>
              <w:t>a</w:t>
            </w:r>
          </w:p>
        </w:tc>
        <w:tc>
          <w:tcPr>
            <w:tcW w:w="2301" w:type="dxa"/>
            <w:vAlign w:val="center"/>
          </w:tcPr>
          <w:p w14:paraId="33F75BB8">
            <w:pPr>
              <w:spacing w:line="360" w:lineRule="exact"/>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DW002（雨水排放口）</w:t>
            </w:r>
          </w:p>
        </w:tc>
      </w:tr>
      <w:tr w14:paraId="747C0D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1508" w:type="dxa"/>
            <w:vAlign w:val="center"/>
          </w:tcPr>
          <w:p w14:paraId="34A7E02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w:t>
            </w:r>
          </w:p>
        </w:tc>
        <w:tc>
          <w:tcPr>
            <w:tcW w:w="3815" w:type="dxa"/>
            <w:vAlign w:val="center"/>
          </w:tcPr>
          <w:p w14:paraId="5FEDC0D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厂界噪声Leq</w:t>
            </w:r>
          </w:p>
        </w:tc>
        <w:tc>
          <w:tcPr>
            <w:tcW w:w="1662" w:type="dxa"/>
            <w:vAlign w:val="center"/>
          </w:tcPr>
          <w:p w14:paraId="0DE326AB">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1</w:t>
            </w:r>
            <w:r>
              <w:rPr>
                <w:rFonts w:cs="Times New Roman"/>
                <w:color w:val="auto"/>
                <w:sz w:val="21"/>
                <w:szCs w:val="21"/>
                <w:highlight w:val="none"/>
              </w:rPr>
              <w:t>次/季度</w:t>
            </w:r>
          </w:p>
        </w:tc>
        <w:tc>
          <w:tcPr>
            <w:tcW w:w="2301" w:type="dxa"/>
            <w:vAlign w:val="center"/>
          </w:tcPr>
          <w:p w14:paraId="5093DEE5">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厂界四周</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敏感点</w:t>
            </w:r>
          </w:p>
        </w:tc>
      </w:tr>
      <w:tr w14:paraId="3BC24B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1508" w:type="dxa"/>
            <w:vAlign w:val="center"/>
          </w:tcPr>
          <w:p w14:paraId="79AF715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地下水</w:t>
            </w:r>
          </w:p>
        </w:tc>
        <w:tc>
          <w:tcPr>
            <w:tcW w:w="3815" w:type="dxa"/>
            <w:vAlign w:val="center"/>
          </w:tcPr>
          <w:p w14:paraId="3D814F30">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pH值、氨氮</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耗氧量、总大肠菌群、细菌总数等</w:t>
            </w:r>
          </w:p>
        </w:tc>
        <w:tc>
          <w:tcPr>
            <w:tcW w:w="1662" w:type="dxa"/>
            <w:vAlign w:val="center"/>
          </w:tcPr>
          <w:p w14:paraId="228E5B8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1次/年</w:t>
            </w:r>
          </w:p>
        </w:tc>
        <w:tc>
          <w:tcPr>
            <w:tcW w:w="2301" w:type="dxa"/>
            <w:vAlign w:val="center"/>
          </w:tcPr>
          <w:p w14:paraId="30963E8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监测井</w:t>
            </w:r>
          </w:p>
        </w:tc>
      </w:tr>
    </w:tbl>
    <w:p w14:paraId="02863C4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eastAsia"/>
          <w:b/>
          <w:bCs/>
          <w:color w:val="auto"/>
          <w:sz w:val="21"/>
          <w:szCs w:val="21"/>
          <w:highlight w:val="none"/>
          <w:lang w:val="en-US" w:eastAsia="zh-CN"/>
        </w:rPr>
      </w:pPr>
      <w:r>
        <w:rPr>
          <w:rFonts w:hint="eastAsia"/>
          <w:b/>
          <w:bCs/>
          <w:color w:val="auto"/>
          <w:sz w:val="21"/>
          <w:szCs w:val="21"/>
          <w:highlight w:val="none"/>
          <w:lang w:val="en-US" w:eastAsia="zh-CN"/>
        </w:rPr>
        <w:t>注：</w:t>
      </w:r>
      <w:r>
        <w:rPr>
          <w:rFonts w:hint="default"/>
          <w:b/>
          <w:bCs/>
          <w:color w:val="auto"/>
          <w:sz w:val="21"/>
          <w:szCs w:val="21"/>
          <w:highlight w:val="none"/>
          <w:vertAlign w:val="superscript"/>
          <w:lang w:val="en-US" w:eastAsia="zh-CN"/>
        </w:rPr>
        <w:t>a</w:t>
      </w:r>
      <w:r>
        <w:rPr>
          <w:rFonts w:hint="eastAsia"/>
          <w:b/>
          <w:bCs/>
          <w:color w:val="auto"/>
          <w:sz w:val="21"/>
          <w:szCs w:val="21"/>
          <w:highlight w:val="none"/>
          <w:lang w:val="en-US" w:eastAsia="zh-CN"/>
        </w:rPr>
        <w:t>雨水排放口有流动水排放时按日监测，若监测一年无异常情况，可放宽至每季度开展一次监测。</w:t>
      </w:r>
    </w:p>
    <w:p w14:paraId="726C5318">
      <w:pPr>
        <w:pStyle w:val="462"/>
        <w:shd w:val="clear"/>
        <w:spacing w:line="240" w:lineRule="auto"/>
        <w:ind w:left="0" w:right="0" w:firstLine="0" w:firstLineChars="0"/>
        <w:jc w:val="center"/>
        <w:rPr>
          <w:rFonts w:cs="Times New Roman"/>
          <w:b/>
          <w:color w:val="auto"/>
          <w:szCs w:val="24"/>
          <w:highlight w:val="none"/>
        </w:rPr>
      </w:pPr>
      <w:r>
        <w:rPr>
          <w:rFonts w:cs="Times New Roman"/>
          <w:b/>
          <w:color w:val="auto"/>
          <w:szCs w:val="24"/>
          <w:highlight w:val="none"/>
        </w:rPr>
        <w:t>表8</w:t>
      </w:r>
      <w:r>
        <w:rPr>
          <w:rFonts w:hint="eastAsia" w:cs="Times New Roman"/>
          <w:b/>
          <w:color w:val="auto"/>
          <w:szCs w:val="24"/>
          <w:highlight w:val="none"/>
          <w:lang w:val="en-US" w:eastAsia="zh-CN"/>
        </w:rPr>
        <w:t>.</w:t>
      </w:r>
      <w:r>
        <w:rPr>
          <w:rFonts w:cs="Times New Roman"/>
          <w:b/>
          <w:color w:val="auto"/>
          <w:szCs w:val="24"/>
          <w:highlight w:val="none"/>
        </w:rPr>
        <w:t>2-</w:t>
      </w:r>
      <w:r>
        <w:rPr>
          <w:rFonts w:hint="eastAsia" w:cs="Times New Roman"/>
          <w:b/>
          <w:color w:val="auto"/>
          <w:szCs w:val="24"/>
          <w:highlight w:val="none"/>
          <w:lang w:val="en-US" w:eastAsia="zh-CN"/>
        </w:rPr>
        <w:t>2</w:t>
      </w:r>
      <w:r>
        <w:rPr>
          <w:rFonts w:cs="Times New Roman"/>
          <w:b/>
          <w:color w:val="auto"/>
          <w:szCs w:val="24"/>
          <w:highlight w:val="none"/>
        </w:rPr>
        <w:t xml:space="preserve">  </w:t>
      </w:r>
      <w:r>
        <w:rPr>
          <w:rFonts w:hint="eastAsia" w:cs="Times New Roman"/>
          <w:b/>
          <w:color w:val="auto"/>
          <w:szCs w:val="24"/>
          <w:highlight w:val="none"/>
          <w:lang w:val="en-US" w:eastAsia="zh-CN"/>
        </w:rPr>
        <w:t>环境空气质量</w:t>
      </w:r>
      <w:r>
        <w:rPr>
          <w:rFonts w:cs="Times New Roman"/>
          <w:b/>
          <w:color w:val="auto"/>
          <w:szCs w:val="24"/>
          <w:highlight w:val="none"/>
        </w:rPr>
        <w:t>监测计划</w:t>
      </w:r>
    </w:p>
    <w:tbl>
      <w:tblPr>
        <w:tblStyle w:val="47"/>
        <w:tblW w:w="928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08"/>
        <w:gridCol w:w="3815"/>
        <w:gridCol w:w="1662"/>
        <w:gridCol w:w="2301"/>
      </w:tblGrid>
      <w:tr w14:paraId="067C54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1508" w:type="dxa"/>
            <w:vAlign w:val="center"/>
          </w:tcPr>
          <w:p w14:paraId="53390271">
            <w:pPr>
              <w:shd w:val="clea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名称</w:t>
            </w:r>
          </w:p>
        </w:tc>
        <w:tc>
          <w:tcPr>
            <w:tcW w:w="3815" w:type="dxa"/>
            <w:vAlign w:val="center"/>
          </w:tcPr>
          <w:p w14:paraId="6B656A85">
            <w:pPr>
              <w:shd w:val="clea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监测项目</w:t>
            </w:r>
          </w:p>
        </w:tc>
        <w:tc>
          <w:tcPr>
            <w:tcW w:w="1662" w:type="dxa"/>
            <w:vAlign w:val="center"/>
          </w:tcPr>
          <w:p w14:paraId="17C87E72">
            <w:pPr>
              <w:shd w:val="clea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监测计划</w:t>
            </w:r>
          </w:p>
        </w:tc>
        <w:tc>
          <w:tcPr>
            <w:tcW w:w="2301" w:type="dxa"/>
            <w:vAlign w:val="center"/>
          </w:tcPr>
          <w:p w14:paraId="345C618B">
            <w:pPr>
              <w:shd w:val="clea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监测点位</w:t>
            </w:r>
          </w:p>
        </w:tc>
      </w:tr>
      <w:tr w14:paraId="1BF4A0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2" w:hRule="atLeast"/>
        </w:trPr>
        <w:tc>
          <w:tcPr>
            <w:tcW w:w="1508" w:type="dxa"/>
            <w:vAlign w:val="center"/>
          </w:tcPr>
          <w:p w14:paraId="44901948">
            <w:pPr>
              <w:shd w:val="clea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环境空气</w:t>
            </w:r>
          </w:p>
        </w:tc>
        <w:tc>
          <w:tcPr>
            <w:tcW w:w="3815" w:type="dxa"/>
            <w:vAlign w:val="center"/>
          </w:tcPr>
          <w:p w14:paraId="5CE8B2C6">
            <w:pPr>
              <w:shd w:val="clea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氨、硫化氢</w:t>
            </w:r>
          </w:p>
        </w:tc>
        <w:tc>
          <w:tcPr>
            <w:tcW w:w="1662" w:type="dxa"/>
            <w:vAlign w:val="center"/>
          </w:tcPr>
          <w:p w14:paraId="38675114">
            <w:pPr>
              <w:shd w:val="clea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1次/年</w:t>
            </w:r>
          </w:p>
        </w:tc>
        <w:tc>
          <w:tcPr>
            <w:tcW w:w="2301" w:type="dxa"/>
            <w:vAlign w:val="center"/>
          </w:tcPr>
          <w:p w14:paraId="49C81BF0">
            <w:pPr>
              <w:shd w:val="clear"/>
              <w:spacing w:line="360" w:lineRule="exact"/>
              <w:ind w:firstLine="0" w:firstLineChars="0"/>
              <w:jc w:val="center"/>
              <w:rPr>
                <w:rFonts w:hint="eastAsia" w:eastAsia="宋体" w:cs="Times New Roman"/>
                <w:color w:val="auto"/>
                <w:sz w:val="21"/>
                <w:szCs w:val="21"/>
                <w:highlight w:val="none"/>
                <w:lang w:val="en-US" w:eastAsia="zh-CN"/>
              </w:rPr>
            </w:pPr>
            <w:r>
              <w:rPr>
                <w:rFonts w:cs="Times New Roman"/>
                <w:color w:val="auto"/>
                <w:sz w:val="21"/>
                <w:szCs w:val="21"/>
                <w:highlight w:val="none"/>
              </w:rPr>
              <w:t>厂界</w:t>
            </w:r>
            <w:r>
              <w:rPr>
                <w:rFonts w:hint="eastAsia" w:cs="Times New Roman"/>
                <w:color w:val="auto"/>
                <w:sz w:val="21"/>
                <w:szCs w:val="21"/>
                <w:highlight w:val="none"/>
                <w:lang w:val="en-US" w:eastAsia="zh-CN"/>
              </w:rPr>
              <w:t>下风向</w:t>
            </w:r>
          </w:p>
        </w:tc>
      </w:tr>
    </w:tbl>
    <w:p w14:paraId="72FDD96F">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default"/>
          <w:b/>
          <w:bCs/>
          <w:color w:val="auto"/>
          <w:sz w:val="21"/>
          <w:szCs w:val="21"/>
          <w:highlight w:val="none"/>
          <w:lang w:val="en-US" w:eastAsia="zh-CN"/>
        </w:rPr>
      </w:pPr>
    </w:p>
    <w:p w14:paraId="126E3F37">
      <w:pPr>
        <w:pStyle w:val="4"/>
        <w:spacing w:after="120"/>
        <w:rPr>
          <w:rFonts w:cs="Times New Roman"/>
          <w:color w:val="auto"/>
          <w:highlight w:val="none"/>
        </w:rPr>
      </w:pPr>
      <w:bookmarkStart w:id="433" w:name="_Toc30244"/>
      <w:r>
        <w:rPr>
          <w:rFonts w:cs="Times New Roman"/>
          <w:color w:val="auto"/>
          <w:highlight w:val="none"/>
        </w:rPr>
        <w:t>8.2.3监测资料管理</w:t>
      </w:r>
      <w:bookmarkEnd w:id="433"/>
    </w:p>
    <w:p w14:paraId="40A3CB13">
      <w:pPr>
        <w:rPr>
          <w:rFonts w:cs="Times New Roman"/>
          <w:snapToGrid w:val="0"/>
          <w:color w:val="auto"/>
          <w:kern w:val="0"/>
          <w:highlight w:val="none"/>
        </w:rPr>
      </w:pPr>
      <w:r>
        <w:rPr>
          <w:rFonts w:cs="Times New Roman"/>
          <w:snapToGrid w:val="0"/>
          <w:color w:val="auto"/>
          <w:kern w:val="0"/>
          <w:highlight w:val="none"/>
        </w:rPr>
        <w:t>每次监测都应有完整的记录。监测数据应及时整理、统计，及时向各有关部门通报。并应做好监测资料的归档工作。如发现问题，应及时采取纠正或预防措施，以防止可能伴随的环境污染。</w:t>
      </w:r>
    </w:p>
    <w:p w14:paraId="508A204F">
      <w:pPr>
        <w:pStyle w:val="3"/>
        <w:spacing w:before="120" w:after="120"/>
        <w:rPr>
          <w:rFonts w:cs="Times New Roman"/>
          <w:color w:val="auto"/>
          <w:highlight w:val="none"/>
        </w:rPr>
      </w:pPr>
      <w:bookmarkStart w:id="434" w:name="_Toc480447685"/>
      <w:bookmarkStart w:id="435" w:name="_Toc26195"/>
      <w:bookmarkStart w:id="436" w:name="_Toc456590419"/>
      <w:bookmarkStart w:id="437" w:name="_Toc455043911"/>
      <w:bookmarkStart w:id="438" w:name="_Toc342462535"/>
      <w:r>
        <w:rPr>
          <w:rFonts w:cs="Times New Roman"/>
          <w:color w:val="auto"/>
          <w:highlight w:val="none"/>
        </w:rPr>
        <w:t>8.3</w:t>
      </w:r>
      <w:bookmarkEnd w:id="434"/>
      <w:bookmarkStart w:id="439" w:name="_Toc56168648"/>
      <w:r>
        <w:rPr>
          <w:rFonts w:cs="Times New Roman"/>
          <w:color w:val="auto"/>
          <w:highlight w:val="none"/>
        </w:rPr>
        <w:t>竣工环境保护验收管理</w:t>
      </w:r>
      <w:bookmarkEnd w:id="435"/>
      <w:bookmarkEnd w:id="439"/>
    </w:p>
    <w:p w14:paraId="4E49F769">
      <w:pPr>
        <w:rPr>
          <w:rFonts w:cs="Times New Roman"/>
          <w:snapToGrid w:val="0"/>
          <w:color w:val="auto"/>
          <w:kern w:val="0"/>
          <w:highlight w:val="none"/>
        </w:rPr>
      </w:pPr>
      <w:r>
        <w:rPr>
          <w:rFonts w:cs="Times New Roman"/>
          <w:snapToGrid w:val="0"/>
          <w:color w:val="auto"/>
          <w:kern w:val="0"/>
          <w:highlight w:val="none"/>
        </w:rPr>
        <w:t>建设项目竣工环境保护验收是指建设项目竣工后，环境保护行政主管部门根据规定，依据环境保护验收监测或调查结果，并通过现场检查等手段，考核本项目是否达到环境保护要求的活动。验收范围包括：与建设项目有关的各项环境保护设施，包括为防治污染和保护环境所建成或配备的工程、设备、装置和监测手段。建设项目的主体工程完工后，其配套建设的环境保护设施必须与主体工程同时投入生产或者运行。需要进行试生产的，其配套建设的环境保护设施必须与主体工程同时投入试运行，建设单位应当自试产之日起3个月内，向有审批权的环境保护行政主管部门申请该建设项目竣工环境保护验收。</w:t>
      </w:r>
    </w:p>
    <w:p w14:paraId="197F55E1">
      <w:pPr>
        <w:pStyle w:val="4"/>
        <w:spacing w:after="120" w:line="360" w:lineRule="auto"/>
        <w:rPr>
          <w:rFonts w:cs="Times New Roman"/>
          <w:color w:val="auto"/>
          <w:highlight w:val="none"/>
        </w:rPr>
      </w:pPr>
      <w:bookmarkStart w:id="440" w:name="_Toc22525"/>
      <w:r>
        <w:rPr>
          <w:rFonts w:cs="Times New Roman"/>
          <w:color w:val="auto"/>
          <w:highlight w:val="none"/>
        </w:rPr>
        <w:t>8.3.1环境保护验收条件</w:t>
      </w:r>
      <w:bookmarkEnd w:id="440"/>
    </w:p>
    <w:p w14:paraId="3F9D45E0">
      <w:pPr>
        <w:rPr>
          <w:rFonts w:cs="Times New Roman"/>
          <w:snapToGrid w:val="0"/>
          <w:color w:val="auto"/>
          <w:kern w:val="0"/>
          <w:highlight w:val="none"/>
        </w:rPr>
      </w:pPr>
      <w:r>
        <w:rPr>
          <w:rFonts w:cs="Times New Roman"/>
          <w:snapToGrid w:val="0"/>
          <w:color w:val="auto"/>
          <w:kern w:val="0"/>
          <w:highlight w:val="none"/>
        </w:rPr>
        <w:t>（1）建设前期环境保护审查、审批手续完备，技术资料与环境保护档案资料齐全；</w:t>
      </w:r>
    </w:p>
    <w:p w14:paraId="479F206D">
      <w:pPr>
        <w:rPr>
          <w:rFonts w:cs="Times New Roman"/>
          <w:snapToGrid w:val="0"/>
          <w:color w:val="auto"/>
          <w:kern w:val="0"/>
          <w:highlight w:val="none"/>
        </w:rPr>
      </w:pPr>
      <w:r>
        <w:rPr>
          <w:rFonts w:cs="Times New Roman"/>
          <w:snapToGrid w:val="0"/>
          <w:color w:val="auto"/>
          <w:kern w:val="0"/>
          <w:highlight w:val="none"/>
        </w:rPr>
        <w:t>（2）环境保护设施及其它措施等已按批准的环境影响报告书的要求建成或者落实，环境保护设施经负荷试车检测合格，其防治污染能力适应主体工程的需要；</w:t>
      </w:r>
    </w:p>
    <w:p w14:paraId="7C18B949">
      <w:pPr>
        <w:rPr>
          <w:rFonts w:cs="Times New Roman"/>
          <w:snapToGrid w:val="0"/>
          <w:color w:val="auto"/>
          <w:kern w:val="0"/>
          <w:highlight w:val="none"/>
        </w:rPr>
      </w:pPr>
      <w:r>
        <w:rPr>
          <w:rFonts w:cs="Times New Roman"/>
          <w:snapToGrid w:val="0"/>
          <w:color w:val="auto"/>
          <w:kern w:val="0"/>
          <w:highlight w:val="none"/>
        </w:rPr>
        <w:t>（3）环境保护设施安装质量符合国家和有关部门颁发的专业工程验收规范、规程和检验评定标准：</w:t>
      </w:r>
    </w:p>
    <w:p w14:paraId="1657E7F0">
      <w:pPr>
        <w:rPr>
          <w:rFonts w:cs="Times New Roman"/>
          <w:snapToGrid w:val="0"/>
          <w:color w:val="auto"/>
          <w:kern w:val="0"/>
          <w:highlight w:val="none"/>
        </w:rPr>
      </w:pPr>
      <w:r>
        <w:rPr>
          <w:rFonts w:cs="Times New Roman"/>
          <w:snapToGrid w:val="0"/>
          <w:color w:val="auto"/>
          <w:kern w:val="0"/>
          <w:highlight w:val="none"/>
        </w:rPr>
        <w:t>（4）具备环境保护设施正常运转的条件，包括：经培训合格的操作人员、健全的岗位操作规程及相应的规章制度，原利、动力供应落实，符合交付使用的其他要求；</w:t>
      </w:r>
    </w:p>
    <w:p w14:paraId="2B3B1EF5">
      <w:pPr>
        <w:rPr>
          <w:rFonts w:cs="Times New Roman"/>
          <w:snapToGrid w:val="0"/>
          <w:color w:val="auto"/>
          <w:kern w:val="0"/>
          <w:highlight w:val="none"/>
        </w:rPr>
      </w:pPr>
      <w:r>
        <w:rPr>
          <w:rFonts w:cs="Times New Roman"/>
          <w:snapToGrid w:val="0"/>
          <w:color w:val="auto"/>
          <w:kern w:val="0"/>
          <w:highlight w:val="none"/>
        </w:rPr>
        <w:t>（5）污染物排放符合环境影响报告书利设计文件中提出的标准及核定的污染物排放总量控制指标的要求；</w:t>
      </w:r>
    </w:p>
    <w:p w14:paraId="51924253">
      <w:pPr>
        <w:rPr>
          <w:rFonts w:cs="Times New Roman"/>
          <w:snapToGrid w:val="0"/>
          <w:color w:val="auto"/>
          <w:kern w:val="0"/>
          <w:highlight w:val="none"/>
        </w:rPr>
      </w:pPr>
      <w:r>
        <w:rPr>
          <w:rFonts w:cs="Times New Roman"/>
          <w:snapToGrid w:val="0"/>
          <w:color w:val="auto"/>
          <w:kern w:val="0"/>
          <w:highlight w:val="none"/>
        </w:rPr>
        <w:t>（6）环境监测项目、点位、机构设置及人员配备，符合环境影响报告书和有关规定的要求。</w:t>
      </w:r>
    </w:p>
    <w:p w14:paraId="2B71585A">
      <w:pPr>
        <w:pStyle w:val="4"/>
        <w:spacing w:after="120" w:line="360" w:lineRule="auto"/>
        <w:rPr>
          <w:rFonts w:cs="Times New Roman"/>
          <w:color w:val="auto"/>
          <w:highlight w:val="none"/>
        </w:rPr>
      </w:pPr>
      <w:bookmarkStart w:id="441" w:name="_Toc19918"/>
      <w:r>
        <w:rPr>
          <w:rFonts w:cs="Times New Roman"/>
          <w:color w:val="auto"/>
          <w:highlight w:val="none"/>
        </w:rPr>
        <w:t>8.3.2竣工环境保护验收内容</w:t>
      </w:r>
      <w:bookmarkEnd w:id="441"/>
    </w:p>
    <w:p w14:paraId="49C6D779">
      <w:pPr>
        <w:pStyle w:val="462"/>
        <w:adjustRightInd/>
        <w:spacing w:line="360" w:lineRule="auto"/>
        <w:ind w:left="0" w:right="0"/>
        <w:rPr>
          <w:rFonts w:cs="Times New Roman"/>
          <w:color w:val="auto"/>
          <w:szCs w:val="24"/>
          <w:highlight w:val="none"/>
        </w:rPr>
      </w:pPr>
      <w:r>
        <w:rPr>
          <w:rFonts w:cs="Times New Roman"/>
          <w:color w:val="auto"/>
          <w:szCs w:val="24"/>
          <w:highlight w:val="none"/>
        </w:rPr>
        <w:t>建设单位在工程竣工后，应按照2017年7月16日修订的《建设项目环境保护管理条例》中的有关要求，建设单位自行进行环保验收并编制验收报告，列出主要环境保护验收目标及监测内容如表8</w:t>
      </w:r>
      <w:r>
        <w:rPr>
          <w:rFonts w:hint="eastAsia" w:cs="Times New Roman"/>
          <w:color w:val="auto"/>
          <w:szCs w:val="24"/>
          <w:highlight w:val="none"/>
          <w:lang w:val="en-US" w:eastAsia="zh-CN"/>
        </w:rPr>
        <w:t>.</w:t>
      </w:r>
      <w:r>
        <w:rPr>
          <w:rFonts w:cs="Times New Roman"/>
          <w:color w:val="auto"/>
          <w:szCs w:val="24"/>
          <w:highlight w:val="none"/>
        </w:rPr>
        <w:t>3-1。</w:t>
      </w:r>
    </w:p>
    <w:p w14:paraId="5BFD8FA1">
      <w:pPr>
        <w:pStyle w:val="462"/>
        <w:adjustRightInd/>
        <w:spacing w:line="360" w:lineRule="auto"/>
        <w:ind w:left="0" w:right="0"/>
        <w:rPr>
          <w:rFonts w:cs="Times New Roman"/>
          <w:color w:val="auto"/>
          <w:szCs w:val="24"/>
          <w:highlight w:val="none"/>
        </w:rPr>
        <w:sectPr>
          <w:pgSz w:w="11906" w:h="16838"/>
          <w:pgMar w:top="1588" w:right="1418" w:bottom="1418" w:left="1418" w:header="964" w:footer="964" w:gutter="0"/>
          <w:pgBorders>
            <w:top w:val="none" w:sz="0" w:space="0"/>
            <w:left w:val="none" w:sz="0" w:space="0"/>
            <w:bottom w:val="none" w:sz="0" w:space="0"/>
            <w:right w:val="none" w:sz="0" w:space="0"/>
          </w:pgBorders>
          <w:pgNumType w:fmt="decimal"/>
          <w:cols w:space="720" w:num="1"/>
          <w:docGrid w:linePitch="312" w:charSpace="0"/>
        </w:sectPr>
      </w:pPr>
    </w:p>
    <w:p w14:paraId="6E1F6BD7">
      <w:pPr>
        <w:spacing w:line="240" w:lineRule="auto"/>
        <w:ind w:firstLine="0" w:firstLineChars="0"/>
        <w:jc w:val="center"/>
        <w:rPr>
          <w:rFonts w:cs="Times New Roman"/>
          <w:b/>
          <w:color w:val="auto"/>
          <w:szCs w:val="24"/>
          <w:highlight w:val="none"/>
        </w:rPr>
      </w:pPr>
      <w:r>
        <w:rPr>
          <w:rFonts w:cs="Times New Roman"/>
          <w:b/>
          <w:color w:val="auto"/>
          <w:szCs w:val="24"/>
          <w:highlight w:val="none"/>
        </w:rPr>
        <w:t>表8</w:t>
      </w:r>
      <w:r>
        <w:rPr>
          <w:rFonts w:hint="eastAsia" w:cs="Times New Roman"/>
          <w:b/>
          <w:color w:val="auto"/>
          <w:szCs w:val="24"/>
          <w:highlight w:val="none"/>
          <w:lang w:val="en-US" w:eastAsia="zh-CN"/>
        </w:rPr>
        <w:t>.</w:t>
      </w:r>
      <w:r>
        <w:rPr>
          <w:rFonts w:cs="Times New Roman"/>
          <w:b/>
          <w:color w:val="auto"/>
          <w:szCs w:val="24"/>
          <w:highlight w:val="none"/>
        </w:rPr>
        <w:t>3-1  环境保护设施“三同时”验收一览表</w:t>
      </w:r>
    </w:p>
    <w:tbl>
      <w:tblPr>
        <w:tblStyle w:val="47"/>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715"/>
        <w:gridCol w:w="328"/>
        <w:gridCol w:w="1149"/>
        <w:gridCol w:w="2507"/>
        <w:gridCol w:w="3537"/>
        <w:gridCol w:w="1933"/>
        <w:gridCol w:w="3528"/>
      </w:tblGrid>
      <w:tr w14:paraId="5E06B1B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68" w:hRule="atLeast"/>
          <w:jc w:val="center"/>
        </w:trPr>
        <w:tc>
          <w:tcPr>
            <w:tcW w:w="2192" w:type="dxa"/>
            <w:gridSpan w:val="3"/>
            <w:tcBorders>
              <w:tl2br w:val="nil"/>
              <w:tr2bl w:val="nil"/>
            </w:tcBorders>
            <w:tcMar>
              <w:top w:w="0" w:type="dxa"/>
              <w:left w:w="11" w:type="dxa"/>
              <w:bottom w:w="0" w:type="dxa"/>
              <w:right w:w="11" w:type="dxa"/>
            </w:tcMar>
            <w:vAlign w:val="center"/>
          </w:tcPr>
          <w:p w14:paraId="2E34965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治理对象</w:t>
            </w:r>
          </w:p>
        </w:tc>
        <w:tc>
          <w:tcPr>
            <w:tcW w:w="2507" w:type="dxa"/>
            <w:tcBorders>
              <w:tl2br w:val="nil"/>
              <w:tr2bl w:val="nil"/>
            </w:tcBorders>
            <w:tcMar>
              <w:top w:w="0" w:type="dxa"/>
              <w:left w:w="11" w:type="dxa"/>
              <w:bottom w:w="0" w:type="dxa"/>
              <w:right w:w="11" w:type="dxa"/>
            </w:tcMar>
            <w:vAlign w:val="center"/>
          </w:tcPr>
          <w:p w14:paraId="28DD65B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污染物名称</w:t>
            </w:r>
          </w:p>
        </w:tc>
        <w:tc>
          <w:tcPr>
            <w:tcW w:w="5470" w:type="dxa"/>
            <w:gridSpan w:val="2"/>
            <w:tcBorders>
              <w:tl2br w:val="nil"/>
              <w:tr2bl w:val="nil"/>
            </w:tcBorders>
            <w:tcMar>
              <w:top w:w="0" w:type="dxa"/>
              <w:left w:w="11" w:type="dxa"/>
              <w:bottom w:w="0" w:type="dxa"/>
              <w:right w:w="11" w:type="dxa"/>
            </w:tcMar>
            <w:vAlign w:val="center"/>
          </w:tcPr>
          <w:p w14:paraId="05AFDF3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治理措施</w:t>
            </w:r>
          </w:p>
        </w:tc>
        <w:tc>
          <w:tcPr>
            <w:tcW w:w="3528" w:type="dxa"/>
            <w:tcBorders>
              <w:tl2br w:val="nil"/>
              <w:tr2bl w:val="nil"/>
            </w:tcBorders>
            <w:tcMar>
              <w:top w:w="0" w:type="dxa"/>
              <w:left w:w="11" w:type="dxa"/>
              <w:bottom w:w="0" w:type="dxa"/>
              <w:right w:w="11" w:type="dxa"/>
            </w:tcMar>
            <w:vAlign w:val="center"/>
          </w:tcPr>
          <w:p w14:paraId="21D9438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治理效果</w:t>
            </w:r>
          </w:p>
        </w:tc>
      </w:tr>
      <w:tr w14:paraId="0298230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restart"/>
            <w:tcBorders>
              <w:tl2br w:val="nil"/>
              <w:tr2bl w:val="nil"/>
            </w:tcBorders>
            <w:tcMar>
              <w:top w:w="0" w:type="dxa"/>
              <w:left w:w="11" w:type="dxa"/>
              <w:bottom w:w="0" w:type="dxa"/>
              <w:right w:w="11" w:type="dxa"/>
            </w:tcMar>
            <w:vAlign w:val="center"/>
          </w:tcPr>
          <w:p w14:paraId="40A5C0E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废气</w:t>
            </w:r>
          </w:p>
        </w:tc>
        <w:tc>
          <w:tcPr>
            <w:tcW w:w="1477" w:type="dxa"/>
            <w:gridSpan w:val="2"/>
            <w:tcBorders>
              <w:tl2br w:val="nil"/>
              <w:tr2bl w:val="nil"/>
            </w:tcBorders>
            <w:tcMar>
              <w:top w:w="0" w:type="dxa"/>
              <w:left w:w="11" w:type="dxa"/>
              <w:bottom w:w="0" w:type="dxa"/>
              <w:right w:w="11" w:type="dxa"/>
            </w:tcMar>
            <w:vAlign w:val="center"/>
          </w:tcPr>
          <w:p w14:paraId="72F9C486">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屠宰车间、</w:t>
            </w:r>
            <w:r>
              <w:rPr>
                <w:rFonts w:hint="eastAsia" w:cs="Times New Roman"/>
                <w:color w:val="auto"/>
                <w:sz w:val="21"/>
                <w:szCs w:val="21"/>
                <w:highlight w:val="none"/>
                <w:lang w:val="en-US" w:eastAsia="zh-CN"/>
              </w:rPr>
              <w:t>急宰间、隔离间及固体废物暂存间（一般固体废物暂存间、危险废物贮存点）</w:t>
            </w:r>
          </w:p>
        </w:tc>
        <w:tc>
          <w:tcPr>
            <w:tcW w:w="2507" w:type="dxa"/>
            <w:tcBorders>
              <w:tl2br w:val="nil"/>
              <w:tr2bl w:val="nil"/>
            </w:tcBorders>
            <w:tcMar>
              <w:top w:w="0" w:type="dxa"/>
              <w:left w:w="11" w:type="dxa"/>
              <w:bottom w:w="0" w:type="dxa"/>
              <w:right w:w="11" w:type="dxa"/>
            </w:tcMar>
            <w:vAlign w:val="center"/>
          </w:tcPr>
          <w:p w14:paraId="57B0A4A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氨、硫化氢、臭气浓度</w:t>
            </w:r>
          </w:p>
        </w:tc>
        <w:tc>
          <w:tcPr>
            <w:tcW w:w="5470" w:type="dxa"/>
            <w:gridSpan w:val="2"/>
            <w:tcBorders>
              <w:tl2br w:val="nil"/>
              <w:tr2bl w:val="nil"/>
            </w:tcBorders>
            <w:tcMar>
              <w:top w:w="0" w:type="dxa"/>
              <w:left w:w="11" w:type="dxa"/>
              <w:bottom w:w="0" w:type="dxa"/>
              <w:right w:w="11" w:type="dxa"/>
            </w:tcMar>
            <w:vAlign w:val="center"/>
          </w:tcPr>
          <w:p w14:paraId="68867F7A">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lang w:val="en-US" w:eastAsia="zh-CN"/>
              </w:rPr>
              <w:t>冷凝除湿器+</w:t>
            </w:r>
            <w:r>
              <w:rPr>
                <w:rFonts w:cs="Times New Roman"/>
                <w:color w:val="auto"/>
                <w:sz w:val="21"/>
                <w:szCs w:val="21"/>
                <w:highlight w:val="none"/>
              </w:rPr>
              <w:t>活性炭吸附装置+15m排气筒（DA001）</w:t>
            </w:r>
          </w:p>
        </w:tc>
        <w:tc>
          <w:tcPr>
            <w:tcW w:w="3528" w:type="dxa"/>
            <w:vMerge w:val="restart"/>
            <w:tcBorders>
              <w:tl2br w:val="nil"/>
              <w:tr2bl w:val="nil"/>
            </w:tcBorders>
            <w:tcMar>
              <w:top w:w="0" w:type="dxa"/>
              <w:left w:w="11" w:type="dxa"/>
              <w:bottom w:w="0" w:type="dxa"/>
              <w:right w:w="11" w:type="dxa"/>
            </w:tcMar>
            <w:vAlign w:val="center"/>
          </w:tcPr>
          <w:p w14:paraId="5F8F973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《恶臭污染物排放标准》（GB14554-93）表2</w:t>
            </w:r>
          </w:p>
        </w:tc>
      </w:tr>
      <w:tr w14:paraId="088B97A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tcMar>
              <w:top w:w="0" w:type="dxa"/>
              <w:left w:w="11" w:type="dxa"/>
              <w:bottom w:w="0" w:type="dxa"/>
              <w:right w:w="11" w:type="dxa"/>
            </w:tcMar>
            <w:vAlign w:val="center"/>
          </w:tcPr>
          <w:p w14:paraId="60EE263B">
            <w:pPr>
              <w:spacing w:line="360" w:lineRule="exact"/>
              <w:ind w:firstLine="0" w:firstLineChars="0"/>
              <w:jc w:val="center"/>
              <w:rPr>
                <w:rFonts w:cs="Times New Roman"/>
                <w:color w:val="auto"/>
                <w:sz w:val="21"/>
                <w:szCs w:val="21"/>
                <w:highlight w:val="none"/>
              </w:rPr>
            </w:pPr>
          </w:p>
        </w:tc>
        <w:tc>
          <w:tcPr>
            <w:tcW w:w="1477" w:type="dxa"/>
            <w:gridSpan w:val="2"/>
            <w:tcBorders>
              <w:tl2br w:val="nil"/>
              <w:tr2bl w:val="nil"/>
            </w:tcBorders>
            <w:tcMar>
              <w:top w:w="0" w:type="dxa"/>
              <w:left w:w="11" w:type="dxa"/>
              <w:bottom w:w="0" w:type="dxa"/>
              <w:right w:w="11" w:type="dxa"/>
            </w:tcMar>
            <w:vAlign w:val="center"/>
          </w:tcPr>
          <w:p w14:paraId="73FDD20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污水处理站</w:t>
            </w:r>
          </w:p>
        </w:tc>
        <w:tc>
          <w:tcPr>
            <w:tcW w:w="2507" w:type="dxa"/>
            <w:tcBorders>
              <w:tl2br w:val="nil"/>
              <w:tr2bl w:val="nil"/>
            </w:tcBorders>
            <w:tcMar>
              <w:top w:w="0" w:type="dxa"/>
              <w:left w:w="11" w:type="dxa"/>
              <w:bottom w:w="0" w:type="dxa"/>
              <w:right w:w="11" w:type="dxa"/>
            </w:tcMar>
            <w:vAlign w:val="center"/>
          </w:tcPr>
          <w:p w14:paraId="6C6046E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氨、硫化氢、臭气浓度</w:t>
            </w:r>
          </w:p>
        </w:tc>
        <w:tc>
          <w:tcPr>
            <w:tcW w:w="5470" w:type="dxa"/>
            <w:gridSpan w:val="2"/>
            <w:tcBorders>
              <w:tl2br w:val="nil"/>
              <w:tr2bl w:val="nil"/>
            </w:tcBorders>
            <w:tcMar>
              <w:top w:w="0" w:type="dxa"/>
              <w:left w:w="11" w:type="dxa"/>
              <w:bottom w:w="0" w:type="dxa"/>
              <w:right w:w="11" w:type="dxa"/>
            </w:tcMar>
            <w:vAlign w:val="center"/>
          </w:tcPr>
          <w:p w14:paraId="19B965D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活性炭吸附装置+15m排气筒（DA00</w:t>
            </w:r>
            <w:r>
              <w:rPr>
                <w:rFonts w:hint="eastAsia" w:cs="Times New Roman"/>
                <w:color w:val="auto"/>
                <w:sz w:val="21"/>
                <w:szCs w:val="21"/>
                <w:highlight w:val="none"/>
                <w:lang w:val="en-US" w:eastAsia="zh-CN"/>
              </w:rPr>
              <w:t>2</w:t>
            </w:r>
            <w:r>
              <w:rPr>
                <w:rFonts w:cs="Times New Roman"/>
                <w:color w:val="auto"/>
                <w:sz w:val="21"/>
                <w:szCs w:val="21"/>
                <w:highlight w:val="none"/>
              </w:rPr>
              <w:t>）</w:t>
            </w:r>
          </w:p>
        </w:tc>
        <w:tc>
          <w:tcPr>
            <w:tcW w:w="3528" w:type="dxa"/>
            <w:vMerge w:val="continue"/>
            <w:tcBorders>
              <w:tl2br w:val="nil"/>
              <w:tr2bl w:val="nil"/>
            </w:tcBorders>
            <w:tcMar>
              <w:top w:w="0" w:type="dxa"/>
              <w:left w:w="11" w:type="dxa"/>
              <w:bottom w:w="0" w:type="dxa"/>
              <w:right w:w="11" w:type="dxa"/>
            </w:tcMar>
            <w:vAlign w:val="center"/>
          </w:tcPr>
          <w:p w14:paraId="5BE41E6D">
            <w:pPr>
              <w:spacing w:line="360" w:lineRule="exact"/>
              <w:ind w:firstLine="0" w:firstLineChars="0"/>
              <w:jc w:val="center"/>
              <w:rPr>
                <w:rFonts w:cs="Times New Roman"/>
                <w:color w:val="auto"/>
                <w:sz w:val="21"/>
                <w:szCs w:val="21"/>
                <w:highlight w:val="none"/>
              </w:rPr>
            </w:pPr>
          </w:p>
        </w:tc>
      </w:tr>
      <w:tr w14:paraId="1EC121C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39A25ABB">
            <w:pPr>
              <w:widowControl/>
              <w:spacing w:line="360" w:lineRule="exact"/>
              <w:ind w:firstLine="0" w:firstLineChars="0"/>
              <w:jc w:val="center"/>
              <w:rPr>
                <w:rFonts w:cs="Times New Roman"/>
                <w:color w:val="auto"/>
                <w:sz w:val="21"/>
                <w:szCs w:val="21"/>
                <w:highlight w:val="none"/>
              </w:rPr>
            </w:pPr>
          </w:p>
        </w:tc>
        <w:tc>
          <w:tcPr>
            <w:tcW w:w="328" w:type="dxa"/>
            <w:vMerge w:val="restart"/>
            <w:tcBorders>
              <w:tl2br w:val="nil"/>
              <w:tr2bl w:val="nil"/>
            </w:tcBorders>
            <w:tcMar>
              <w:top w:w="0" w:type="dxa"/>
              <w:left w:w="11" w:type="dxa"/>
              <w:bottom w:w="0" w:type="dxa"/>
              <w:right w:w="11" w:type="dxa"/>
            </w:tcMar>
            <w:vAlign w:val="center"/>
          </w:tcPr>
          <w:p w14:paraId="4B6191A1">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厂界</w:t>
            </w:r>
          </w:p>
        </w:tc>
        <w:tc>
          <w:tcPr>
            <w:tcW w:w="1149" w:type="dxa"/>
            <w:tcBorders>
              <w:tl2br w:val="nil"/>
              <w:tr2bl w:val="nil"/>
            </w:tcBorders>
            <w:tcMar>
              <w:top w:w="0" w:type="dxa"/>
              <w:left w:w="11" w:type="dxa"/>
              <w:bottom w:w="0" w:type="dxa"/>
              <w:right w:w="11" w:type="dxa"/>
            </w:tcMar>
            <w:vAlign w:val="center"/>
          </w:tcPr>
          <w:p w14:paraId="41B478D5">
            <w:pPr>
              <w:spacing w:line="360" w:lineRule="exact"/>
              <w:ind w:firstLine="0" w:firstLineChars="0"/>
              <w:jc w:val="center"/>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待宰圈</w:t>
            </w:r>
          </w:p>
        </w:tc>
        <w:tc>
          <w:tcPr>
            <w:tcW w:w="2507" w:type="dxa"/>
            <w:vMerge w:val="restart"/>
            <w:tcBorders>
              <w:tl2br w:val="nil"/>
              <w:tr2bl w:val="nil"/>
            </w:tcBorders>
            <w:tcMar>
              <w:top w:w="0" w:type="dxa"/>
              <w:left w:w="11" w:type="dxa"/>
              <w:bottom w:w="0" w:type="dxa"/>
              <w:right w:w="11" w:type="dxa"/>
            </w:tcMar>
            <w:vAlign w:val="center"/>
          </w:tcPr>
          <w:p w14:paraId="379A581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氨、硫化氢、臭气浓度</w:t>
            </w:r>
          </w:p>
        </w:tc>
        <w:tc>
          <w:tcPr>
            <w:tcW w:w="5470" w:type="dxa"/>
            <w:gridSpan w:val="2"/>
            <w:tcBorders>
              <w:tl2br w:val="nil"/>
              <w:tr2bl w:val="nil"/>
            </w:tcBorders>
            <w:tcMar>
              <w:top w:w="0" w:type="dxa"/>
              <w:left w:w="11" w:type="dxa"/>
              <w:bottom w:w="0" w:type="dxa"/>
              <w:right w:w="11" w:type="dxa"/>
            </w:tcMar>
            <w:vAlign w:val="center"/>
          </w:tcPr>
          <w:p w14:paraId="7AB2358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及时清运粪便、喷洒除臭剂</w:t>
            </w:r>
          </w:p>
        </w:tc>
        <w:tc>
          <w:tcPr>
            <w:tcW w:w="3528" w:type="dxa"/>
            <w:vMerge w:val="restart"/>
            <w:tcBorders>
              <w:tl2br w:val="nil"/>
              <w:tr2bl w:val="nil"/>
            </w:tcBorders>
            <w:vAlign w:val="center"/>
          </w:tcPr>
          <w:p w14:paraId="79F70DAC">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《恶臭污染物排放标准》（GB14554-93）表1中二级标准</w:t>
            </w:r>
          </w:p>
        </w:tc>
      </w:tr>
      <w:tr w14:paraId="251E35D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146DC243">
            <w:pPr>
              <w:widowControl/>
              <w:spacing w:line="360" w:lineRule="exact"/>
              <w:ind w:firstLine="0" w:firstLineChars="0"/>
              <w:jc w:val="center"/>
              <w:rPr>
                <w:rFonts w:cs="Times New Roman"/>
                <w:color w:val="auto"/>
                <w:sz w:val="21"/>
                <w:szCs w:val="21"/>
                <w:highlight w:val="none"/>
              </w:rPr>
            </w:pPr>
          </w:p>
        </w:tc>
        <w:tc>
          <w:tcPr>
            <w:tcW w:w="328" w:type="dxa"/>
            <w:vMerge w:val="continue"/>
            <w:tcBorders>
              <w:tl2br w:val="nil"/>
              <w:tr2bl w:val="nil"/>
            </w:tcBorders>
            <w:tcMar>
              <w:top w:w="0" w:type="dxa"/>
              <w:left w:w="11" w:type="dxa"/>
              <w:bottom w:w="0" w:type="dxa"/>
              <w:right w:w="11" w:type="dxa"/>
            </w:tcMar>
            <w:vAlign w:val="center"/>
          </w:tcPr>
          <w:p w14:paraId="12B79DEC">
            <w:pPr>
              <w:spacing w:line="360" w:lineRule="exact"/>
              <w:ind w:firstLine="0" w:firstLineChars="0"/>
              <w:jc w:val="center"/>
              <w:rPr>
                <w:rFonts w:cs="Times New Roman"/>
                <w:color w:val="auto"/>
                <w:sz w:val="21"/>
                <w:szCs w:val="21"/>
                <w:highlight w:val="none"/>
              </w:rPr>
            </w:pPr>
          </w:p>
        </w:tc>
        <w:tc>
          <w:tcPr>
            <w:tcW w:w="1149" w:type="dxa"/>
            <w:tcBorders>
              <w:tl2br w:val="nil"/>
              <w:tr2bl w:val="nil"/>
            </w:tcBorders>
            <w:tcMar>
              <w:top w:w="0" w:type="dxa"/>
              <w:left w:w="11" w:type="dxa"/>
              <w:bottom w:w="0" w:type="dxa"/>
              <w:right w:w="11" w:type="dxa"/>
            </w:tcMar>
            <w:vAlign w:val="center"/>
          </w:tcPr>
          <w:p w14:paraId="7D90513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屠宰车间</w:t>
            </w:r>
          </w:p>
        </w:tc>
        <w:tc>
          <w:tcPr>
            <w:tcW w:w="2507" w:type="dxa"/>
            <w:vMerge w:val="continue"/>
            <w:tcBorders>
              <w:tl2br w:val="nil"/>
              <w:tr2bl w:val="nil"/>
            </w:tcBorders>
            <w:tcMar>
              <w:top w:w="0" w:type="dxa"/>
              <w:left w:w="11" w:type="dxa"/>
              <w:bottom w:w="0" w:type="dxa"/>
              <w:right w:w="11" w:type="dxa"/>
            </w:tcMar>
            <w:vAlign w:val="center"/>
          </w:tcPr>
          <w:p w14:paraId="34222CCA">
            <w:pPr>
              <w:spacing w:line="360" w:lineRule="exact"/>
              <w:ind w:firstLine="0" w:firstLineChars="0"/>
              <w:jc w:val="center"/>
              <w:rPr>
                <w:rFonts w:cs="Times New Roman"/>
                <w:color w:val="auto"/>
                <w:sz w:val="21"/>
                <w:szCs w:val="21"/>
                <w:highlight w:val="none"/>
              </w:rPr>
            </w:pPr>
          </w:p>
        </w:tc>
        <w:tc>
          <w:tcPr>
            <w:tcW w:w="5470" w:type="dxa"/>
            <w:gridSpan w:val="2"/>
            <w:tcBorders>
              <w:tl2br w:val="nil"/>
              <w:tr2bl w:val="nil"/>
            </w:tcBorders>
            <w:tcMar>
              <w:top w:w="0" w:type="dxa"/>
              <w:left w:w="11" w:type="dxa"/>
              <w:bottom w:w="0" w:type="dxa"/>
              <w:right w:w="11" w:type="dxa"/>
            </w:tcMar>
            <w:vAlign w:val="center"/>
          </w:tcPr>
          <w:p w14:paraId="4097624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增加清洗车间地面频次，喷洒除臭剂</w:t>
            </w:r>
          </w:p>
        </w:tc>
        <w:tc>
          <w:tcPr>
            <w:tcW w:w="3528" w:type="dxa"/>
            <w:vMerge w:val="continue"/>
            <w:tcBorders>
              <w:tl2br w:val="nil"/>
              <w:tr2bl w:val="nil"/>
            </w:tcBorders>
            <w:vAlign w:val="center"/>
          </w:tcPr>
          <w:p w14:paraId="3FEC0064">
            <w:pPr>
              <w:widowControl/>
              <w:spacing w:line="360" w:lineRule="exact"/>
              <w:ind w:firstLine="0" w:firstLineChars="0"/>
              <w:jc w:val="center"/>
              <w:rPr>
                <w:rFonts w:cs="Times New Roman"/>
                <w:color w:val="auto"/>
                <w:sz w:val="21"/>
                <w:szCs w:val="21"/>
                <w:highlight w:val="none"/>
              </w:rPr>
            </w:pPr>
          </w:p>
        </w:tc>
      </w:tr>
      <w:tr w14:paraId="2A80667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176AC7E6">
            <w:pPr>
              <w:widowControl/>
              <w:spacing w:line="360" w:lineRule="exact"/>
              <w:ind w:firstLine="0" w:firstLineChars="0"/>
              <w:jc w:val="center"/>
              <w:rPr>
                <w:rFonts w:cs="Times New Roman"/>
                <w:color w:val="auto"/>
                <w:sz w:val="21"/>
                <w:szCs w:val="21"/>
                <w:highlight w:val="none"/>
              </w:rPr>
            </w:pPr>
          </w:p>
        </w:tc>
        <w:tc>
          <w:tcPr>
            <w:tcW w:w="328" w:type="dxa"/>
            <w:vMerge w:val="continue"/>
            <w:tcBorders>
              <w:tl2br w:val="nil"/>
              <w:tr2bl w:val="nil"/>
            </w:tcBorders>
            <w:tcMar>
              <w:top w:w="0" w:type="dxa"/>
              <w:left w:w="11" w:type="dxa"/>
              <w:bottom w:w="0" w:type="dxa"/>
              <w:right w:w="11" w:type="dxa"/>
            </w:tcMar>
            <w:vAlign w:val="center"/>
          </w:tcPr>
          <w:p w14:paraId="28518694">
            <w:pPr>
              <w:spacing w:line="360" w:lineRule="exact"/>
              <w:ind w:firstLine="0" w:firstLineChars="0"/>
              <w:jc w:val="center"/>
              <w:rPr>
                <w:rFonts w:cs="Times New Roman"/>
                <w:color w:val="auto"/>
                <w:sz w:val="21"/>
                <w:szCs w:val="21"/>
                <w:highlight w:val="none"/>
              </w:rPr>
            </w:pPr>
          </w:p>
        </w:tc>
        <w:tc>
          <w:tcPr>
            <w:tcW w:w="1149" w:type="dxa"/>
            <w:tcBorders>
              <w:tl2br w:val="nil"/>
              <w:tr2bl w:val="nil"/>
            </w:tcBorders>
            <w:tcMar>
              <w:top w:w="0" w:type="dxa"/>
              <w:left w:w="11" w:type="dxa"/>
              <w:bottom w:w="0" w:type="dxa"/>
              <w:right w:w="11" w:type="dxa"/>
            </w:tcMar>
            <w:vAlign w:val="center"/>
          </w:tcPr>
          <w:p w14:paraId="1BE2973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污水处理站</w:t>
            </w:r>
          </w:p>
        </w:tc>
        <w:tc>
          <w:tcPr>
            <w:tcW w:w="2507" w:type="dxa"/>
            <w:vMerge w:val="continue"/>
            <w:tcBorders>
              <w:tl2br w:val="nil"/>
              <w:tr2bl w:val="nil"/>
            </w:tcBorders>
            <w:tcMar>
              <w:top w:w="0" w:type="dxa"/>
              <w:left w:w="11" w:type="dxa"/>
              <w:bottom w:w="0" w:type="dxa"/>
              <w:right w:w="11" w:type="dxa"/>
            </w:tcMar>
            <w:vAlign w:val="center"/>
          </w:tcPr>
          <w:p w14:paraId="679688BD">
            <w:pPr>
              <w:spacing w:line="360" w:lineRule="exact"/>
              <w:ind w:firstLine="0" w:firstLineChars="0"/>
              <w:jc w:val="center"/>
              <w:rPr>
                <w:rFonts w:cs="Times New Roman"/>
                <w:color w:val="auto"/>
                <w:sz w:val="21"/>
                <w:szCs w:val="21"/>
                <w:highlight w:val="none"/>
              </w:rPr>
            </w:pPr>
          </w:p>
        </w:tc>
        <w:tc>
          <w:tcPr>
            <w:tcW w:w="5470" w:type="dxa"/>
            <w:gridSpan w:val="2"/>
            <w:tcBorders>
              <w:tl2br w:val="nil"/>
              <w:tr2bl w:val="nil"/>
            </w:tcBorders>
            <w:tcMar>
              <w:top w:w="0" w:type="dxa"/>
              <w:left w:w="11" w:type="dxa"/>
              <w:bottom w:w="0" w:type="dxa"/>
              <w:right w:w="11" w:type="dxa"/>
            </w:tcMar>
            <w:vAlign w:val="center"/>
          </w:tcPr>
          <w:p w14:paraId="03E4F5A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产生恶臭区域加盖，喷洒除臭剂</w:t>
            </w:r>
          </w:p>
        </w:tc>
        <w:tc>
          <w:tcPr>
            <w:tcW w:w="3528" w:type="dxa"/>
            <w:vMerge w:val="continue"/>
            <w:tcBorders>
              <w:tl2br w:val="nil"/>
              <w:tr2bl w:val="nil"/>
            </w:tcBorders>
            <w:vAlign w:val="center"/>
          </w:tcPr>
          <w:p w14:paraId="6E7184D1">
            <w:pPr>
              <w:widowControl/>
              <w:spacing w:line="360" w:lineRule="exact"/>
              <w:ind w:firstLine="0" w:firstLineChars="0"/>
              <w:jc w:val="center"/>
              <w:rPr>
                <w:rFonts w:cs="Times New Roman"/>
                <w:color w:val="auto"/>
                <w:sz w:val="21"/>
                <w:szCs w:val="21"/>
                <w:highlight w:val="none"/>
              </w:rPr>
            </w:pPr>
          </w:p>
        </w:tc>
      </w:tr>
      <w:tr w14:paraId="61D60A1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40A4AE79">
            <w:pPr>
              <w:widowControl/>
              <w:spacing w:line="360" w:lineRule="exact"/>
              <w:ind w:firstLine="0" w:firstLineChars="0"/>
              <w:jc w:val="center"/>
              <w:rPr>
                <w:rFonts w:cs="Times New Roman"/>
                <w:color w:val="auto"/>
                <w:sz w:val="21"/>
                <w:szCs w:val="21"/>
                <w:highlight w:val="none"/>
              </w:rPr>
            </w:pPr>
          </w:p>
        </w:tc>
        <w:tc>
          <w:tcPr>
            <w:tcW w:w="328" w:type="dxa"/>
            <w:vMerge w:val="continue"/>
            <w:tcBorders>
              <w:tl2br w:val="nil"/>
              <w:tr2bl w:val="nil"/>
            </w:tcBorders>
            <w:tcMar>
              <w:top w:w="0" w:type="dxa"/>
              <w:left w:w="11" w:type="dxa"/>
              <w:bottom w:w="0" w:type="dxa"/>
              <w:right w:w="11" w:type="dxa"/>
            </w:tcMar>
            <w:vAlign w:val="center"/>
          </w:tcPr>
          <w:p w14:paraId="37BE1960">
            <w:pPr>
              <w:spacing w:line="360" w:lineRule="exact"/>
              <w:ind w:firstLine="0" w:firstLineChars="0"/>
              <w:jc w:val="center"/>
              <w:rPr>
                <w:rFonts w:cs="Times New Roman"/>
                <w:color w:val="auto"/>
                <w:sz w:val="21"/>
                <w:szCs w:val="21"/>
                <w:highlight w:val="none"/>
              </w:rPr>
            </w:pPr>
          </w:p>
        </w:tc>
        <w:tc>
          <w:tcPr>
            <w:tcW w:w="1149" w:type="dxa"/>
            <w:tcBorders>
              <w:tl2br w:val="nil"/>
              <w:tr2bl w:val="nil"/>
            </w:tcBorders>
            <w:tcMar>
              <w:top w:w="0" w:type="dxa"/>
              <w:left w:w="11" w:type="dxa"/>
              <w:bottom w:w="0" w:type="dxa"/>
              <w:right w:w="11" w:type="dxa"/>
            </w:tcMar>
            <w:vAlign w:val="center"/>
          </w:tcPr>
          <w:p w14:paraId="0451BC7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固废暂存间</w:t>
            </w:r>
          </w:p>
        </w:tc>
        <w:tc>
          <w:tcPr>
            <w:tcW w:w="2507" w:type="dxa"/>
            <w:tcBorders>
              <w:tl2br w:val="nil"/>
              <w:tr2bl w:val="nil"/>
            </w:tcBorders>
            <w:tcMar>
              <w:top w:w="0" w:type="dxa"/>
              <w:left w:w="11" w:type="dxa"/>
              <w:bottom w:w="0" w:type="dxa"/>
              <w:right w:w="11" w:type="dxa"/>
            </w:tcMar>
            <w:vAlign w:val="center"/>
          </w:tcPr>
          <w:p w14:paraId="5CE446F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臭气浓度</w:t>
            </w:r>
          </w:p>
        </w:tc>
        <w:tc>
          <w:tcPr>
            <w:tcW w:w="5470" w:type="dxa"/>
            <w:gridSpan w:val="2"/>
            <w:tcBorders>
              <w:tl2br w:val="nil"/>
              <w:tr2bl w:val="nil"/>
            </w:tcBorders>
            <w:tcMar>
              <w:top w:w="0" w:type="dxa"/>
              <w:left w:w="11" w:type="dxa"/>
              <w:bottom w:w="0" w:type="dxa"/>
              <w:right w:w="11" w:type="dxa"/>
            </w:tcMar>
            <w:vAlign w:val="center"/>
          </w:tcPr>
          <w:p w14:paraId="64A4B5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各</w:t>
            </w:r>
            <w:r>
              <w:rPr>
                <w:rFonts w:hint="eastAsia" w:cs="Times New Roman"/>
                <w:color w:val="auto"/>
                <w:sz w:val="21"/>
                <w:szCs w:val="21"/>
                <w:highlight w:val="none"/>
                <w:lang w:val="en-US" w:eastAsia="zh-CN"/>
              </w:rPr>
              <w:t>转运桶</w:t>
            </w:r>
            <w:r>
              <w:rPr>
                <w:rFonts w:cs="Times New Roman"/>
                <w:color w:val="auto"/>
                <w:sz w:val="21"/>
                <w:szCs w:val="21"/>
                <w:highlight w:val="none"/>
              </w:rPr>
              <w:t>密封</w:t>
            </w:r>
          </w:p>
        </w:tc>
        <w:tc>
          <w:tcPr>
            <w:tcW w:w="3528" w:type="dxa"/>
            <w:vMerge w:val="continue"/>
            <w:tcBorders>
              <w:tl2br w:val="nil"/>
              <w:tr2bl w:val="nil"/>
            </w:tcBorders>
            <w:vAlign w:val="center"/>
          </w:tcPr>
          <w:p w14:paraId="010A698C">
            <w:pPr>
              <w:widowControl/>
              <w:spacing w:line="360" w:lineRule="exact"/>
              <w:ind w:firstLine="0" w:firstLineChars="0"/>
              <w:jc w:val="center"/>
              <w:rPr>
                <w:rFonts w:cs="Times New Roman"/>
                <w:color w:val="auto"/>
                <w:sz w:val="21"/>
                <w:szCs w:val="21"/>
                <w:highlight w:val="none"/>
              </w:rPr>
            </w:pPr>
          </w:p>
        </w:tc>
      </w:tr>
      <w:tr w14:paraId="427F28F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929" w:hRule="atLeast"/>
          <w:jc w:val="center"/>
        </w:trPr>
        <w:tc>
          <w:tcPr>
            <w:tcW w:w="715" w:type="dxa"/>
            <w:vMerge w:val="restart"/>
            <w:tcBorders>
              <w:tl2br w:val="nil"/>
              <w:tr2bl w:val="nil"/>
            </w:tcBorders>
            <w:tcMar>
              <w:top w:w="0" w:type="dxa"/>
              <w:left w:w="11" w:type="dxa"/>
              <w:bottom w:w="0" w:type="dxa"/>
              <w:right w:w="11" w:type="dxa"/>
            </w:tcMar>
            <w:vAlign w:val="center"/>
          </w:tcPr>
          <w:p w14:paraId="6316488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废水</w:t>
            </w:r>
          </w:p>
        </w:tc>
        <w:tc>
          <w:tcPr>
            <w:tcW w:w="328" w:type="dxa"/>
            <w:vMerge w:val="restart"/>
            <w:tcBorders>
              <w:tl2br w:val="nil"/>
              <w:tr2bl w:val="nil"/>
            </w:tcBorders>
            <w:tcMar>
              <w:top w:w="0" w:type="dxa"/>
              <w:left w:w="11" w:type="dxa"/>
              <w:bottom w:w="0" w:type="dxa"/>
              <w:right w:w="11" w:type="dxa"/>
            </w:tcMar>
            <w:vAlign w:val="center"/>
          </w:tcPr>
          <w:p w14:paraId="26C4E7C2">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废水</w:t>
            </w:r>
          </w:p>
        </w:tc>
        <w:tc>
          <w:tcPr>
            <w:tcW w:w="1149" w:type="dxa"/>
            <w:tcBorders>
              <w:tl2br w:val="nil"/>
              <w:tr2bl w:val="nil"/>
            </w:tcBorders>
            <w:tcMar>
              <w:top w:w="0" w:type="dxa"/>
              <w:left w:w="11" w:type="dxa"/>
              <w:bottom w:w="0" w:type="dxa"/>
              <w:right w:w="11" w:type="dxa"/>
            </w:tcMar>
            <w:vAlign w:val="center"/>
          </w:tcPr>
          <w:p w14:paraId="41FB5E79">
            <w:pPr>
              <w:spacing w:line="360" w:lineRule="exact"/>
              <w:ind w:firstLine="0" w:firstLineChars="0"/>
              <w:jc w:val="center"/>
              <w:rPr>
                <w:rFonts w:hint="eastAsia" w:eastAsia="宋体" w:cs="Times New Roman"/>
                <w:color w:val="auto"/>
                <w:sz w:val="21"/>
                <w:szCs w:val="21"/>
                <w:highlight w:val="none"/>
                <w:lang w:eastAsia="zh-CN"/>
              </w:rPr>
            </w:pPr>
            <w:r>
              <w:rPr>
                <w:rFonts w:cs="Times New Roman"/>
                <w:color w:val="auto"/>
                <w:sz w:val="21"/>
                <w:szCs w:val="21"/>
                <w:highlight w:val="none"/>
              </w:rPr>
              <w:t>屠宰废水</w:t>
            </w:r>
          </w:p>
        </w:tc>
        <w:tc>
          <w:tcPr>
            <w:tcW w:w="2507" w:type="dxa"/>
            <w:tcBorders>
              <w:tl2br w:val="nil"/>
              <w:tr2bl w:val="nil"/>
            </w:tcBorders>
            <w:tcMar>
              <w:top w:w="0" w:type="dxa"/>
              <w:left w:w="11" w:type="dxa"/>
              <w:bottom w:w="0" w:type="dxa"/>
              <w:right w:w="11" w:type="dxa"/>
            </w:tcMar>
            <w:vAlign w:val="center"/>
          </w:tcPr>
          <w:p w14:paraId="2C12022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COD、氨氮、BOD</w:t>
            </w:r>
            <w:r>
              <w:rPr>
                <w:rFonts w:cs="Times New Roman"/>
                <w:color w:val="auto"/>
                <w:sz w:val="21"/>
                <w:szCs w:val="21"/>
                <w:highlight w:val="none"/>
                <w:vertAlign w:val="subscript"/>
              </w:rPr>
              <w:t>5</w:t>
            </w:r>
            <w:r>
              <w:rPr>
                <w:rFonts w:cs="Times New Roman"/>
                <w:color w:val="auto"/>
                <w:sz w:val="21"/>
                <w:szCs w:val="21"/>
                <w:highlight w:val="none"/>
              </w:rPr>
              <w:t>、SS、动植物油、</w:t>
            </w:r>
            <w:r>
              <w:rPr>
                <w:rFonts w:cs="Times New Roman"/>
                <w:bCs/>
                <w:color w:val="auto"/>
                <w:sz w:val="21"/>
                <w:szCs w:val="21"/>
                <w:highlight w:val="none"/>
              </w:rPr>
              <w:t>总氮、总磷</w:t>
            </w:r>
          </w:p>
        </w:tc>
        <w:tc>
          <w:tcPr>
            <w:tcW w:w="3537" w:type="dxa"/>
            <w:tcBorders>
              <w:tl2br w:val="nil"/>
              <w:tr2bl w:val="nil"/>
            </w:tcBorders>
            <w:tcMar>
              <w:top w:w="0" w:type="dxa"/>
              <w:left w:w="11" w:type="dxa"/>
              <w:bottom w:w="0" w:type="dxa"/>
              <w:right w:w="11" w:type="dxa"/>
            </w:tcMar>
            <w:vAlign w:val="center"/>
          </w:tcPr>
          <w:p w14:paraId="3FD7C357">
            <w:pPr>
              <w:spacing w:line="360" w:lineRule="exact"/>
              <w:ind w:firstLine="0" w:firstLineChars="0"/>
              <w:jc w:val="center"/>
              <w:rPr>
                <w:rFonts w:cs="Times New Roman"/>
                <w:color w:val="auto"/>
                <w:sz w:val="21"/>
                <w:szCs w:val="21"/>
                <w:highlight w:val="none"/>
              </w:rPr>
            </w:pPr>
            <w:r>
              <w:rPr>
                <w:rFonts w:cs="Times New Roman"/>
                <w:bCs/>
                <w:color w:val="auto"/>
                <w:sz w:val="21"/>
                <w:szCs w:val="21"/>
                <w:highlight w:val="none"/>
              </w:rPr>
              <w:t>“</w:t>
            </w:r>
            <w:r>
              <w:rPr>
                <w:rFonts w:hint="eastAsia" w:cs="Times New Roman"/>
                <w:color w:val="auto"/>
                <w:sz w:val="21"/>
                <w:szCs w:val="21"/>
                <w:highlight w:val="none"/>
                <w:lang w:eastAsia="zh-CN"/>
              </w:rPr>
              <w:t>格栅+</w:t>
            </w:r>
            <w:r>
              <w:rPr>
                <w:rFonts w:hint="eastAsia" w:cs="Times New Roman"/>
                <w:color w:val="auto"/>
                <w:sz w:val="21"/>
                <w:szCs w:val="21"/>
                <w:highlight w:val="none"/>
                <w:lang w:val="en-US" w:eastAsia="zh-CN"/>
              </w:rPr>
              <w:t>调节池</w:t>
            </w:r>
            <w:r>
              <w:rPr>
                <w:rFonts w:hint="eastAsia" w:cs="Times New Roman"/>
                <w:color w:val="auto"/>
                <w:sz w:val="21"/>
                <w:szCs w:val="21"/>
                <w:highlight w:val="none"/>
                <w:lang w:eastAsia="zh-CN"/>
              </w:rPr>
              <w:t>+气浮+水解酸化+</w:t>
            </w:r>
            <w:r>
              <w:rPr>
                <w:rFonts w:hint="eastAsia" w:cs="Times New Roman"/>
                <w:color w:val="auto"/>
                <w:sz w:val="21"/>
                <w:szCs w:val="21"/>
                <w:highlight w:val="none"/>
                <w:lang w:val="en-US" w:eastAsia="zh-CN"/>
              </w:rPr>
              <w:t>反硝化缺氧+好氧</w:t>
            </w:r>
            <w:r>
              <w:rPr>
                <w:rFonts w:hint="eastAsia" w:cs="Times New Roman"/>
                <w:color w:val="auto"/>
                <w:sz w:val="21"/>
                <w:szCs w:val="21"/>
                <w:highlight w:val="none"/>
                <w:lang w:eastAsia="zh-CN"/>
              </w:rPr>
              <w:t>+沉淀+消毒（</w:t>
            </w:r>
            <w:r>
              <w:rPr>
                <w:rFonts w:hint="eastAsia" w:cs="Times New Roman"/>
                <w:color w:val="auto"/>
                <w:sz w:val="21"/>
                <w:szCs w:val="21"/>
                <w:highlight w:val="none"/>
                <w:lang w:val="en-US" w:eastAsia="zh-CN"/>
              </w:rPr>
              <w:t>次氯酸钠）</w:t>
            </w:r>
            <w:r>
              <w:rPr>
                <w:rFonts w:cs="Times New Roman"/>
                <w:color w:val="auto"/>
                <w:sz w:val="21"/>
                <w:szCs w:val="21"/>
                <w:highlight w:val="none"/>
              </w:rPr>
              <w:t>”</w:t>
            </w:r>
          </w:p>
        </w:tc>
        <w:tc>
          <w:tcPr>
            <w:tcW w:w="1933" w:type="dxa"/>
            <w:vMerge w:val="restart"/>
            <w:tcBorders>
              <w:tl2br w:val="nil"/>
              <w:tr2bl w:val="nil"/>
            </w:tcBorders>
            <w:tcMar>
              <w:top w:w="0" w:type="dxa"/>
              <w:left w:w="11" w:type="dxa"/>
              <w:bottom w:w="0" w:type="dxa"/>
              <w:right w:w="11" w:type="dxa"/>
            </w:tcMar>
            <w:vAlign w:val="center"/>
          </w:tcPr>
          <w:p w14:paraId="2CEB259E">
            <w:pPr>
              <w:spacing w:line="360" w:lineRule="exact"/>
              <w:ind w:firstLine="0" w:firstLineChars="0"/>
              <w:jc w:val="center"/>
              <w:rPr>
                <w:rFonts w:hint="default"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DW001</w:t>
            </w:r>
          </w:p>
        </w:tc>
        <w:tc>
          <w:tcPr>
            <w:tcW w:w="3528" w:type="dxa"/>
            <w:vMerge w:val="restart"/>
            <w:tcBorders>
              <w:tl2br w:val="nil"/>
              <w:tr2bl w:val="nil"/>
            </w:tcBorders>
            <w:tcMar>
              <w:top w:w="0" w:type="dxa"/>
              <w:left w:w="11" w:type="dxa"/>
              <w:bottom w:w="0" w:type="dxa"/>
              <w:right w:w="11" w:type="dxa"/>
            </w:tcMar>
            <w:vAlign w:val="center"/>
          </w:tcPr>
          <w:p w14:paraId="1F7809B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《肉类加工工业水污染物排放标准》（GB13457-92）表3三级标准</w:t>
            </w:r>
          </w:p>
        </w:tc>
      </w:tr>
      <w:tr w14:paraId="31B2B53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62" w:hRule="atLeast"/>
          <w:jc w:val="center"/>
        </w:trPr>
        <w:tc>
          <w:tcPr>
            <w:tcW w:w="715" w:type="dxa"/>
            <w:vMerge w:val="continue"/>
            <w:tcBorders>
              <w:tl2br w:val="nil"/>
              <w:tr2bl w:val="nil"/>
            </w:tcBorders>
            <w:tcMar>
              <w:top w:w="0" w:type="dxa"/>
              <w:left w:w="11" w:type="dxa"/>
              <w:bottom w:w="0" w:type="dxa"/>
              <w:right w:w="11" w:type="dxa"/>
            </w:tcMar>
            <w:vAlign w:val="center"/>
          </w:tcPr>
          <w:p w14:paraId="3C63F4B3">
            <w:pPr>
              <w:spacing w:line="360" w:lineRule="exact"/>
              <w:ind w:firstLine="0" w:firstLineChars="0"/>
              <w:jc w:val="center"/>
              <w:rPr>
                <w:rFonts w:cs="Times New Roman"/>
                <w:color w:val="auto"/>
                <w:sz w:val="21"/>
                <w:szCs w:val="21"/>
                <w:highlight w:val="none"/>
              </w:rPr>
            </w:pPr>
          </w:p>
        </w:tc>
        <w:tc>
          <w:tcPr>
            <w:tcW w:w="328" w:type="dxa"/>
            <w:vMerge w:val="continue"/>
            <w:tcBorders>
              <w:tl2br w:val="nil"/>
              <w:tr2bl w:val="nil"/>
            </w:tcBorders>
            <w:tcMar>
              <w:top w:w="0" w:type="dxa"/>
              <w:left w:w="11" w:type="dxa"/>
              <w:bottom w:w="0" w:type="dxa"/>
              <w:right w:w="11" w:type="dxa"/>
            </w:tcMar>
            <w:vAlign w:val="center"/>
          </w:tcPr>
          <w:p w14:paraId="0CE02E3D">
            <w:pPr>
              <w:spacing w:line="360" w:lineRule="exact"/>
              <w:ind w:firstLine="0" w:firstLineChars="0"/>
              <w:jc w:val="center"/>
              <w:rPr>
                <w:rFonts w:cs="Times New Roman"/>
                <w:color w:val="auto"/>
                <w:sz w:val="21"/>
                <w:szCs w:val="21"/>
                <w:highlight w:val="none"/>
              </w:rPr>
            </w:pPr>
          </w:p>
        </w:tc>
        <w:tc>
          <w:tcPr>
            <w:tcW w:w="1149" w:type="dxa"/>
            <w:tcBorders>
              <w:tl2br w:val="nil"/>
              <w:tr2bl w:val="nil"/>
            </w:tcBorders>
            <w:tcMar>
              <w:top w:w="0" w:type="dxa"/>
              <w:left w:w="11" w:type="dxa"/>
              <w:bottom w:w="0" w:type="dxa"/>
              <w:right w:w="11" w:type="dxa"/>
            </w:tcMar>
            <w:vAlign w:val="center"/>
          </w:tcPr>
          <w:p w14:paraId="5BD62B8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生活污水</w:t>
            </w:r>
          </w:p>
        </w:tc>
        <w:tc>
          <w:tcPr>
            <w:tcW w:w="2507" w:type="dxa"/>
            <w:tcBorders>
              <w:tl2br w:val="nil"/>
              <w:tr2bl w:val="nil"/>
            </w:tcBorders>
            <w:tcMar>
              <w:top w:w="0" w:type="dxa"/>
              <w:left w:w="11" w:type="dxa"/>
              <w:bottom w:w="0" w:type="dxa"/>
              <w:right w:w="11" w:type="dxa"/>
            </w:tcMar>
            <w:vAlign w:val="center"/>
          </w:tcPr>
          <w:p w14:paraId="7560FFB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COD、氨氮</w:t>
            </w:r>
          </w:p>
        </w:tc>
        <w:tc>
          <w:tcPr>
            <w:tcW w:w="3537" w:type="dxa"/>
            <w:tcBorders>
              <w:tl2br w:val="nil"/>
              <w:tr2bl w:val="nil"/>
            </w:tcBorders>
            <w:tcMar>
              <w:top w:w="0" w:type="dxa"/>
              <w:left w:w="11" w:type="dxa"/>
              <w:bottom w:w="0" w:type="dxa"/>
              <w:right w:w="11" w:type="dxa"/>
            </w:tcMar>
            <w:vAlign w:val="center"/>
          </w:tcPr>
          <w:p w14:paraId="38FBB863">
            <w:pPr>
              <w:spacing w:line="360" w:lineRule="exact"/>
              <w:ind w:firstLine="0" w:firstLineChars="0"/>
              <w:jc w:val="center"/>
              <w:rPr>
                <w:rFonts w:cs="Times New Roman"/>
                <w:bCs/>
                <w:color w:val="auto"/>
                <w:sz w:val="21"/>
                <w:szCs w:val="21"/>
                <w:highlight w:val="none"/>
              </w:rPr>
            </w:pPr>
            <w:r>
              <w:rPr>
                <w:rFonts w:cs="Times New Roman"/>
                <w:bCs/>
                <w:color w:val="auto"/>
                <w:sz w:val="21"/>
                <w:szCs w:val="21"/>
                <w:highlight w:val="none"/>
              </w:rPr>
              <w:t>/</w:t>
            </w:r>
          </w:p>
        </w:tc>
        <w:tc>
          <w:tcPr>
            <w:tcW w:w="1933" w:type="dxa"/>
            <w:vMerge w:val="continue"/>
            <w:tcBorders>
              <w:tl2br w:val="nil"/>
              <w:tr2bl w:val="nil"/>
            </w:tcBorders>
            <w:tcMar>
              <w:top w:w="0" w:type="dxa"/>
              <w:left w:w="11" w:type="dxa"/>
              <w:bottom w:w="0" w:type="dxa"/>
              <w:right w:w="11" w:type="dxa"/>
            </w:tcMar>
            <w:vAlign w:val="center"/>
          </w:tcPr>
          <w:p w14:paraId="1B4F030A">
            <w:pPr>
              <w:spacing w:line="360" w:lineRule="exact"/>
              <w:ind w:firstLine="0" w:firstLineChars="0"/>
              <w:jc w:val="center"/>
              <w:rPr>
                <w:rFonts w:cs="Times New Roman"/>
                <w:bCs/>
                <w:color w:val="auto"/>
                <w:sz w:val="21"/>
                <w:szCs w:val="21"/>
                <w:highlight w:val="none"/>
              </w:rPr>
            </w:pPr>
          </w:p>
        </w:tc>
        <w:tc>
          <w:tcPr>
            <w:tcW w:w="3528" w:type="dxa"/>
            <w:vMerge w:val="continue"/>
            <w:tcBorders>
              <w:tl2br w:val="nil"/>
              <w:tr2bl w:val="nil"/>
            </w:tcBorders>
            <w:tcMar>
              <w:top w:w="0" w:type="dxa"/>
              <w:left w:w="11" w:type="dxa"/>
              <w:bottom w:w="0" w:type="dxa"/>
              <w:right w:w="11" w:type="dxa"/>
            </w:tcMar>
            <w:vAlign w:val="center"/>
          </w:tcPr>
          <w:p w14:paraId="297EB395">
            <w:pPr>
              <w:spacing w:line="360" w:lineRule="exact"/>
              <w:ind w:firstLine="0" w:firstLineChars="0"/>
              <w:jc w:val="center"/>
              <w:rPr>
                <w:rFonts w:cs="Times New Roman"/>
                <w:color w:val="auto"/>
                <w:sz w:val="21"/>
                <w:szCs w:val="21"/>
                <w:highlight w:val="none"/>
              </w:rPr>
            </w:pPr>
          </w:p>
        </w:tc>
      </w:tr>
      <w:tr w14:paraId="59E3582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tcMar>
              <w:top w:w="0" w:type="dxa"/>
              <w:left w:w="11" w:type="dxa"/>
              <w:bottom w:w="0" w:type="dxa"/>
              <w:right w:w="11" w:type="dxa"/>
            </w:tcMar>
            <w:vAlign w:val="center"/>
          </w:tcPr>
          <w:p w14:paraId="24E12A2B">
            <w:pPr>
              <w:spacing w:line="360" w:lineRule="exact"/>
              <w:ind w:firstLine="0" w:firstLineChars="0"/>
              <w:jc w:val="center"/>
              <w:rPr>
                <w:rFonts w:cs="Times New Roman"/>
                <w:color w:val="auto"/>
                <w:sz w:val="21"/>
                <w:szCs w:val="21"/>
                <w:highlight w:val="none"/>
              </w:rPr>
            </w:pPr>
          </w:p>
        </w:tc>
        <w:tc>
          <w:tcPr>
            <w:tcW w:w="1477" w:type="dxa"/>
            <w:gridSpan w:val="2"/>
            <w:tcBorders>
              <w:tl2br w:val="nil"/>
              <w:tr2bl w:val="nil"/>
            </w:tcBorders>
            <w:tcMar>
              <w:top w:w="0" w:type="dxa"/>
              <w:left w:w="11" w:type="dxa"/>
              <w:bottom w:w="0" w:type="dxa"/>
              <w:right w:w="11" w:type="dxa"/>
            </w:tcMar>
            <w:vAlign w:val="center"/>
          </w:tcPr>
          <w:p w14:paraId="31B9D92C">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雨水</w:t>
            </w:r>
          </w:p>
        </w:tc>
        <w:tc>
          <w:tcPr>
            <w:tcW w:w="2507" w:type="dxa"/>
            <w:tcBorders>
              <w:tl2br w:val="nil"/>
              <w:tr2bl w:val="nil"/>
            </w:tcBorders>
            <w:tcMar>
              <w:top w:w="0" w:type="dxa"/>
              <w:left w:w="11" w:type="dxa"/>
              <w:bottom w:w="0" w:type="dxa"/>
              <w:right w:w="11" w:type="dxa"/>
            </w:tcMar>
            <w:vAlign w:val="center"/>
          </w:tcPr>
          <w:p w14:paraId="236C566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COD、SS</w:t>
            </w:r>
          </w:p>
        </w:tc>
        <w:tc>
          <w:tcPr>
            <w:tcW w:w="3537" w:type="dxa"/>
            <w:tcBorders>
              <w:tl2br w:val="nil"/>
              <w:tr2bl w:val="nil"/>
            </w:tcBorders>
            <w:tcMar>
              <w:top w:w="0" w:type="dxa"/>
              <w:left w:w="11" w:type="dxa"/>
              <w:bottom w:w="0" w:type="dxa"/>
              <w:right w:w="11" w:type="dxa"/>
            </w:tcMar>
            <w:vAlign w:val="center"/>
          </w:tcPr>
          <w:p w14:paraId="25B5C27D">
            <w:pPr>
              <w:spacing w:line="360" w:lineRule="exact"/>
              <w:ind w:firstLine="0" w:firstLineChars="0"/>
              <w:jc w:val="center"/>
              <w:rPr>
                <w:rFonts w:hint="eastAsia"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w:t>
            </w:r>
          </w:p>
        </w:tc>
        <w:tc>
          <w:tcPr>
            <w:tcW w:w="1933" w:type="dxa"/>
            <w:tcBorders>
              <w:tl2br w:val="nil"/>
              <w:tr2bl w:val="nil"/>
            </w:tcBorders>
            <w:tcMar>
              <w:top w:w="0" w:type="dxa"/>
              <w:left w:w="11" w:type="dxa"/>
              <w:bottom w:w="0" w:type="dxa"/>
              <w:right w:w="11" w:type="dxa"/>
            </w:tcMar>
            <w:vAlign w:val="center"/>
          </w:tcPr>
          <w:p w14:paraId="0788EAB4">
            <w:pPr>
              <w:spacing w:line="360" w:lineRule="exact"/>
              <w:ind w:firstLine="0" w:firstLineChars="0"/>
              <w:jc w:val="center"/>
              <w:rPr>
                <w:rFonts w:hint="default" w:cs="Times New Roman"/>
                <w:bCs/>
                <w:color w:val="auto"/>
                <w:sz w:val="21"/>
                <w:szCs w:val="21"/>
                <w:highlight w:val="none"/>
                <w:lang w:val="en-US"/>
              </w:rPr>
            </w:pPr>
            <w:r>
              <w:rPr>
                <w:rFonts w:hint="eastAsia" w:cs="Times New Roman"/>
                <w:bCs/>
                <w:color w:val="auto"/>
                <w:sz w:val="21"/>
                <w:szCs w:val="21"/>
                <w:highlight w:val="none"/>
                <w:lang w:val="en-US" w:eastAsia="zh-CN"/>
              </w:rPr>
              <w:t>DW002</w:t>
            </w:r>
          </w:p>
        </w:tc>
        <w:tc>
          <w:tcPr>
            <w:tcW w:w="3528" w:type="dxa"/>
            <w:tcBorders>
              <w:tl2br w:val="nil"/>
              <w:tr2bl w:val="nil"/>
            </w:tcBorders>
            <w:tcMar>
              <w:top w:w="0" w:type="dxa"/>
              <w:left w:w="11" w:type="dxa"/>
              <w:bottom w:w="0" w:type="dxa"/>
              <w:right w:w="11" w:type="dxa"/>
            </w:tcMar>
            <w:vAlign w:val="center"/>
          </w:tcPr>
          <w:p w14:paraId="61BBEECB">
            <w:pPr>
              <w:spacing w:line="360" w:lineRule="exact"/>
              <w:ind w:firstLine="0" w:firstLineChars="0"/>
              <w:jc w:val="center"/>
              <w:rPr>
                <w:rFonts w:hint="eastAsia"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r>
      <w:tr w14:paraId="7ECD161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2D96D359">
            <w:pPr>
              <w:widowControl/>
              <w:spacing w:line="360" w:lineRule="exact"/>
              <w:ind w:firstLine="0" w:firstLineChars="0"/>
              <w:jc w:val="center"/>
              <w:rPr>
                <w:rFonts w:cs="Times New Roman"/>
                <w:color w:val="auto"/>
                <w:sz w:val="21"/>
                <w:szCs w:val="21"/>
                <w:highlight w:val="none"/>
              </w:rPr>
            </w:pPr>
          </w:p>
        </w:tc>
        <w:tc>
          <w:tcPr>
            <w:tcW w:w="1477" w:type="dxa"/>
            <w:gridSpan w:val="2"/>
            <w:vMerge w:val="restart"/>
            <w:tcBorders>
              <w:tl2br w:val="nil"/>
              <w:tr2bl w:val="nil"/>
            </w:tcBorders>
            <w:tcMar>
              <w:top w:w="0" w:type="dxa"/>
              <w:left w:w="11" w:type="dxa"/>
              <w:bottom w:w="0" w:type="dxa"/>
              <w:right w:w="11" w:type="dxa"/>
            </w:tcMar>
            <w:vAlign w:val="center"/>
          </w:tcPr>
          <w:p w14:paraId="0579066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地下水</w:t>
            </w:r>
          </w:p>
        </w:tc>
        <w:tc>
          <w:tcPr>
            <w:tcW w:w="2507" w:type="dxa"/>
            <w:vMerge w:val="restart"/>
            <w:tcBorders>
              <w:tl2br w:val="nil"/>
              <w:tr2bl w:val="nil"/>
            </w:tcBorders>
            <w:tcMar>
              <w:top w:w="0" w:type="dxa"/>
              <w:left w:w="11" w:type="dxa"/>
              <w:bottom w:w="0" w:type="dxa"/>
              <w:right w:w="11" w:type="dxa"/>
            </w:tcMar>
            <w:vAlign w:val="center"/>
          </w:tcPr>
          <w:p w14:paraId="0EFD7AA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COD、氨氮</w:t>
            </w:r>
          </w:p>
        </w:tc>
        <w:tc>
          <w:tcPr>
            <w:tcW w:w="5470" w:type="dxa"/>
            <w:gridSpan w:val="2"/>
            <w:tcBorders>
              <w:tl2br w:val="nil"/>
              <w:tr2bl w:val="nil"/>
            </w:tcBorders>
            <w:tcMar>
              <w:top w:w="0" w:type="dxa"/>
              <w:left w:w="11" w:type="dxa"/>
              <w:bottom w:w="0" w:type="dxa"/>
              <w:right w:w="11" w:type="dxa"/>
            </w:tcMar>
            <w:vAlign w:val="center"/>
          </w:tcPr>
          <w:p w14:paraId="5CEB1F0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分区防渗</w:t>
            </w:r>
          </w:p>
        </w:tc>
        <w:tc>
          <w:tcPr>
            <w:tcW w:w="3528" w:type="dxa"/>
            <w:tcBorders>
              <w:tl2br w:val="nil"/>
              <w:tr2bl w:val="nil"/>
            </w:tcBorders>
            <w:vAlign w:val="center"/>
          </w:tcPr>
          <w:p w14:paraId="025E57C0">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w:t>
            </w:r>
          </w:p>
        </w:tc>
      </w:tr>
      <w:tr w14:paraId="0717407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87" w:hRule="atLeast"/>
          <w:jc w:val="center"/>
        </w:trPr>
        <w:tc>
          <w:tcPr>
            <w:tcW w:w="715" w:type="dxa"/>
            <w:vMerge w:val="continue"/>
            <w:tcBorders>
              <w:tl2br w:val="nil"/>
              <w:tr2bl w:val="nil"/>
            </w:tcBorders>
            <w:vAlign w:val="center"/>
          </w:tcPr>
          <w:p w14:paraId="30E04D4B">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2E89CD48">
            <w:pPr>
              <w:spacing w:line="360" w:lineRule="exact"/>
              <w:ind w:firstLine="0" w:firstLineChars="0"/>
              <w:jc w:val="center"/>
              <w:rPr>
                <w:rFonts w:cs="Times New Roman"/>
                <w:color w:val="auto"/>
                <w:sz w:val="21"/>
                <w:szCs w:val="21"/>
                <w:highlight w:val="none"/>
              </w:rPr>
            </w:pPr>
          </w:p>
        </w:tc>
        <w:tc>
          <w:tcPr>
            <w:tcW w:w="2507" w:type="dxa"/>
            <w:vMerge w:val="continue"/>
            <w:tcBorders>
              <w:tl2br w:val="nil"/>
              <w:tr2bl w:val="nil"/>
            </w:tcBorders>
            <w:tcMar>
              <w:top w:w="0" w:type="dxa"/>
              <w:left w:w="11" w:type="dxa"/>
              <w:bottom w:w="0" w:type="dxa"/>
              <w:right w:w="11" w:type="dxa"/>
            </w:tcMar>
            <w:vAlign w:val="center"/>
          </w:tcPr>
          <w:p w14:paraId="750C0918">
            <w:pPr>
              <w:spacing w:line="360" w:lineRule="exact"/>
              <w:ind w:firstLine="0" w:firstLineChars="0"/>
              <w:jc w:val="center"/>
              <w:rPr>
                <w:rFonts w:cs="Times New Roman"/>
                <w:color w:val="auto"/>
                <w:sz w:val="21"/>
                <w:szCs w:val="21"/>
                <w:highlight w:val="none"/>
              </w:rPr>
            </w:pPr>
          </w:p>
        </w:tc>
        <w:tc>
          <w:tcPr>
            <w:tcW w:w="5470" w:type="dxa"/>
            <w:gridSpan w:val="2"/>
            <w:tcBorders>
              <w:tl2br w:val="nil"/>
              <w:tr2bl w:val="nil"/>
            </w:tcBorders>
            <w:tcMar>
              <w:top w:w="0" w:type="dxa"/>
              <w:left w:w="11" w:type="dxa"/>
              <w:bottom w:w="0" w:type="dxa"/>
              <w:right w:w="11" w:type="dxa"/>
            </w:tcMar>
            <w:vAlign w:val="center"/>
          </w:tcPr>
          <w:p w14:paraId="51BB38F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跟踪监测井1座</w:t>
            </w:r>
          </w:p>
        </w:tc>
        <w:tc>
          <w:tcPr>
            <w:tcW w:w="3528" w:type="dxa"/>
            <w:tcBorders>
              <w:tl2br w:val="nil"/>
              <w:tr2bl w:val="nil"/>
            </w:tcBorders>
            <w:vAlign w:val="center"/>
          </w:tcPr>
          <w:p w14:paraId="5C1792E2">
            <w:pPr>
              <w:widowControl/>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定期监测记录</w:t>
            </w:r>
          </w:p>
        </w:tc>
      </w:tr>
      <w:tr w14:paraId="18C09C3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845" w:hRule="atLeast"/>
          <w:jc w:val="center"/>
        </w:trPr>
        <w:tc>
          <w:tcPr>
            <w:tcW w:w="715" w:type="dxa"/>
            <w:tcBorders>
              <w:tl2br w:val="nil"/>
              <w:tr2bl w:val="nil"/>
            </w:tcBorders>
            <w:tcMar>
              <w:top w:w="0" w:type="dxa"/>
              <w:left w:w="11" w:type="dxa"/>
              <w:bottom w:w="0" w:type="dxa"/>
              <w:right w:w="11" w:type="dxa"/>
            </w:tcMar>
            <w:vAlign w:val="center"/>
          </w:tcPr>
          <w:p w14:paraId="262930A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w:t>
            </w:r>
          </w:p>
        </w:tc>
        <w:tc>
          <w:tcPr>
            <w:tcW w:w="1477" w:type="dxa"/>
            <w:gridSpan w:val="2"/>
            <w:tcBorders>
              <w:tl2br w:val="nil"/>
              <w:tr2bl w:val="nil"/>
            </w:tcBorders>
            <w:tcMar>
              <w:top w:w="0" w:type="dxa"/>
              <w:left w:w="11" w:type="dxa"/>
              <w:bottom w:w="0" w:type="dxa"/>
              <w:right w:w="11" w:type="dxa"/>
            </w:tcMar>
            <w:vAlign w:val="center"/>
          </w:tcPr>
          <w:p w14:paraId="51BEA6D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厂界噪声</w:t>
            </w:r>
          </w:p>
        </w:tc>
        <w:tc>
          <w:tcPr>
            <w:tcW w:w="2507" w:type="dxa"/>
            <w:tcBorders>
              <w:tl2br w:val="nil"/>
              <w:tr2bl w:val="nil"/>
            </w:tcBorders>
            <w:tcMar>
              <w:top w:w="0" w:type="dxa"/>
              <w:left w:w="11" w:type="dxa"/>
              <w:bottom w:w="0" w:type="dxa"/>
              <w:right w:w="11" w:type="dxa"/>
            </w:tcMar>
            <w:vAlign w:val="center"/>
          </w:tcPr>
          <w:p w14:paraId="5744B38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设备噪声</w:t>
            </w:r>
          </w:p>
        </w:tc>
        <w:tc>
          <w:tcPr>
            <w:tcW w:w="5470" w:type="dxa"/>
            <w:gridSpan w:val="2"/>
            <w:tcBorders>
              <w:tl2br w:val="nil"/>
              <w:tr2bl w:val="nil"/>
            </w:tcBorders>
            <w:tcMar>
              <w:top w:w="0" w:type="dxa"/>
              <w:left w:w="11" w:type="dxa"/>
              <w:bottom w:w="0" w:type="dxa"/>
              <w:right w:w="11" w:type="dxa"/>
            </w:tcMar>
            <w:vAlign w:val="center"/>
          </w:tcPr>
          <w:p w14:paraId="3534EE2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采取设备合理设计及选型、基础减振、厂房隔音、合理布置、绿化降噪等措施</w:t>
            </w:r>
          </w:p>
        </w:tc>
        <w:tc>
          <w:tcPr>
            <w:tcW w:w="3528" w:type="dxa"/>
            <w:tcBorders>
              <w:tl2br w:val="nil"/>
              <w:tr2bl w:val="nil"/>
            </w:tcBorders>
            <w:tcMar>
              <w:top w:w="0" w:type="dxa"/>
              <w:left w:w="11" w:type="dxa"/>
              <w:bottom w:w="0" w:type="dxa"/>
              <w:right w:w="11" w:type="dxa"/>
            </w:tcMar>
            <w:vAlign w:val="center"/>
          </w:tcPr>
          <w:p w14:paraId="6F51752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《工业企业厂界环境噪声排放标准》（GB12348-2008）</w:t>
            </w:r>
            <w:r>
              <w:rPr>
                <w:rFonts w:hint="eastAsia" w:cs="Times New Roman"/>
                <w:color w:val="auto"/>
                <w:sz w:val="21"/>
                <w:szCs w:val="21"/>
                <w:highlight w:val="none"/>
                <w:lang w:val="en-US" w:eastAsia="zh-CN"/>
              </w:rPr>
              <w:t>2</w:t>
            </w:r>
            <w:r>
              <w:rPr>
                <w:rFonts w:cs="Times New Roman"/>
                <w:color w:val="auto"/>
                <w:sz w:val="21"/>
                <w:szCs w:val="21"/>
                <w:highlight w:val="none"/>
              </w:rPr>
              <w:t>类标准</w:t>
            </w:r>
          </w:p>
        </w:tc>
      </w:tr>
      <w:tr w14:paraId="6768F1B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54" w:hRule="atLeast"/>
          <w:jc w:val="center"/>
        </w:trPr>
        <w:tc>
          <w:tcPr>
            <w:tcW w:w="715" w:type="dxa"/>
            <w:vMerge w:val="restart"/>
            <w:tcBorders>
              <w:tl2br w:val="nil"/>
              <w:tr2bl w:val="nil"/>
            </w:tcBorders>
            <w:tcMar>
              <w:top w:w="0" w:type="dxa"/>
              <w:left w:w="11" w:type="dxa"/>
              <w:bottom w:w="0" w:type="dxa"/>
              <w:right w:w="11" w:type="dxa"/>
            </w:tcMar>
            <w:vAlign w:val="center"/>
          </w:tcPr>
          <w:p w14:paraId="065F492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固废</w:t>
            </w:r>
          </w:p>
        </w:tc>
        <w:tc>
          <w:tcPr>
            <w:tcW w:w="1477" w:type="dxa"/>
            <w:gridSpan w:val="2"/>
            <w:vMerge w:val="restart"/>
            <w:tcBorders>
              <w:tl2br w:val="nil"/>
              <w:tr2bl w:val="nil"/>
            </w:tcBorders>
            <w:tcMar>
              <w:top w:w="0" w:type="dxa"/>
              <w:left w:w="11" w:type="dxa"/>
              <w:bottom w:w="0" w:type="dxa"/>
              <w:right w:w="11" w:type="dxa"/>
            </w:tcMar>
            <w:vAlign w:val="center"/>
          </w:tcPr>
          <w:p w14:paraId="619A9D3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一般工业固废</w:t>
            </w:r>
          </w:p>
        </w:tc>
        <w:tc>
          <w:tcPr>
            <w:tcW w:w="2507" w:type="dxa"/>
            <w:tcBorders>
              <w:tl2br w:val="nil"/>
              <w:tr2bl w:val="nil"/>
            </w:tcBorders>
            <w:tcMar>
              <w:top w:w="0" w:type="dxa"/>
              <w:left w:w="11" w:type="dxa"/>
              <w:bottom w:w="0" w:type="dxa"/>
              <w:right w:w="11" w:type="dxa"/>
            </w:tcMar>
            <w:vAlign w:val="center"/>
          </w:tcPr>
          <w:p w14:paraId="0D22770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检疫不合格品、病死牛羊</w:t>
            </w:r>
          </w:p>
        </w:tc>
        <w:tc>
          <w:tcPr>
            <w:tcW w:w="5470" w:type="dxa"/>
            <w:gridSpan w:val="2"/>
            <w:tcBorders>
              <w:tl2br w:val="nil"/>
              <w:tr2bl w:val="nil"/>
            </w:tcBorders>
            <w:tcMar>
              <w:top w:w="0" w:type="dxa"/>
              <w:left w:w="11" w:type="dxa"/>
              <w:bottom w:w="0" w:type="dxa"/>
              <w:right w:w="11" w:type="dxa"/>
            </w:tcMar>
            <w:vAlign w:val="center"/>
          </w:tcPr>
          <w:p w14:paraId="23BA8D2D">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委托</w:t>
            </w:r>
            <w:r>
              <w:rPr>
                <w:rFonts w:hint="eastAsia" w:cs="Times New Roman"/>
                <w:color w:val="auto"/>
                <w:sz w:val="21"/>
                <w:szCs w:val="21"/>
                <w:highlight w:val="none"/>
                <w:lang w:eastAsia="zh-CN"/>
              </w:rPr>
              <w:t>双鸭山百奥迈斯生物科技有限公司</w:t>
            </w:r>
            <w:r>
              <w:rPr>
                <w:rFonts w:hint="eastAsia" w:cs="Times New Roman"/>
                <w:color w:val="auto"/>
                <w:sz w:val="21"/>
                <w:szCs w:val="21"/>
                <w:highlight w:val="none"/>
              </w:rPr>
              <w:t>进行无害化处理</w:t>
            </w:r>
          </w:p>
        </w:tc>
        <w:tc>
          <w:tcPr>
            <w:tcW w:w="3528" w:type="dxa"/>
            <w:vMerge w:val="restart"/>
            <w:tcBorders>
              <w:tl2br w:val="nil"/>
              <w:tr2bl w:val="nil"/>
            </w:tcBorders>
            <w:tcMar>
              <w:top w:w="0" w:type="dxa"/>
              <w:left w:w="11" w:type="dxa"/>
              <w:bottom w:w="0" w:type="dxa"/>
              <w:right w:w="11" w:type="dxa"/>
            </w:tcMar>
            <w:vAlign w:val="center"/>
          </w:tcPr>
          <w:p w14:paraId="7470E07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100%处置</w:t>
            </w:r>
          </w:p>
        </w:tc>
      </w:tr>
      <w:tr w14:paraId="783C513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55" w:hRule="atLeast"/>
          <w:jc w:val="center"/>
        </w:trPr>
        <w:tc>
          <w:tcPr>
            <w:tcW w:w="715" w:type="dxa"/>
            <w:vMerge w:val="continue"/>
            <w:tcBorders>
              <w:tl2br w:val="nil"/>
              <w:tr2bl w:val="nil"/>
            </w:tcBorders>
            <w:vAlign w:val="center"/>
          </w:tcPr>
          <w:p w14:paraId="39B9CC06">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vAlign w:val="center"/>
          </w:tcPr>
          <w:p w14:paraId="557D3E00">
            <w:pPr>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5646280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边角料</w:t>
            </w:r>
          </w:p>
        </w:tc>
        <w:tc>
          <w:tcPr>
            <w:tcW w:w="5470" w:type="dxa"/>
            <w:gridSpan w:val="2"/>
            <w:vMerge w:val="restart"/>
            <w:tcBorders>
              <w:tl2br w:val="nil"/>
              <w:tr2bl w:val="nil"/>
            </w:tcBorders>
            <w:tcMar>
              <w:top w:w="0" w:type="dxa"/>
              <w:left w:w="11" w:type="dxa"/>
              <w:bottom w:w="0" w:type="dxa"/>
              <w:right w:w="11" w:type="dxa"/>
            </w:tcMar>
            <w:vAlign w:val="center"/>
          </w:tcPr>
          <w:p w14:paraId="35EF63FD">
            <w:pPr>
              <w:spacing w:line="360" w:lineRule="exact"/>
              <w:ind w:firstLine="0" w:firstLineChars="0"/>
              <w:jc w:val="center"/>
              <w:rPr>
                <w:rFonts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外售作为</w:t>
            </w:r>
            <w:r>
              <w:rPr>
                <w:rFonts w:ascii="Times New Roman" w:hAnsi="Times New Roman" w:eastAsia="宋体" w:cs="Times New Roman"/>
                <w:color w:val="auto"/>
                <w:sz w:val="21"/>
                <w:szCs w:val="21"/>
                <w:highlight w:val="none"/>
              </w:rPr>
              <w:t>优质的有机肥原料</w:t>
            </w:r>
          </w:p>
        </w:tc>
        <w:tc>
          <w:tcPr>
            <w:tcW w:w="3528" w:type="dxa"/>
            <w:vMerge w:val="continue"/>
            <w:tcBorders>
              <w:tl2br w:val="nil"/>
              <w:tr2bl w:val="nil"/>
            </w:tcBorders>
            <w:tcMar>
              <w:top w:w="0" w:type="dxa"/>
              <w:left w:w="11" w:type="dxa"/>
              <w:bottom w:w="0" w:type="dxa"/>
              <w:right w:w="11" w:type="dxa"/>
            </w:tcMar>
            <w:vAlign w:val="center"/>
          </w:tcPr>
          <w:p w14:paraId="0634DBF7">
            <w:pPr>
              <w:spacing w:line="360" w:lineRule="exact"/>
              <w:ind w:firstLine="0" w:firstLineChars="0"/>
              <w:jc w:val="center"/>
              <w:rPr>
                <w:rFonts w:cs="Times New Roman"/>
                <w:color w:val="auto"/>
                <w:sz w:val="21"/>
                <w:szCs w:val="21"/>
                <w:highlight w:val="none"/>
              </w:rPr>
            </w:pPr>
          </w:p>
        </w:tc>
      </w:tr>
      <w:tr w14:paraId="6329FA4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2F52B6A9">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vAlign w:val="center"/>
          </w:tcPr>
          <w:p w14:paraId="165FF585">
            <w:pPr>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5F12438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胃容物及肠内物</w:t>
            </w:r>
          </w:p>
        </w:tc>
        <w:tc>
          <w:tcPr>
            <w:tcW w:w="5470" w:type="dxa"/>
            <w:gridSpan w:val="2"/>
            <w:vMerge w:val="continue"/>
            <w:tcBorders>
              <w:tl2br w:val="nil"/>
              <w:tr2bl w:val="nil"/>
            </w:tcBorders>
            <w:tcMar>
              <w:top w:w="0" w:type="dxa"/>
              <w:left w:w="11" w:type="dxa"/>
              <w:bottom w:w="0" w:type="dxa"/>
              <w:right w:w="11" w:type="dxa"/>
            </w:tcMar>
            <w:vAlign w:val="center"/>
          </w:tcPr>
          <w:p w14:paraId="16B42219">
            <w:pPr>
              <w:spacing w:line="360" w:lineRule="exact"/>
              <w:ind w:firstLine="0" w:firstLineChars="0"/>
              <w:jc w:val="center"/>
              <w:rPr>
                <w:rFonts w:cs="Times New Roman"/>
                <w:color w:val="auto"/>
                <w:sz w:val="21"/>
                <w:szCs w:val="21"/>
                <w:highlight w:val="none"/>
              </w:rPr>
            </w:pPr>
          </w:p>
        </w:tc>
        <w:tc>
          <w:tcPr>
            <w:tcW w:w="3528" w:type="dxa"/>
            <w:vMerge w:val="continue"/>
            <w:tcBorders>
              <w:tl2br w:val="nil"/>
              <w:tr2bl w:val="nil"/>
            </w:tcBorders>
            <w:tcMar>
              <w:top w:w="0" w:type="dxa"/>
              <w:left w:w="11" w:type="dxa"/>
              <w:bottom w:w="0" w:type="dxa"/>
              <w:right w:w="11" w:type="dxa"/>
            </w:tcMar>
            <w:vAlign w:val="center"/>
          </w:tcPr>
          <w:p w14:paraId="0C643E9E">
            <w:pPr>
              <w:spacing w:line="360" w:lineRule="exact"/>
              <w:ind w:firstLine="0" w:firstLineChars="0"/>
              <w:jc w:val="center"/>
              <w:rPr>
                <w:rFonts w:cs="Times New Roman"/>
                <w:color w:val="auto"/>
                <w:sz w:val="21"/>
                <w:szCs w:val="21"/>
                <w:highlight w:val="none"/>
              </w:rPr>
            </w:pPr>
          </w:p>
        </w:tc>
      </w:tr>
      <w:tr w14:paraId="7962B16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4AC4D778">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5C265798">
            <w:pPr>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232B21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粪便</w:t>
            </w:r>
          </w:p>
        </w:tc>
        <w:tc>
          <w:tcPr>
            <w:tcW w:w="5470" w:type="dxa"/>
            <w:gridSpan w:val="2"/>
            <w:vMerge w:val="continue"/>
            <w:tcBorders>
              <w:tl2br w:val="nil"/>
              <w:tr2bl w:val="nil"/>
            </w:tcBorders>
            <w:tcMar>
              <w:top w:w="0" w:type="dxa"/>
              <w:left w:w="11" w:type="dxa"/>
              <w:bottom w:w="0" w:type="dxa"/>
              <w:right w:w="11" w:type="dxa"/>
            </w:tcMar>
            <w:vAlign w:val="center"/>
          </w:tcPr>
          <w:p w14:paraId="62ACB8BE">
            <w:pPr>
              <w:spacing w:line="360" w:lineRule="exact"/>
              <w:ind w:firstLine="0" w:firstLineChars="0"/>
              <w:jc w:val="center"/>
              <w:rPr>
                <w:rFonts w:cs="Times New Roman"/>
                <w:color w:val="auto"/>
                <w:sz w:val="21"/>
                <w:szCs w:val="21"/>
                <w:highlight w:val="none"/>
              </w:rPr>
            </w:pPr>
          </w:p>
        </w:tc>
        <w:tc>
          <w:tcPr>
            <w:tcW w:w="3528" w:type="dxa"/>
            <w:vMerge w:val="continue"/>
            <w:tcBorders>
              <w:tl2br w:val="nil"/>
              <w:tr2bl w:val="nil"/>
            </w:tcBorders>
            <w:tcMar>
              <w:top w:w="0" w:type="dxa"/>
              <w:left w:w="11" w:type="dxa"/>
              <w:bottom w:w="0" w:type="dxa"/>
              <w:right w:w="11" w:type="dxa"/>
            </w:tcMar>
            <w:vAlign w:val="center"/>
          </w:tcPr>
          <w:p w14:paraId="082A52BF">
            <w:pPr>
              <w:spacing w:line="360" w:lineRule="exact"/>
              <w:ind w:firstLine="0" w:firstLineChars="0"/>
              <w:jc w:val="center"/>
              <w:rPr>
                <w:rFonts w:cs="Times New Roman"/>
                <w:color w:val="auto"/>
                <w:sz w:val="21"/>
                <w:szCs w:val="21"/>
                <w:highlight w:val="none"/>
              </w:rPr>
            </w:pPr>
          </w:p>
        </w:tc>
      </w:tr>
      <w:tr w14:paraId="0D90F93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66FBA506">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60DE0540">
            <w:pPr>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1829576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废包装</w:t>
            </w:r>
          </w:p>
        </w:tc>
        <w:tc>
          <w:tcPr>
            <w:tcW w:w="5470" w:type="dxa"/>
            <w:gridSpan w:val="2"/>
            <w:tcBorders>
              <w:tl2br w:val="nil"/>
              <w:tr2bl w:val="nil"/>
            </w:tcBorders>
            <w:tcMar>
              <w:top w:w="0" w:type="dxa"/>
              <w:left w:w="11" w:type="dxa"/>
              <w:bottom w:w="0" w:type="dxa"/>
              <w:right w:w="11" w:type="dxa"/>
            </w:tcMar>
            <w:vAlign w:val="center"/>
          </w:tcPr>
          <w:p w14:paraId="65735B4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定期外售综合利用</w:t>
            </w:r>
          </w:p>
        </w:tc>
        <w:tc>
          <w:tcPr>
            <w:tcW w:w="3528" w:type="dxa"/>
            <w:vMerge w:val="continue"/>
            <w:tcBorders>
              <w:tl2br w:val="nil"/>
              <w:tr2bl w:val="nil"/>
            </w:tcBorders>
            <w:tcMar>
              <w:top w:w="0" w:type="dxa"/>
              <w:left w:w="11" w:type="dxa"/>
              <w:bottom w:w="0" w:type="dxa"/>
              <w:right w:w="11" w:type="dxa"/>
            </w:tcMar>
            <w:vAlign w:val="center"/>
          </w:tcPr>
          <w:p w14:paraId="20CE926A">
            <w:pPr>
              <w:spacing w:line="360" w:lineRule="exact"/>
              <w:ind w:firstLine="0" w:firstLineChars="0"/>
              <w:jc w:val="center"/>
              <w:rPr>
                <w:rFonts w:cs="Times New Roman"/>
                <w:color w:val="auto"/>
                <w:sz w:val="21"/>
                <w:szCs w:val="21"/>
                <w:highlight w:val="none"/>
              </w:rPr>
            </w:pPr>
          </w:p>
        </w:tc>
      </w:tr>
      <w:tr w14:paraId="48781A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28CE8655">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251793F4">
            <w:pPr>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6B8582A4">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隔油池废油脂</w:t>
            </w:r>
          </w:p>
        </w:tc>
        <w:tc>
          <w:tcPr>
            <w:tcW w:w="5470" w:type="dxa"/>
            <w:gridSpan w:val="2"/>
            <w:tcBorders>
              <w:tl2br w:val="nil"/>
              <w:tr2bl w:val="nil"/>
            </w:tcBorders>
            <w:tcMar>
              <w:top w:w="0" w:type="dxa"/>
              <w:left w:w="11" w:type="dxa"/>
              <w:bottom w:w="0" w:type="dxa"/>
              <w:right w:w="11" w:type="dxa"/>
            </w:tcMar>
            <w:vAlign w:val="center"/>
          </w:tcPr>
          <w:p w14:paraId="662D607C">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收集后交由有能力处置单位进行运输处理</w:t>
            </w:r>
          </w:p>
        </w:tc>
        <w:tc>
          <w:tcPr>
            <w:tcW w:w="3528" w:type="dxa"/>
            <w:vMerge w:val="continue"/>
            <w:tcBorders>
              <w:tl2br w:val="nil"/>
              <w:tr2bl w:val="nil"/>
            </w:tcBorders>
            <w:tcMar>
              <w:top w:w="0" w:type="dxa"/>
              <w:left w:w="11" w:type="dxa"/>
              <w:bottom w:w="0" w:type="dxa"/>
              <w:right w:w="11" w:type="dxa"/>
            </w:tcMar>
            <w:vAlign w:val="center"/>
          </w:tcPr>
          <w:p w14:paraId="0FACD623">
            <w:pPr>
              <w:spacing w:line="360" w:lineRule="exact"/>
              <w:ind w:firstLine="0" w:firstLineChars="0"/>
              <w:jc w:val="center"/>
              <w:rPr>
                <w:rFonts w:cs="Times New Roman"/>
                <w:color w:val="auto"/>
                <w:sz w:val="21"/>
                <w:szCs w:val="21"/>
                <w:highlight w:val="none"/>
              </w:rPr>
            </w:pPr>
          </w:p>
        </w:tc>
      </w:tr>
      <w:tr w14:paraId="6D39185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1FAFCC7D">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4805ED98">
            <w:pPr>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2192564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脱水污泥（含栅渣）</w:t>
            </w:r>
          </w:p>
        </w:tc>
        <w:tc>
          <w:tcPr>
            <w:tcW w:w="5470" w:type="dxa"/>
            <w:gridSpan w:val="2"/>
            <w:tcBorders>
              <w:tl2br w:val="nil"/>
              <w:tr2bl w:val="nil"/>
            </w:tcBorders>
            <w:tcMar>
              <w:top w:w="0" w:type="dxa"/>
              <w:left w:w="11" w:type="dxa"/>
              <w:bottom w:w="0" w:type="dxa"/>
              <w:right w:w="11" w:type="dxa"/>
            </w:tcMar>
            <w:vAlign w:val="center"/>
          </w:tcPr>
          <w:p w14:paraId="352E6B8D">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snapToGrid w:val="0"/>
                <w:color w:val="auto"/>
                <w:kern w:val="0"/>
                <w:sz w:val="21"/>
                <w:szCs w:val="21"/>
                <w:highlight w:val="none"/>
              </w:rPr>
              <w:t>集中收集，送</w:t>
            </w:r>
            <w:r>
              <w:rPr>
                <w:rFonts w:hint="eastAsia" w:cs="Times New Roman"/>
                <w:snapToGrid w:val="0"/>
                <w:color w:val="auto"/>
                <w:kern w:val="0"/>
                <w:sz w:val="21"/>
                <w:szCs w:val="21"/>
                <w:highlight w:val="none"/>
                <w:lang w:val="en-US" w:eastAsia="zh-CN"/>
              </w:rPr>
              <w:t>至有能力处置单位处理</w:t>
            </w:r>
          </w:p>
        </w:tc>
        <w:tc>
          <w:tcPr>
            <w:tcW w:w="3528" w:type="dxa"/>
            <w:vMerge w:val="continue"/>
            <w:tcBorders>
              <w:tl2br w:val="nil"/>
              <w:tr2bl w:val="nil"/>
            </w:tcBorders>
            <w:tcMar>
              <w:top w:w="0" w:type="dxa"/>
              <w:left w:w="11" w:type="dxa"/>
              <w:bottom w:w="0" w:type="dxa"/>
              <w:right w:w="11" w:type="dxa"/>
            </w:tcMar>
            <w:vAlign w:val="center"/>
          </w:tcPr>
          <w:p w14:paraId="0C3D050A">
            <w:pPr>
              <w:spacing w:line="360" w:lineRule="exact"/>
              <w:ind w:firstLine="0" w:firstLineChars="0"/>
              <w:jc w:val="center"/>
              <w:rPr>
                <w:rFonts w:cs="Times New Roman"/>
                <w:color w:val="auto"/>
                <w:sz w:val="21"/>
                <w:szCs w:val="21"/>
                <w:highlight w:val="none"/>
              </w:rPr>
            </w:pPr>
          </w:p>
        </w:tc>
      </w:tr>
      <w:tr w14:paraId="5E9FA61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438" w:hRule="atLeast"/>
          <w:jc w:val="center"/>
        </w:trPr>
        <w:tc>
          <w:tcPr>
            <w:tcW w:w="715" w:type="dxa"/>
            <w:vMerge w:val="continue"/>
            <w:tcBorders>
              <w:tl2br w:val="nil"/>
              <w:tr2bl w:val="nil"/>
            </w:tcBorders>
            <w:vAlign w:val="center"/>
          </w:tcPr>
          <w:p w14:paraId="040B16EB">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vAlign w:val="center"/>
          </w:tcPr>
          <w:p w14:paraId="3574E48B">
            <w:pPr>
              <w:widowControl/>
              <w:spacing w:line="360" w:lineRule="exact"/>
              <w:ind w:firstLine="0" w:firstLineChars="0"/>
              <w:jc w:val="center"/>
              <w:rPr>
                <w:rFonts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41A1349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废活性炭</w:t>
            </w:r>
          </w:p>
        </w:tc>
        <w:tc>
          <w:tcPr>
            <w:tcW w:w="5470" w:type="dxa"/>
            <w:gridSpan w:val="2"/>
            <w:tcBorders>
              <w:tl2br w:val="nil"/>
              <w:tr2bl w:val="nil"/>
            </w:tcBorders>
            <w:tcMar>
              <w:top w:w="0" w:type="dxa"/>
              <w:left w:w="11" w:type="dxa"/>
              <w:bottom w:w="0" w:type="dxa"/>
              <w:right w:w="11" w:type="dxa"/>
            </w:tcMar>
            <w:vAlign w:val="center"/>
          </w:tcPr>
          <w:p w14:paraId="332A8F0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集中收集，定期由厂家回收处置</w:t>
            </w:r>
          </w:p>
        </w:tc>
        <w:tc>
          <w:tcPr>
            <w:tcW w:w="3528" w:type="dxa"/>
            <w:vMerge w:val="continue"/>
            <w:tcBorders>
              <w:tl2br w:val="nil"/>
              <w:tr2bl w:val="nil"/>
            </w:tcBorders>
            <w:tcMar>
              <w:top w:w="0" w:type="dxa"/>
              <w:left w:w="11" w:type="dxa"/>
              <w:bottom w:w="0" w:type="dxa"/>
              <w:right w:w="11" w:type="dxa"/>
            </w:tcMar>
            <w:vAlign w:val="center"/>
          </w:tcPr>
          <w:p w14:paraId="7E06FB72">
            <w:pPr>
              <w:spacing w:line="360" w:lineRule="exact"/>
              <w:ind w:firstLine="0" w:firstLineChars="0"/>
              <w:jc w:val="center"/>
              <w:rPr>
                <w:rFonts w:cs="Times New Roman"/>
                <w:color w:val="auto"/>
                <w:sz w:val="21"/>
                <w:szCs w:val="21"/>
                <w:highlight w:val="none"/>
              </w:rPr>
            </w:pPr>
          </w:p>
        </w:tc>
      </w:tr>
      <w:tr w14:paraId="307A540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500" w:hRule="atLeast"/>
          <w:jc w:val="center"/>
        </w:trPr>
        <w:tc>
          <w:tcPr>
            <w:tcW w:w="715" w:type="dxa"/>
            <w:vMerge w:val="continue"/>
            <w:tcBorders>
              <w:tl2br w:val="nil"/>
              <w:tr2bl w:val="nil"/>
            </w:tcBorders>
            <w:vAlign w:val="center"/>
          </w:tcPr>
          <w:p w14:paraId="1F7E0A2D">
            <w:pPr>
              <w:widowControl/>
              <w:spacing w:line="360" w:lineRule="exact"/>
              <w:ind w:firstLine="0" w:firstLineChars="0"/>
              <w:jc w:val="center"/>
              <w:rPr>
                <w:rFonts w:cs="Times New Roman"/>
                <w:color w:val="auto"/>
                <w:sz w:val="21"/>
                <w:szCs w:val="21"/>
                <w:highlight w:val="none"/>
              </w:rPr>
            </w:pPr>
          </w:p>
        </w:tc>
        <w:tc>
          <w:tcPr>
            <w:tcW w:w="1477" w:type="dxa"/>
            <w:gridSpan w:val="2"/>
            <w:tcBorders>
              <w:tl2br w:val="nil"/>
              <w:tr2bl w:val="nil"/>
            </w:tcBorders>
            <w:tcMar>
              <w:top w:w="0" w:type="dxa"/>
              <w:left w:w="11" w:type="dxa"/>
              <w:bottom w:w="0" w:type="dxa"/>
              <w:right w:w="11" w:type="dxa"/>
            </w:tcMar>
            <w:vAlign w:val="center"/>
          </w:tcPr>
          <w:p w14:paraId="52B4F15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2507" w:type="dxa"/>
            <w:tcBorders>
              <w:tl2br w:val="nil"/>
              <w:tr2bl w:val="nil"/>
            </w:tcBorders>
            <w:tcMar>
              <w:top w:w="0" w:type="dxa"/>
              <w:left w:w="11" w:type="dxa"/>
              <w:bottom w:w="0" w:type="dxa"/>
              <w:right w:w="11" w:type="dxa"/>
            </w:tcMar>
            <w:vAlign w:val="center"/>
          </w:tcPr>
          <w:p w14:paraId="4E7471A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生活垃圾</w:t>
            </w:r>
          </w:p>
        </w:tc>
        <w:tc>
          <w:tcPr>
            <w:tcW w:w="5470" w:type="dxa"/>
            <w:gridSpan w:val="2"/>
            <w:tcBorders>
              <w:tl2br w:val="nil"/>
              <w:tr2bl w:val="nil"/>
            </w:tcBorders>
            <w:tcMar>
              <w:top w:w="0" w:type="dxa"/>
              <w:left w:w="11" w:type="dxa"/>
              <w:bottom w:w="0" w:type="dxa"/>
              <w:right w:w="11" w:type="dxa"/>
            </w:tcMar>
            <w:vAlign w:val="center"/>
          </w:tcPr>
          <w:p w14:paraId="0557E75F">
            <w:pPr>
              <w:spacing w:line="360" w:lineRule="exact"/>
              <w:ind w:firstLine="0" w:firstLineChars="0"/>
              <w:jc w:val="center"/>
              <w:rPr>
                <w:rFonts w:hint="default" w:eastAsia="宋体" w:cs="Times New Roman"/>
                <w:color w:val="auto"/>
                <w:sz w:val="21"/>
                <w:szCs w:val="21"/>
                <w:highlight w:val="none"/>
                <w:lang w:val="en-US" w:eastAsia="zh-CN"/>
              </w:rPr>
            </w:pPr>
            <w:r>
              <w:rPr>
                <w:rFonts w:cs="Times New Roman"/>
                <w:color w:val="auto"/>
                <w:sz w:val="21"/>
                <w:szCs w:val="21"/>
                <w:highlight w:val="none"/>
              </w:rPr>
              <w:t>集中收集，</w:t>
            </w:r>
            <w:r>
              <w:rPr>
                <w:rFonts w:hint="eastAsia" w:cs="Times New Roman"/>
                <w:color w:val="auto"/>
                <w:sz w:val="21"/>
                <w:szCs w:val="21"/>
                <w:highlight w:val="none"/>
                <w:lang w:eastAsia="zh-CN"/>
              </w:rPr>
              <w:t>由市政环卫部门统一清运</w:t>
            </w:r>
            <w:r>
              <w:rPr>
                <w:rFonts w:hint="eastAsia" w:cs="Times New Roman"/>
                <w:color w:val="auto"/>
                <w:sz w:val="21"/>
                <w:szCs w:val="21"/>
                <w:highlight w:val="none"/>
                <w:lang w:val="en-US" w:eastAsia="zh-CN"/>
              </w:rPr>
              <w:t>处理</w:t>
            </w:r>
          </w:p>
        </w:tc>
        <w:tc>
          <w:tcPr>
            <w:tcW w:w="3528" w:type="dxa"/>
            <w:vMerge w:val="continue"/>
            <w:tcBorders>
              <w:tl2br w:val="nil"/>
              <w:tr2bl w:val="nil"/>
            </w:tcBorders>
            <w:tcMar>
              <w:top w:w="0" w:type="dxa"/>
              <w:left w:w="11" w:type="dxa"/>
              <w:bottom w:w="0" w:type="dxa"/>
              <w:right w:w="11" w:type="dxa"/>
            </w:tcMar>
            <w:vAlign w:val="center"/>
          </w:tcPr>
          <w:p w14:paraId="78A45A56">
            <w:pPr>
              <w:spacing w:line="360" w:lineRule="exact"/>
              <w:ind w:firstLine="0" w:firstLineChars="0"/>
              <w:jc w:val="center"/>
              <w:rPr>
                <w:rFonts w:cs="Times New Roman"/>
                <w:color w:val="auto"/>
                <w:sz w:val="21"/>
                <w:szCs w:val="21"/>
                <w:highlight w:val="none"/>
              </w:rPr>
            </w:pPr>
          </w:p>
        </w:tc>
      </w:tr>
      <w:tr w14:paraId="2086EF9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500" w:hRule="atLeast"/>
          <w:jc w:val="center"/>
        </w:trPr>
        <w:tc>
          <w:tcPr>
            <w:tcW w:w="715" w:type="dxa"/>
            <w:vMerge w:val="continue"/>
            <w:tcBorders>
              <w:tl2br w:val="nil"/>
              <w:tr2bl w:val="nil"/>
            </w:tcBorders>
            <w:vAlign w:val="center"/>
          </w:tcPr>
          <w:p w14:paraId="515A8DFC">
            <w:pPr>
              <w:widowControl/>
              <w:spacing w:line="360" w:lineRule="exact"/>
              <w:ind w:firstLine="0" w:firstLineChars="0"/>
              <w:jc w:val="center"/>
              <w:rPr>
                <w:rFonts w:cs="Times New Roman"/>
                <w:color w:val="auto"/>
                <w:sz w:val="21"/>
                <w:szCs w:val="21"/>
                <w:highlight w:val="none"/>
              </w:rPr>
            </w:pPr>
          </w:p>
        </w:tc>
        <w:tc>
          <w:tcPr>
            <w:tcW w:w="1477" w:type="dxa"/>
            <w:gridSpan w:val="2"/>
            <w:vMerge w:val="restart"/>
            <w:tcBorders>
              <w:tl2br w:val="nil"/>
              <w:tr2bl w:val="nil"/>
            </w:tcBorders>
            <w:tcMar>
              <w:top w:w="0" w:type="dxa"/>
              <w:left w:w="11" w:type="dxa"/>
              <w:bottom w:w="0" w:type="dxa"/>
              <w:right w:w="11" w:type="dxa"/>
            </w:tcMar>
            <w:vAlign w:val="center"/>
          </w:tcPr>
          <w:p w14:paraId="7B1E037C">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危险废物</w:t>
            </w:r>
          </w:p>
        </w:tc>
        <w:tc>
          <w:tcPr>
            <w:tcW w:w="2507" w:type="dxa"/>
            <w:tcBorders>
              <w:tl2br w:val="nil"/>
              <w:tr2bl w:val="nil"/>
            </w:tcBorders>
            <w:tcMar>
              <w:top w:w="0" w:type="dxa"/>
              <w:left w:w="11" w:type="dxa"/>
              <w:bottom w:w="0" w:type="dxa"/>
              <w:right w:w="11" w:type="dxa"/>
            </w:tcMar>
            <w:vAlign w:val="center"/>
          </w:tcPr>
          <w:p w14:paraId="65C675C1">
            <w:pPr>
              <w:spacing w:line="360" w:lineRule="exact"/>
              <w:ind w:firstLine="0" w:firstLineChars="0"/>
              <w:jc w:val="center"/>
              <w:rPr>
                <w:rFonts w:cs="Times New Roman"/>
                <w:color w:val="auto"/>
                <w:sz w:val="21"/>
                <w:szCs w:val="21"/>
                <w:highlight w:val="none"/>
              </w:rPr>
            </w:pPr>
            <w:r>
              <w:rPr>
                <w:rFonts w:hint="eastAsia" w:cs="Times New Roman"/>
                <w:color w:val="auto"/>
                <w:sz w:val="21"/>
                <w:szCs w:val="21"/>
                <w:highlight w:val="none"/>
              </w:rPr>
              <w:t>检疫废物</w:t>
            </w:r>
          </w:p>
        </w:tc>
        <w:tc>
          <w:tcPr>
            <w:tcW w:w="5470" w:type="dxa"/>
            <w:gridSpan w:val="2"/>
            <w:tcBorders>
              <w:tl2br w:val="nil"/>
              <w:tr2bl w:val="nil"/>
            </w:tcBorders>
            <w:tcMar>
              <w:top w:w="0" w:type="dxa"/>
              <w:left w:w="11" w:type="dxa"/>
              <w:bottom w:w="0" w:type="dxa"/>
              <w:right w:w="11" w:type="dxa"/>
            </w:tcMar>
            <w:vAlign w:val="center"/>
          </w:tcPr>
          <w:p w14:paraId="72A3EDD3">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集中收集，暂存在</w:t>
            </w:r>
            <w:r>
              <w:rPr>
                <w:rFonts w:hint="eastAsia" w:cs="Times New Roman"/>
                <w:color w:val="auto"/>
                <w:sz w:val="21"/>
                <w:szCs w:val="21"/>
                <w:highlight w:val="none"/>
                <w:lang w:val="en-US" w:eastAsia="zh-CN"/>
              </w:rPr>
              <w:t>危险废物贮存点</w:t>
            </w:r>
            <w:r>
              <w:rPr>
                <w:rFonts w:hint="eastAsia" w:ascii="Times New Roman" w:hAnsi="Times New Roman" w:eastAsia="宋体" w:cs="Times New Roman"/>
                <w:color w:val="auto"/>
                <w:sz w:val="21"/>
                <w:szCs w:val="21"/>
                <w:highlight w:val="none"/>
              </w:rPr>
              <w:t>内，定期由有资质的单位处置</w:t>
            </w:r>
          </w:p>
        </w:tc>
        <w:tc>
          <w:tcPr>
            <w:tcW w:w="3528" w:type="dxa"/>
            <w:vMerge w:val="continue"/>
            <w:tcBorders>
              <w:tl2br w:val="nil"/>
              <w:tr2bl w:val="nil"/>
            </w:tcBorders>
            <w:tcMar>
              <w:top w:w="0" w:type="dxa"/>
              <w:left w:w="11" w:type="dxa"/>
              <w:bottom w:w="0" w:type="dxa"/>
              <w:right w:w="11" w:type="dxa"/>
            </w:tcMar>
            <w:vAlign w:val="center"/>
          </w:tcPr>
          <w:p w14:paraId="718DF5A4">
            <w:pPr>
              <w:spacing w:line="360" w:lineRule="exact"/>
              <w:ind w:firstLine="0" w:firstLineChars="0"/>
              <w:jc w:val="center"/>
              <w:rPr>
                <w:rFonts w:cs="Times New Roman"/>
                <w:color w:val="auto"/>
                <w:sz w:val="21"/>
                <w:szCs w:val="21"/>
                <w:highlight w:val="none"/>
              </w:rPr>
            </w:pPr>
          </w:p>
        </w:tc>
      </w:tr>
      <w:tr w14:paraId="124E742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500" w:hRule="atLeast"/>
          <w:jc w:val="center"/>
        </w:trPr>
        <w:tc>
          <w:tcPr>
            <w:tcW w:w="715" w:type="dxa"/>
            <w:vMerge w:val="continue"/>
            <w:tcBorders>
              <w:tl2br w:val="nil"/>
              <w:tr2bl w:val="nil"/>
            </w:tcBorders>
            <w:vAlign w:val="center"/>
          </w:tcPr>
          <w:p w14:paraId="4B47FD15">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4FA99430">
            <w:pPr>
              <w:spacing w:line="360" w:lineRule="exact"/>
              <w:ind w:firstLine="0" w:firstLineChars="0"/>
              <w:jc w:val="center"/>
              <w:rPr>
                <w:rFonts w:hint="eastAsia"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1930060C">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废润滑油、在线监测废液</w:t>
            </w:r>
          </w:p>
        </w:tc>
        <w:tc>
          <w:tcPr>
            <w:tcW w:w="5470" w:type="dxa"/>
            <w:gridSpan w:val="2"/>
            <w:tcBorders>
              <w:tl2br w:val="nil"/>
              <w:tr2bl w:val="nil"/>
            </w:tcBorders>
            <w:tcMar>
              <w:top w:w="0" w:type="dxa"/>
              <w:left w:w="11" w:type="dxa"/>
              <w:bottom w:w="0" w:type="dxa"/>
              <w:right w:w="11" w:type="dxa"/>
            </w:tcMar>
            <w:vAlign w:val="center"/>
          </w:tcPr>
          <w:p w14:paraId="27BDC7E6">
            <w:pPr>
              <w:spacing w:line="360" w:lineRule="exact"/>
              <w:ind w:firstLine="0" w:firstLineChars="0"/>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集中收集，暂存在</w:t>
            </w:r>
            <w:r>
              <w:rPr>
                <w:rFonts w:hint="eastAsia" w:cs="Times New Roman"/>
                <w:color w:val="auto"/>
                <w:sz w:val="21"/>
                <w:szCs w:val="21"/>
                <w:highlight w:val="none"/>
                <w:lang w:val="en-US" w:eastAsia="zh-CN"/>
              </w:rPr>
              <w:t>危险废物贮存点</w:t>
            </w:r>
            <w:r>
              <w:rPr>
                <w:rFonts w:hint="eastAsia" w:ascii="Times New Roman" w:hAnsi="Times New Roman" w:eastAsia="宋体" w:cs="Times New Roman"/>
                <w:color w:val="auto"/>
                <w:sz w:val="21"/>
                <w:szCs w:val="21"/>
                <w:highlight w:val="none"/>
              </w:rPr>
              <w:t>内，定期由有资质的单位处置</w:t>
            </w:r>
          </w:p>
        </w:tc>
        <w:tc>
          <w:tcPr>
            <w:tcW w:w="3528" w:type="dxa"/>
            <w:vMerge w:val="continue"/>
            <w:tcBorders>
              <w:tl2br w:val="nil"/>
              <w:tr2bl w:val="nil"/>
            </w:tcBorders>
            <w:tcMar>
              <w:top w:w="0" w:type="dxa"/>
              <w:left w:w="11" w:type="dxa"/>
              <w:bottom w:w="0" w:type="dxa"/>
              <w:right w:w="11" w:type="dxa"/>
            </w:tcMar>
            <w:vAlign w:val="center"/>
          </w:tcPr>
          <w:p w14:paraId="00197016">
            <w:pPr>
              <w:spacing w:line="360" w:lineRule="exact"/>
              <w:ind w:firstLine="0" w:firstLineChars="0"/>
              <w:jc w:val="center"/>
              <w:rPr>
                <w:rFonts w:cs="Times New Roman"/>
                <w:color w:val="auto"/>
                <w:sz w:val="21"/>
                <w:szCs w:val="21"/>
                <w:highlight w:val="none"/>
              </w:rPr>
            </w:pPr>
          </w:p>
        </w:tc>
      </w:tr>
      <w:tr w14:paraId="0829C40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28" w:type="dxa"/>
            <w:bottom w:w="0" w:type="dxa"/>
            <w:right w:w="28" w:type="dxa"/>
          </w:tblCellMar>
        </w:tblPrEx>
        <w:trPr>
          <w:trHeight w:val="500" w:hRule="atLeast"/>
          <w:jc w:val="center"/>
        </w:trPr>
        <w:tc>
          <w:tcPr>
            <w:tcW w:w="715" w:type="dxa"/>
            <w:vMerge w:val="continue"/>
            <w:tcBorders>
              <w:tl2br w:val="nil"/>
              <w:tr2bl w:val="nil"/>
            </w:tcBorders>
            <w:vAlign w:val="center"/>
          </w:tcPr>
          <w:p w14:paraId="12CCA0BC">
            <w:pPr>
              <w:widowControl/>
              <w:spacing w:line="360" w:lineRule="exact"/>
              <w:ind w:firstLine="0" w:firstLineChars="0"/>
              <w:jc w:val="center"/>
              <w:rPr>
                <w:rFonts w:cs="Times New Roman"/>
                <w:color w:val="auto"/>
                <w:sz w:val="21"/>
                <w:szCs w:val="21"/>
                <w:highlight w:val="none"/>
              </w:rPr>
            </w:pPr>
          </w:p>
        </w:tc>
        <w:tc>
          <w:tcPr>
            <w:tcW w:w="1477" w:type="dxa"/>
            <w:gridSpan w:val="2"/>
            <w:vMerge w:val="continue"/>
            <w:tcBorders>
              <w:tl2br w:val="nil"/>
              <w:tr2bl w:val="nil"/>
            </w:tcBorders>
            <w:tcMar>
              <w:top w:w="0" w:type="dxa"/>
              <w:left w:w="11" w:type="dxa"/>
              <w:bottom w:w="0" w:type="dxa"/>
              <w:right w:w="11" w:type="dxa"/>
            </w:tcMar>
            <w:vAlign w:val="center"/>
          </w:tcPr>
          <w:p w14:paraId="1CBB2B72">
            <w:pPr>
              <w:spacing w:line="360" w:lineRule="exact"/>
              <w:ind w:firstLine="0" w:firstLineChars="0"/>
              <w:jc w:val="center"/>
              <w:rPr>
                <w:rFonts w:hint="eastAsia" w:cs="Times New Roman"/>
                <w:color w:val="auto"/>
                <w:sz w:val="21"/>
                <w:szCs w:val="21"/>
                <w:highlight w:val="none"/>
              </w:rPr>
            </w:pPr>
          </w:p>
        </w:tc>
        <w:tc>
          <w:tcPr>
            <w:tcW w:w="2507" w:type="dxa"/>
            <w:tcBorders>
              <w:tl2br w:val="nil"/>
              <w:tr2bl w:val="nil"/>
            </w:tcBorders>
            <w:tcMar>
              <w:top w:w="0" w:type="dxa"/>
              <w:left w:w="11" w:type="dxa"/>
              <w:bottom w:w="0" w:type="dxa"/>
              <w:right w:w="11" w:type="dxa"/>
            </w:tcMar>
            <w:vAlign w:val="center"/>
          </w:tcPr>
          <w:p w14:paraId="212DD7DD">
            <w:pPr>
              <w:spacing w:line="360" w:lineRule="exact"/>
              <w:ind w:firstLine="0" w:firstLineChars="0"/>
              <w:jc w:val="center"/>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含油抹布、劳保手套</w:t>
            </w:r>
          </w:p>
        </w:tc>
        <w:tc>
          <w:tcPr>
            <w:tcW w:w="5470" w:type="dxa"/>
            <w:gridSpan w:val="2"/>
            <w:tcBorders>
              <w:tl2br w:val="nil"/>
              <w:tr2bl w:val="nil"/>
            </w:tcBorders>
            <w:tcMar>
              <w:top w:w="0" w:type="dxa"/>
              <w:left w:w="11" w:type="dxa"/>
              <w:bottom w:w="0" w:type="dxa"/>
              <w:right w:w="11" w:type="dxa"/>
            </w:tcMar>
            <w:vAlign w:val="center"/>
          </w:tcPr>
          <w:p w14:paraId="1D50910B">
            <w:pPr>
              <w:spacing w:line="360" w:lineRule="exact"/>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rPr>
              <w:t>集中收集，暂存在</w:t>
            </w:r>
            <w:r>
              <w:rPr>
                <w:rFonts w:hint="eastAsia" w:cs="Times New Roman"/>
                <w:color w:val="auto"/>
                <w:sz w:val="21"/>
                <w:szCs w:val="21"/>
                <w:highlight w:val="none"/>
                <w:lang w:val="en-US" w:eastAsia="zh-CN"/>
              </w:rPr>
              <w:t>危险废物贮存点</w:t>
            </w:r>
            <w:r>
              <w:rPr>
                <w:rFonts w:hint="eastAsia" w:ascii="Times New Roman" w:hAnsi="Times New Roman" w:eastAsia="宋体" w:cs="Times New Roman"/>
                <w:color w:val="auto"/>
                <w:sz w:val="21"/>
                <w:szCs w:val="21"/>
                <w:highlight w:val="none"/>
              </w:rPr>
              <w:t>内，定期由有资质的单位处置</w:t>
            </w:r>
          </w:p>
        </w:tc>
        <w:tc>
          <w:tcPr>
            <w:tcW w:w="3528" w:type="dxa"/>
            <w:vMerge w:val="continue"/>
            <w:tcBorders>
              <w:tl2br w:val="nil"/>
              <w:tr2bl w:val="nil"/>
            </w:tcBorders>
            <w:tcMar>
              <w:top w:w="0" w:type="dxa"/>
              <w:left w:w="11" w:type="dxa"/>
              <w:bottom w:w="0" w:type="dxa"/>
              <w:right w:w="11" w:type="dxa"/>
            </w:tcMar>
            <w:vAlign w:val="center"/>
          </w:tcPr>
          <w:p w14:paraId="46F9A9A0">
            <w:pPr>
              <w:spacing w:line="360" w:lineRule="exact"/>
              <w:ind w:firstLine="0" w:firstLineChars="0"/>
              <w:jc w:val="center"/>
              <w:rPr>
                <w:rFonts w:cs="Times New Roman"/>
                <w:color w:val="auto"/>
                <w:sz w:val="21"/>
                <w:szCs w:val="21"/>
                <w:highlight w:val="none"/>
              </w:rPr>
            </w:pPr>
          </w:p>
        </w:tc>
      </w:tr>
    </w:tbl>
    <w:p w14:paraId="1E5AB39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cs="Times New Roman"/>
          <w:snapToGrid w:val="0"/>
          <w:color w:val="auto"/>
          <w:kern w:val="0"/>
          <w:sz w:val="15"/>
          <w:szCs w:val="15"/>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634F65E1">
      <w:pPr>
        <w:keepNext/>
        <w:keepLines/>
        <w:ind w:firstLine="0" w:firstLineChars="0"/>
        <w:jc w:val="left"/>
        <w:outlineLvl w:val="1"/>
        <w:rPr>
          <w:rFonts w:eastAsia="黑体" w:cs="Times New Roman"/>
          <w:bCs/>
          <w:snapToGrid w:val="0"/>
          <w:color w:val="auto"/>
          <w:kern w:val="0"/>
          <w:sz w:val="28"/>
          <w:szCs w:val="32"/>
          <w:highlight w:val="none"/>
        </w:rPr>
      </w:pPr>
      <w:bookmarkStart w:id="442" w:name="_Toc61529222"/>
      <w:bookmarkStart w:id="443" w:name="_Toc6046"/>
      <w:r>
        <w:rPr>
          <w:rFonts w:eastAsia="黑体" w:cs="Times New Roman"/>
          <w:bCs/>
          <w:snapToGrid w:val="0"/>
          <w:color w:val="auto"/>
          <w:kern w:val="0"/>
          <w:sz w:val="28"/>
          <w:szCs w:val="32"/>
          <w:highlight w:val="none"/>
        </w:rPr>
        <w:t>8.4 总量控制</w:t>
      </w:r>
      <w:bookmarkEnd w:id="442"/>
      <w:bookmarkEnd w:id="443"/>
    </w:p>
    <w:p w14:paraId="4FC33D30">
      <w:pPr>
        <w:rPr>
          <w:rFonts w:cs="Times New Roman"/>
          <w:snapToGrid w:val="0"/>
          <w:color w:val="auto"/>
          <w:kern w:val="0"/>
          <w:highlight w:val="none"/>
        </w:rPr>
      </w:pPr>
      <w:r>
        <w:rPr>
          <w:rFonts w:cs="Times New Roman"/>
          <w:snapToGrid w:val="0"/>
          <w:color w:val="auto"/>
          <w:kern w:val="0"/>
          <w:highlight w:val="none"/>
        </w:rPr>
        <w:t>《建设项目环境保护管理条例》中第三条规定：“建设产生污染的建设项目，必须遵守污染物排放的国家和地方标准；在实施重点污染物排放总量控制的区域内，还必须符合重点污染物排放总量控制的要求”。因此总量控制的目的就是为了有效地保护和改善环境质量，保证经济建设和环境保护协调发展，使环境质量不因经济发展而随之恶化，并逐步改善。</w:t>
      </w:r>
    </w:p>
    <w:p w14:paraId="3BD83DFA">
      <w:pPr>
        <w:pStyle w:val="452"/>
        <w:spacing w:before="0" w:beforeLines="0" w:after="0" w:afterLines="0"/>
        <w:rPr>
          <w:rFonts w:cs="Times New Roman"/>
          <w:bCs/>
          <w:color w:val="auto"/>
          <w:szCs w:val="32"/>
          <w:highlight w:val="none"/>
        </w:rPr>
      </w:pPr>
      <w:bookmarkStart w:id="444" w:name="_Toc21845"/>
      <w:r>
        <w:rPr>
          <w:rFonts w:cs="Times New Roman"/>
          <w:bCs/>
          <w:color w:val="auto"/>
          <w:szCs w:val="32"/>
          <w:highlight w:val="none"/>
        </w:rPr>
        <w:t>8.4.1 总量控制的原则</w:t>
      </w:r>
      <w:bookmarkEnd w:id="444"/>
    </w:p>
    <w:p w14:paraId="07B98EAD">
      <w:pPr>
        <w:rPr>
          <w:rFonts w:cs="Times New Roman"/>
          <w:snapToGrid w:val="0"/>
          <w:color w:val="auto"/>
          <w:kern w:val="0"/>
          <w:highlight w:val="none"/>
        </w:rPr>
      </w:pPr>
      <w:r>
        <w:rPr>
          <w:rFonts w:cs="Times New Roman"/>
          <w:snapToGrid w:val="0"/>
          <w:color w:val="auto"/>
          <w:kern w:val="0"/>
          <w:highlight w:val="none"/>
        </w:rPr>
        <w:t>（1）建设项目建成投产后污染物排放必须达到国家标准和地方标准；</w:t>
      </w:r>
    </w:p>
    <w:p w14:paraId="1042EF67">
      <w:pPr>
        <w:rPr>
          <w:rFonts w:cs="Times New Roman"/>
          <w:snapToGrid w:val="0"/>
          <w:color w:val="auto"/>
          <w:kern w:val="0"/>
          <w:highlight w:val="none"/>
        </w:rPr>
      </w:pPr>
      <w:r>
        <w:rPr>
          <w:rFonts w:cs="Times New Roman"/>
          <w:snapToGrid w:val="0"/>
          <w:color w:val="auto"/>
          <w:kern w:val="0"/>
          <w:highlight w:val="none"/>
        </w:rPr>
        <w:t>（2）污染物排放总量必须满足当地区域环境质量达标或区域总量控制的要求；</w:t>
      </w:r>
    </w:p>
    <w:p w14:paraId="63177E29">
      <w:pPr>
        <w:rPr>
          <w:rFonts w:cs="Times New Roman"/>
          <w:snapToGrid w:val="0"/>
          <w:color w:val="auto"/>
          <w:kern w:val="0"/>
          <w:highlight w:val="none"/>
        </w:rPr>
      </w:pPr>
      <w:r>
        <w:rPr>
          <w:rFonts w:cs="Times New Roman"/>
          <w:snapToGrid w:val="0"/>
          <w:color w:val="auto"/>
          <w:kern w:val="0"/>
          <w:highlight w:val="none"/>
        </w:rPr>
        <w:t>（3）污染治理措施符合清洁生产的要求。</w:t>
      </w:r>
    </w:p>
    <w:p w14:paraId="24DEE710">
      <w:pPr>
        <w:pStyle w:val="452"/>
        <w:spacing w:before="0" w:beforeLines="0" w:after="0" w:afterLines="0"/>
        <w:rPr>
          <w:rFonts w:cs="Times New Roman"/>
          <w:bCs/>
          <w:color w:val="auto"/>
          <w:szCs w:val="32"/>
          <w:highlight w:val="none"/>
        </w:rPr>
      </w:pPr>
      <w:bookmarkStart w:id="445" w:name="_Toc13288"/>
      <w:r>
        <w:rPr>
          <w:rFonts w:cs="Times New Roman"/>
          <w:bCs/>
          <w:color w:val="auto"/>
          <w:szCs w:val="32"/>
          <w:highlight w:val="none"/>
        </w:rPr>
        <w:t>8.4.2 实施总量控制的项目</w:t>
      </w:r>
      <w:bookmarkEnd w:id="445"/>
    </w:p>
    <w:p w14:paraId="731B1DCA">
      <w:pPr>
        <w:rPr>
          <w:rFonts w:cs="Times New Roman"/>
          <w:color w:val="auto"/>
          <w:szCs w:val="24"/>
          <w:highlight w:val="none"/>
        </w:rPr>
      </w:pPr>
      <w:r>
        <w:rPr>
          <w:rFonts w:cs="Times New Roman"/>
          <w:color w:val="auto"/>
          <w:kern w:val="0"/>
          <w:szCs w:val="24"/>
          <w:highlight w:val="none"/>
        </w:rPr>
        <w:t>根据国家环境保护总局对实施污染物排放总量控制的要求，综合该项目排污特点、所在区域环境质量现状及环境主管部门的要求，该项目确定实行总量控制并</w:t>
      </w:r>
      <w:r>
        <w:rPr>
          <w:rFonts w:cs="Times New Roman"/>
          <w:color w:val="auto"/>
          <w:szCs w:val="24"/>
          <w:highlight w:val="none"/>
        </w:rPr>
        <w:t>结合项目排污特点，确定本项目的总量控制指标为COD、氨氮。</w:t>
      </w:r>
    </w:p>
    <w:p w14:paraId="10E9FB89">
      <w:pPr>
        <w:ind w:firstLine="482"/>
        <w:rPr>
          <w:rFonts w:cs="Times New Roman"/>
          <w:b/>
          <w:bCs/>
          <w:color w:val="auto"/>
          <w:szCs w:val="24"/>
          <w:highlight w:val="none"/>
        </w:rPr>
      </w:pPr>
      <w:bookmarkStart w:id="446" w:name="_Toc61529223"/>
      <w:r>
        <w:rPr>
          <w:rFonts w:cs="Times New Roman"/>
          <w:b/>
          <w:bCs/>
          <w:color w:val="auto"/>
          <w:szCs w:val="24"/>
          <w:highlight w:val="none"/>
        </w:rPr>
        <w:t>1、废水</w:t>
      </w:r>
    </w:p>
    <w:p w14:paraId="5EEB50D8">
      <w:pPr>
        <w:rPr>
          <w:rFonts w:cs="Times New Roman"/>
          <w:color w:val="auto"/>
          <w:szCs w:val="24"/>
          <w:highlight w:val="none"/>
        </w:rPr>
      </w:pPr>
      <w:r>
        <w:rPr>
          <w:rFonts w:cs="Times New Roman"/>
          <w:color w:val="auto"/>
          <w:szCs w:val="24"/>
          <w:highlight w:val="none"/>
        </w:rPr>
        <w:t>项目废水排放量为</w:t>
      </w:r>
      <w:r>
        <w:rPr>
          <w:rFonts w:hint="eastAsia"/>
          <w:color w:val="auto"/>
          <w:highlight w:val="none"/>
          <w:lang w:val="en-US" w:eastAsia="zh-CN"/>
        </w:rPr>
        <w:t>72856.2</w:t>
      </w:r>
      <w:r>
        <w:rPr>
          <w:rFonts w:eastAsia="等线" w:cs="Times New Roman"/>
          <w:snapToGrid w:val="0"/>
          <w:color w:val="auto"/>
          <w:kern w:val="0"/>
          <w:highlight w:val="none"/>
        </w:rPr>
        <w:t>t/a，</w:t>
      </w:r>
      <w:r>
        <w:rPr>
          <w:rFonts w:cs="Times New Roman"/>
          <w:color w:val="auto"/>
          <w:szCs w:val="24"/>
          <w:highlight w:val="none"/>
        </w:rPr>
        <w:t>核定总量按污水处理厂进水标准；（COD 500mg/L、NH</w:t>
      </w:r>
      <w:r>
        <w:rPr>
          <w:rFonts w:cs="Times New Roman"/>
          <w:color w:val="auto"/>
          <w:szCs w:val="24"/>
          <w:highlight w:val="none"/>
          <w:vertAlign w:val="subscript"/>
        </w:rPr>
        <w:t>3</w:t>
      </w:r>
      <w:r>
        <w:rPr>
          <w:rFonts w:cs="Times New Roman"/>
          <w:color w:val="auto"/>
          <w:szCs w:val="24"/>
          <w:highlight w:val="none"/>
        </w:rPr>
        <w:t xml:space="preserve">-N </w:t>
      </w:r>
      <w:r>
        <w:rPr>
          <w:rFonts w:hint="eastAsia" w:cs="Times New Roman"/>
          <w:color w:val="auto"/>
          <w:szCs w:val="24"/>
          <w:highlight w:val="none"/>
          <w:lang w:val="en-US" w:eastAsia="zh-CN"/>
        </w:rPr>
        <w:t>4</w:t>
      </w:r>
      <w:r>
        <w:rPr>
          <w:rFonts w:cs="Times New Roman"/>
          <w:color w:val="auto"/>
          <w:szCs w:val="24"/>
          <w:highlight w:val="none"/>
        </w:rPr>
        <w:t>5mg/L）进行核定。项目水污染物总量控制指标建议如下:</w:t>
      </w:r>
    </w:p>
    <w:p w14:paraId="7B9C98BB">
      <w:pPr>
        <w:rPr>
          <w:rFonts w:cs="Times New Roman"/>
          <w:color w:val="auto"/>
          <w:szCs w:val="24"/>
          <w:highlight w:val="none"/>
        </w:rPr>
      </w:pPr>
      <w:r>
        <w:rPr>
          <w:rFonts w:cs="Times New Roman"/>
          <w:color w:val="auto"/>
          <w:szCs w:val="24"/>
          <w:highlight w:val="none"/>
        </w:rPr>
        <w:t>核定总量：</w:t>
      </w:r>
    </w:p>
    <w:p w14:paraId="64B9A404">
      <w:pPr>
        <w:rPr>
          <w:rFonts w:cs="Times New Roman"/>
          <w:color w:val="auto"/>
          <w:szCs w:val="24"/>
          <w:highlight w:val="none"/>
        </w:rPr>
      </w:pPr>
      <w:r>
        <w:rPr>
          <w:rFonts w:cs="Times New Roman"/>
          <w:color w:val="auto"/>
          <w:szCs w:val="24"/>
          <w:highlight w:val="none"/>
        </w:rPr>
        <w:t>COD：</w:t>
      </w:r>
      <w:r>
        <w:rPr>
          <w:rFonts w:hint="eastAsia"/>
          <w:color w:val="auto"/>
          <w:highlight w:val="none"/>
          <w:lang w:val="en-US" w:eastAsia="zh-CN"/>
        </w:rPr>
        <w:t>72856.2</w:t>
      </w:r>
      <w:r>
        <w:rPr>
          <w:rFonts w:cs="Times New Roman"/>
          <w:color w:val="auto"/>
          <w:szCs w:val="24"/>
          <w:highlight w:val="none"/>
        </w:rPr>
        <w:t>t/a×500 mg/L÷1000000=</w:t>
      </w:r>
      <w:r>
        <w:rPr>
          <w:rFonts w:hint="eastAsia" w:cs="Times New Roman"/>
          <w:color w:val="auto"/>
          <w:szCs w:val="24"/>
          <w:highlight w:val="none"/>
          <w:lang w:val="en-US" w:eastAsia="zh-CN"/>
        </w:rPr>
        <w:t>36.4</w:t>
      </w:r>
      <w:r>
        <w:rPr>
          <w:rFonts w:cs="Times New Roman"/>
          <w:color w:val="auto"/>
          <w:szCs w:val="24"/>
          <w:highlight w:val="none"/>
        </w:rPr>
        <w:t>t/a</w:t>
      </w:r>
    </w:p>
    <w:p w14:paraId="596238C6">
      <w:pPr>
        <w:rPr>
          <w:rFonts w:cs="Times New Roman"/>
          <w:color w:val="auto"/>
          <w:szCs w:val="24"/>
          <w:highlight w:val="none"/>
        </w:rPr>
      </w:pPr>
      <w:r>
        <w:rPr>
          <w:rFonts w:cs="Times New Roman"/>
          <w:color w:val="auto"/>
          <w:szCs w:val="24"/>
          <w:highlight w:val="none"/>
        </w:rPr>
        <w:t>NH</w:t>
      </w:r>
      <w:r>
        <w:rPr>
          <w:rFonts w:cs="Times New Roman"/>
          <w:color w:val="auto"/>
          <w:szCs w:val="24"/>
          <w:highlight w:val="none"/>
          <w:vertAlign w:val="subscript"/>
        </w:rPr>
        <w:t>3</w:t>
      </w:r>
      <w:r>
        <w:rPr>
          <w:rFonts w:cs="Times New Roman"/>
          <w:color w:val="auto"/>
          <w:szCs w:val="24"/>
          <w:highlight w:val="none"/>
        </w:rPr>
        <w:t>-N：</w:t>
      </w:r>
      <w:r>
        <w:rPr>
          <w:rFonts w:hint="eastAsia" w:cs="Times New Roman"/>
          <w:color w:val="auto"/>
          <w:szCs w:val="24"/>
          <w:highlight w:val="none"/>
          <w:lang w:val="en-US" w:eastAsia="zh-CN"/>
        </w:rPr>
        <w:t>7</w:t>
      </w:r>
      <w:r>
        <w:rPr>
          <w:rFonts w:hint="eastAsia"/>
          <w:color w:val="auto"/>
          <w:highlight w:val="none"/>
          <w:lang w:val="en-US" w:eastAsia="zh-CN"/>
        </w:rPr>
        <w:t>2856.2</w:t>
      </w:r>
      <w:r>
        <w:rPr>
          <w:rFonts w:cs="Times New Roman"/>
          <w:color w:val="auto"/>
          <w:szCs w:val="24"/>
          <w:highlight w:val="none"/>
        </w:rPr>
        <w:t>t/a×45mg/L÷1000000=</w:t>
      </w:r>
      <w:r>
        <w:rPr>
          <w:rFonts w:hint="eastAsia" w:cs="Times New Roman"/>
          <w:color w:val="auto"/>
          <w:szCs w:val="24"/>
          <w:highlight w:val="none"/>
          <w:lang w:val="en-US" w:eastAsia="zh-CN"/>
        </w:rPr>
        <w:t>4.10</w:t>
      </w:r>
      <w:r>
        <w:rPr>
          <w:rFonts w:cs="Times New Roman"/>
          <w:color w:val="auto"/>
          <w:szCs w:val="24"/>
          <w:highlight w:val="none"/>
        </w:rPr>
        <w:t>t/a</w:t>
      </w:r>
    </w:p>
    <w:p w14:paraId="10DFB59C">
      <w:pPr>
        <w:tabs>
          <w:tab w:val="left" w:pos="6480"/>
        </w:tabs>
        <w:ind w:firstLine="482"/>
        <w:rPr>
          <w:rFonts w:cs="Times New Roman"/>
          <w:b/>
          <w:bCs/>
          <w:color w:val="auto"/>
          <w:highlight w:val="none"/>
        </w:rPr>
      </w:pPr>
      <w:r>
        <w:rPr>
          <w:rFonts w:cs="Times New Roman"/>
          <w:b/>
          <w:bCs/>
          <w:color w:val="auto"/>
          <w:highlight w:val="none"/>
        </w:rPr>
        <w:t>3、总量控制指标</w:t>
      </w:r>
    </w:p>
    <w:p w14:paraId="46045A1E">
      <w:pPr>
        <w:spacing w:line="460" w:lineRule="exact"/>
        <w:ind w:firstLine="0" w:firstLineChars="0"/>
        <w:jc w:val="center"/>
        <w:rPr>
          <w:rFonts w:cs="Times New Roman"/>
          <w:b/>
          <w:color w:val="auto"/>
          <w:highlight w:val="none"/>
        </w:rPr>
      </w:pPr>
      <w:r>
        <w:rPr>
          <w:rFonts w:cs="Times New Roman"/>
          <w:b/>
          <w:color w:val="auto"/>
          <w:highlight w:val="none"/>
        </w:rPr>
        <w:t>表</w:t>
      </w:r>
      <w:r>
        <w:rPr>
          <w:rFonts w:eastAsia="Times New Roman" w:cs="Times New Roman"/>
          <w:b/>
          <w:color w:val="auto"/>
          <w:highlight w:val="none"/>
        </w:rPr>
        <w:t>8</w:t>
      </w:r>
      <w:r>
        <w:rPr>
          <w:rFonts w:hint="eastAsia" w:eastAsia="宋体" w:cs="Times New Roman"/>
          <w:b/>
          <w:color w:val="auto"/>
          <w:highlight w:val="none"/>
          <w:lang w:val="en-US" w:eastAsia="zh-CN"/>
        </w:rPr>
        <w:t>.</w:t>
      </w:r>
      <w:bookmarkStart w:id="515" w:name="_GoBack"/>
      <w:bookmarkEnd w:id="515"/>
      <w:r>
        <w:rPr>
          <w:rFonts w:cs="Times New Roman"/>
          <w:b/>
          <w:color w:val="auto"/>
          <w:highlight w:val="none"/>
        </w:rPr>
        <w:t>4</w:t>
      </w:r>
      <w:r>
        <w:rPr>
          <w:rFonts w:eastAsia="Times New Roman" w:cs="Times New Roman"/>
          <w:b/>
          <w:color w:val="auto"/>
          <w:highlight w:val="none"/>
        </w:rPr>
        <w:t>-1</w:t>
      </w:r>
      <w:r>
        <w:rPr>
          <w:rFonts w:cs="Times New Roman" w:eastAsiaTheme="minorEastAsia"/>
          <w:b/>
          <w:color w:val="auto"/>
          <w:highlight w:val="none"/>
        </w:rPr>
        <w:t xml:space="preserve">  </w:t>
      </w:r>
      <w:r>
        <w:rPr>
          <w:rFonts w:cs="Times New Roman"/>
          <w:b/>
          <w:color w:val="auto"/>
          <w:highlight w:val="none"/>
        </w:rPr>
        <w:t>污染物控制总量</w:t>
      </w:r>
    </w:p>
    <w:tbl>
      <w:tblPr>
        <w:tblStyle w:val="475"/>
        <w:tblW w:w="84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Layout w:type="fixed"/>
        <w:tblCellMar>
          <w:top w:w="0" w:type="dxa"/>
          <w:left w:w="108" w:type="dxa"/>
          <w:bottom w:w="0" w:type="dxa"/>
          <w:right w:w="108" w:type="dxa"/>
        </w:tblCellMar>
      </w:tblPr>
      <w:tblGrid>
        <w:gridCol w:w="2172"/>
        <w:gridCol w:w="2174"/>
        <w:gridCol w:w="1957"/>
        <w:gridCol w:w="2176"/>
      </w:tblGrid>
      <w:tr w14:paraId="66F8B2A9">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trHeight w:val="763" w:hRule="atLeast"/>
          <w:jc w:val="center"/>
        </w:trPr>
        <w:tc>
          <w:tcPr>
            <w:tcW w:w="4346" w:type="dxa"/>
            <w:gridSpan w:val="2"/>
            <w:tcBorders>
              <w:tl2br w:val="nil"/>
              <w:tr2bl w:val="nil"/>
            </w:tcBorders>
            <w:vAlign w:val="center"/>
          </w:tcPr>
          <w:p w14:paraId="745DE3E8">
            <w:pPr>
              <w:widowControl/>
              <w:spacing w:line="360" w:lineRule="exact"/>
              <w:ind w:firstLine="0" w:firstLineChars="0"/>
              <w:jc w:val="center"/>
              <w:rPr>
                <w:rFonts w:cs="Times New Roman"/>
                <w:b/>
                <w:color w:val="auto"/>
                <w:kern w:val="0"/>
                <w:szCs w:val="21"/>
                <w:highlight w:val="none"/>
              </w:rPr>
            </w:pPr>
            <w:r>
              <w:rPr>
                <w:rFonts w:cs="Times New Roman"/>
                <w:b/>
                <w:color w:val="auto"/>
                <w:kern w:val="0"/>
                <w:szCs w:val="21"/>
                <w:highlight w:val="none"/>
              </w:rPr>
              <w:t>污染物名称</w:t>
            </w:r>
          </w:p>
        </w:tc>
        <w:tc>
          <w:tcPr>
            <w:tcW w:w="1957" w:type="dxa"/>
            <w:tcBorders>
              <w:tl2br w:val="nil"/>
              <w:tr2bl w:val="nil"/>
            </w:tcBorders>
            <w:vAlign w:val="center"/>
          </w:tcPr>
          <w:p w14:paraId="78435777">
            <w:pPr>
              <w:widowControl/>
              <w:spacing w:line="360" w:lineRule="exact"/>
              <w:ind w:firstLine="0" w:firstLineChars="0"/>
              <w:jc w:val="center"/>
              <w:rPr>
                <w:rFonts w:cs="Times New Roman"/>
                <w:b/>
                <w:color w:val="auto"/>
                <w:kern w:val="0"/>
                <w:szCs w:val="21"/>
                <w:highlight w:val="none"/>
              </w:rPr>
            </w:pPr>
            <w:r>
              <w:rPr>
                <w:rFonts w:cs="Times New Roman"/>
                <w:b/>
                <w:color w:val="auto"/>
                <w:kern w:val="0"/>
                <w:szCs w:val="21"/>
                <w:highlight w:val="none"/>
              </w:rPr>
              <w:t>预测排放量t/a</w:t>
            </w:r>
          </w:p>
        </w:tc>
        <w:tc>
          <w:tcPr>
            <w:tcW w:w="2176" w:type="dxa"/>
            <w:tcBorders>
              <w:tl2br w:val="nil"/>
              <w:tr2bl w:val="nil"/>
            </w:tcBorders>
            <w:vAlign w:val="center"/>
          </w:tcPr>
          <w:p w14:paraId="4FC2FA1D">
            <w:pPr>
              <w:widowControl/>
              <w:spacing w:line="360" w:lineRule="exact"/>
              <w:ind w:firstLine="0" w:firstLineChars="0"/>
              <w:jc w:val="center"/>
              <w:rPr>
                <w:rFonts w:cs="Times New Roman"/>
                <w:b/>
                <w:color w:val="auto"/>
                <w:kern w:val="0"/>
                <w:szCs w:val="21"/>
                <w:highlight w:val="none"/>
              </w:rPr>
            </w:pPr>
            <w:r>
              <w:rPr>
                <w:rFonts w:cs="Times New Roman"/>
                <w:b/>
                <w:color w:val="auto"/>
                <w:kern w:val="0"/>
                <w:szCs w:val="21"/>
                <w:highlight w:val="none"/>
              </w:rPr>
              <w:t>核定排放总量t/a</w:t>
            </w:r>
          </w:p>
        </w:tc>
      </w:tr>
      <w:tr w14:paraId="4F7DD943">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trHeight w:val="411" w:hRule="atLeast"/>
          <w:jc w:val="center"/>
        </w:trPr>
        <w:tc>
          <w:tcPr>
            <w:tcW w:w="2172" w:type="dxa"/>
            <w:vMerge w:val="restart"/>
            <w:tcBorders>
              <w:tl2br w:val="nil"/>
              <w:tr2bl w:val="nil"/>
            </w:tcBorders>
            <w:vAlign w:val="center"/>
          </w:tcPr>
          <w:p w14:paraId="50205943">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水污染物</w:t>
            </w:r>
          </w:p>
        </w:tc>
        <w:tc>
          <w:tcPr>
            <w:tcW w:w="2174" w:type="dxa"/>
            <w:tcBorders>
              <w:tl2br w:val="nil"/>
              <w:tr2bl w:val="nil"/>
            </w:tcBorders>
            <w:vAlign w:val="center"/>
          </w:tcPr>
          <w:p w14:paraId="4C14110A">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COD</w:t>
            </w:r>
          </w:p>
        </w:tc>
        <w:tc>
          <w:tcPr>
            <w:tcW w:w="1957" w:type="dxa"/>
            <w:tcBorders>
              <w:tl2br w:val="nil"/>
              <w:tr2bl w:val="nil"/>
            </w:tcBorders>
            <w:vAlign w:val="center"/>
          </w:tcPr>
          <w:p w14:paraId="65AA2C02">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w:t>
            </w:r>
            <w:r>
              <w:rPr>
                <w:rFonts w:hint="eastAsia" w:cs="Times New Roman"/>
                <w:color w:val="auto"/>
                <w:kern w:val="0"/>
                <w:szCs w:val="21"/>
                <w:highlight w:val="none"/>
                <w:lang w:val="en-US" w:eastAsia="zh-CN"/>
              </w:rPr>
              <w:t>19.1</w:t>
            </w:r>
            <w:r>
              <w:rPr>
                <w:rFonts w:cs="Times New Roman"/>
                <w:color w:val="auto"/>
                <w:kern w:val="0"/>
                <w:szCs w:val="21"/>
                <w:highlight w:val="none"/>
              </w:rPr>
              <w:t>）</w:t>
            </w:r>
          </w:p>
        </w:tc>
        <w:tc>
          <w:tcPr>
            <w:tcW w:w="2176" w:type="dxa"/>
            <w:tcBorders>
              <w:tl2br w:val="nil"/>
              <w:tr2bl w:val="nil"/>
            </w:tcBorders>
            <w:vAlign w:val="center"/>
          </w:tcPr>
          <w:p w14:paraId="3DB4520E">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w:t>
            </w:r>
            <w:r>
              <w:rPr>
                <w:rFonts w:hint="eastAsia" w:cs="Times New Roman"/>
                <w:color w:val="auto"/>
                <w:kern w:val="0"/>
                <w:szCs w:val="21"/>
                <w:highlight w:val="none"/>
                <w:lang w:val="en-US" w:eastAsia="zh-CN"/>
              </w:rPr>
              <w:t>36.4</w:t>
            </w:r>
            <w:r>
              <w:rPr>
                <w:rFonts w:cs="Times New Roman"/>
                <w:color w:val="auto"/>
                <w:kern w:val="0"/>
                <w:szCs w:val="21"/>
                <w:highlight w:val="none"/>
              </w:rPr>
              <w:t>）</w:t>
            </w:r>
          </w:p>
        </w:tc>
      </w:tr>
      <w:tr w14:paraId="44BFA2B1">
        <w:tblPrEx>
          <w:tblBorders>
            <w:top w:val="single" w:color="auto" w:sz="12" w:space="0"/>
            <w:left w:val="none" w:color="auto" w:sz="0" w:space="0"/>
            <w:bottom w:val="single" w:color="auto" w:sz="12" w:space="0"/>
            <w:right w:val="none" w:color="auto" w:sz="0" w:space="0"/>
            <w:insideH w:val="single" w:color="auto" w:sz="4" w:space="0"/>
            <w:insideV w:val="single" w:color="auto" w:sz="6" w:space="0"/>
          </w:tblBorders>
          <w:tblCellMar>
            <w:top w:w="0" w:type="dxa"/>
            <w:left w:w="108" w:type="dxa"/>
            <w:bottom w:w="0" w:type="dxa"/>
            <w:right w:w="108" w:type="dxa"/>
          </w:tblCellMar>
        </w:tblPrEx>
        <w:trPr>
          <w:trHeight w:val="430" w:hRule="atLeast"/>
          <w:jc w:val="center"/>
        </w:trPr>
        <w:tc>
          <w:tcPr>
            <w:tcW w:w="2172" w:type="dxa"/>
            <w:vMerge w:val="continue"/>
            <w:tcBorders>
              <w:tl2br w:val="nil"/>
              <w:tr2bl w:val="nil"/>
            </w:tcBorders>
            <w:vAlign w:val="center"/>
          </w:tcPr>
          <w:p w14:paraId="0B857F14">
            <w:pPr>
              <w:widowControl/>
              <w:spacing w:line="360" w:lineRule="exact"/>
              <w:ind w:firstLine="0" w:firstLineChars="0"/>
              <w:jc w:val="center"/>
              <w:rPr>
                <w:rFonts w:cs="Times New Roman"/>
                <w:color w:val="auto"/>
                <w:kern w:val="0"/>
                <w:szCs w:val="21"/>
                <w:highlight w:val="none"/>
              </w:rPr>
            </w:pPr>
          </w:p>
        </w:tc>
        <w:tc>
          <w:tcPr>
            <w:tcW w:w="2174" w:type="dxa"/>
            <w:tcBorders>
              <w:tl2br w:val="nil"/>
              <w:tr2bl w:val="nil"/>
            </w:tcBorders>
            <w:vAlign w:val="center"/>
          </w:tcPr>
          <w:p w14:paraId="3FD95D14">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氨氮</w:t>
            </w:r>
          </w:p>
        </w:tc>
        <w:tc>
          <w:tcPr>
            <w:tcW w:w="1957" w:type="dxa"/>
            <w:tcBorders>
              <w:tl2br w:val="nil"/>
              <w:tr2bl w:val="nil"/>
            </w:tcBorders>
            <w:vAlign w:val="center"/>
          </w:tcPr>
          <w:p w14:paraId="28A5B895">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w:t>
            </w:r>
            <w:r>
              <w:rPr>
                <w:rFonts w:hint="eastAsia" w:cs="Times New Roman"/>
                <w:color w:val="auto"/>
                <w:kern w:val="0"/>
                <w:szCs w:val="21"/>
                <w:highlight w:val="none"/>
                <w:lang w:val="en-US" w:eastAsia="zh-CN"/>
              </w:rPr>
              <w:t>2.41</w:t>
            </w:r>
            <w:r>
              <w:rPr>
                <w:rFonts w:cs="Times New Roman"/>
                <w:color w:val="auto"/>
                <w:kern w:val="0"/>
                <w:szCs w:val="21"/>
                <w:highlight w:val="none"/>
              </w:rPr>
              <w:t>）</w:t>
            </w:r>
          </w:p>
        </w:tc>
        <w:tc>
          <w:tcPr>
            <w:tcW w:w="2176" w:type="dxa"/>
            <w:tcBorders>
              <w:tl2br w:val="nil"/>
              <w:tr2bl w:val="nil"/>
            </w:tcBorders>
            <w:vAlign w:val="center"/>
          </w:tcPr>
          <w:p w14:paraId="55D05BEC">
            <w:pPr>
              <w:widowControl/>
              <w:spacing w:line="360" w:lineRule="exact"/>
              <w:ind w:firstLine="0" w:firstLineChars="0"/>
              <w:jc w:val="center"/>
              <w:rPr>
                <w:rFonts w:cs="Times New Roman"/>
                <w:color w:val="auto"/>
                <w:kern w:val="0"/>
                <w:szCs w:val="21"/>
                <w:highlight w:val="none"/>
              </w:rPr>
            </w:pPr>
            <w:r>
              <w:rPr>
                <w:rFonts w:cs="Times New Roman"/>
                <w:color w:val="auto"/>
                <w:kern w:val="0"/>
                <w:szCs w:val="21"/>
                <w:highlight w:val="none"/>
              </w:rPr>
              <w:t>（</w:t>
            </w:r>
            <w:r>
              <w:rPr>
                <w:rFonts w:hint="eastAsia" w:cs="Times New Roman"/>
                <w:color w:val="auto"/>
                <w:kern w:val="0"/>
                <w:szCs w:val="21"/>
                <w:highlight w:val="none"/>
                <w:lang w:val="en-US" w:eastAsia="zh-CN"/>
              </w:rPr>
              <w:t>4.10</w:t>
            </w:r>
            <w:r>
              <w:rPr>
                <w:rFonts w:cs="Times New Roman"/>
                <w:color w:val="auto"/>
                <w:kern w:val="0"/>
                <w:szCs w:val="21"/>
                <w:highlight w:val="none"/>
              </w:rPr>
              <w:t>）</w:t>
            </w:r>
          </w:p>
        </w:tc>
      </w:tr>
    </w:tbl>
    <w:p w14:paraId="1A6EEDEE">
      <w:pPr>
        <w:rPr>
          <w:rFonts w:cs="Times New Roman"/>
          <w:color w:val="auto"/>
          <w:szCs w:val="24"/>
          <w:highlight w:val="none"/>
        </w:rPr>
      </w:pPr>
      <w:r>
        <w:rPr>
          <w:rFonts w:cs="Times New Roman"/>
          <w:color w:val="auto"/>
          <w:szCs w:val="24"/>
          <w:highlight w:val="none"/>
        </w:rPr>
        <w:t>注：（）内的为分担量</w:t>
      </w:r>
    </w:p>
    <w:p w14:paraId="3333232D">
      <w:pPr>
        <w:keepNext/>
        <w:keepLines/>
        <w:ind w:firstLine="0" w:firstLineChars="0"/>
        <w:jc w:val="left"/>
        <w:outlineLvl w:val="1"/>
        <w:rPr>
          <w:rFonts w:eastAsia="黑体" w:cs="Times New Roman"/>
          <w:bCs/>
          <w:snapToGrid w:val="0"/>
          <w:color w:val="auto"/>
          <w:kern w:val="0"/>
          <w:sz w:val="28"/>
          <w:szCs w:val="32"/>
          <w:highlight w:val="none"/>
        </w:rPr>
      </w:pPr>
      <w:bookmarkStart w:id="447" w:name="_Toc21883"/>
      <w:r>
        <w:rPr>
          <w:rFonts w:eastAsia="黑体" w:cs="Times New Roman"/>
          <w:bCs/>
          <w:snapToGrid w:val="0"/>
          <w:color w:val="auto"/>
          <w:kern w:val="0"/>
          <w:sz w:val="28"/>
          <w:szCs w:val="32"/>
          <w:highlight w:val="none"/>
        </w:rPr>
        <w:t>8.5 排污许可证制度衔接</w:t>
      </w:r>
      <w:bookmarkEnd w:id="446"/>
      <w:bookmarkEnd w:id="447"/>
    </w:p>
    <w:p w14:paraId="493CAF1D">
      <w:pPr>
        <w:rPr>
          <w:rFonts w:cs="Times New Roman"/>
          <w:snapToGrid w:val="0"/>
          <w:color w:val="auto"/>
          <w:kern w:val="0"/>
          <w:highlight w:val="none"/>
        </w:rPr>
      </w:pPr>
      <w:r>
        <w:rPr>
          <w:rFonts w:cs="Times New Roman"/>
          <w:snapToGrid w:val="0"/>
          <w:color w:val="auto"/>
          <w:kern w:val="0"/>
          <w:highlight w:val="none"/>
        </w:rPr>
        <w:t>目前我国正在推进排污许可制度改革工作。环保部也大力推进排污许可证制度，并作为“十三五”国家固定源环境管理的核心，《国务院办公厅关于印发控制污染物排放许可制实施方案的通知》（国办发[2016]81号）明确将排污许可制建设成为固定污染源环境管理的核心制度，作为企业守法、部门执法、社会监督的依据，为提高环境管理效能和改善环境质量</w:t>
      </w:r>
      <w:r>
        <w:rPr>
          <w:rFonts w:hint="eastAsia" w:cs="Times New Roman"/>
          <w:snapToGrid w:val="0"/>
          <w:color w:val="auto"/>
          <w:kern w:val="0"/>
          <w:highlight w:val="none"/>
          <w:lang w:val="en-US" w:eastAsia="zh-CN"/>
        </w:rPr>
        <w:t>奠定</w:t>
      </w:r>
      <w:r>
        <w:rPr>
          <w:rFonts w:cs="Times New Roman"/>
          <w:snapToGrid w:val="0"/>
          <w:color w:val="auto"/>
          <w:kern w:val="0"/>
          <w:highlight w:val="none"/>
        </w:rPr>
        <w:t>坚实基础。</w:t>
      </w:r>
    </w:p>
    <w:p w14:paraId="58A6DB1C">
      <w:pPr>
        <w:rPr>
          <w:rFonts w:cs="Times New Roman"/>
          <w:snapToGrid w:val="0"/>
          <w:color w:val="auto"/>
          <w:kern w:val="0"/>
          <w:highlight w:val="none"/>
        </w:rPr>
      </w:pPr>
      <w:r>
        <w:rPr>
          <w:rFonts w:cs="Times New Roman"/>
          <w:snapToGrid w:val="0"/>
          <w:color w:val="auto"/>
          <w:kern w:val="0"/>
          <w:highlight w:val="none"/>
        </w:rPr>
        <w:t>根据《关于做好环境影响评价制度与排污许可制衔接相关工作的通知》（环办环评[2017]84号），建设项目发生实际排污行为之前，排污单位应当按照国家环境保护相关法律法规以及排污许可证申请与核发技术规范要求申请排污许可证，不得无证排污或不按证排污。环境影响报告书（表）2015年1月1日（含）后获得批准的建设项目，其环境影响报告书（表）以及审批文件中与污染物排放相关的主要内容应当纳入排污许可证。为此，下阶段应将项目建设内容、产品方案、建设规模，采用的工艺流程、工艺技术方案，污染预防和清洁生产措施，环保设施和治理措施，各类污染物排放总量，在线监测和自主监测要求，环境安全防范措施，环境应急体系和应急设施等，全部按装置、设施载入排污许可证，具体内容详见报告书各章节。企业在设计，建设和运营过程中，需按照许可证管理要求进行监测和申报，自证守法；许可证内容发生变更应进行申报，重大变更应重新环评和申请许可证变更。环保管理部门对许可证内容进行定期和不定期的监督核查。</w:t>
      </w:r>
    </w:p>
    <w:bookmarkEnd w:id="415"/>
    <w:bookmarkEnd w:id="416"/>
    <w:bookmarkEnd w:id="417"/>
    <w:bookmarkEnd w:id="418"/>
    <w:bookmarkEnd w:id="419"/>
    <w:bookmarkEnd w:id="436"/>
    <w:bookmarkEnd w:id="437"/>
    <w:bookmarkEnd w:id="438"/>
    <w:p w14:paraId="52A68747">
      <w:pPr>
        <w:adjustRightInd/>
        <w:snapToGrid/>
        <w:spacing w:line="500" w:lineRule="exact"/>
        <w:rPr>
          <w:rFonts w:cs="Times New Roman"/>
          <w:snapToGrid w:val="0"/>
          <w:color w:val="auto"/>
          <w:kern w:val="0"/>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177CB118">
      <w:pPr>
        <w:ind w:firstLine="0" w:firstLineChars="0"/>
        <w:jc w:val="left"/>
        <w:outlineLvl w:val="0"/>
        <w:rPr>
          <w:rFonts w:eastAsia="黑体" w:cs="Times New Roman"/>
          <w:snapToGrid w:val="0"/>
          <w:color w:val="auto"/>
          <w:kern w:val="0"/>
          <w:sz w:val="32"/>
          <w:highlight w:val="none"/>
        </w:rPr>
      </w:pPr>
      <w:bookmarkStart w:id="448" w:name="_Toc27531"/>
      <w:bookmarkStart w:id="449" w:name="_Toc480447686"/>
      <w:bookmarkStart w:id="450" w:name="_Toc255202340"/>
      <w:bookmarkStart w:id="451" w:name="_Toc277178465"/>
      <w:bookmarkStart w:id="452" w:name="_Toc415146736"/>
      <w:bookmarkStart w:id="453" w:name="_Toc480447687"/>
      <w:bookmarkStart w:id="454" w:name="_Toc346267817"/>
      <w:bookmarkStart w:id="455" w:name="_Toc255202323"/>
      <w:bookmarkStart w:id="456" w:name="_Toc456590420"/>
      <w:bookmarkStart w:id="457" w:name="_Toc277178450"/>
      <w:r>
        <w:rPr>
          <w:rFonts w:eastAsia="黑体" w:cs="Times New Roman"/>
          <w:snapToGrid w:val="0"/>
          <w:color w:val="auto"/>
          <w:kern w:val="0"/>
          <w:sz w:val="32"/>
          <w:highlight w:val="none"/>
        </w:rPr>
        <w:t>9结论与建议</w:t>
      </w:r>
      <w:bookmarkEnd w:id="448"/>
      <w:bookmarkEnd w:id="449"/>
      <w:bookmarkEnd w:id="450"/>
      <w:bookmarkEnd w:id="451"/>
    </w:p>
    <w:p w14:paraId="768E8299">
      <w:pPr>
        <w:pStyle w:val="3"/>
        <w:spacing w:before="163" w:after="163"/>
        <w:rPr>
          <w:rFonts w:cs="Times New Roman"/>
          <w:color w:val="auto"/>
          <w:highlight w:val="none"/>
        </w:rPr>
      </w:pPr>
      <w:bookmarkStart w:id="458" w:name="_Toc24817"/>
      <w:r>
        <w:rPr>
          <w:rFonts w:cs="Times New Roman"/>
          <w:color w:val="auto"/>
          <w:highlight w:val="none"/>
        </w:rPr>
        <w:t>9.1</w:t>
      </w:r>
      <w:bookmarkEnd w:id="452"/>
      <w:bookmarkEnd w:id="453"/>
      <w:r>
        <w:rPr>
          <w:rFonts w:cs="Times New Roman"/>
          <w:color w:val="auto"/>
          <w:highlight w:val="none"/>
        </w:rPr>
        <w:t>项目概况</w:t>
      </w:r>
      <w:bookmarkEnd w:id="458"/>
    </w:p>
    <w:p w14:paraId="11B63E42">
      <w:pPr>
        <w:rPr>
          <w:rFonts w:cs="Times New Roman"/>
          <w:snapToGrid w:val="0"/>
          <w:color w:val="auto"/>
          <w:kern w:val="0"/>
          <w:highlight w:val="none"/>
        </w:rPr>
      </w:pPr>
      <w:r>
        <w:rPr>
          <w:rFonts w:cs="Times New Roman"/>
          <w:snapToGrid w:val="0"/>
          <w:color w:val="auto"/>
          <w:kern w:val="0"/>
          <w:highlight w:val="none"/>
        </w:rPr>
        <w:t>本项目位于</w:t>
      </w:r>
      <w:r>
        <w:rPr>
          <w:rFonts w:hint="eastAsia" w:ascii="Times New Roman" w:hAnsi="Times New Roman" w:cs="Times New Roman"/>
          <w:snapToGrid w:val="0"/>
          <w:color w:val="auto"/>
          <w:kern w:val="0"/>
          <w:szCs w:val="24"/>
          <w:highlight w:val="none"/>
          <w:lang w:val="en-US" w:eastAsia="zh-CN"/>
        </w:rPr>
        <w:t>黑龙江省双鸭山市岭东区长胜乡东兴村</w:t>
      </w:r>
      <w:r>
        <w:rPr>
          <w:rFonts w:cs="Times New Roman"/>
          <w:color w:val="auto"/>
          <w:szCs w:val="24"/>
          <w:highlight w:val="none"/>
        </w:rPr>
        <w:t>，中心地理坐标经度为</w:t>
      </w:r>
      <w:r>
        <w:rPr>
          <w:rFonts w:hint="eastAsia" w:cs="Times New Roman"/>
          <w:color w:val="auto"/>
          <w:highlight w:val="none"/>
          <w:lang w:val="en-US" w:eastAsia="zh-CN"/>
        </w:rPr>
        <w:t>131.149639°</w:t>
      </w:r>
      <w:r>
        <w:rPr>
          <w:rFonts w:cs="Times New Roman"/>
          <w:color w:val="auto"/>
          <w:szCs w:val="24"/>
          <w:highlight w:val="none"/>
        </w:rPr>
        <w:t>，纬度为</w:t>
      </w:r>
      <w:r>
        <w:rPr>
          <w:rFonts w:hint="eastAsia" w:cs="Times New Roman"/>
          <w:color w:val="auto"/>
          <w:highlight w:val="none"/>
        </w:rPr>
        <w:t>46.557116</w:t>
      </w:r>
      <w:r>
        <w:rPr>
          <w:rFonts w:hint="eastAsia" w:cs="Times New Roman"/>
          <w:color w:val="auto"/>
          <w:highlight w:val="none"/>
          <w:lang w:val="en-US" w:eastAsia="zh-CN"/>
        </w:rPr>
        <w:t>°</w:t>
      </w:r>
      <w:r>
        <w:rPr>
          <w:rFonts w:cs="Times New Roman"/>
          <w:color w:val="auto"/>
          <w:szCs w:val="24"/>
          <w:highlight w:val="none"/>
        </w:rPr>
        <w:t>。</w:t>
      </w:r>
      <w:r>
        <w:rPr>
          <w:rFonts w:ascii="Times New Roman" w:hAnsi="Times New Roman" w:cs="Times New Roman"/>
          <w:snapToGrid w:val="0"/>
          <w:color w:val="auto"/>
          <w:kern w:val="0"/>
          <w:szCs w:val="24"/>
          <w:highlight w:val="none"/>
        </w:rPr>
        <w:t>项目东</w:t>
      </w:r>
      <w:r>
        <w:rPr>
          <w:rFonts w:hint="eastAsia" w:ascii="Times New Roman" w:hAnsi="Times New Roman" w:cs="Times New Roman"/>
          <w:snapToGrid w:val="0"/>
          <w:color w:val="auto"/>
          <w:kern w:val="0"/>
          <w:szCs w:val="24"/>
          <w:highlight w:val="none"/>
          <w:lang w:val="en-US" w:eastAsia="zh-CN"/>
        </w:rPr>
        <w:t>侧、南侧均为空地，北侧隔路为废弃平房</w:t>
      </w:r>
      <w:r>
        <w:rPr>
          <w:rFonts w:ascii="Times New Roman" w:hAnsi="Times New Roman" w:cs="Times New Roman"/>
          <w:snapToGrid w:val="0"/>
          <w:color w:val="auto"/>
          <w:kern w:val="0"/>
          <w:szCs w:val="24"/>
          <w:highlight w:val="none"/>
        </w:rPr>
        <w:t>，西侧</w:t>
      </w:r>
      <w:r>
        <w:rPr>
          <w:rFonts w:hint="eastAsia" w:ascii="Times New Roman" w:hAnsi="Times New Roman" w:cs="Times New Roman"/>
          <w:snapToGrid w:val="0"/>
          <w:color w:val="auto"/>
          <w:kern w:val="0"/>
          <w:szCs w:val="24"/>
          <w:highlight w:val="none"/>
          <w:lang w:val="en-US" w:eastAsia="zh-CN"/>
        </w:rPr>
        <w:t>隔路为金诺恒业机械制造有限公司</w:t>
      </w:r>
      <w:r>
        <w:rPr>
          <w:rFonts w:ascii="Times New Roman" w:hAnsi="Times New Roman" w:cs="Times New Roman"/>
          <w:snapToGrid w:val="0"/>
          <w:color w:val="auto"/>
          <w:kern w:val="0"/>
          <w:szCs w:val="24"/>
          <w:highlight w:val="none"/>
        </w:rPr>
        <w:t>。占地面积为</w:t>
      </w:r>
      <w:r>
        <w:rPr>
          <w:rFonts w:hint="eastAsia" w:ascii="Times New Roman" w:hAnsi="Times New Roman" w:cs="Times New Roman"/>
          <w:snapToGrid w:val="0"/>
          <w:color w:val="auto"/>
          <w:kern w:val="0"/>
          <w:szCs w:val="24"/>
          <w:highlight w:val="none"/>
          <w:lang w:val="en-US" w:eastAsia="zh-CN"/>
        </w:rPr>
        <w:t>36031</w:t>
      </w:r>
      <w:r>
        <w:rPr>
          <w:rFonts w:ascii="Times New Roman" w:hAnsi="Times New Roman" w:cs="Times New Roman"/>
          <w:snapToGrid w:val="0"/>
          <w:color w:val="auto"/>
          <w:kern w:val="0"/>
          <w:szCs w:val="24"/>
          <w:highlight w:val="none"/>
        </w:rPr>
        <w:t>m</w:t>
      </w:r>
      <w:r>
        <w:rPr>
          <w:rFonts w:ascii="Times New Roman" w:hAnsi="Times New Roman" w:cs="Times New Roman"/>
          <w:snapToGrid w:val="0"/>
          <w:color w:val="auto"/>
          <w:kern w:val="0"/>
          <w:szCs w:val="24"/>
          <w:highlight w:val="none"/>
          <w:vertAlign w:val="superscript"/>
        </w:rPr>
        <w:t>2</w:t>
      </w:r>
      <w:r>
        <w:rPr>
          <w:rFonts w:ascii="Times New Roman" w:hAnsi="Times New Roman" w:cs="Times New Roman"/>
          <w:snapToGrid w:val="0"/>
          <w:color w:val="auto"/>
          <w:kern w:val="0"/>
          <w:szCs w:val="24"/>
          <w:highlight w:val="none"/>
        </w:rPr>
        <w:t>，</w:t>
      </w:r>
      <w:r>
        <w:rPr>
          <w:rFonts w:cs="Times New Roman"/>
          <w:snapToGrid w:val="0"/>
          <w:color w:val="auto"/>
          <w:kern w:val="0"/>
          <w:highlight w:val="none"/>
        </w:rPr>
        <w:t>总建筑面积为</w:t>
      </w:r>
      <w:r>
        <w:rPr>
          <w:rFonts w:hint="eastAsia" w:cs="Times New Roman"/>
          <w:snapToGrid w:val="0"/>
          <w:color w:val="auto"/>
          <w:kern w:val="0"/>
          <w:highlight w:val="none"/>
          <w:lang w:val="en-US" w:eastAsia="zh-CN"/>
        </w:rPr>
        <w:t>5789</w:t>
      </w:r>
      <w:r>
        <w:rPr>
          <w:rFonts w:cs="Times New Roman"/>
          <w:snapToGrid w:val="0"/>
          <w:color w:val="auto"/>
          <w:kern w:val="0"/>
          <w:highlight w:val="none"/>
        </w:rPr>
        <w:t>m</w:t>
      </w:r>
      <w:r>
        <w:rPr>
          <w:rFonts w:cs="Times New Roman"/>
          <w:snapToGrid w:val="0"/>
          <w:color w:val="auto"/>
          <w:kern w:val="0"/>
          <w:highlight w:val="none"/>
          <w:vertAlign w:val="superscript"/>
        </w:rPr>
        <w:t>2</w:t>
      </w:r>
      <w:r>
        <w:rPr>
          <w:rFonts w:cs="Times New Roman"/>
          <w:snapToGrid w:val="0"/>
          <w:color w:val="auto"/>
          <w:kern w:val="0"/>
          <w:highlight w:val="none"/>
        </w:rPr>
        <w:t>。</w:t>
      </w:r>
      <w:r>
        <w:rPr>
          <w:rFonts w:ascii="Times New Roman" w:hAnsi="Times New Roman" w:cs="Times New Roman"/>
          <w:snapToGrid w:val="0"/>
          <w:color w:val="auto"/>
          <w:kern w:val="0"/>
          <w:szCs w:val="24"/>
          <w:highlight w:val="none"/>
        </w:rPr>
        <w:t>拟建设</w:t>
      </w:r>
      <w:r>
        <w:rPr>
          <w:rFonts w:hint="eastAsia" w:cs="Times New Roman"/>
          <w:snapToGrid w:val="0"/>
          <w:color w:val="auto"/>
          <w:kern w:val="0"/>
          <w:szCs w:val="24"/>
          <w:highlight w:val="none"/>
          <w:lang w:val="en-US" w:eastAsia="zh-CN"/>
        </w:rPr>
        <w:t>待宰圈</w:t>
      </w:r>
      <w:r>
        <w:rPr>
          <w:rFonts w:hint="eastAsia" w:ascii="Times New Roman" w:hAnsi="Times New Roman" w:cs="Times New Roman"/>
          <w:snapToGrid w:val="0"/>
          <w:color w:val="auto"/>
          <w:kern w:val="0"/>
          <w:szCs w:val="24"/>
          <w:highlight w:val="none"/>
          <w:lang w:val="en-US" w:eastAsia="zh-CN"/>
        </w:rPr>
        <w:t>、屠宰车间、急宰间、污水处理设施、检疫检验室、冷库等</w:t>
      </w:r>
      <w:r>
        <w:rPr>
          <w:rFonts w:ascii="Times New Roman" w:hAnsi="Times New Roman" w:cs="Times New Roman"/>
          <w:snapToGrid w:val="0"/>
          <w:color w:val="auto"/>
          <w:kern w:val="0"/>
          <w:szCs w:val="24"/>
          <w:highlight w:val="none"/>
        </w:rPr>
        <w:t>。运营期主要是进行牛、羊的屠宰，</w:t>
      </w:r>
      <w:r>
        <w:rPr>
          <w:rFonts w:hint="eastAsia" w:ascii="Times New Roman" w:hAnsi="Times New Roman" w:cs="Times New Roman"/>
          <w:snapToGrid w:val="0"/>
          <w:color w:val="auto"/>
          <w:kern w:val="0"/>
          <w:szCs w:val="24"/>
          <w:highlight w:val="none"/>
        </w:rPr>
        <w:t>屠宰量为肉牛</w:t>
      </w:r>
      <w:r>
        <w:rPr>
          <w:rFonts w:hint="eastAsia" w:ascii="Times New Roman" w:hAnsi="Times New Roman" w:cs="Times New Roman"/>
          <w:snapToGrid w:val="0"/>
          <w:color w:val="auto"/>
          <w:kern w:val="0"/>
          <w:szCs w:val="24"/>
          <w:highlight w:val="none"/>
          <w:lang w:val="en-US" w:eastAsia="zh-CN"/>
        </w:rPr>
        <w:t>10</w:t>
      </w:r>
      <w:r>
        <w:rPr>
          <w:rFonts w:hint="eastAsia" w:ascii="Times New Roman" w:hAnsi="Times New Roman" w:cs="Times New Roman"/>
          <w:snapToGrid w:val="0"/>
          <w:color w:val="auto"/>
          <w:kern w:val="0"/>
          <w:szCs w:val="24"/>
          <w:highlight w:val="none"/>
        </w:rPr>
        <w:t>0头/d，肉羊</w:t>
      </w:r>
      <w:r>
        <w:rPr>
          <w:rFonts w:hint="eastAsia" w:ascii="Times New Roman" w:hAnsi="Times New Roman" w:cs="Times New Roman"/>
          <w:snapToGrid w:val="0"/>
          <w:color w:val="auto"/>
          <w:kern w:val="0"/>
          <w:szCs w:val="24"/>
          <w:highlight w:val="none"/>
          <w:lang w:val="en-US" w:eastAsia="zh-CN"/>
        </w:rPr>
        <w:t>500</w:t>
      </w:r>
      <w:r>
        <w:rPr>
          <w:rFonts w:hint="eastAsia" w:ascii="Times New Roman" w:hAnsi="Times New Roman" w:cs="Times New Roman"/>
          <w:snapToGrid w:val="0"/>
          <w:color w:val="auto"/>
          <w:kern w:val="0"/>
          <w:szCs w:val="24"/>
          <w:highlight w:val="none"/>
        </w:rPr>
        <w:t>只/d</w:t>
      </w:r>
      <w:r>
        <w:rPr>
          <w:rFonts w:hint="eastAsia" w:cs="Times New Roman"/>
          <w:snapToGrid w:val="0"/>
          <w:color w:val="auto"/>
          <w:kern w:val="0"/>
          <w:szCs w:val="24"/>
          <w:highlight w:val="none"/>
          <w:lang w:eastAsia="zh-CN"/>
        </w:rPr>
        <w:t>，</w:t>
      </w:r>
      <w:r>
        <w:rPr>
          <w:rFonts w:hint="eastAsia" w:cs="Times New Roman"/>
          <w:color w:val="auto"/>
          <w:highlight w:val="none"/>
        </w:rPr>
        <w:t>按设计3</w:t>
      </w:r>
      <w:r>
        <w:rPr>
          <w:rFonts w:hint="eastAsia" w:cs="Times New Roman"/>
          <w:color w:val="auto"/>
          <w:highlight w:val="none"/>
          <w:lang w:val="en-US" w:eastAsia="zh-CN"/>
        </w:rPr>
        <w:t>10</w:t>
      </w:r>
      <w:r>
        <w:rPr>
          <w:rFonts w:hint="eastAsia" w:cs="Times New Roman"/>
          <w:color w:val="auto"/>
          <w:highlight w:val="none"/>
        </w:rPr>
        <w:t>天工作计算，</w:t>
      </w:r>
      <w:r>
        <w:rPr>
          <w:rFonts w:hint="eastAsia" w:cs="Times New Roman"/>
          <w:color w:val="auto"/>
          <w:highlight w:val="none"/>
          <w:lang w:eastAsia="zh-CN"/>
        </w:rPr>
        <w:t>年屠宰肉牛</w:t>
      </w:r>
      <w:r>
        <w:rPr>
          <w:rFonts w:hint="eastAsia" w:cs="Times New Roman"/>
          <w:color w:val="auto"/>
          <w:highlight w:val="none"/>
          <w:lang w:val="en-US" w:eastAsia="zh-CN"/>
        </w:rPr>
        <w:t>31000</w:t>
      </w:r>
      <w:r>
        <w:rPr>
          <w:rFonts w:hint="eastAsia" w:cs="Times New Roman"/>
          <w:color w:val="auto"/>
          <w:highlight w:val="none"/>
          <w:lang w:eastAsia="zh-CN"/>
        </w:rPr>
        <w:t>头、肉羊</w:t>
      </w:r>
      <w:r>
        <w:rPr>
          <w:rFonts w:hint="eastAsia" w:cs="Times New Roman"/>
          <w:color w:val="auto"/>
          <w:highlight w:val="none"/>
          <w:lang w:val="en-US" w:eastAsia="zh-CN"/>
        </w:rPr>
        <w:t>155000</w:t>
      </w:r>
      <w:r>
        <w:rPr>
          <w:rFonts w:hint="eastAsia" w:cs="Times New Roman"/>
          <w:color w:val="auto"/>
          <w:highlight w:val="none"/>
          <w:lang w:eastAsia="zh-CN"/>
        </w:rPr>
        <w:t>只。</w:t>
      </w:r>
      <w:r>
        <w:rPr>
          <w:rFonts w:cs="Times New Roman"/>
          <w:snapToGrid w:val="0"/>
          <w:color w:val="auto"/>
          <w:kern w:val="0"/>
          <w:highlight w:val="none"/>
        </w:rPr>
        <w:t>项目总投资</w:t>
      </w:r>
      <w:r>
        <w:rPr>
          <w:rFonts w:hint="eastAsia" w:cs="Times New Roman"/>
          <w:snapToGrid w:val="0"/>
          <w:color w:val="auto"/>
          <w:kern w:val="0"/>
          <w:highlight w:val="none"/>
          <w:lang w:val="en-US" w:eastAsia="zh-CN"/>
        </w:rPr>
        <w:t>2600</w:t>
      </w:r>
      <w:r>
        <w:rPr>
          <w:rFonts w:cs="Times New Roman"/>
          <w:snapToGrid w:val="0"/>
          <w:color w:val="auto"/>
          <w:kern w:val="0"/>
          <w:highlight w:val="none"/>
        </w:rPr>
        <w:t>万元。</w:t>
      </w:r>
    </w:p>
    <w:p w14:paraId="4BBA1084">
      <w:pPr>
        <w:pStyle w:val="3"/>
        <w:spacing w:before="163" w:after="163"/>
        <w:rPr>
          <w:rFonts w:cs="Times New Roman"/>
          <w:color w:val="auto"/>
          <w:highlight w:val="none"/>
        </w:rPr>
      </w:pPr>
      <w:bookmarkStart w:id="459" w:name="_Toc8753"/>
      <w:r>
        <w:rPr>
          <w:rFonts w:cs="Times New Roman"/>
          <w:color w:val="auto"/>
          <w:highlight w:val="none"/>
        </w:rPr>
        <w:t>9.2建设项目与相关产业政策相符性</w:t>
      </w:r>
      <w:bookmarkEnd w:id="459"/>
    </w:p>
    <w:p w14:paraId="0BB150E2">
      <w:pPr>
        <w:rPr>
          <w:rFonts w:cs="Times New Roman"/>
          <w:snapToGrid w:val="0"/>
          <w:color w:val="auto"/>
          <w:kern w:val="0"/>
          <w:highlight w:val="none"/>
        </w:rPr>
      </w:pPr>
      <w:r>
        <w:rPr>
          <w:rFonts w:cs="Times New Roman"/>
          <w:snapToGrid w:val="0"/>
          <w:color w:val="auto"/>
          <w:kern w:val="0"/>
          <w:highlight w:val="none"/>
        </w:rPr>
        <w:t>根据《国民经济行业分类》（GB/T4754-2017），本项目所属产业为C1351 牲畜屠宰，根据中华人民共和国国家发展和改革委员会发布的</w:t>
      </w:r>
      <w:r>
        <w:rPr>
          <w:rFonts w:hint="eastAsia" w:cs="Times New Roman"/>
          <w:snapToGrid w:val="0"/>
          <w:color w:val="auto"/>
          <w:kern w:val="0"/>
          <w:highlight w:val="none"/>
          <w:lang w:eastAsia="zh-CN"/>
        </w:rPr>
        <w:t>《产业结构调整指导目录（</w:t>
      </w:r>
      <w:r>
        <w:rPr>
          <w:rFonts w:hint="eastAsia" w:cs="Times New Roman"/>
          <w:snapToGrid w:val="0"/>
          <w:color w:val="auto"/>
          <w:kern w:val="0"/>
          <w:highlight w:val="none"/>
          <w:lang w:val="en-US" w:eastAsia="zh-CN"/>
        </w:rPr>
        <w:t>2024</w:t>
      </w:r>
      <w:r>
        <w:rPr>
          <w:rFonts w:hint="eastAsia" w:cs="Times New Roman"/>
          <w:snapToGrid w:val="0"/>
          <w:color w:val="auto"/>
          <w:kern w:val="0"/>
          <w:highlight w:val="none"/>
          <w:lang w:eastAsia="zh-CN"/>
        </w:rPr>
        <w:t>年本）》</w:t>
      </w:r>
      <w:r>
        <w:rPr>
          <w:rFonts w:cs="Times New Roman"/>
          <w:snapToGrid w:val="0"/>
          <w:color w:val="auto"/>
          <w:kern w:val="0"/>
          <w:highlight w:val="none"/>
        </w:rPr>
        <w:t>，本项目不属于“限制类”和“淘汰类”项目，根据国务院《促进产业结构调整暂行规定》（国发［2005］40号），项目的建设符合国家相关法律和政策，属允许类建设项目，符合国家产业政策。</w:t>
      </w:r>
    </w:p>
    <w:p w14:paraId="1C8D8D71">
      <w:pPr>
        <w:pStyle w:val="3"/>
        <w:spacing w:before="163" w:after="163"/>
        <w:rPr>
          <w:rFonts w:cs="Times New Roman"/>
          <w:color w:val="auto"/>
          <w:highlight w:val="none"/>
        </w:rPr>
      </w:pPr>
      <w:bookmarkStart w:id="460" w:name="_Toc24966"/>
      <w:r>
        <w:rPr>
          <w:rFonts w:cs="Times New Roman"/>
          <w:color w:val="auto"/>
          <w:highlight w:val="none"/>
        </w:rPr>
        <w:t>9.3环境质量现状评价结论</w:t>
      </w:r>
      <w:bookmarkEnd w:id="460"/>
    </w:p>
    <w:p w14:paraId="3621F646">
      <w:pPr>
        <w:spacing w:line="500" w:lineRule="exact"/>
        <w:ind w:firstLine="482"/>
        <w:rPr>
          <w:rFonts w:cs="Times New Roman"/>
          <w:b/>
          <w:bCs/>
          <w:snapToGrid w:val="0"/>
          <w:color w:val="auto"/>
          <w:kern w:val="0"/>
          <w:szCs w:val="24"/>
          <w:highlight w:val="none"/>
        </w:rPr>
      </w:pPr>
      <w:r>
        <w:rPr>
          <w:rFonts w:cs="Times New Roman"/>
          <w:b/>
          <w:bCs/>
          <w:color w:val="auto"/>
          <w:szCs w:val="24"/>
          <w:highlight w:val="none"/>
        </w:rPr>
        <w:t>1、环境空气质量现状</w:t>
      </w:r>
    </w:p>
    <w:p w14:paraId="032905B4">
      <w:pPr>
        <w:adjustRightInd/>
        <w:snapToGrid/>
        <w:spacing w:line="500" w:lineRule="exact"/>
        <w:rPr>
          <w:rFonts w:eastAsia="黑体" w:cs="Times New Roman"/>
          <w:color w:val="auto"/>
          <w:highlight w:val="none"/>
        </w:rPr>
      </w:pPr>
      <w:r>
        <w:rPr>
          <w:rFonts w:hint="default" w:ascii="Times New Roman" w:hAnsi="Times New Roman" w:cs="Times New Roman"/>
          <w:color w:val="auto"/>
          <w:highlight w:val="none"/>
        </w:rPr>
        <w:t>根</w:t>
      </w:r>
      <w:r>
        <w:rPr>
          <w:rFonts w:hint="default" w:ascii="Times New Roman" w:hAnsi="Times New Roman" w:cs="Times New Roman"/>
          <w:snapToGrid w:val="0"/>
          <w:color w:val="auto"/>
          <w:kern w:val="0"/>
          <w:szCs w:val="24"/>
          <w:highlight w:val="none"/>
          <w:lang w:val="en-US" w:eastAsia="zh-CN"/>
        </w:rPr>
        <w:t>据《2024年双鸭山市环境空气质量状况》</w:t>
      </w:r>
      <w:r>
        <w:rPr>
          <w:rFonts w:cs="Times New Roman"/>
          <w:color w:val="auto"/>
          <w:szCs w:val="24"/>
          <w:highlight w:val="none"/>
        </w:rPr>
        <w:t>中</w:t>
      </w:r>
      <w:r>
        <w:rPr>
          <w:rFonts w:hint="default" w:ascii="Times New Roman" w:hAnsi="Times New Roman" w:cs="Times New Roman"/>
          <w:snapToGrid w:val="0"/>
          <w:color w:val="auto"/>
          <w:kern w:val="0"/>
          <w:szCs w:val="24"/>
          <w:highlight w:val="none"/>
          <w:lang w:val="en-US" w:eastAsia="zh-CN"/>
        </w:rPr>
        <w:t>其中PM</w:t>
      </w:r>
      <w:r>
        <w:rPr>
          <w:rFonts w:hint="default" w:ascii="Times New Roman" w:hAnsi="Times New Roman" w:cs="Times New Roman"/>
          <w:snapToGrid w:val="0"/>
          <w:color w:val="auto"/>
          <w:kern w:val="0"/>
          <w:szCs w:val="24"/>
          <w:highlight w:val="none"/>
          <w:vertAlign w:val="subscript"/>
          <w:lang w:val="en-US" w:eastAsia="zh-CN"/>
        </w:rPr>
        <w:t>2.5</w:t>
      </w:r>
      <w:r>
        <w:rPr>
          <w:rFonts w:hint="default" w:ascii="Times New Roman" w:hAnsi="Times New Roman" w:cs="Times New Roman"/>
          <w:snapToGrid w:val="0"/>
          <w:color w:val="auto"/>
          <w:kern w:val="0"/>
          <w:szCs w:val="24"/>
          <w:highlight w:val="none"/>
          <w:lang w:val="en-US" w:eastAsia="zh-CN"/>
        </w:rPr>
        <w:t>年平均浓度值为27μg/m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、PM</w:t>
      </w:r>
      <w:r>
        <w:rPr>
          <w:rFonts w:hint="default" w:ascii="Times New Roman" w:hAnsi="Times New Roman" w:cs="Times New Roman"/>
          <w:snapToGrid w:val="0"/>
          <w:color w:val="auto"/>
          <w:kern w:val="0"/>
          <w:szCs w:val="24"/>
          <w:highlight w:val="none"/>
          <w:vertAlign w:val="subscript"/>
          <w:lang w:val="en-US" w:eastAsia="zh-CN"/>
        </w:rPr>
        <w:t>10</w:t>
      </w:r>
      <w:r>
        <w:rPr>
          <w:rFonts w:hint="default" w:ascii="Times New Roman" w:hAnsi="Times New Roman" w:cs="Times New Roman"/>
          <w:snapToGrid w:val="0"/>
          <w:color w:val="auto"/>
          <w:kern w:val="0"/>
          <w:szCs w:val="24"/>
          <w:highlight w:val="none"/>
          <w:lang w:val="en-US" w:eastAsia="zh-CN"/>
        </w:rPr>
        <w:t>年平均浓度值为43μg/m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、SO</w:t>
      </w:r>
      <w:r>
        <w:rPr>
          <w:rFonts w:hint="default" w:ascii="Times New Roman" w:hAnsi="Times New Roman" w:cs="Times New Roman"/>
          <w:snapToGrid w:val="0"/>
          <w:color w:val="auto"/>
          <w:kern w:val="0"/>
          <w:szCs w:val="24"/>
          <w:highlight w:val="none"/>
          <w:vertAlign w:val="subscript"/>
          <w:lang w:val="en-US" w:eastAsia="zh-CN"/>
        </w:rPr>
        <w:t>2</w:t>
      </w:r>
      <w:r>
        <w:rPr>
          <w:rFonts w:hint="default" w:ascii="Times New Roman" w:hAnsi="Times New Roman" w:cs="Times New Roman"/>
          <w:snapToGrid w:val="0"/>
          <w:color w:val="auto"/>
          <w:kern w:val="0"/>
          <w:szCs w:val="24"/>
          <w:highlight w:val="none"/>
          <w:lang w:val="en-US" w:eastAsia="zh-CN"/>
        </w:rPr>
        <w:t>年平均浓度值为11μg/m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、NO</w:t>
      </w:r>
      <w:r>
        <w:rPr>
          <w:rFonts w:hint="default" w:ascii="Times New Roman" w:hAnsi="Times New Roman" w:cs="Times New Roman"/>
          <w:snapToGrid w:val="0"/>
          <w:color w:val="auto"/>
          <w:kern w:val="0"/>
          <w:szCs w:val="24"/>
          <w:highlight w:val="none"/>
          <w:vertAlign w:val="subscript"/>
          <w:lang w:val="en-US" w:eastAsia="zh-CN"/>
        </w:rPr>
        <w:t>2</w:t>
      </w:r>
      <w:r>
        <w:rPr>
          <w:rFonts w:hint="default" w:ascii="Times New Roman" w:hAnsi="Times New Roman" w:cs="Times New Roman"/>
          <w:snapToGrid w:val="0"/>
          <w:color w:val="auto"/>
          <w:kern w:val="0"/>
          <w:szCs w:val="24"/>
          <w:highlight w:val="none"/>
          <w:lang w:val="en-US" w:eastAsia="zh-CN"/>
        </w:rPr>
        <w:t>年平均浓度值为15μg/m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、CO</w:t>
      </w:r>
      <w:r>
        <w:rPr>
          <w:rFonts w:hint="default" w:ascii="Times New Roman" w:hAnsi="Times New Roman" w:cs="Times New Roman"/>
          <w:snapToGrid w:val="0"/>
          <w:color w:val="auto"/>
          <w:kern w:val="0"/>
          <w:szCs w:val="24"/>
          <w:highlight w:val="none"/>
          <w:vertAlign w:val="subscript"/>
          <w:lang w:val="en-US" w:eastAsia="zh-CN"/>
        </w:rPr>
        <w:t>24</w:t>
      </w:r>
      <w:r>
        <w:rPr>
          <w:rFonts w:hint="default" w:ascii="Times New Roman" w:hAnsi="Times New Roman" w:cs="Times New Roman"/>
          <w:snapToGrid w:val="0"/>
          <w:color w:val="auto"/>
          <w:kern w:val="0"/>
          <w:szCs w:val="24"/>
          <w:highlight w:val="none"/>
          <w:lang w:val="en-US" w:eastAsia="zh-CN"/>
        </w:rPr>
        <w:t>小时月平均浓度值为0.48mg/m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，平均浓度第95百分位数为0.9mg/m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、O</w:t>
      </w:r>
      <w:r>
        <w:rPr>
          <w:rFonts w:hint="default" w:ascii="Times New Roman" w:hAnsi="Times New Roman" w:cs="Times New Roman"/>
          <w:snapToGrid w:val="0"/>
          <w:color w:val="auto"/>
          <w:kern w:val="0"/>
          <w:szCs w:val="24"/>
          <w:highlight w:val="none"/>
          <w:vertAlign w:val="subscript"/>
          <w:lang w:val="en-US" w:eastAsia="zh-CN"/>
        </w:rPr>
        <w:t>3</w:t>
      </w:r>
      <w:r>
        <w:rPr>
          <w:rFonts w:hint="default" w:ascii="Times New Roman" w:hAnsi="Times New Roman" w:cs="Times New Roman"/>
          <w:snapToGrid w:val="0"/>
          <w:color w:val="auto"/>
          <w:kern w:val="0"/>
          <w:szCs w:val="24"/>
          <w:highlight w:val="none"/>
          <w:vertAlign w:val="baseline"/>
          <w:lang w:val="en-US" w:eastAsia="zh-CN"/>
        </w:rPr>
        <w:t>－8h</w:t>
      </w:r>
      <w:r>
        <w:rPr>
          <w:rFonts w:hint="default" w:ascii="Times New Roman" w:hAnsi="Times New Roman" w:cs="Times New Roman"/>
          <w:snapToGrid w:val="0"/>
          <w:color w:val="auto"/>
          <w:kern w:val="0"/>
          <w:szCs w:val="24"/>
          <w:highlight w:val="none"/>
          <w:lang w:val="en-US" w:eastAsia="zh-CN"/>
        </w:rPr>
        <w:t>月平均浓度值为74.87μg/m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，平均浓度第90百分位数为105μg/m</w:t>
      </w:r>
      <w:r>
        <w:rPr>
          <w:rFonts w:hint="default" w:ascii="Times New Roman" w:hAnsi="Times New Roman" w:cs="Times New Roman"/>
          <w:snapToGrid w:val="0"/>
          <w:color w:val="auto"/>
          <w:kern w:val="0"/>
          <w:szCs w:val="24"/>
          <w:highlight w:val="none"/>
          <w:vertAlign w:val="superscript"/>
          <w:lang w:val="en-US" w:eastAsia="zh-CN"/>
        </w:rPr>
        <w:t>3</w:t>
      </w:r>
      <w:r>
        <w:rPr>
          <w:rFonts w:hint="default" w:ascii="Times New Roman" w:hAnsi="Times New Roman" w:cs="Times New Roman"/>
          <w:snapToGrid w:val="0"/>
          <w:color w:val="auto"/>
          <w:kern w:val="0"/>
          <w:szCs w:val="24"/>
          <w:highlight w:val="none"/>
          <w:lang w:val="en-US" w:eastAsia="zh-CN"/>
        </w:rPr>
        <w:t>。</w:t>
      </w:r>
      <w:r>
        <w:rPr>
          <w:rFonts w:cs="Times New Roman"/>
          <w:color w:val="auto"/>
          <w:highlight w:val="none"/>
        </w:rPr>
        <w:t>202</w:t>
      </w:r>
      <w:r>
        <w:rPr>
          <w:rFonts w:hint="eastAsia" w:cs="Times New Roman"/>
          <w:color w:val="auto"/>
          <w:highlight w:val="none"/>
          <w:lang w:val="en-US" w:eastAsia="zh-CN"/>
        </w:rPr>
        <w:t>4</w:t>
      </w:r>
      <w:r>
        <w:rPr>
          <w:rFonts w:cs="Times New Roman"/>
          <w:color w:val="auto"/>
          <w:highlight w:val="none"/>
        </w:rPr>
        <w:t>年</w:t>
      </w:r>
      <w:r>
        <w:rPr>
          <w:rFonts w:hint="eastAsia" w:cs="Times New Roman"/>
          <w:color w:val="auto"/>
          <w:highlight w:val="none"/>
          <w:lang w:val="en-US" w:eastAsia="zh-CN"/>
        </w:rPr>
        <w:t>双鸭山</w:t>
      </w:r>
      <w:r>
        <w:rPr>
          <w:rFonts w:cs="Times New Roman"/>
          <w:color w:val="auto"/>
          <w:highlight w:val="none"/>
        </w:rPr>
        <w:t>市为环境空气质量达标区。</w:t>
      </w:r>
    </w:p>
    <w:p w14:paraId="1314FEF3">
      <w:pPr>
        <w:spacing w:line="500" w:lineRule="exact"/>
        <w:rPr>
          <w:rFonts w:cs="Times New Roman"/>
          <w:snapToGrid w:val="0"/>
          <w:color w:val="auto"/>
          <w:kern w:val="0"/>
          <w:szCs w:val="24"/>
          <w:highlight w:val="none"/>
        </w:rPr>
      </w:pPr>
      <w:r>
        <w:rPr>
          <w:rFonts w:cs="Times New Roman"/>
          <w:color w:val="auto"/>
          <w:szCs w:val="24"/>
          <w:highlight w:val="none"/>
        </w:rPr>
        <w:t>其他污染物采用监测数据，两个监测点位的</w:t>
      </w:r>
      <w:r>
        <w:rPr>
          <w:rFonts w:cs="Times New Roman"/>
          <w:color w:val="auto"/>
          <w:highlight w:val="none"/>
        </w:rPr>
        <w:t>氨、硫化氢满足《环境影响评价技术导则 大气环境》（HJ2.2-2018）附录D中标准限值要求</w:t>
      </w:r>
      <w:r>
        <w:rPr>
          <w:rFonts w:hint="eastAsia" w:cs="Times New Roman"/>
          <w:color w:val="auto"/>
          <w:highlight w:val="none"/>
          <w:lang w:eastAsia="zh-CN"/>
        </w:rPr>
        <w:t>，</w:t>
      </w:r>
      <w:r>
        <w:rPr>
          <w:rFonts w:hint="eastAsia" w:cs="Times New Roman"/>
          <w:color w:val="auto"/>
          <w:highlight w:val="none"/>
          <w:lang w:val="en-US" w:eastAsia="zh-CN"/>
        </w:rPr>
        <w:t>TSP24h均值满足</w:t>
      </w:r>
      <w:r>
        <w:rPr>
          <w:rFonts w:cs="Times New Roman"/>
          <w:color w:val="auto"/>
          <w:highlight w:val="none"/>
        </w:rPr>
        <w:t>《环境空气质量标准》（GB3095-2012）</w:t>
      </w:r>
      <w:r>
        <w:rPr>
          <w:rFonts w:hint="eastAsia" w:cs="Times New Roman"/>
          <w:color w:val="auto"/>
          <w:highlight w:val="none"/>
          <w:lang w:val="en-US" w:eastAsia="zh-CN"/>
        </w:rPr>
        <w:t>表2中二级标准浓度限值要求，臭气浓度未检出</w:t>
      </w:r>
      <w:r>
        <w:rPr>
          <w:rFonts w:cs="Times New Roman"/>
          <w:color w:val="auto"/>
          <w:highlight w:val="none"/>
        </w:rPr>
        <w:t>。</w:t>
      </w:r>
    </w:p>
    <w:p w14:paraId="292E929F">
      <w:pPr>
        <w:spacing w:line="500" w:lineRule="exact"/>
        <w:ind w:firstLine="482"/>
        <w:rPr>
          <w:rFonts w:cs="Times New Roman"/>
          <w:b/>
          <w:bCs/>
          <w:color w:val="auto"/>
          <w:szCs w:val="24"/>
          <w:highlight w:val="none"/>
        </w:rPr>
      </w:pPr>
      <w:r>
        <w:rPr>
          <w:rFonts w:cs="Times New Roman"/>
          <w:b/>
          <w:bCs/>
          <w:color w:val="auto"/>
          <w:szCs w:val="24"/>
          <w:highlight w:val="none"/>
        </w:rPr>
        <w:t>2、地表水环境质量现状</w:t>
      </w:r>
    </w:p>
    <w:p w14:paraId="60B91191">
      <w:pPr>
        <w:pStyle w:val="117"/>
        <w:spacing w:line="360" w:lineRule="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根据《202</w:t>
      </w:r>
      <w:r>
        <w:rPr>
          <w:rFonts w:hint="eastAsia" w:cs="Times New Roman"/>
          <w:color w:val="auto"/>
          <w:highlight w:val="none"/>
          <w:lang w:val="en-US" w:eastAsia="zh-CN"/>
        </w:rPr>
        <w:t>4</w:t>
      </w:r>
      <w:r>
        <w:rPr>
          <w:rFonts w:hint="eastAsia" w:ascii="Times New Roman" w:hAnsi="Times New Roman" w:eastAsia="宋体" w:cs="Times New Roman"/>
          <w:color w:val="auto"/>
          <w:highlight w:val="none"/>
        </w:rPr>
        <w:t>年黑龙江省生态环境质量状况》中的数据，</w:t>
      </w:r>
      <w:r>
        <w:rPr>
          <w:rFonts w:hint="eastAsia" w:cs="Times New Roman"/>
          <w:color w:val="auto"/>
          <w:highlight w:val="none"/>
          <w:lang w:val="en-US" w:eastAsia="zh-CN"/>
        </w:rPr>
        <w:t>安邦河段本项目位置</w:t>
      </w:r>
      <w:r>
        <w:rPr>
          <w:rFonts w:hint="eastAsia" w:ascii="Times New Roman" w:hAnsi="Times New Roman" w:eastAsia="宋体" w:cs="Times New Roman"/>
          <w:color w:val="auto"/>
          <w:highlight w:val="none"/>
        </w:rPr>
        <w:t>水质满足《地表水环境质量标准》（GB3838-2002）中Ⅲ类标准，可达到水体功能区规划目标。</w:t>
      </w:r>
    </w:p>
    <w:p w14:paraId="77C5355F">
      <w:pPr>
        <w:spacing w:line="500" w:lineRule="exact"/>
        <w:ind w:firstLine="482"/>
        <w:rPr>
          <w:rFonts w:cs="Times New Roman"/>
          <w:b/>
          <w:bCs/>
          <w:snapToGrid w:val="0"/>
          <w:color w:val="auto"/>
          <w:kern w:val="0"/>
          <w:szCs w:val="24"/>
          <w:highlight w:val="none"/>
        </w:rPr>
      </w:pPr>
      <w:r>
        <w:rPr>
          <w:rFonts w:cs="Times New Roman"/>
          <w:b/>
          <w:bCs/>
          <w:color w:val="auto"/>
          <w:szCs w:val="24"/>
          <w:highlight w:val="none"/>
        </w:rPr>
        <w:t>3、地下水环境质量现状</w:t>
      </w:r>
    </w:p>
    <w:p w14:paraId="30D0998C">
      <w:pPr>
        <w:spacing w:line="500" w:lineRule="exact"/>
        <w:rPr>
          <w:rFonts w:cs="Times New Roman"/>
          <w:color w:val="auto"/>
          <w:szCs w:val="24"/>
          <w:highlight w:val="none"/>
        </w:rPr>
      </w:pPr>
      <w:r>
        <w:rPr>
          <w:rFonts w:cs="Times New Roman"/>
          <w:color w:val="auto"/>
          <w:szCs w:val="24"/>
          <w:highlight w:val="none"/>
        </w:rPr>
        <w:t>由检测结果可知，</w:t>
      </w:r>
      <w:r>
        <w:rPr>
          <w:rFonts w:cs="Times New Roman"/>
          <w:color w:val="auto"/>
          <w:highlight w:val="none"/>
        </w:rPr>
        <w:t>项目所在区域地下水监测指标均符合《地下水质量标准》（GB/T14848-2017）中III类水质标准浓度限值要求。</w:t>
      </w:r>
    </w:p>
    <w:p w14:paraId="5AB41A9B">
      <w:pPr>
        <w:spacing w:line="500" w:lineRule="exact"/>
        <w:ind w:firstLine="482"/>
        <w:rPr>
          <w:rFonts w:cs="Times New Roman"/>
          <w:b/>
          <w:bCs/>
          <w:color w:val="auto"/>
          <w:szCs w:val="24"/>
          <w:highlight w:val="none"/>
        </w:rPr>
      </w:pPr>
      <w:r>
        <w:rPr>
          <w:rFonts w:cs="Times New Roman"/>
          <w:b/>
          <w:bCs/>
          <w:color w:val="auto"/>
          <w:szCs w:val="24"/>
          <w:highlight w:val="none"/>
        </w:rPr>
        <w:t>4、声环境质量现状</w:t>
      </w:r>
    </w:p>
    <w:p w14:paraId="076F0475">
      <w:pPr>
        <w:spacing w:line="500" w:lineRule="exact"/>
        <w:rPr>
          <w:rFonts w:cs="Times New Roman"/>
          <w:color w:val="auto"/>
          <w:szCs w:val="24"/>
          <w:highlight w:val="none"/>
        </w:rPr>
      </w:pPr>
      <w:r>
        <w:rPr>
          <w:rFonts w:cs="Times New Roman"/>
          <w:color w:val="auto"/>
          <w:szCs w:val="24"/>
          <w:highlight w:val="none"/>
        </w:rPr>
        <w:t>由检测结果可知，</w:t>
      </w:r>
      <w:r>
        <w:rPr>
          <w:rFonts w:cs="Times New Roman"/>
          <w:bCs/>
          <w:color w:val="auto"/>
          <w:szCs w:val="24"/>
          <w:highlight w:val="none"/>
        </w:rPr>
        <w:t>本项目厂界四周声环境质量均符合</w:t>
      </w:r>
      <w:r>
        <w:rPr>
          <w:rFonts w:cs="Times New Roman"/>
          <w:color w:val="auto"/>
          <w:szCs w:val="24"/>
          <w:highlight w:val="none"/>
        </w:rPr>
        <w:t>《声环境质量标准》（GB3096-2008）中的</w:t>
      </w:r>
      <w:r>
        <w:rPr>
          <w:rFonts w:hint="eastAsia" w:cs="Times New Roman"/>
          <w:color w:val="auto"/>
          <w:szCs w:val="24"/>
          <w:highlight w:val="none"/>
          <w:lang w:val="en-US" w:eastAsia="zh-CN"/>
        </w:rPr>
        <w:t>2</w:t>
      </w:r>
      <w:r>
        <w:rPr>
          <w:rFonts w:cs="Times New Roman"/>
          <w:color w:val="auto"/>
          <w:szCs w:val="24"/>
          <w:highlight w:val="none"/>
        </w:rPr>
        <w:t>类标准限值要求，因此，项目所在区域声环境质量良好。</w:t>
      </w:r>
    </w:p>
    <w:p w14:paraId="64F4786C">
      <w:pPr>
        <w:pStyle w:val="3"/>
        <w:spacing w:before="163" w:after="163"/>
        <w:rPr>
          <w:rFonts w:cs="Times New Roman"/>
          <w:color w:val="auto"/>
          <w:highlight w:val="none"/>
        </w:rPr>
      </w:pPr>
      <w:bookmarkStart w:id="461" w:name="_Toc61529228"/>
      <w:bookmarkStart w:id="462" w:name="_Toc9204"/>
      <w:r>
        <w:rPr>
          <w:rFonts w:cs="Times New Roman"/>
          <w:color w:val="auto"/>
          <w:highlight w:val="none"/>
        </w:rPr>
        <w:t>9.4</w:t>
      </w:r>
      <w:bookmarkStart w:id="463" w:name="_Toc56168653"/>
      <w:r>
        <w:rPr>
          <w:rFonts w:cs="Times New Roman"/>
          <w:color w:val="auto"/>
          <w:highlight w:val="none"/>
        </w:rPr>
        <w:t>环境影响评价结论</w:t>
      </w:r>
      <w:bookmarkEnd w:id="461"/>
      <w:bookmarkEnd w:id="462"/>
      <w:bookmarkEnd w:id="463"/>
    </w:p>
    <w:p w14:paraId="0E447645">
      <w:pPr>
        <w:ind w:firstLine="482"/>
        <w:rPr>
          <w:rFonts w:cs="Times New Roman"/>
          <w:b/>
          <w:bCs/>
          <w:color w:val="auto"/>
          <w:szCs w:val="24"/>
          <w:highlight w:val="none"/>
        </w:rPr>
      </w:pPr>
      <w:r>
        <w:rPr>
          <w:rFonts w:cs="Times New Roman"/>
          <w:b/>
          <w:bCs/>
          <w:color w:val="auto"/>
          <w:szCs w:val="24"/>
          <w:highlight w:val="none"/>
        </w:rPr>
        <w:t>1、大气环境影响评价结论</w:t>
      </w:r>
    </w:p>
    <w:p w14:paraId="02D2DFC8">
      <w:pPr>
        <w:rPr>
          <w:rFonts w:cs="Times New Roman"/>
          <w:snapToGrid w:val="0"/>
          <w:color w:val="auto"/>
          <w:kern w:val="0"/>
          <w:highlight w:val="none"/>
          <w:lang w:val="zh-CN"/>
        </w:rPr>
      </w:pPr>
      <w:r>
        <w:rPr>
          <w:rFonts w:ascii="Times New Roman" w:hAnsi="Times New Roman" w:eastAsia="宋体" w:cs="Times New Roman"/>
          <w:snapToGrid w:val="0"/>
          <w:color w:val="auto"/>
          <w:kern w:val="0"/>
          <w:highlight w:val="none"/>
          <w:lang w:val="zh-CN"/>
        </w:rPr>
        <w:t>本项目运营期产生的废气主要包括</w:t>
      </w:r>
      <w:r>
        <w:rPr>
          <w:rFonts w:hint="eastAsia" w:cs="Times New Roman"/>
          <w:snapToGrid w:val="0"/>
          <w:color w:val="auto"/>
          <w:highlight w:val="none"/>
          <w:lang w:val="zh-CN"/>
        </w:rPr>
        <w:t>待宰圈</w:t>
      </w:r>
      <w:r>
        <w:rPr>
          <w:rFonts w:cs="Times New Roman"/>
          <w:snapToGrid w:val="0"/>
          <w:color w:val="auto"/>
          <w:highlight w:val="none"/>
          <w:lang w:val="zh-CN"/>
        </w:rPr>
        <w:t>、</w:t>
      </w:r>
      <w:r>
        <w:rPr>
          <w:rFonts w:hint="eastAsia" w:cs="Times New Roman"/>
          <w:snapToGrid w:val="0"/>
          <w:color w:val="auto"/>
          <w:highlight w:val="none"/>
          <w:lang w:val="en-US" w:eastAsia="zh-CN"/>
        </w:rPr>
        <w:t>急宰间、</w:t>
      </w:r>
      <w:r>
        <w:rPr>
          <w:rFonts w:cs="Times New Roman"/>
          <w:snapToGrid w:val="0"/>
          <w:color w:val="auto"/>
          <w:highlight w:val="none"/>
          <w:lang w:val="zh-CN"/>
        </w:rPr>
        <w:t>屠宰车间</w:t>
      </w:r>
      <w:r>
        <w:rPr>
          <w:rFonts w:hint="eastAsia" w:cs="Times New Roman"/>
          <w:snapToGrid w:val="0"/>
          <w:color w:val="auto"/>
          <w:highlight w:val="none"/>
          <w:lang w:val="en-US" w:eastAsia="zh-CN"/>
        </w:rPr>
        <w:t>、</w:t>
      </w:r>
      <w:r>
        <w:rPr>
          <w:rFonts w:cs="Times New Roman"/>
          <w:snapToGrid w:val="0"/>
          <w:color w:val="auto"/>
          <w:highlight w:val="none"/>
          <w:lang w:val="zh-CN"/>
        </w:rPr>
        <w:t>污水处理站</w:t>
      </w:r>
      <w:r>
        <w:rPr>
          <w:rFonts w:cs="Times New Roman"/>
          <w:color w:val="auto"/>
          <w:spacing w:val="12"/>
          <w:szCs w:val="24"/>
          <w:highlight w:val="none"/>
        </w:rPr>
        <w:t>、隔离</w:t>
      </w:r>
      <w:r>
        <w:rPr>
          <w:rFonts w:hint="eastAsia" w:cs="Times New Roman"/>
          <w:color w:val="auto"/>
          <w:spacing w:val="12"/>
          <w:szCs w:val="24"/>
          <w:highlight w:val="none"/>
          <w:lang w:val="en-US" w:eastAsia="zh-CN"/>
        </w:rPr>
        <w:t>间</w:t>
      </w:r>
      <w:r>
        <w:rPr>
          <w:rFonts w:cs="Times New Roman"/>
          <w:color w:val="auto"/>
          <w:spacing w:val="12"/>
          <w:szCs w:val="24"/>
          <w:highlight w:val="none"/>
        </w:rPr>
        <w:t>及</w:t>
      </w:r>
      <w:r>
        <w:rPr>
          <w:rFonts w:hint="eastAsia" w:cs="Times New Roman"/>
          <w:color w:val="auto"/>
          <w:spacing w:val="12"/>
          <w:szCs w:val="24"/>
          <w:highlight w:val="none"/>
          <w:lang w:val="en-US" w:eastAsia="zh-CN"/>
        </w:rPr>
        <w:t>固体废物</w:t>
      </w:r>
      <w:r>
        <w:rPr>
          <w:rFonts w:cs="Times New Roman"/>
          <w:snapToGrid w:val="0"/>
          <w:color w:val="auto"/>
          <w:highlight w:val="none"/>
        </w:rPr>
        <w:t>暂存间</w:t>
      </w:r>
      <w:r>
        <w:rPr>
          <w:rFonts w:cs="Times New Roman"/>
          <w:snapToGrid w:val="0"/>
          <w:color w:val="auto"/>
          <w:highlight w:val="none"/>
          <w:lang w:val="zh-CN"/>
        </w:rPr>
        <w:t>产生的恶臭废气</w:t>
      </w:r>
      <w:r>
        <w:rPr>
          <w:rFonts w:ascii="Times New Roman" w:hAnsi="Times New Roman" w:eastAsia="宋体" w:cs="Times New Roman"/>
          <w:snapToGrid w:val="0"/>
          <w:color w:val="auto"/>
          <w:kern w:val="0"/>
          <w:highlight w:val="none"/>
          <w:lang w:val="zh-CN"/>
        </w:rPr>
        <w:t>。</w:t>
      </w:r>
    </w:p>
    <w:p w14:paraId="6E8B7F89">
      <w:pPr>
        <w:pStyle w:val="117"/>
        <w:keepNext w:val="0"/>
        <w:keepLines w:val="0"/>
        <w:pageBreakBefore w:val="0"/>
        <w:widowControl w:val="0"/>
        <w:kinsoku/>
        <w:wordWrap/>
        <w:overflowPunct/>
        <w:topLinePunct w:val="0"/>
        <w:autoSpaceDE/>
        <w:autoSpaceDN/>
        <w:bidi w:val="0"/>
        <w:adjustRightInd w:val="0"/>
        <w:snapToGrid w:val="0"/>
        <w:spacing w:line="500" w:lineRule="exact"/>
        <w:textAlignment w:val="auto"/>
        <w:rPr>
          <w:rFonts w:ascii="Times New Roman" w:hAnsi="Times New Roman" w:eastAsia="宋体" w:cs="Times New Roman"/>
          <w:snapToGrid w:val="0"/>
          <w:color w:val="auto"/>
          <w:kern w:val="0"/>
          <w:highlight w:val="none"/>
          <w:lang w:val="zh-CN"/>
        </w:rPr>
      </w:pPr>
      <w:r>
        <w:rPr>
          <w:rFonts w:hint="eastAsia" w:cs="Times New Roman"/>
          <w:color w:val="auto"/>
          <w:highlight w:val="none"/>
          <w:lang w:val="en-US" w:eastAsia="zh-CN"/>
        </w:rPr>
        <w:t>急宰间、隔离间及固体废物暂存间</w:t>
      </w:r>
      <w:r>
        <w:rPr>
          <w:rFonts w:ascii="Times New Roman" w:hAnsi="Times New Roman" w:eastAsia="宋体" w:cs="Times New Roman"/>
          <w:snapToGrid w:val="0"/>
          <w:color w:val="auto"/>
          <w:kern w:val="0"/>
          <w:highlight w:val="none"/>
          <w:lang w:val="zh-CN"/>
        </w:rPr>
        <w:t>产生的恶臭</w:t>
      </w:r>
      <w:r>
        <w:rPr>
          <w:rFonts w:hint="eastAsia" w:cs="Times New Roman"/>
          <w:snapToGrid w:val="0"/>
          <w:color w:val="auto"/>
          <w:kern w:val="0"/>
          <w:highlight w:val="none"/>
          <w:lang w:val="zh-CN"/>
        </w:rPr>
        <w:t>采用微负压集中收集后</w:t>
      </w:r>
      <w:r>
        <w:rPr>
          <w:rFonts w:ascii="Times New Roman" w:hAnsi="Times New Roman" w:eastAsia="宋体" w:cs="Times New Roman"/>
          <w:snapToGrid w:val="0"/>
          <w:color w:val="auto"/>
          <w:kern w:val="0"/>
          <w:highlight w:val="none"/>
          <w:lang w:val="zh-CN"/>
        </w:rPr>
        <w:t>（收集率约90%左右），通过活性炭净化装置（</w:t>
      </w:r>
      <w:r>
        <w:rPr>
          <w:rFonts w:hint="eastAsia" w:cs="Times New Roman"/>
          <w:snapToGrid w:val="0"/>
          <w:color w:val="auto"/>
          <w:kern w:val="0"/>
          <w:highlight w:val="none"/>
          <w:lang w:val="zh-CN"/>
        </w:rPr>
        <w:t>净化效率80%</w:t>
      </w:r>
      <w:r>
        <w:rPr>
          <w:rFonts w:ascii="Times New Roman" w:hAnsi="Times New Roman" w:eastAsia="宋体" w:cs="Times New Roman"/>
          <w:snapToGrid w:val="0"/>
          <w:color w:val="auto"/>
          <w:kern w:val="0"/>
          <w:highlight w:val="none"/>
          <w:lang w:val="zh-CN"/>
        </w:rPr>
        <w:t>）处理，处理后经15m高的排气筒DA00</w:t>
      </w:r>
      <w:r>
        <w:rPr>
          <w:rFonts w:hint="eastAsia" w:ascii="Times New Roman" w:hAnsi="Times New Roman" w:eastAsia="宋体" w:cs="Times New Roman"/>
          <w:snapToGrid w:val="0"/>
          <w:color w:val="auto"/>
          <w:kern w:val="0"/>
          <w:highlight w:val="none"/>
          <w:lang w:val="zh-CN"/>
        </w:rPr>
        <w:t>1</w:t>
      </w:r>
      <w:r>
        <w:rPr>
          <w:rFonts w:ascii="Times New Roman" w:hAnsi="Times New Roman" w:eastAsia="宋体" w:cs="Times New Roman"/>
          <w:snapToGrid w:val="0"/>
          <w:color w:val="auto"/>
          <w:kern w:val="0"/>
          <w:highlight w:val="none"/>
          <w:lang w:val="zh-CN"/>
        </w:rPr>
        <w:t>排放，排放速率及浓度均可满足《恶臭污染物排放标准》（GB14554-93）表2中排放标准限值。</w:t>
      </w:r>
    </w:p>
    <w:p w14:paraId="2FC4371D">
      <w:pPr>
        <w:pStyle w:val="117"/>
        <w:pageBreakBefore w:val="0"/>
        <w:widowControl w:val="0"/>
        <w:kinsoku/>
        <w:wordWrap/>
        <w:overflowPunct/>
        <w:topLinePunct w:val="0"/>
        <w:autoSpaceDE/>
        <w:autoSpaceDN/>
        <w:bidi w:val="0"/>
        <w:adjustRightInd w:val="0"/>
        <w:snapToGrid w:val="0"/>
        <w:spacing w:line="500" w:lineRule="exact"/>
        <w:textAlignment w:val="auto"/>
        <w:rPr>
          <w:color w:val="auto"/>
          <w:highlight w:val="none"/>
          <w:lang w:val="zh-CN"/>
        </w:rPr>
      </w:pPr>
      <w:r>
        <w:rPr>
          <w:rFonts w:cs="Times New Roman"/>
          <w:snapToGrid w:val="0"/>
          <w:color w:val="auto"/>
          <w:highlight w:val="none"/>
        </w:rPr>
        <w:t>屠宰车间产生的恶臭</w:t>
      </w:r>
      <w:r>
        <w:rPr>
          <w:rFonts w:hint="eastAsia" w:cs="Times New Roman"/>
          <w:snapToGrid w:val="0"/>
          <w:color w:val="auto"/>
          <w:highlight w:val="none"/>
          <w:lang w:eastAsia="zh-CN"/>
        </w:rPr>
        <w:t>采用</w:t>
      </w:r>
      <w:r>
        <w:rPr>
          <w:rFonts w:hint="default" w:cs="Times New Roman"/>
          <w:snapToGrid w:val="0"/>
          <w:color w:val="auto"/>
          <w:highlight w:val="none"/>
        </w:rPr>
        <w:t>“精准局部抽风</w:t>
      </w:r>
      <w:r>
        <w:rPr>
          <w:rFonts w:hint="eastAsia" w:cs="Times New Roman"/>
          <w:snapToGrid w:val="0"/>
          <w:color w:val="auto"/>
          <w:highlight w:val="none"/>
          <w:lang w:val="en-US" w:eastAsia="zh-CN"/>
        </w:rPr>
        <w:t>+微负压</w:t>
      </w:r>
      <w:r>
        <w:rPr>
          <w:rFonts w:hint="default" w:cs="Times New Roman"/>
          <w:snapToGrid w:val="0"/>
          <w:color w:val="auto"/>
          <w:highlight w:val="none"/>
        </w:rPr>
        <w:t>”</w:t>
      </w:r>
      <w:r>
        <w:rPr>
          <w:rFonts w:hint="eastAsia" w:cs="Times New Roman"/>
          <w:snapToGrid w:val="0"/>
          <w:color w:val="auto"/>
          <w:highlight w:val="none"/>
          <w:lang w:eastAsia="zh-CN"/>
        </w:rPr>
        <w:t>集中收集后</w:t>
      </w:r>
      <w:r>
        <w:rPr>
          <w:rFonts w:cs="Times New Roman"/>
          <w:color w:val="auto"/>
          <w:highlight w:val="none"/>
        </w:rPr>
        <w:t>（收集率约90%左右）</w:t>
      </w:r>
      <w:r>
        <w:rPr>
          <w:rFonts w:cs="Times New Roman"/>
          <w:snapToGrid w:val="0"/>
          <w:color w:val="auto"/>
          <w:highlight w:val="none"/>
        </w:rPr>
        <w:t>，通过</w:t>
      </w:r>
      <w:r>
        <w:rPr>
          <w:rFonts w:hint="eastAsia" w:cs="Times New Roman"/>
          <w:color w:val="auto"/>
          <w:highlight w:val="none"/>
          <w:lang w:val="en-US" w:eastAsia="zh-CN"/>
        </w:rPr>
        <w:t>冷凝除湿器+</w:t>
      </w:r>
      <w:r>
        <w:rPr>
          <w:rFonts w:cs="Times New Roman"/>
          <w:snapToGrid w:val="0"/>
          <w:color w:val="auto"/>
          <w:highlight w:val="none"/>
        </w:rPr>
        <w:t>活性炭净化装置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snapToGrid w:val="0"/>
          <w:color w:val="auto"/>
          <w:highlight w:val="none"/>
        </w:rPr>
        <w:t>处理，处理后经15m高的排气筒DA00</w:t>
      </w:r>
      <w:r>
        <w:rPr>
          <w:rFonts w:hint="eastAsia" w:cs="Times New Roman"/>
          <w:snapToGrid w:val="0"/>
          <w:color w:val="auto"/>
          <w:highlight w:val="none"/>
          <w:lang w:val="en-US" w:eastAsia="zh-CN"/>
        </w:rPr>
        <w:t>1</w:t>
      </w:r>
      <w:r>
        <w:rPr>
          <w:rFonts w:cs="Times New Roman"/>
          <w:snapToGrid w:val="0"/>
          <w:color w:val="auto"/>
          <w:highlight w:val="none"/>
        </w:rPr>
        <w:t>排放，排放速率及浓度均可满足《恶臭污染物排放标准》（GB14554-93）表2中排放标准限值</w:t>
      </w:r>
      <w:r>
        <w:rPr>
          <w:rFonts w:hint="eastAsia" w:cs="Times New Roman"/>
          <w:snapToGrid w:val="0"/>
          <w:color w:val="auto"/>
          <w:highlight w:val="none"/>
        </w:rPr>
        <w:t>。</w:t>
      </w:r>
    </w:p>
    <w:p w14:paraId="6E3247BD">
      <w:pPr>
        <w:widowControl/>
        <w:rPr>
          <w:rFonts w:cs="Times New Roman"/>
          <w:color w:val="auto"/>
          <w:szCs w:val="24"/>
          <w:highlight w:val="none"/>
        </w:rPr>
      </w:pPr>
      <w:r>
        <w:rPr>
          <w:rFonts w:cs="Times New Roman"/>
          <w:snapToGrid w:val="0"/>
          <w:color w:val="auto"/>
          <w:highlight w:val="none"/>
        </w:rPr>
        <w:t>污水处理站产生的恶臭</w:t>
      </w:r>
      <w:r>
        <w:rPr>
          <w:rFonts w:hint="eastAsia" w:cs="Times New Roman"/>
          <w:snapToGrid w:val="0"/>
          <w:color w:val="auto"/>
          <w:highlight w:val="none"/>
          <w:lang w:eastAsia="zh-CN"/>
        </w:rPr>
        <w:t>采用微负压集中收集后</w:t>
      </w:r>
      <w:r>
        <w:rPr>
          <w:rFonts w:cs="Times New Roman"/>
          <w:color w:val="auto"/>
          <w:highlight w:val="none"/>
        </w:rPr>
        <w:t>（收集率约90%左右）</w:t>
      </w:r>
      <w:r>
        <w:rPr>
          <w:rFonts w:cs="Times New Roman"/>
          <w:snapToGrid w:val="0"/>
          <w:color w:val="auto"/>
          <w:highlight w:val="none"/>
        </w:rPr>
        <w:t>，通过活性炭净化装置</w:t>
      </w:r>
      <w:r>
        <w:rPr>
          <w:rFonts w:cs="Times New Roman"/>
          <w:color w:val="auto"/>
          <w:highlight w:val="none"/>
        </w:rPr>
        <w:t>（</w:t>
      </w:r>
      <w:r>
        <w:rPr>
          <w:rFonts w:hint="eastAsia" w:cs="Times New Roman"/>
          <w:color w:val="auto"/>
          <w:highlight w:val="none"/>
          <w:lang w:eastAsia="zh-CN"/>
        </w:rPr>
        <w:t>净化效率80%</w:t>
      </w:r>
      <w:r>
        <w:rPr>
          <w:rFonts w:cs="Times New Roman"/>
          <w:color w:val="auto"/>
          <w:highlight w:val="none"/>
        </w:rPr>
        <w:t>）</w:t>
      </w:r>
      <w:r>
        <w:rPr>
          <w:rFonts w:cs="Times New Roman"/>
          <w:snapToGrid w:val="0"/>
          <w:color w:val="auto"/>
          <w:highlight w:val="none"/>
        </w:rPr>
        <w:t>处理，处理后经15m高的排气筒DA00</w:t>
      </w:r>
      <w:r>
        <w:rPr>
          <w:rFonts w:hint="eastAsia" w:cs="Times New Roman"/>
          <w:snapToGrid w:val="0"/>
          <w:color w:val="auto"/>
          <w:highlight w:val="none"/>
          <w:lang w:val="en-US" w:eastAsia="zh-CN"/>
        </w:rPr>
        <w:t>2</w:t>
      </w:r>
      <w:r>
        <w:rPr>
          <w:rFonts w:cs="Times New Roman"/>
          <w:snapToGrid w:val="0"/>
          <w:color w:val="auto"/>
          <w:highlight w:val="none"/>
        </w:rPr>
        <w:t>排放，排放速率及浓度均可满足《恶臭污染物排放标准》（GB14554-93）表2中排放标准限值。</w:t>
      </w:r>
    </w:p>
    <w:p w14:paraId="6F611E00">
      <w:pPr>
        <w:rPr>
          <w:rFonts w:cs="Times New Roman"/>
          <w:color w:val="auto"/>
          <w:szCs w:val="24"/>
          <w:highlight w:val="none"/>
        </w:rPr>
      </w:pPr>
      <w:r>
        <w:rPr>
          <w:rFonts w:hint="eastAsia" w:cs="Times New Roman"/>
          <w:snapToGrid w:val="0"/>
          <w:color w:val="auto"/>
          <w:highlight w:val="none"/>
          <w:lang w:eastAsia="zh-CN"/>
        </w:rPr>
        <w:t>待宰圈</w:t>
      </w:r>
      <w:r>
        <w:rPr>
          <w:rFonts w:hint="eastAsia" w:cs="Times New Roman"/>
          <w:snapToGrid w:val="0"/>
          <w:color w:val="auto"/>
          <w:highlight w:val="none"/>
        </w:rPr>
        <w:t>设置专人管理</w:t>
      </w:r>
      <w:r>
        <w:rPr>
          <w:rFonts w:cs="Times New Roman"/>
          <w:snapToGrid w:val="0"/>
          <w:color w:val="auto"/>
          <w:highlight w:val="none"/>
        </w:rPr>
        <w:t>，及时清理地面上的粪便及尿液，</w:t>
      </w:r>
      <w:r>
        <w:rPr>
          <w:rFonts w:hint="eastAsia" w:cs="Times New Roman"/>
          <w:snapToGrid w:val="0"/>
          <w:color w:val="auto"/>
          <w:highlight w:val="none"/>
          <w:lang w:val="en-US" w:eastAsia="zh-CN"/>
        </w:rPr>
        <w:t>使用</w:t>
      </w:r>
      <w:r>
        <w:rPr>
          <w:rFonts w:cs="Times New Roman"/>
          <w:snapToGrid w:val="0"/>
          <w:color w:val="auto"/>
          <w:highlight w:val="none"/>
        </w:rPr>
        <w:t>专业畜舍刮水扫把</w:t>
      </w:r>
      <w:r>
        <w:rPr>
          <w:rFonts w:hint="eastAsia" w:cs="Times New Roman"/>
          <w:snapToGrid w:val="0"/>
          <w:color w:val="auto"/>
          <w:highlight w:val="none"/>
          <w:lang w:val="en-US" w:eastAsia="zh-CN"/>
        </w:rPr>
        <w:t>配合</w:t>
      </w:r>
      <w:r>
        <w:rPr>
          <w:rFonts w:cs="Times New Roman"/>
          <w:snapToGrid w:val="0"/>
          <w:color w:val="auto"/>
          <w:highlight w:val="none"/>
        </w:rPr>
        <w:t>挤水式平板拖把</w:t>
      </w:r>
      <w:r>
        <w:rPr>
          <w:rFonts w:hint="eastAsia" w:cs="Times New Roman"/>
          <w:snapToGrid w:val="0"/>
          <w:color w:val="auto"/>
          <w:highlight w:val="none"/>
          <w:lang w:val="en-US" w:eastAsia="zh-CN"/>
        </w:rPr>
        <w:t>做到</w:t>
      </w:r>
      <w:r>
        <w:rPr>
          <w:rFonts w:cs="Times New Roman"/>
          <w:snapToGrid w:val="0"/>
          <w:color w:val="auto"/>
          <w:highlight w:val="none"/>
        </w:rPr>
        <w:t>日产日清</w:t>
      </w:r>
      <w:r>
        <w:rPr>
          <w:rFonts w:cs="Times New Roman"/>
          <w:snapToGrid w:val="0"/>
          <w:color w:val="auto"/>
          <w:highlight w:val="none"/>
          <w:lang w:val="zh-CN"/>
        </w:rPr>
        <w:t>，</w:t>
      </w:r>
      <w:r>
        <w:rPr>
          <w:rFonts w:hint="eastAsia" w:cs="Times New Roman"/>
          <w:snapToGrid w:val="0"/>
          <w:color w:val="auto"/>
          <w:highlight w:val="none"/>
        </w:rPr>
        <w:t>定期冲洗待地面</w:t>
      </w:r>
      <w:r>
        <w:rPr>
          <w:rFonts w:cs="Times New Roman"/>
          <w:snapToGrid w:val="0"/>
          <w:color w:val="auto"/>
          <w:highlight w:val="none"/>
        </w:rPr>
        <w:t>，同时定期喷洒</w:t>
      </w:r>
      <w:r>
        <w:rPr>
          <w:rFonts w:hint="eastAsia" w:cs="Times New Roman"/>
          <w:snapToGrid w:val="0"/>
          <w:color w:val="auto"/>
          <w:highlight w:val="none"/>
          <w:lang w:val="en-US" w:eastAsia="zh-CN"/>
        </w:rPr>
        <w:t>环保型</w:t>
      </w:r>
      <w:r>
        <w:rPr>
          <w:rFonts w:cs="Times New Roman"/>
          <w:snapToGrid w:val="0"/>
          <w:color w:val="auto"/>
          <w:highlight w:val="none"/>
        </w:rPr>
        <w:t>除臭剂，减少恶臭源的散发；屠宰车间及时清洗清运</w:t>
      </w:r>
      <w:r>
        <w:rPr>
          <w:rFonts w:hint="eastAsia" w:cs="Times New Roman"/>
          <w:snapToGrid w:val="0"/>
          <w:color w:val="auto"/>
          <w:highlight w:val="none"/>
        </w:rPr>
        <w:t>，</w:t>
      </w:r>
      <w:r>
        <w:rPr>
          <w:rFonts w:cs="Times New Roman"/>
          <w:snapToGrid w:val="0"/>
          <w:color w:val="auto"/>
          <w:highlight w:val="none"/>
        </w:rPr>
        <w:t>定期喷洒</w:t>
      </w:r>
      <w:r>
        <w:rPr>
          <w:rFonts w:hint="eastAsia" w:cs="Times New Roman"/>
          <w:snapToGrid w:val="0"/>
          <w:color w:val="auto"/>
          <w:highlight w:val="none"/>
          <w:lang w:val="en-US" w:eastAsia="zh-CN"/>
        </w:rPr>
        <w:t>环保型</w:t>
      </w:r>
      <w:r>
        <w:rPr>
          <w:rFonts w:cs="Times New Roman"/>
          <w:snapToGrid w:val="0"/>
          <w:color w:val="auto"/>
          <w:highlight w:val="none"/>
        </w:rPr>
        <w:t>除臭剂；对于污水处理站产生恶臭区域加盖、喷洒</w:t>
      </w:r>
      <w:r>
        <w:rPr>
          <w:rFonts w:hint="eastAsia" w:cs="Times New Roman"/>
          <w:snapToGrid w:val="0"/>
          <w:color w:val="auto"/>
          <w:highlight w:val="none"/>
          <w:lang w:val="en-US" w:eastAsia="zh-CN"/>
        </w:rPr>
        <w:t>环保型</w:t>
      </w:r>
      <w:r>
        <w:rPr>
          <w:rFonts w:cs="Times New Roman"/>
          <w:snapToGrid w:val="0"/>
          <w:color w:val="auto"/>
          <w:highlight w:val="none"/>
        </w:rPr>
        <w:t>除臭剂，来降低污水处理站恶臭对厂区内外的影响；固废暂存间内废物暂存于加盖的</w:t>
      </w:r>
      <w:r>
        <w:rPr>
          <w:rFonts w:hint="eastAsia" w:cs="Times New Roman"/>
          <w:snapToGrid w:val="0"/>
          <w:color w:val="auto"/>
          <w:highlight w:val="none"/>
          <w:lang w:val="en-US" w:eastAsia="zh-CN"/>
        </w:rPr>
        <w:t>转运桶</w:t>
      </w:r>
      <w:r>
        <w:rPr>
          <w:rFonts w:cs="Times New Roman"/>
          <w:snapToGrid w:val="0"/>
          <w:color w:val="auto"/>
          <w:highlight w:val="none"/>
        </w:rPr>
        <w:t>内，正常情况下为密封，仅输送生产废物时，将</w:t>
      </w:r>
      <w:r>
        <w:rPr>
          <w:rFonts w:hint="eastAsia" w:cs="Times New Roman"/>
          <w:snapToGrid w:val="0"/>
          <w:color w:val="auto"/>
          <w:highlight w:val="none"/>
          <w:lang w:val="en-US" w:eastAsia="zh-CN"/>
        </w:rPr>
        <w:t>转运桶</w:t>
      </w:r>
      <w:r>
        <w:rPr>
          <w:rFonts w:cs="Times New Roman"/>
          <w:snapToGrid w:val="0"/>
          <w:color w:val="auto"/>
          <w:highlight w:val="none"/>
        </w:rPr>
        <w:t>输送至运输车上</w:t>
      </w:r>
      <w:r>
        <w:rPr>
          <w:rFonts w:hint="eastAsia" w:cs="Times New Roman"/>
          <w:snapToGrid w:val="0"/>
          <w:color w:val="auto"/>
          <w:highlight w:val="none"/>
        </w:rPr>
        <w:t>，</w:t>
      </w:r>
      <w:r>
        <w:rPr>
          <w:rFonts w:hint="eastAsia" w:cs="Times New Roman"/>
          <w:snapToGrid w:val="0"/>
          <w:color w:val="auto"/>
          <w:highlight w:val="none"/>
          <w:lang w:val="en-US" w:eastAsia="zh-CN"/>
        </w:rPr>
        <w:t>并放置新的转运桶用于存放下一个周期的固体废物，定期喷洒环保型除臭剂，</w:t>
      </w:r>
      <w:r>
        <w:rPr>
          <w:rFonts w:hint="eastAsia" w:cs="Times New Roman"/>
          <w:snapToGrid w:val="0"/>
          <w:color w:val="auto"/>
          <w:highlight w:val="none"/>
          <w:lang w:val="en-US"/>
        </w:rPr>
        <w:t>减少恶臭的释放</w:t>
      </w:r>
      <w:r>
        <w:rPr>
          <w:rFonts w:hint="eastAsia" w:cs="Times New Roman"/>
          <w:snapToGrid w:val="0"/>
          <w:color w:val="auto"/>
          <w:highlight w:val="none"/>
          <w:lang w:val="en-US" w:eastAsia="zh-CN"/>
        </w:rPr>
        <w:t>。</w:t>
      </w:r>
      <w:r>
        <w:rPr>
          <w:rFonts w:cs="Times New Roman"/>
          <w:color w:val="auto"/>
          <w:highlight w:val="none"/>
        </w:rPr>
        <w:t>采取以上措施后</w:t>
      </w:r>
      <w:r>
        <w:rPr>
          <w:rFonts w:hint="eastAsia" w:cs="Times New Roman"/>
          <w:color w:val="auto"/>
          <w:highlight w:val="none"/>
          <w:lang w:eastAsia="zh-CN"/>
        </w:rPr>
        <w:t>，</w:t>
      </w:r>
      <w:r>
        <w:rPr>
          <w:rFonts w:hint="eastAsia" w:cs="Times New Roman"/>
          <w:color w:val="auto"/>
          <w:highlight w:val="none"/>
          <w:lang w:val="en-US" w:eastAsia="zh-CN"/>
        </w:rPr>
        <w:t>厂界</w:t>
      </w:r>
      <w:r>
        <w:rPr>
          <w:rFonts w:cs="Times New Roman"/>
          <w:color w:val="auto"/>
          <w:highlight w:val="none"/>
        </w:rPr>
        <w:t>可满足《恶臭污染物排放标准》（GB14554-93）表1中二级标准要求。</w:t>
      </w:r>
      <w:r>
        <w:rPr>
          <w:rFonts w:cs="Times New Roman"/>
          <w:color w:val="auto"/>
          <w:spacing w:val="-3"/>
          <w:szCs w:val="24"/>
          <w:highlight w:val="none"/>
        </w:rPr>
        <w:t>对周围大气环境影响较小。</w:t>
      </w:r>
    </w:p>
    <w:p w14:paraId="51ECB1BF">
      <w:pPr>
        <w:ind w:firstLine="482"/>
        <w:rPr>
          <w:rFonts w:cs="Times New Roman"/>
          <w:b/>
          <w:bCs/>
          <w:color w:val="auto"/>
          <w:szCs w:val="24"/>
          <w:highlight w:val="none"/>
        </w:rPr>
      </w:pPr>
      <w:r>
        <w:rPr>
          <w:rFonts w:cs="Times New Roman"/>
          <w:b/>
          <w:bCs/>
          <w:color w:val="auto"/>
          <w:szCs w:val="24"/>
          <w:highlight w:val="none"/>
        </w:rPr>
        <w:t>2、地表水环境影响评价结论</w:t>
      </w:r>
    </w:p>
    <w:p w14:paraId="0474F8A4">
      <w:pPr>
        <w:rPr>
          <w:rFonts w:cs="Times New Roman"/>
          <w:snapToGrid w:val="0"/>
          <w:color w:val="auto"/>
          <w:highlight w:val="none"/>
        </w:rPr>
      </w:pPr>
      <w:r>
        <w:rPr>
          <w:rFonts w:cs="Times New Roman"/>
          <w:color w:val="auto"/>
          <w:highlight w:val="none"/>
        </w:rPr>
        <w:t>本项目运营期产生的废水包括生产废水和生活污水。</w:t>
      </w:r>
      <w:r>
        <w:rPr>
          <w:rFonts w:cs="Times New Roman"/>
          <w:snapToGrid w:val="0"/>
          <w:color w:val="auto"/>
          <w:highlight w:val="none"/>
          <w:lang w:val="zh-CN"/>
        </w:rPr>
        <w:t>其中，生产废水</w:t>
      </w:r>
      <w:r>
        <w:rPr>
          <w:rFonts w:hint="eastAsia" w:cs="Times New Roman"/>
          <w:snapToGrid w:val="0"/>
          <w:color w:val="auto"/>
          <w:highlight w:val="none"/>
          <w:lang w:val="zh-CN"/>
        </w:rPr>
        <w:t>包括</w:t>
      </w:r>
      <w:r>
        <w:rPr>
          <w:rFonts w:cs="Times New Roman"/>
          <w:snapToGrid w:val="0"/>
          <w:color w:val="auto"/>
          <w:highlight w:val="none"/>
          <w:lang w:val="zh-CN"/>
        </w:rPr>
        <w:t>屠宰废水</w:t>
      </w:r>
      <w:r>
        <w:rPr>
          <w:rFonts w:hint="eastAsia" w:cs="Times New Roman"/>
          <w:snapToGrid w:val="0"/>
          <w:color w:val="auto"/>
          <w:highlight w:val="none"/>
          <w:lang w:val="zh-CN"/>
        </w:rPr>
        <w:t>、</w:t>
      </w:r>
      <w:r>
        <w:rPr>
          <w:rFonts w:hint="eastAsia" w:cs="Times New Roman"/>
          <w:snapToGrid w:val="0"/>
          <w:color w:val="auto"/>
          <w:highlight w:val="none"/>
          <w:lang w:val="en-US" w:eastAsia="zh-CN"/>
        </w:rPr>
        <w:t>车辆冲洗水</w:t>
      </w:r>
      <w:r>
        <w:rPr>
          <w:rFonts w:cs="Times New Roman"/>
          <w:snapToGrid w:val="0"/>
          <w:color w:val="auto"/>
          <w:highlight w:val="none"/>
          <w:lang w:val="zh-CN"/>
        </w:rPr>
        <w:t>，</w:t>
      </w:r>
      <w:r>
        <w:rPr>
          <w:rFonts w:cs="Times New Roman"/>
          <w:color w:val="auto"/>
          <w:highlight w:val="none"/>
        </w:rPr>
        <w:t>生活污水为</w:t>
      </w:r>
      <w:r>
        <w:rPr>
          <w:rFonts w:cs="Times New Roman"/>
          <w:bCs/>
          <w:color w:val="auto"/>
          <w:szCs w:val="24"/>
          <w:highlight w:val="none"/>
        </w:rPr>
        <w:t>员工日常生活污水。</w:t>
      </w:r>
      <w:r>
        <w:rPr>
          <w:rFonts w:hint="eastAsia" w:cs="Times New Roman"/>
          <w:bCs/>
          <w:color w:val="auto"/>
          <w:szCs w:val="24"/>
          <w:highlight w:val="none"/>
          <w:lang w:val="en-US" w:eastAsia="zh-CN"/>
        </w:rPr>
        <w:t>生产</w:t>
      </w:r>
      <w:r>
        <w:rPr>
          <w:rFonts w:cs="Times New Roman"/>
          <w:bCs/>
          <w:color w:val="auto"/>
          <w:szCs w:val="24"/>
          <w:highlight w:val="none"/>
        </w:rPr>
        <w:t>废水经厂区自建的污水处理站进行处理，污水处理站采用“</w:t>
      </w:r>
      <w:r>
        <w:rPr>
          <w:rFonts w:hint="eastAsia" w:cs="Times New Roman"/>
          <w:bCs/>
          <w:color w:val="auto"/>
          <w:szCs w:val="24"/>
          <w:highlight w:val="none"/>
          <w:lang w:eastAsia="zh-CN"/>
        </w:rPr>
        <w:t>格栅+</w:t>
      </w:r>
      <w:r>
        <w:rPr>
          <w:rFonts w:hint="eastAsia" w:cs="Times New Roman"/>
          <w:bCs/>
          <w:color w:val="auto"/>
          <w:szCs w:val="24"/>
          <w:highlight w:val="none"/>
          <w:lang w:val="en-US" w:eastAsia="zh-CN"/>
        </w:rPr>
        <w:t>隔油池+调节池</w:t>
      </w:r>
      <w:r>
        <w:rPr>
          <w:rFonts w:hint="eastAsia" w:cs="Times New Roman"/>
          <w:bCs/>
          <w:color w:val="auto"/>
          <w:szCs w:val="24"/>
          <w:highlight w:val="none"/>
          <w:lang w:eastAsia="zh-CN"/>
        </w:rPr>
        <w:t>+气浮+水解酸化+</w:t>
      </w:r>
      <w:r>
        <w:rPr>
          <w:rFonts w:hint="eastAsia" w:cs="Times New Roman"/>
          <w:bCs/>
          <w:color w:val="auto"/>
          <w:szCs w:val="24"/>
          <w:highlight w:val="none"/>
          <w:lang w:val="en-US" w:eastAsia="zh-CN"/>
        </w:rPr>
        <w:t>反硝化缺氧+好氧</w:t>
      </w:r>
      <w:r>
        <w:rPr>
          <w:rFonts w:hint="eastAsia" w:cs="Times New Roman"/>
          <w:bCs/>
          <w:color w:val="auto"/>
          <w:szCs w:val="24"/>
          <w:highlight w:val="none"/>
          <w:lang w:eastAsia="zh-CN"/>
        </w:rPr>
        <w:t>+沉淀+消毒（</w:t>
      </w:r>
      <w:r>
        <w:rPr>
          <w:rFonts w:hint="eastAsia" w:cs="Times New Roman"/>
          <w:bCs/>
          <w:color w:val="auto"/>
          <w:szCs w:val="24"/>
          <w:highlight w:val="none"/>
          <w:lang w:val="en-US" w:eastAsia="zh-CN"/>
        </w:rPr>
        <w:t>次氯酸钠）</w:t>
      </w:r>
      <w:r>
        <w:rPr>
          <w:rFonts w:cs="Times New Roman"/>
          <w:bCs/>
          <w:color w:val="auto"/>
          <w:szCs w:val="24"/>
          <w:highlight w:val="none"/>
        </w:rPr>
        <w:t>”工艺，处理后满足《肉类加工工业水污染物排放标准》（GB13457-92）表3标准限值后</w:t>
      </w:r>
      <w:r>
        <w:rPr>
          <w:rFonts w:cs="Times New Roman"/>
          <w:snapToGrid w:val="0"/>
          <w:color w:val="auto"/>
          <w:highlight w:val="none"/>
        </w:rPr>
        <w:t>同生活污水</w:t>
      </w:r>
      <w:r>
        <w:rPr>
          <w:rFonts w:cs="Times New Roman"/>
          <w:snapToGrid w:val="0"/>
          <w:color w:val="auto"/>
          <w:highlight w:val="none"/>
          <w:lang w:val="en-GB"/>
        </w:rPr>
        <w:t>经污水管网排入</w:t>
      </w:r>
      <w:r>
        <w:rPr>
          <w:rFonts w:hint="eastAsia" w:cs="Times New Roman"/>
          <w:snapToGrid w:val="0"/>
          <w:color w:val="auto"/>
          <w:highlight w:val="none"/>
          <w:lang w:eastAsia="zh-CN"/>
        </w:rPr>
        <w:t>双鸭山市畅源排水有限公司</w:t>
      </w:r>
      <w:r>
        <w:rPr>
          <w:rFonts w:cs="Times New Roman"/>
          <w:snapToGrid w:val="0"/>
          <w:color w:val="auto"/>
          <w:highlight w:val="none"/>
        </w:rPr>
        <w:t>处理，处理</w:t>
      </w:r>
      <w:r>
        <w:rPr>
          <w:rFonts w:cs="Times New Roman"/>
          <w:snapToGrid w:val="0"/>
          <w:color w:val="auto"/>
          <w:highlight w:val="none"/>
          <w:lang w:val="en-GB"/>
        </w:rPr>
        <w:t>达标后排入</w:t>
      </w:r>
      <w:r>
        <w:rPr>
          <w:rFonts w:hint="eastAsia" w:cs="Times New Roman"/>
          <w:snapToGrid w:val="0"/>
          <w:color w:val="auto"/>
          <w:highlight w:val="none"/>
          <w:lang w:val="en-GB" w:eastAsia="zh-CN"/>
        </w:rPr>
        <w:t>安邦河</w:t>
      </w:r>
      <w:r>
        <w:rPr>
          <w:rFonts w:cs="Times New Roman"/>
          <w:snapToGrid w:val="0"/>
          <w:color w:val="auto"/>
          <w:highlight w:val="none"/>
          <w:lang w:val="en-GB"/>
        </w:rPr>
        <w:t>。</w:t>
      </w:r>
    </w:p>
    <w:p w14:paraId="65137EA4">
      <w:pPr>
        <w:ind w:firstLine="482"/>
        <w:rPr>
          <w:rFonts w:cs="Times New Roman"/>
          <w:b/>
          <w:bCs/>
          <w:color w:val="auto"/>
          <w:szCs w:val="24"/>
          <w:highlight w:val="none"/>
        </w:rPr>
      </w:pPr>
      <w:r>
        <w:rPr>
          <w:rFonts w:cs="Times New Roman"/>
          <w:b/>
          <w:bCs/>
          <w:color w:val="auto"/>
          <w:szCs w:val="24"/>
          <w:highlight w:val="none"/>
        </w:rPr>
        <w:t>2、地下水环境影响评价结论</w:t>
      </w:r>
    </w:p>
    <w:p w14:paraId="74B57646">
      <w:pPr>
        <w:widowControl/>
        <w:jc w:val="left"/>
        <w:rPr>
          <w:rFonts w:cs="Times New Roman"/>
          <w:color w:val="auto"/>
          <w:highlight w:val="none"/>
        </w:rPr>
      </w:pPr>
      <w:r>
        <w:rPr>
          <w:rFonts w:cs="Times New Roman"/>
          <w:color w:val="auto"/>
          <w:szCs w:val="24"/>
          <w:highlight w:val="none"/>
        </w:rPr>
        <w:t>项目在工程上采取分区防渗措施，在正常工况下，一般不会发生废水的泄漏，不会对地下水环境造成污染影响。在事故工况下，调节池破损泄漏未能及时采取措施，则会对场地局部区域的地下水含水层造成污染影响。通过预测分析可知，区域地下水流动比较缓慢，如污染物渗入地下水，污染物随地下水迁移速度较慢，本项目发生持续泄漏的情况下，COD运移100d时，下游</w:t>
      </w:r>
      <w:r>
        <w:rPr>
          <w:rFonts w:hint="eastAsia" w:cs="Times New Roman"/>
          <w:color w:val="auto"/>
          <w:szCs w:val="24"/>
          <w:highlight w:val="none"/>
          <w:lang w:val="en-US" w:eastAsia="zh-CN"/>
        </w:rPr>
        <w:t>14</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21</w:t>
      </w:r>
      <w:r>
        <w:rPr>
          <w:rFonts w:cs="Times New Roman"/>
          <w:color w:val="auto"/>
          <w:szCs w:val="24"/>
          <w:highlight w:val="none"/>
        </w:rPr>
        <w:t>m范围内；运移</w:t>
      </w:r>
      <w:r>
        <w:rPr>
          <w:rFonts w:hint="eastAsia" w:cs="Times New Roman"/>
          <w:color w:val="auto"/>
          <w:szCs w:val="24"/>
          <w:highlight w:val="none"/>
          <w:lang w:val="en-US" w:eastAsia="zh-CN"/>
        </w:rPr>
        <w:t>1000</w:t>
      </w:r>
      <w:r>
        <w:rPr>
          <w:rFonts w:cs="Times New Roman"/>
          <w:color w:val="auto"/>
          <w:szCs w:val="24"/>
          <w:highlight w:val="none"/>
        </w:rPr>
        <w:t>d时，下游</w:t>
      </w:r>
      <w:r>
        <w:rPr>
          <w:rFonts w:hint="eastAsia" w:cs="Times New Roman"/>
          <w:color w:val="auto"/>
          <w:szCs w:val="24"/>
          <w:highlight w:val="none"/>
          <w:lang w:val="en-US" w:eastAsia="zh-CN"/>
        </w:rPr>
        <w:t>69</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89</w:t>
      </w:r>
      <w:r>
        <w:rPr>
          <w:rFonts w:cs="Times New Roman"/>
          <w:color w:val="auto"/>
          <w:szCs w:val="24"/>
          <w:highlight w:val="none"/>
        </w:rPr>
        <w:t>m范围内；运移</w:t>
      </w:r>
      <w:r>
        <w:rPr>
          <w:rFonts w:hint="eastAsia" w:cs="Times New Roman"/>
          <w:color w:val="auto"/>
          <w:szCs w:val="24"/>
          <w:highlight w:val="none"/>
          <w:lang w:val="en-US" w:eastAsia="zh-CN"/>
        </w:rPr>
        <w:t>3650</w:t>
      </w:r>
      <w:r>
        <w:rPr>
          <w:rFonts w:cs="Times New Roman"/>
          <w:color w:val="auto"/>
          <w:szCs w:val="24"/>
          <w:highlight w:val="none"/>
        </w:rPr>
        <w:t>时，下游</w:t>
      </w:r>
      <w:r>
        <w:rPr>
          <w:rFonts w:hint="eastAsia" w:cs="Times New Roman"/>
          <w:color w:val="auto"/>
          <w:szCs w:val="24"/>
          <w:highlight w:val="none"/>
          <w:lang w:val="en-US" w:eastAsia="zh-CN"/>
        </w:rPr>
        <w:t>190</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232</w:t>
      </w:r>
      <w:r>
        <w:rPr>
          <w:rFonts w:cs="Times New Roman"/>
          <w:color w:val="auto"/>
          <w:szCs w:val="24"/>
          <w:highlight w:val="none"/>
        </w:rPr>
        <w:t>m范围内。氨氮运移100d时，下游</w:t>
      </w:r>
      <w:r>
        <w:rPr>
          <w:rFonts w:hint="eastAsia" w:cs="Times New Roman"/>
          <w:color w:val="auto"/>
          <w:szCs w:val="24"/>
          <w:highlight w:val="none"/>
          <w:lang w:val="en-US" w:eastAsia="zh-CN"/>
        </w:rPr>
        <w:t>15</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17</w:t>
      </w:r>
      <w:r>
        <w:rPr>
          <w:rFonts w:cs="Times New Roman"/>
          <w:color w:val="auto"/>
          <w:szCs w:val="24"/>
          <w:highlight w:val="none"/>
        </w:rPr>
        <w:t>m范围内；运移</w:t>
      </w:r>
      <w:r>
        <w:rPr>
          <w:rFonts w:hint="eastAsia" w:cs="Times New Roman"/>
          <w:color w:val="auto"/>
          <w:szCs w:val="24"/>
          <w:highlight w:val="none"/>
          <w:lang w:val="en-US" w:eastAsia="zh-CN"/>
        </w:rPr>
        <w:t>1000</w:t>
      </w:r>
      <w:r>
        <w:rPr>
          <w:rFonts w:cs="Times New Roman"/>
          <w:color w:val="auto"/>
          <w:szCs w:val="24"/>
          <w:highlight w:val="none"/>
        </w:rPr>
        <w:t>d时，下游</w:t>
      </w:r>
      <w:r>
        <w:rPr>
          <w:rFonts w:hint="eastAsia" w:cs="Times New Roman"/>
          <w:color w:val="auto"/>
          <w:szCs w:val="24"/>
          <w:highlight w:val="none"/>
          <w:lang w:val="en-US" w:eastAsia="zh-CN"/>
        </w:rPr>
        <w:t>71</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78</w:t>
      </w:r>
      <w:r>
        <w:rPr>
          <w:rFonts w:cs="Times New Roman"/>
          <w:color w:val="auto"/>
          <w:szCs w:val="24"/>
          <w:highlight w:val="none"/>
        </w:rPr>
        <w:t>m范围内；运移</w:t>
      </w:r>
      <w:r>
        <w:rPr>
          <w:rFonts w:hint="eastAsia" w:cs="Times New Roman"/>
          <w:color w:val="auto"/>
          <w:szCs w:val="24"/>
          <w:highlight w:val="none"/>
          <w:lang w:val="en-US" w:eastAsia="zh-CN"/>
        </w:rPr>
        <w:t>3650</w:t>
      </w:r>
      <w:r>
        <w:rPr>
          <w:rFonts w:cs="Times New Roman"/>
          <w:color w:val="auto"/>
          <w:szCs w:val="24"/>
          <w:highlight w:val="none"/>
        </w:rPr>
        <w:t>d时，下游</w:t>
      </w:r>
      <w:r>
        <w:rPr>
          <w:rFonts w:hint="eastAsia" w:cs="Times New Roman"/>
          <w:color w:val="auto"/>
          <w:szCs w:val="24"/>
          <w:highlight w:val="none"/>
          <w:lang w:val="en-US" w:eastAsia="zh-CN"/>
        </w:rPr>
        <w:t>194</w:t>
      </w:r>
      <w:r>
        <w:rPr>
          <w:rFonts w:cs="Times New Roman"/>
          <w:color w:val="auto"/>
          <w:szCs w:val="24"/>
          <w:highlight w:val="none"/>
        </w:rPr>
        <w:t>m处可达标，影响范围在泄漏点至下游</w:t>
      </w:r>
      <w:r>
        <w:rPr>
          <w:rFonts w:hint="eastAsia" w:cs="Times New Roman"/>
          <w:color w:val="auto"/>
          <w:szCs w:val="24"/>
          <w:highlight w:val="none"/>
          <w:lang w:val="en-US" w:eastAsia="zh-CN"/>
        </w:rPr>
        <w:t>208</w:t>
      </w:r>
      <w:r>
        <w:rPr>
          <w:rFonts w:cs="Times New Roman"/>
          <w:color w:val="auto"/>
          <w:szCs w:val="24"/>
          <w:highlight w:val="none"/>
        </w:rPr>
        <w:t>m范围内。COD</w:t>
      </w:r>
      <w:r>
        <w:rPr>
          <w:rFonts w:hint="eastAsia" w:cs="Times New Roman"/>
          <w:color w:val="auto"/>
          <w:szCs w:val="24"/>
          <w:highlight w:val="none"/>
          <w:lang w:eastAsia="zh-CN"/>
        </w:rPr>
        <w:t>、</w:t>
      </w:r>
      <w:r>
        <w:rPr>
          <w:rFonts w:hint="eastAsia" w:cs="Times New Roman"/>
          <w:color w:val="auto"/>
          <w:szCs w:val="24"/>
          <w:highlight w:val="none"/>
          <w:lang w:val="en-US" w:eastAsia="zh-CN"/>
        </w:rPr>
        <w:t>氨氮运移3650d后超标点位于厂界内</w:t>
      </w:r>
      <w:r>
        <w:rPr>
          <w:rFonts w:cs="Times New Roman"/>
          <w:color w:val="auto"/>
          <w:szCs w:val="24"/>
          <w:highlight w:val="none"/>
        </w:rPr>
        <w:t>，因此项目建设对区域地下水环境影响较小。</w:t>
      </w:r>
    </w:p>
    <w:p w14:paraId="0AD8412C">
      <w:pPr>
        <w:ind w:firstLine="482"/>
        <w:rPr>
          <w:rFonts w:cs="Times New Roman"/>
          <w:b/>
          <w:bCs/>
          <w:color w:val="auto"/>
          <w:szCs w:val="24"/>
          <w:highlight w:val="none"/>
        </w:rPr>
      </w:pPr>
      <w:r>
        <w:rPr>
          <w:rFonts w:cs="Times New Roman"/>
          <w:b/>
          <w:bCs/>
          <w:color w:val="auto"/>
          <w:szCs w:val="24"/>
          <w:highlight w:val="none"/>
        </w:rPr>
        <w:t>4、噪声环境影响评价结论</w:t>
      </w:r>
    </w:p>
    <w:p w14:paraId="4FA990D3">
      <w:pPr>
        <w:widowControl/>
        <w:jc w:val="left"/>
        <w:rPr>
          <w:rFonts w:cs="Times New Roman"/>
          <w:color w:val="auto"/>
          <w:highlight w:val="none"/>
        </w:rPr>
      </w:pPr>
      <w:r>
        <w:rPr>
          <w:rFonts w:cs="Times New Roman"/>
          <w:color w:val="auto"/>
          <w:kern w:val="0"/>
          <w:szCs w:val="24"/>
          <w:highlight w:val="none"/>
          <w:lang w:bidi="ar"/>
        </w:rPr>
        <w:t>经采取选用低噪声设备、减振、隔声等措施后，噪声可满足《工业企业厂界环境噪声排放标准》（GB12348-2008）中</w:t>
      </w:r>
      <w:r>
        <w:rPr>
          <w:rFonts w:hint="eastAsia" w:cs="Times New Roman"/>
          <w:color w:val="auto"/>
          <w:kern w:val="0"/>
          <w:szCs w:val="24"/>
          <w:highlight w:val="none"/>
          <w:lang w:val="en-US" w:eastAsia="zh-CN" w:bidi="ar"/>
        </w:rPr>
        <w:t>2</w:t>
      </w:r>
      <w:r>
        <w:rPr>
          <w:rFonts w:cs="Times New Roman"/>
          <w:color w:val="auto"/>
          <w:kern w:val="0"/>
          <w:szCs w:val="24"/>
          <w:highlight w:val="none"/>
          <w:lang w:bidi="ar"/>
        </w:rPr>
        <w:t>类标准要求，</w:t>
      </w:r>
      <w:r>
        <w:rPr>
          <w:rFonts w:cs="Times New Roman"/>
          <w:color w:val="auto"/>
          <w:szCs w:val="24"/>
          <w:highlight w:val="none"/>
        </w:rPr>
        <w:t>实现厂界达标</w:t>
      </w:r>
      <w:r>
        <w:rPr>
          <w:rFonts w:cs="Times New Roman"/>
          <w:color w:val="auto"/>
          <w:kern w:val="0"/>
          <w:szCs w:val="24"/>
          <w:highlight w:val="none"/>
          <w:lang w:bidi="ar"/>
        </w:rPr>
        <w:t>，</w:t>
      </w:r>
      <w:r>
        <w:rPr>
          <w:rFonts w:hint="eastAsia" w:cs="Times New Roman"/>
          <w:color w:val="auto"/>
          <w:szCs w:val="24"/>
          <w:highlight w:val="none"/>
          <w:lang w:val="en-US" w:eastAsia="zh-CN"/>
        </w:rPr>
        <w:t>厂区西侧敏感点噪声满足《声环境质量标准》（GB3096-2008）中2类标准。</w:t>
      </w:r>
      <w:r>
        <w:rPr>
          <w:rFonts w:cs="Times New Roman"/>
          <w:color w:val="auto"/>
          <w:kern w:val="0"/>
          <w:szCs w:val="24"/>
          <w:highlight w:val="none"/>
          <w:lang w:bidi="ar"/>
        </w:rPr>
        <w:t>因此本项目运营期对周围声环境质量影响较小。</w:t>
      </w:r>
    </w:p>
    <w:p w14:paraId="672C6028">
      <w:pPr>
        <w:widowControl/>
        <w:ind w:firstLine="482"/>
        <w:jc w:val="left"/>
        <w:rPr>
          <w:rFonts w:cs="Times New Roman"/>
          <w:b/>
          <w:bCs/>
          <w:color w:val="auto"/>
          <w:kern w:val="0"/>
          <w:szCs w:val="24"/>
          <w:highlight w:val="none"/>
          <w:lang w:bidi="ar"/>
        </w:rPr>
      </w:pPr>
      <w:r>
        <w:rPr>
          <w:rFonts w:cs="Times New Roman"/>
          <w:b/>
          <w:bCs/>
          <w:color w:val="auto"/>
          <w:kern w:val="0"/>
          <w:szCs w:val="24"/>
          <w:highlight w:val="none"/>
          <w:lang w:bidi="ar"/>
        </w:rPr>
        <w:t>5、固体废物环境影响评价结论</w:t>
      </w:r>
    </w:p>
    <w:p w14:paraId="7FA04BA3">
      <w:pPr>
        <w:widowControl/>
        <w:jc w:val="left"/>
        <w:rPr>
          <w:rFonts w:cs="Times New Roman"/>
          <w:color w:val="auto"/>
          <w:kern w:val="0"/>
          <w:szCs w:val="24"/>
          <w:highlight w:val="none"/>
          <w:lang w:bidi="ar"/>
        </w:rPr>
      </w:pPr>
      <w:r>
        <w:rPr>
          <w:rFonts w:cs="Times New Roman"/>
          <w:color w:val="auto"/>
          <w:kern w:val="0"/>
          <w:szCs w:val="24"/>
          <w:highlight w:val="none"/>
          <w:lang w:bidi="ar"/>
        </w:rPr>
        <w:t>本项目运营期产生的固体废物为一般固体废物及危险废物，一般固体废物主要包括检疫不合格品、病死牛羊、粪便、边角料、</w:t>
      </w:r>
      <w:r>
        <w:rPr>
          <w:rFonts w:hint="eastAsia" w:cs="Times New Roman"/>
          <w:color w:val="auto"/>
          <w:kern w:val="0"/>
          <w:szCs w:val="24"/>
          <w:highlight w:val="none"/>
          <w:lang w:val="en-US" w:eastAsia="zh-CN" w:bidi="ar"/>
        </w:rPr>
        <w:t>隔油池废油脂、</w:t>
      </w:r>
      <w:r>
        <w:rPr>
          <w:rFonts w:cs="Times New Roman"/>
          <w:color w:val="auto"/>
          <w:kern w:val="0"/>
          <w:szCs w:val="24"/>
          <w:highlight w:val="none"/>
          <w:lang w:bidi="ar"/>
        </w:rPr>
        <w:t>胃容物及肠内物、污泥（含栅渣）、废包装以及生活垃圾；危险废物包括废活性炭、</w:t>
      </w:r>
      <w:r>
        <w:rPr>
          <w:rFonts w:hint="eastAsia" w:cs="Times New Roman"/>
          <w:color w:val="auto"/>
          <w:kern w:val="0"/>
          <w:szCs w:val="24"/>
          <w:highlight w:val="none"/>
          <w:lang w:val="en-US" w:eastAsia="zh-CN" w:bidi="ar"/>
        </w:rPr>
        <w:t>在线监测废液</w:t>
      </w:r>
      <w:r>
        <w:rPr>
          <w:rFonts w:hint="eastAsia" w:cs="Times New Roman"/>
          <w:color w:val="auto"/>
          <w:kern w:val="0"/>
          <w:szCs w:val="24"/>
          <w:highlight w:val="none"/>
          <w:lang w:eastAsia="zh-CN" w:bidi="ar"/>
        </w:rPr>
        <w:t>、</w:t>
      </w:r>
      <w:r>
        <w:rPr>
          <w:rFonts w:hint="eastAsia" w:cs="Times New Roman"/>
          <w:snapToGrid w:val="0"/>
          <w:color w:val="auto"/>
          <w:kern w:val="0"/>
          <w:szCs w:val="24"/>
          <w:highlight w:val="none"/>
          <w:lang w:eastAsia="zh-CN"/>
        </w:rPr>
        <w:t>检疫废物、废润滑油及含油抹布、劳保手套</w:t>
      </w:r>
      <w:r>
        <w:rPr>
          <w:rFonts w:cs="Times New Roman"/>
          <w:color w:val="auto"/>
          <w:kern w:val="0"/>
          <w:szCs w:val="24"/>
          <w:highlight w:val="none"/>
          <w:lang w:bidi="ar"/>
        </w:rPr>
        <w:t>。</w:t>
      </w:r>
    </w:p>
    <w:p w14:paraId="3C902D34">
      <w:pPr>
        <w:widowControl/>
        <w:jc w:val="left"/>
        <w:rPr>
          <w:rFonts w:cs="Times New Roman"/>
          <w:color w:val="auto"/>
          <w:kern w:val="0"/>
          <w:szCs w:val="24"/>
          <w:highlight w:val="none"/>
          <w:lang w:bidi="ar"/>
        </w:rPr>
      </w:pPr>
      <w:r>
        <w:rPr>
          <w:rFonts w:cs="Times New Roman"/>
          <w:color w:val="auto"/>
          <w:kern w:val="0"/>
          <w:szCs w:val="24"/>
          <w:highlight w:val="none"/>
          <w:lang w:bidi="ar"/>
        </w:rPr>
        <w:t>本项目固体废物100%处置，本项目运营期产生的固体废物对周围环境影响较小。</w:t>
      </w:r>
    </w:p>
    <w:p w14:paraId="772C9C85">
      <w:pPr>
        <w:widowControl/>
        <w:ind w:firstLine="482"/>
        <w:jc w:val="left"/>
        <w:rPr>
          <w:rFonts w:cs="Times New Roman"/>
          <w:b/>
          <w:bCs/>
          <w:color w:val="auto"/>
          <w:kern w:val="0"/>
          <w:szCs w:val="24"/>
          <w:highlight w:val="none"/>
          <w:lang w:bidi="ar"/>
        </w:rPr>
      </w:pPr>
      <w:r>
        <w:rPr>
          <w:rFonts w:cs="Times New Roman"/>
          <w:b/>
          <w:bCs/>
          <w:color w:val="auto"/>
          <w:kern w:val="0"/>
          <w:szCs w:val="24"/>
          <w:highlight w:val="none"/>
          <w:lang w:bidi="ar"/>
        </w:rPr>
        <w:t>6、环境风险影响评价结论</w:t>
      </w:r>
    </w:p>
    <w:p w14:paraId="57FFDA21">
      <w:pPr>
        <w:widowControl/>
        <w:jc w:val="left"/>
        <w:rPr>
          <w:rFonts w:cs="Times New Roman"/>
          <w:color w:val="auto"/>
          <w:kern w:val="0"/>
          <w:szCs w:val="24"/>
          <w:highlight w:val="none"/>
          <w:lang w:bidi="ar"/>
        </w:rPr>
      </w:pPr>
      <w:r>
        <w:rPr>
          <w:rFonts w:cs="Times New Roman"/>
          <w:color w:val="auto"/>
          <w:kern w:val="0"/>
          <w:szCs w:val="24"/>
          <w:highlight w:val="none"/>
          <w:lang w:bidi="ar"/>
        </w:rPr>
        <w:t>本项目环境风险主要为</w:t>
      </w:r>
      <w:r>
        <w:rPr>
          <w:rFonts w:hint="eastAsia" w:cs="Times New Roman"/>
          <w:snapToGrid w:val="0"/>
          <w:color w:val="auto"/>
          <w:kern w:val="0"/>
          <w:szCs w:val="24"/>
          <w:highlight w:val="none"/>
          <w:lang w:val="en-US" w:eastAsia="zh-CN"/>
        </w:rPr>
        <w:t>污水处理站消毒工艺中使用的次氯酸钠，</w:t>
      </w:r>
      <w:r>
        <w:rPr>
          <w:rFonts w:hint="default" w:ascii="Times New Roman" w:hAnsi="Times New Roman" w:cs="Times New Roman" w:eastAsiaTheme="minorEastAsia"/>
          <w:color w:val="auto"/>
          <w:spacing w:val="0"/>
          <w:w w:val="100"/>
          <w:position w:val="0"/>
          <w:sz w:val="24"/>
          <w:szCs w:val="24"/>
          <w:highlight w:val="none"/>
          <w:lang w:val="en-US" w:eastAsia="zh-CN"/>
        </w:rPr>
        <w:t>屠宰车间和待宰圈产生的</w:t>
      </w:r>
      <w:r>
        <w:rPr>
          <w:rFonts w:hint="default" w:ascii="Times New Roman" w:hAnsi="Times New Roman" w:eastAsia="宋体" w:cs="Times New Roman"/>
          <w:color w:val="auto"/>
          <w:sz w:val="24"/>
          <w:szCs w:val="24"/>
          <w:highlight w:val="none"/>
          <w:lang w:val="en-US" w:eastAsia="zh-CN"/>
        </w:rPr>
        <w:t>氨气和硫化氢</w:t>
      </w:r>
      <w:r>
        <w:rPr>
          <w:rFonts w:hint="eastAsia" w:ascii="Times New Roman" w:hAnsi="Times New Roman" w:eastAsia="宋体" w:cs="Times New Roman"/>
          <w:color w:val="auto"/>
          <w:sz w:val="24"/>
          <w:szCs w:val="24"/>
          <w:highlight w:val="none"/>
          <w:lang w:val="en-US" w:eastAsia="zh-CN"/>
        </w:rPr>
        <w:t>，危险废物（废润滑油）、在线监测废液</w:t>
      </w:r>
      <w:r>
        <w:rPr>
          <w:rFonts w:cs="Times New Roman"/>
          <w:snapToGrid w:val="0"/>
          <w:color w:val="auto"/>
          <w:kern w:val="0"/>
          <w:szCs w:val="24"/>
          <w:highlight w:val="none"/>
        </w:rPr>
        <w:t>。</w:t>
      </w:r>
      <w:r>
        <w:rPr>
          <w:rFonts w:cs="Times New Roman"/>
          <w:color w:val="auto"/>
          <w:kern w:val="0"/>
          <w:szCs w:val="24"/>
          <w:highlight w:val="none"/>
          <w:lang w:bidi="ar"/>
        </w:rPr>
        <w:t>建设单位运营过程中应从多方面积极采取防护措施，企业建立健全环境应急预案体系，加强环境应急预案演练、评估与修订。本项目设有事故池，能够有效防止事故过程中产生的可能严重污染水体的生产废水、废液直接排入水体。一旦突发环境风险事故，立即按应急预案提到的紧急处理、救援、监测方案等进行紧急救援，项目可以有效的防范风险事故发生或对事故的发生进行有效处置，防止环境污染事故发生。</w:t>
      </w:r>
    </w:p>
    <w:p w14:paraId="44EC4B17">
      <w:pPr>
        <w:pStyle w:val="3"/>
        <w:spacing w:before="163" w:after="163"/>
        <w:rPr>
          <w:rFonts w:cs="Times New Roman"/>
          <w:color w:val="auto"/>
          <w:highlight w:val="none"/>
        </w:rPr>
      </w:pPr>
      <w:bookmarkStart w:id="464" w:name="_Toc61529229"/>
      <w:bookmarkStart w:id="465" w:name="_Toc32343"/>
      <w:r>
        <w:rPr>
          <w:rFonts w:cs="Times New Roman"/>
          <w:color w:val="auto"/>
          <w:highlight w:val="none"/>
        </w:rPr>
        <w:t>9.5 环境保护措施及其可行性</w:t>
      </w:r>
      <w:bookmarkEnd w:id="464"/>
      <w:bookmarkEnd w:id="465"/>
    </w:p>
    <w:p w14:paraId="52AB671E">
      <w:pPr>
        <w:rPr>
          <w:rFonts w:cs="Times New Roman"/>
          <w:snapToGrid w:val="0"/>
          <w:color w:val="auto"/>
          <w:kern w:val="0"/>
          <w:szCs w:val="24"/>
          <w:highlight w:val="none"/>
        </w:rPr>
      </w:pPr>
      <w:r>
        <w:rPr>
          <w:rFonts w:cs="Times New Roman"/>
          <w:color w:val="auto"/>
          <w:highlight w:val="none"/>
        </w:rPr>
        <w:t>在综合分析本项目建设期与运营期各项污染物的产生环节与产生源强基础上，本评价综合考虑经济可行性与技术可行性，针对每项污染物均提出了切实可行的治理技术，在建设单位严格按照环评要求落实各项目措施的基础上，可以保证项目在运营期所产生的各项污染物均可以达标排放，确保建设项目可为环境所接受。</w:t>
      </w:r>
    </w:p>
    <w:p w14:paraId="64EF377C">
      <w:pPr>
        <w:pStyle w:val="3"/>
        <w:spacing w:before="163" w:after="163"/>
        <w:rPr>
          <w:rFonts w:cs="Times New Roman"/>
          <w:color w:val="auto"/>
          <w:highlight w:val="none"/>
        </w:rPr>
      </w:pPr>
      <w:bookmarkStart w:id="466" w:name="_Toc24921"/>
      <w:bookmarkStart w:id="467" w:name="_Toc61529230"/>
      <w:r>
        <w:rPr>
          <w:rFonts w:cs="Times New Roman"/>
          <w:color w:val="auto"/>
          <w:highlight w:val="none"/>
        </w:rPr>
        <w:t>9.6 污染物排放总量控制</w:t>
      </w:r>
      <w:bookmarkEnd w:id="466"/>
      <w:bookmarkEnd w:id="467"/>
    </w:p>
    <w:p w14:paraId="3FF12B76">
      <w:pPr>
        <w:rPr>
          <w:rFonts w:cs="Times New Roman"/>
          <w:color w:val="auto"/>
          <w:highlight w:val="none"/>
        </w:rPr>
      </w:pPr>
      <w:r>
        <w:rPr>
          <w:rFonts w:cs="Times New Roman"/>
          <w:color w:val="auto"/>
          <w:szCs w:val="24"/>
          <w:highlight w:val="none"/>
        </w:rPr>
        <w:t>根据国家环境保护总局对实施污染物排放总量控制的要求，综合该项目排污特点、所在区域环境质量现状及环境主管部门的要求，该项目确定实行总量控制并结合项目排污特点，确定本项目总量控制指标为COD：</w:t>
      </w:r>
      <w:r>
        <w:rPr>
          <w:rFonts w:hint="eastAsia" w:cs="Times New Roman"/>
          <w:color w:val="auto"/>
          <w:szCs w:val="24"/>
          <w:highlight w:val="none"/>
          <w:lang w:val="en-US" w:eastAsia="zh-CN"/>
        </w:rPr>
        <w:t>19.1</w:t>
      </w:r>
      <w:r>
        <w:rPr>
          <w:rFonts w:cs="Times New Roman"/>
          <w:color w:val="auto"/>
          <w:szCs w:val="24"/>
          <w:highlight w:val="none"/>
        </w:rPr>
        <w:t>t/a</w:t>
      </w:r>
      <w:r>
        <w:rPr>
          <w:rFonts w:hint="eastAsia" w:cs="Times New Roman"/>
          <w:color w:val="auto"/>
          <w:szCs w:val="24"/>
          <w:highlight w:val="none"/>
          <w:lang w:eastAsia="zh-CN"/>
        </w:rPr>
        <w:t>；</w:t>
      </w:r>
      <w:r>
        <w:rPr>
          <w:rFonts w:cs="Times New Roman"/>
          <w:color w:val="auto"/>
          <w:szCs w:val="24"/>
          <w:highlight w:val="none"/>
        </w:rPr>
        <w:t>NH</w:t>
      </w:r>
      <w:r>
        <w:rPr>
          <w:rFonts w:cs="Times New Roman"/>
          <w:color w:val="auto"/>
          <w:szCs w:val="24"/>
          <w:highlight w:val="none"/>
          <w:vertAlign w:val="subscript"/>
        </w:rPr>
        <w:t>3</w:t>
      </w:r>
      <w:r>
        <w:rPr>
          <w:rFonts w:cs="Times New Roman"/>
          <w:color w:val="auto"/>
          <w:szCs w:val="24"/>
          <w:highlight w:val="none"/>
        </w:rPr>
        <w:t>-N：</w:t>
      </w:r>
      <w:r>
        <w:rPr>
          <w:rFonts w:hint="eastAsia" w:cs="Times New Roman"/>
          <w:color w:val="auto"/>
          <w:szCs w:val="24"/>
          <w:highlight w:val="none"/>
          <w:lang w:val="en-US" w:eastAsia="zh-CN"/>
        </w:rPr>
        <w:t>2.41</w:t>
      </w:r>
      <w:r>
        <w:rPr>
          <w:rFonts w:cs="Times New Roman"/>
          <w:color w:val="auto"/>
          <w:szCs w:val="24"/>
          <w:highlight w:val="none"/>
        </w:rPr>
        <w:t>t/a</w:t>
      </w:r>
      <w:r>
        <w:rPr>
          <w:rFonts w:cs="Times New Roman"/>
          <w:color w:val="auto"/>
          <w:highlight w:val="none"/>
        </w:rPr>
        <w:t>。</w:t>
      </w:r>
    </w:p>
    <w:p w14:paraId="3997F789">
      <w:pPr>
        <w:pStyle w:val="3"/>
        <w:spacing w:before="163" w:after="163"/>
        <w:rPr>
          <w:rFonts w:cs="Times New Roman"/>
          <w:color w:val="auto"/>
          <w:highlight w:val="none"/>
        </w:rPr>
      </w:pPr>
      <w:bookmarkStart w:id="468" w:name="_Toc61529231"/>
      <w:bookmarkStart w:id="469" w:name="_Toc7233"/>
      <w:r>
        <w:rPr>
          <w:rFonts w:cs="Times New Roman"/>
          <w:color w:val="auto"/>
          <w:highlight w:val="none"/>
        </w:rPr>
        <w:t>9.7 环境经济损益分析结论</w:t>
      </w:r>
      <w:bookmarkEnd w:id="468"/>
      <w:bookmarkEnd w:id="469"/>
    </w:p>
    <w:p w14:paraId="5F5E9294">
      <w:pPr>
        <w:rPr>
          <w:rFonts w:cs="Times New Roman"/>
          <w:snapToGrid w:val="0"/>
          <w:color w:val="auto"/>
          <w:kern w:val="0"/>
          <w:szCs w:val="24"/>
          <w:highlight w:val="none"/>
        </w:rPr>
      </w:pPr>
      <w:r>
        <w:rPr>
          <w:rFonts w:cs="Times New Roman"/>
          <w:color w:val="auto"/>
          <w:szCs w:val="24"/>
          <w:highlight w:val="none"/>
        </w:rPr>
        <w:t>通过对本项目的经济、社会和环境效益分析可知，在落实本评价提出的各项污染防治措施的前提下，本项目的建设能够达到经济效益、社会效益和环境效益的统一，既为地方经济发展做出贡献，又使污染物排放量在环境容量容许的范围内降低到最低。因此本项目的建设从环境经济损益的角度分析是可行的。</w:t>
      </w:r>
    </w:p>
    <w:p w14:paraId="236EEF82">
      <w:pPr>
        <w:pStyle w:val="3"/>
        <w:spacing w:before="163" w:after="163"/>
        <w:rPr>
          <w:rFonts w:cs="Times New Roman"/>
          <w:color w:val="auto"/>
          <w:highlight w:val="none"/>
        </w:rPr>
      </w:pPr>
      <w:bookmarkStart w:id="470" w:name="_Toc61529232"/>
      <w:bookmarkStart w:id="471" w:name="_Toc20595"/>
      <w:r>
        <w:rPr>
          <w:rFonts w:cs="Times New Roman"/>
          <w:color w:val="auto"/>
          <w:highlight w:val="none"/>
        </w:rPr>
        <w:t>9.8</w:t>
      </w:r>
      <w:bookmarkEnd w:id="470"/>
      <w:r>
        <w:rPr>
          <w:rFonts w:cs="Times New Roman"/>
          <w:color w:val="auto"/>
          <w:highlight w:val="none"/>
        </w:rPr>
        <w:t>公众参与采纳情况</w:t>
      </w:r>
      <w:bookmarkEnd w:id="471"/>
    </w:p>
    <w:p w14:paraId="7D977328">
      <w:pPr>
        <w:widowControl/>
        <w:jc w:val="left"/>
        <w:rPr>
          <w:rFonts w:cs="Times New Roman"/>
          <w:color w:val="auto"/>
          <w:highlight w:val="none"/>
        </w:rPr>
      </w:pPr>
      <w:r>
        <w:rPr>
          <w:rFonts w:cs="Times New Roman"/>
          <w:color w:val="auto"/>
          <w:kern w:val="0"/>
          <w:szCs w:val="24"/>
          <w:highlight w:val="none"/>
          <w:lang w:bidi="ar"/>
        </w:rPr>
        <w:t>在本报告书编制过程中，建设单位按照《环境影响评价公众参与办法》（生态环境部部令第4号）的有关规定组织开展了公众参与工作，采用网络公示、报纸公示相结合的方式，广泛听取各界对工程建设及环境保护方面的意见和要求。</w:t>
      </w:r>
    </w:p>
    <w:p w14:paraId="69885A0E">
      <w:pPr>
        <w:widowControl/>
        <w:jc w:val="left"/>
        <w:rPr>
          <w:rFonts w:cs="Times New Roman"/>
          <w:color w:val="auto"/>
          <w:highlight w:val="none"/>
        </w:rPr>
      </w:pPr>
      <w:r>
        <w:rPr>
          <w:rFonts w:cs="Times New Roman"/>
          <w:color w:val="auto"/>
          <w:kern w:val="0"/>
          <w:szCs w:val="24"/>
          <w:highlight w:val="none"/>
          <w:lang w:bidi="ar"/>
        </w:rPr>
        <w:t>在公示期间建设单位及环评单位未收到相关反馈意见。公司承诺一定会加强企业环境管理，强化诚信意识，恪守环保信用，将项目建设得更好，项目运行中主动公开环保信息，接受公众监督。</w:t>
      </w:r>
    </w:p>
    <w:p w14:paraId="6153FC6F">
      <w:pPr>
        <w:rPr>
          <w:rFonts w:cs="Times New Roman"/>
          <w:color w:val="auto"/>
          <w:highlight w:val="none"/>
        </w:rPr>
      </w:pPr>
      <w:bookmarkStart w:id="472" w:name="_Toc61529233"/>
      <w:r>
        <w:rPr>
          <w:rFonts w:cs="Times New Roman"/>
          <w:color w:val="auto"/>
          <w:highlight w:val="none"/>
        </w:rPr>
        <w:t>本项目公示期间未接到有效反馈意见。</w:t>
      </w:r>
    </w:p>
    <w:p w14:paraId="729D9FE9">
      <w:pPr>
        <w:pStyle w:val="3"/>
        <w:spacing w:before="163" w:after="163"/>
        <w:rPr>
          <w:rFonts w:cs="Times New Roman"/>
          <w:color w:val="auto"/>
          <w:highlight w:val="none"/>
        </w:rPr>
      </w:pPr>
      <w:bookmarkStart w:id="473" w:name="_Toc4878"/>
      <w:r>
        <w:rPr>
          <w:rFonts w:cs="Times New Roman"/>
          <w:color w:val="auto"/>
          <w:highlight w:val="none"/>
        </w:rPr>
        <w:t>9.9环境影响评价综合结论</w:t>
      </w:r>
      <w:bookmarkEnd w:id="472"/>
      <w:bookmarkEnd w:id="473"/>
    </w:p>
    <w:p w14:paraId="762F0571">
      <w:pPr>
        <w:widowControl/>
        <w:jc w:val="left"/>
        <w:rPr>
          <w:rFonts w:cs="Times New Roman"/>
          <w:color w:val="auto"/>
          <w:highlight w:val="none"/>
        </w:rPr>
      </w:pPr>
      <w:r>
        <w:rPr>
          <w:rFonts w:cs="Times New Roman"/>
          <w:color w:val="auto"/>
          <w:kern w:val="0"/>
          <w:szCs w:val="24"/>
          <w:highlight w:val="none"/>
          <w:lang w:bidi="ar"/>
        </w:rPr>
        <w:t>综合对建设项目的建设概况、环境质量现状、污染物排放情况、主要环境影响、公众意见采纳情况、环境保护措施、环境影响经济损益分析、环境管理与监测计划等结论，在确保污染防治措施全面实施并正常运行的前提下，本工程的建设可被周围环境所接受。因此，该工程建设从环境保护角度分析是可行的。</w:t>
      </w:r>
    </w:p>
    <w:p w14:paraId="1506105A">
      <w:pPr>
        <w:pStyle w:val="82"/>
        <w:ind w:firstLine="0" w:firstLineChars="0"/>
        <w:rPr>
          <w:rFonts w:ascii="Times New Roman" w:hAnsi="Times New Roman" w:cs="Times New Roman"/>
          <w:snapToGrid w:val="0"/>
          <w:color w:val="auto"/>
          <w:kern w:val="0"/>
          <w:sz w:val="24"/>
          <w:szCs w:val="24"/>
          <w:highlight w:val="none"/>
        </w:rPr>
      </w:pPr>
    </w:p>
    <w:bookmarkEnd w:id="454"/>
    <w:bookmarkEnd w:id="455"/>
    <w:bookmarkEnd w:id="456"/>
    <w:bookmarkEnd w:id="457"/>
    <w:p w14:paraId="23F97827">
      <w:pPr>
        <w:adjustRightInd/>
        <w:snapToGrid/>
        <w:spacing w:line="500" w:lineRule="exact"/>
        <w:rPr>
          <w:rFonts w:cs="Times New Roman"/>
          <w:snapToGrid w:val="0"/>
          <w:color w:val="auto"/>
          <w:kern w:val="0"/>
          <w:szCs w:val="24"/>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5A01D81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color w:val="auto"/>
          <w:highlight w:val="none"/>
        </w:rPr>
      </w:pPr>
      <w:bookmarkStart w:id="474" w:name="_Toc7013"/>
      <w:bookmarkStart w:id="475" w:name="_Toc26550"/>
      <w:bookmarkStart w:id="476" w:name="_Toc7814"/>
      <w:r>
        <w:rPr>
          <w:color w:val="auto"/>
          <w:highlight w:val="none"/>
        </w:rPr>
        <w:drawing>
          <wp:anchor distT="0" distB="0" distL="114300" distR="114300" simplePos="0" relativeHeight="251692032" behindDoc="0" locked="0" layoutInCell="1" allowOverlap="1">
            <wp:simplePos x="0" y="0"/>
            <wp:positionH relativeFrom="column">
              <wp:posOffset>7818755</wp:posOffset>
            </wp:positionH>
            <wp:positionV relativeFrom="paragraph">
              <wp:posOffset>17780</wp:posOffset>
            </wp:positionV>
            <wp:extent cx="577850" cy="584835"/>
            <wp:effectExtent l="0" t="0" r="12700" b="5715"/>
            <wp:wrapNone/>
            <wp:docPr id="10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
                    <pic:cNvPicPr>
                      <a:picLocks noChangeAspect="1"/>
                    </pic:cNvPicPr>
                  </pic:nvPicPr>
                  <pic:blipFill>
                    <a:blip r:embed="rId28"/>
                    <a:stretch>
                      <a:fillRect/>
                    </a:stretch>
                  </pic:blipFill>
                  <pic:spPr>
                    <a:xfrm>
                      <a:off x="0" y="0"/>
                      <a:ext cx="577850" cy="584835"/>
                    </a:xfrm>
                    <a:prstGeom prst="rect">
                      <a:avLst/>
                    </a:prstGeom>
                    <a:noFill/>
                    <a:ln>
                      <a:noFill/>
                    </a:ln>
                  </pic:spPr>
                </pic:pic>
              </a:graphicData>
            </a:graphic>
          </wp:anchor>
        </w:drawing>
      </w:r>
      <w:r>
        <w:rPr>
          <w:color w:val="auto"/>
          <w:sz w:val="24"/>
          <w:highlight w:val="none"/>
        </w:rPr>
        <mc:AlternateContent>
          <mc:Choice Requires="wpg">
            <w:drawing>
              <wp:anchor distT="0" distB="0" distL="114300" distR="114300" simplePos="0" relativeHeight="251693056" behindDoc="0" locked="0" layoutInCell="1" allowOverlap="1">
                <wp:simplePos x="0" y="0"/>
                <wp:positionH relativeFrom="column">
                  <wp:posOffset>3665220</wp:posOffset>
                </wp:positionH>
                <wp:positionV relativeFrom="paragraph">
                  <wp:posOffset>1845945</wp:posOffset>
                </wp:positionV>
                <wp:extent cx="1070610" cy="855980"/>
                <wp:effectExtent l="12700" t="12700" r="21590" b="26670"/>
                <wp:wrapNone/>
                <wp:docPr id="34" name="组合 34"/>
                <wp:cNvGraphicFramePr/>
                <a:graphic xmlns:a="http://schemas.openxmlformats.org/drawingml/2006/main">
                  <a:graphicData uri="http://schemas.microsoft.com/office/word/2010/wordprocessingGroup">
                    <wpg:wgp>
                      <wpg:cNvGrpSpPr/>
                      <wpg:grpSpPr>
                        <a:xfrm>
                          <a:off x="0" y="0"/>
                          <a:ext cx="1070610" cy="855980"/>
                          <a:chOff x="6792" y="5555"/>
                          <a:chExt cx="1686" cy="1348"/>
                        </a:xfrm>
                      </wpg:grpSpPr>
                      <wps:wsp>
                        <wps:cNvPr id="51" name="五角星 8"/>
                        <wps:cNvSpPr/>
                        <wps:spPr>
                          <a:xfrm>
                            <a:off x="6792" y="6569"/>
                            <a:ext cx="292" cy="334"/>
                          </a:xfrm>
                          <a:prstGeom prst="star5">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A3B1C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 name="矩形标注 9"/>
                        <wps:cNvSpPr/>
                        <wps:spPr>
                          <a:xfrm>
                            <a:off x="6976" y="5555"/>
                            <a:ext cx="1502" cy="747"/>
                          </a:xfrm>
                          <a:prstGeom prst="wedgeRectCallout">
                            <a:avLst>
                              <a:gd name="adj1" fmla="val -43522"/>
                              <a:gd name="adj2" fmla="val 101493"/>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ED4A52">
                              <w:pPr>
                                <w:ind w:left="0" w:leftChars="0" w:firstLine="0" w:firstLineChars="0"/>
                                <w:jc w:val="center"/>
                                <w:rPr>
                                  <w:rFonts w:hint="eastAsia"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88.6pt;margin-top:145.35pt;height:67.4pt;width:84.3pt;z-index:251693056;mso-width-relative:page;mso-height-relative:page;" coordorigin="6792,5555" coordsize="1686,1348" o:gfxdata="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">
                <o:lock v:ext="edit" aspectratio="f"/>
                <v:shape id="五角星 8" o:spid="_x0000_s1026" style="position:absolute;left:6792;top:6569;height:334;width:292;v-text-anchor:middle;" fillcolor="#C00000" filled="t" stroked="t" coordsize="292,334" o:gfxdata="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49MIvQAA&#10;ANsAAAAPAAAAAAAAAAEAIAAAACIAAABkcnMvZG93bnJldi54bWxQSwECFAAUAAAACACHTuJAMy8F&#10;njsAAAA5AAAAEAAAAAAAAAABACAAAAAMAQAAZHJzL3NoYXBleG1sLnhtbFBLBQYAAAAABgAGAFsB&#10;AAC2AwAAAAA=&#10;" path="m0,127l111,127,146,0,180,127,291,127,201,206,236,333,146,255,55,333,90,206xe">
                  <v:path textboxrect="0,0,292,334" o:connectlocs="146,0;0,127;55,333;236,333;291,127" o:connectangles="247,164,82,82,0"/>
                  <v:fill on="t" focussize="0,0"/>
                  <v:stroke weight="2pt" color="#000000 [3213]" joinstyle="round"/>
                  <v:imagedata o:title=""/>
                  <o:lock v:ext="edit" aspectratio="f"/>
                  <v:textbox>
                    <w:txbxContent>
                      <w:p w14:paraId="47A3B1C3">
                        <w:pPr>
                          <w:jc w:val="center"/>
                        </w:pPr>
                      </w:p>
                    </w:txbxContent>
                  </v:textbox>
                </v:shape>
                <v:shape id="矩形标注 9" o:spid="_x0000_s1026" o:spt="61" type="#_x0000_t61" style="position:absolute;left:6976;top:5555;height:747;width:1502;v-text-anchor:middle;" filled="f" stroked="t" coordsize="21600,21600" o:gfxdata="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Ygaqi8AAAA&#10;3AAAAA8AAAAAAAAAAQAgAAAAIgAAAGRycy9kb3ducmV2LnhtbFBLAQIUABQAAAAIAIdO4kAzLwWe&#10;OwAAADkAAAAQAAAAAAAAAAEAIAAAAAsBAABkcnMvc2hhcGV4bWwueG1sUEsFBgAAAAAGAAYAWwEA&#10;ALUDAAAAAA==&#10;" adj="1399,32722">
                  <v:fill on="f" focussize="0,0"/>
                  <v:stroke weight="2pt" color="#000000 [3213]" joinstyle="round"/>
                  <v:imagedata o:title=""/>
                  <o:lock v:ext="edit" aspectratio="f"/>
                  <v:textbox>
                    <w:txbxContent>
                      <w:p w14:paraId="4AED4A52">
                        <w:pPr>
                          <w:ind w:left="0" w:leftChars="0" w:firstLine="0" w:firstLineChars="0"/>
                          <w:jc w:val="center"/>
                          <w:rPr>
                            <w:rFonts w:hint="eastAsia"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w:t>
                        </w:r>
                      </w:p>
                    </w:txbxContent>
                  </v:textbox>
                </v:shape>
              </v:group>
            </w:pict>
          </mc:Fallback>
        </mc:AlternateContent>
      </w:r>
      <w:r>
        <w:rPr>
          <w:color w:val="auto"/>
          <w:highlight w:val="none"/>
        </w:rPr>
        <w:drawing>
          <wp:inline distT="0" distB="0" distL="114300" distR="114300">
            <wp:extent cx="8403590" cy="4395470"/>
            <wp:effectExtent l="0" t="0" r="16510" b="508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71"/>
                    <a:stretch>
                      <a:fillRect/>
                    </a:stretch>
                  </pic:blipFill>
                  <pic:spPr>
                    <a:xfrm>
                      <a:off x="0" y="0"/>
                      <a:ext cx="8403590" cy="4395470"/>
                    </a:xfrm>
                    <a:prstGeom prst="rect">
                      <a:avLst/>
                    </a:prstGeom>
                    <a:noFill/>
                    <a:ln>
                      <a:noFill/>
                    </a:ln>
                  </pic:spPr>
                </pic:pic>
              </a:graphicData>
            </a:graphic>
          </wp:inline>
        </w:drawing>
      </w:r>
    </w:p>
    <w:p w14:paraId="1B1C03CC">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outlineLvl w:val="0"/>
        <w:rPr>
          <w:rFonts w:hint="default" w:ascii="Times New Roman" w:hAnsi="Times New Roman" w:eastAsia="宋体" w:cs="Times New Roman"/>
          <w:b/>
          <w:bCs/>
          <w:color w:val="auto"/>
          <w:sz w:val="24"/>
          <w:szCs w:val="24"/>
          <w:highlight w:val="none"/>
        </w:rPr>
      </w:pPr>
      <w:bookmarkStart w:id="477" w:name="_Toc17373"/>
      <w:r>
        <w:rPr>
          <w:rFonts w:hint="default" w:ascii="Times New Roman" w:hAnsi="Times New Roman" w:eastAsia="宋体" w:cs="Times New Roman"/>
          <w:b/>
          <w:bCs/>
          <w:color w:val="auto"/>
          <w:sz w:val="24"/>
          <w:szCs w:val="24"/>
          <w:highlight w:val="none"/>
        </w:rPr>
        <w:t>附图1  项目地理位置图</w:t>
      </w:r>
      <w:bookmarkEnd w:id="474"/>
      <w:bookmarkEnd w:id="475"/>
      <w:bookmarkEnd w:id="477"/>
      <w:bookmarkStart w:id="478" w:name="_Toc13539"/>
      <w:bookmarkStart w:id="479" w:name="_Toc5226"/>
      <w:bookmarkStart w:id="480" w:name="_Toc8481"/>
    </w:p>
    <w:p w14:paraId="2CC6D38A">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default" w:ascii="Times New Roman" w:hAnsi="Times New Roman" w:eastAsia="宋体" w:cs="Times New Roman"/>
          <w:b/>
          <w:bCs/>
          <w:color w:val="auto"/>
          <w:sz w:val="24"/>
          <w:szCs w:val="24"/>
          <w:highlight w:val="none"/>
        </w:rPr>
      </w:pPr>
    </w:p>
    <w:bookmarkEnd w:id="478"/>
    <w:bookmarkEnd w:id="479"/>
    <w:bookmarkEnd w:id="480"/>
    <w:tbl>
      <w:tblPr>
        <w:tblStyle w:val="4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620"/>
        <w:gridCol w:w="6620"/>
      </w:tblGrid>
      <w:tr w14:paraId="7D5B7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jc w:val="center"/>
        </w:trPr>
        <w:tc>
          <w:tcPr>
            <w:tcW w:w="6620" w:type="dxa"/>
            <w:tcBorders>
              <w:tl2br w:val="nil"/>
              <w:tr2bl w:val="nil"/>
            </w:tcBorders>
            <w:vAlign w:val="center"/>
          </w:tcPr>
          <w:p w14:paraId="1DCE46BE">
            <w:pPr>
              <w:pStyle w:val="36"/>
              <w:jc w:val="center"/>
              <w:rPr>
                <w:rFonts w:hint="eastAsia" w:eastAsia="宋体"/>
                <w:color w:val="auto"/>
                <w:highlight w:val="none"/>
                <w:vertAlign w:val="baseline"/>
                <w:lang w:eastAsia="zh-CN"/>
              </w:rPr>
            </w:pPr>
            <w:r>
              <w:rPr>
                <w:color w:val="auto"/>
                <w:highlight w:val="none"/>
              </w:rPr>
              <w:drawing>
                <wp:inline distT="0" distB="0" distL="114300" distR="114300">
                  <wp:extent cx="3070225" cy="2317115"/>
                  <wp:effectExtent l="0" t="0" r="15875" b="6985"/>
                  <wp:docPr id="1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
                          <pic:cNvPicPr>
                            <a:picLocks noChangeAspect="1"/>
                          </pic:cNvPicPr>
                        </pic:nvPicPr>
                        <pic:blipFill>
                          <a:blip r:embed="rId72"/>
                          <a:stretch>
                            <a:fillRect/>
                          </a:stretch>
                        </pic:blipFill>
                        <pic:spPr>
                          <a:xfrm>
                            <a:off x="0" y="0"/>
                            <a:ext cx="3070225" cy="2317115"/>
                          </a:xfrm>
                          <a:prstGeom prst="rect">
                            <a:avLst/>
                          </a:prstGeom>
                          <a:noFill/>
                          <a:ln>
                            <a:noFill/>
                          </a:ln>
                        </pic:spPr>
                      </pic:pic>
                    </a:graphicData>
                  </a:graphic>
                </wp:inline>
              </w:drawing>
            </w:r>
          </w:p>
        </w:tc>
        <w:tc>
          <w:tcPr>
            <w:tcW w:w="6620" w:type="dxa"/>
            <w:tcBorders>
              <w:tl2br w:val="nil"/>
              <w:tr2bl w:val="nil"/>
            </w:tcBorders>
            <w:vAlign w:val="center"/>
          </w:tcPr>
          <w:p w14:paraId="49461EAE">
            <w:pPr>
              <w:pStyle w:val="36"/>
              <w:jc w:val="center"/>
              <w:rPr>
                <w:rFonts w:hint="eastAsia" w:eastAsia="宋体"/>
                <w:color w:val="auto"/>
                <w:highlight w:val="none"/>
                <w:vertAlign w:val="baseline"/>
                <w:lang w:eastAsia="zh-CN"/>
              </w:rPr>
            </w:pPr>
            <w:r>
              <w:rPr>
                <w:rFonts w:hint="eastAsia" w:eastAsia="宋体"/>
                <w:color w:val="auto"/>
                <w:highlight w:val="none"/>
                <w:vertAlign w:val="baseline"/>
                <w:lang w:eastAsia="zh-CN"/>
              </w:rPr>
              <w:drawing>
                <wp:inline distT="0" distB="0" distL="114300" distR="114300">
                  <wp:extent cx="3057525" cy="2294255"/>
                  <wp:effectExtent l="0" t="0" r="9525" b="10795"/>
                  <wp:docPr id="131" name="图片 131" descr="微信图片_2025072411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微信图片_20250724111812"/>
                          <pic:cNvPicPr>
                            <a:picLocks noChangeAspect="1"/>
                          </pic:cNvPicPr>
                        </pic:nvPicPr>
                        <pic:blipFill>
                          <a:blip r:embed="rId73"/>
                          <a:stretch>
                            <a:fillRect/>
                          </a:stretch>
                        </pic:blipFill>
                        <pic:spPr>
                          <a:xfrm>
                            <a:off x="0" y="0"/>
                            <a:ext cx="3057525" cy="2294255"/>
                          </a:xfrm>
                          <a:prstGeom prst="rect">
                            <a:avLst/>
                          </a:prstGeom>
                        </pic:spPr>
                      </pic:pic>
                    </a:graphicData>
                  </a:graphic>
                </wp:inline>
              </w:drawing>
            </w:r>
          </w:p>
        </w:tc>
      </w:tr>
      <w:tr w14:paraId="45201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jc w:val="center"/>
        </w:trPr>
        <w:tc>
          <w:tcPr>
            <w:tcW w:w="6620" w:type="dxa"/>
            <w:tcBorders>
              <w:tl2br w:val="nil"/>
              <w:tr2bl w:val="nil"/>
            </w:tcBorders>
            <w:vAlign w:val="center"/>
          </w:tcPr>
          <w:p w14:paraId="02A22A73">
            <w:pPr>
              <w:pStyle w:val="36"/>
              <w:ind w:left="0" w:leftChars="0" w:firstLine="0" w:firstLineChars="0"/>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项目东侧</w:t>
            </w:r>
          </w:p>
        </w:tc>
        <w:tc>
          <w:tcPr>
            <w:tcW w:w="6620" w:type="dxa"/>
            <w:tcBorders>
              <w:tl2br w:val="nil"/>
              <w:tr2bl w:val="nil"/>
            </w:tcBorders>
            <w:vAlign w:val="center"/>
          </w:tcPr>
          <w:p w14:paraId="29A02A3D">
            <w:pPr>
              <w:pStyle w:val="36"/>
              <w:ind w:left="0" w:leftChars="0" w:firstLine="0" w:firstLineChars="0"/>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项目西侧</w:t>
            </w:r>
          </w:p>
        </w:tc>
      </w:tr>
      <w:tr w14:paraId="7D029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jc w:val="center"/>
        </w:trPr>
        <w:tc>
          <w:tcPr>
            <w:tcW w:w="6620" w:type="dxa"/>
            <w:tcBorders>
              <w:tl2br w:val="nil"/>
              <w:tr2bl w:val="nil"/>
            </w:tcBorders>
            <w:vAlign w:val="center"/>
          </w:tcPr>
          <w:p w14:paraId="41764E19">
            <w:pPr>
              <w:pStyle w:val="36"/>
              <w:jc w:val="center"/>
              <w:rPr>
                <w:rFonts w:hint="eastAsia" w:eastAsia="宋体"/>
                <w:color w:val="auto"/>
                <w:highlight w:val="none"/>
                <w:vertAlign w:val="baseline"/>
                <w:lang w:eastAsia="zh-CN"/>
              </w:rPr>
            </w:pPr>
            <w:r>
              <w:rPr>
                <w:rFonts w:hint="eastAsia" w:eastAsia="宋体"/>
                <w:color w:val="auto"/>
                <w:highlight w:val="none"/>
                <w:vertAlign w:val="baseline"/>
                <w:lang w:eastAsia="zh-CN"/>
              </w:rPr>
              <w:drawing>
                <wp:inline distT="0" distB="0" distL="114300" distR="114300">
                  <wp:extent cx="3196590" cy="2396490"/>
                  <wp:effectExtent l="0" t="0" r="3810" b="3810"/>
                  <wp:docPr id="32" name="图片 32" descr="厂区南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厂区南侧"/>
                          <pic:cNvPicPr>
                            <a:picLocks noChangeAspect="1"/>
                          </pic:cNvPicPr>
                        </pic:nvPicPr>
                        <pic:blipFill>
                          <a:blip r:embed="rId74"/>
                          <a:stretch>
                            <a:fillRect/>
                          </a:stretch>
                        </pic:blipFill>
                        <pic:spPr>
                          <a:xfrm>
                            <a:off x="0" y="0"/>
                            <a:ext cx="3196590" cy="2396490"/>
                          </a:xfrm>
                          <a:prstGeom prst="rect">
                            <a:avLst/>
                          </a:prstGeom>
                        </pic:spPr>
                      </pic:pic>
                    </a:graphicData>
                  </a:graphic>
                </wp:inline>
              </w:drawing>
            </w:r>
          </w:p>
        </w:tc>
        <w:tc>
          <w:tcPr>
            <w:tcW w:w="6620" w:type="dxa"/>
            <w:tcBorders>
              <w:tl2br w:val="nil"/>
              <w:tr2bl w:val="nil"/>
            </w:tcBorders>
            <w:vAlign w:val="center"/>
          </w:tcPr>
          <w:p w14:paraId="27C7A1F9">
            <w:pPr>
              <w:pStyle w:val="36"/>
              <w:jc w:val="center"/>
              <w:rPr>
                <w:rFonts w:hint="eastAsia" w:eastAsia="宋体"/>
                <w:color w:val="auto"/>
                <w:highlight w:val="none"/>
                <w:vertAlign w:val="baseline"/>
                <w:lang w:eastAsia="zh-CN"/>
              </w:rPr>
            </w:pPr>
            <w:r>
              <w:rPr>
                <w:rFonts w:hint="eastAsia" w:eastAsia="宋体"/>
                <w:color w:val="auto"/>
                <w:highlight w:val="none"/>
                <w:vertAlign w:val="baseline"/>
                <w:lang w:eastAsia="zh-CN"/>
              </w:rPr>
              <w:drawing>
                <wp:inline distT="0" distB="0" distL="114300" distR="114300">
                  <wp:extent cx="3162935" cy="2371725"/>
                  <wp:effectExtent l="0" t="0" r="18415" b="9525"/>
                  <wp:docPr id="35" name="图片 35" descr="北侧废弃平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北侧废弃平房3"/>
                          <pic:cNvPicPr>
                            <a:picLocks noChangeAspect="1"/>
                          </pic:cNvPicPr>
                        </pic:nvPicPr>
                        <pic:blipFill>
                          <a:blip r:embed="rId75"/>
                          <a:stretch>
                            <a:fillRect/>
                          </a:stretch>
                        </pic:blipFill>
                        <pic:spPr>
                          <a:xfrm>
                            <a:off x="0" y="0"/>
                            <a:ext cx="3162935" cy="2371725"/>
                          </a:xfrm>
                          <a:prstGeom prst="rect">
                            <a:avLst/>
                          </a:prstGeom>
                        </pic:spPr>
                      </pic:pic>
                    </a:graphicData>
                  </a:graphic>
                </wp:inline>
              </w:drawing>
            </w:r>
          </w:p>
        </w:tc>
      </w:tr>
      <w:tr w14:paraId="2C91A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8" w:hRule="atLeast"/>
          <w:jc w:val="center"/>
        </w:trPr>
        <w:tc>
          <w:tcPr>
            <w:tcW w:w="6620" w:type="dxa"/>
            <w:tcBorders>
              <w:tl2br w:val="nil"/>
              <w:tr2bl w:val="nil"/>
            </w:tcBorders>
            <w:vAlign w:val="center"/>
          </w:tcPr>
          <w:p w14:paraId="344B69A5">
            <w:pPr>
              <w:pStyle w:val="36"/>
              <w:ind w:left="0" w:leftChars="0" w:firstLine="0" w:firstLineChars="0"/>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项目南侧</w:t>
            </w:r>
          </w:p>
        </w:tc>
        <w:tc>
          <w:tcPr>
            <w:tcW w:w="6620" w:type="dxa"/>
            <w:tcBorders>
              <w:tl2br w:val="nil"/>
              <w:tr2bl w:val="nil"/>
            </w:tcBorders>
            <w:vAlign w:val="center"/>
          </w:tcPr>
          <w:p w14:paraId="40ECA2D2">
            <w:pPr>
              <w:pStyle w:val="36"/>
              <w:ind w:left="0" w:leftChars="0" w:firstLine="0" w:firstLineChars="0"/>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项目北侧</w:t>
            </w:r>
          </w:p>
        </w:tc>
      </w:tr>
    </w:tbl>
    <w:p w14:paraId="663F93DD">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outlineLvl w:val="0"/>
        <w:rPr>
          <w:rFonts w:hint="default" w:ascii="Times New Roman" w:hAnsi="Times New Roman" w:eastAsia="宋体" w:cs="Times New Roman"/>
          <w:b/>
          <w:bCs/>
          <w:color w:val="auto"/>
          <w:sz w:val="24"/>
          <w:szCs w:val="24"/>
          <w:highlight w:val="none"/>
          <w:lang w:val="en-US" w:eastAsia="zh-CN"/>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481" w:name="_Toc17661"/>
      <w:r>
        <w:rPr>
          <w:rFonts w:hint="eastAsia" w:ascii="Times New Roman" w:hAnsi="Times New Roman" w:eastAsia="宋体" w:cs="Times New Roman"/>
          <w:b/>
          <w:bCs/>
          <w:color w:val="auto"/>
          <w:sz w:val="24"/>
          <w:szCs w:val="24"/>
          <w:highlight w:val="none"/>
          <w:lang w:val="en-US" w:eastAsia="zh-CN"/>
        </w:rPr>
        <w:t>附图</w:t>
      </w:r>
      <w:r>
        <w:rPr>
          <w:rFonts w:hint="eastAsia" w:cs="Times New Roman"/>
          <w:b/>
          <w:bCs/>
          <w:color w:val="auto"/>
          <w:sz w:val="24"/>
          <w:szCs w:val="24"/>
          <w:highlight w:val="none"/>
          <w:lang w:val="en-US" w:eastAsia="zh-CN"/>
        </w:rPr>
        <w:t>2：现场照片</w:t>
      </w:r>
      <w:bookmarkEnd w:id="481"/>
    </w:p>
    <w:p w14:paraId="31CF1B46">
      <w:pPr>
        <w:pStyle w:val="36"/>
        <w:ind w:left="0" w:leftChars="0" w:firstLine="0" w:firstLineChars="0"/>
        <w:jc w:val="center"/>
        <w:rPr>
          <w:color w:val="auto"/>
          <w:highlight w:val="none"/>
        </w:rPr>
      </w:pPr>
      <w:bookmarkStart w:id="482" w:name="_Toc29720"/>
      <w:bookmarkStart w:id="483" w:name="_Toc19674"/>
      <w:r>
        <w:rPr>
          <w:color w:val="auto"/>
          <w:highlight w:val="none"/>
        </w:rPr>
        <w:drawing>
          <wp:anchor distT="0" distB="0" distL="114300" distR="114300" simplePos="0" relativeHeight="251764736" behindDoc="0" locked="0" layoutInCell="1" allowOverlap="1">
            <wp:simplePos x="0" y="0"/>
            <wp:positionH relativeFrom="column">
              <wp:posOffset>504825</wp:posOffset>
            </wp:positionH>
            <wp:positionV relativeFrom="paragraph">
              <wp:posOffset>4968875</wp:posOffset>
            </wp:positionV>
            <wp:extent cx="728345" cy="323850"/>
            <wp:effectExtent l="0" t="0" r="14605" b="0"/>
            <wp:wrapNone/>
            <wp:docPr id="1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4"/>
                    <pic:cNvPicPr>
                      <a:picLocks noChangeAspect="1"/>
                    </pic:cNvPicPr>
                  </pic:nvPicPr>
                  <pic:blipFill>
                    <a:blip r:embed="rId76">
                      <a:lum contrast="12000"/>
                    </a:blip>
                    <a:stretch>
                      <a:fillRect/>
                    </a:stretch>
                  </pic:blipFill>
                  <pic:spPr>
                    <a:xfrm>
                      <a:off x="0" y="0"/>
                      <a:ext cx="728345" cy="323850"/>
                    </a:xfrm>
                    <a:prstGeom prst="rect">
                      <a:avLst/>
                    </a:prstGeom>
                    <a:noFill/>
                    <a:ln>
                      <a:noFill/>
                    </a:ln>
                  </pic:spPr>
                </pic:pic>
              </a:graphicData>
            </a:graphic>
          </wp:anchor>
        </w:drawing>
      </w:r>
      <w:r>
        <w:rPr>
          <w:color w:val="auto"/>
          <w:highlight w:val="none"/>
        </w:rPr>
        <w:drawing>
          <wp:anchor distT="0" distB="0" distL="114300" distR="114300" simplePos="0" relativeHeight="251694080" behindDoc="0" locked="0" layoutInCell="1" allowOverlap="1">
            <wp:simplePos x="0" y="0"/>
            <wp:positionH relativeFrom="column">
              <wp:posOffset>7190740</wp:posOffset>
            </wp:positionH>
            <wp:positionV relativeFrom="paragraph">
              <wp:posOffset>73025</wp:posOffset>
            </wp:positionV>
            <wp:extent cx="708660" cy="883920"/>
            <wp:effectExtent l="0" t="0" r="15240" b="11430"/>
            <wp:wrapNone/>
            <wp:docPr id="1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
                    <pic:cNvPicPr>
                      <a:picLocks noChangeAspect="1"/>
                    </pic:cNvPicPr>
                  </pic:nvPicPr>
                  <pic:blipFill>
                    <a:blip r:embed="rId77"/>
                    <a:stretch>
                      <a:fillRect/>
                    </a:stretch>
                  </pic:blipFill>
                  <pic:spPr>
                    <a:xfrm>
                      <a:off x="0" y="0"/>
                      <a:ext cx="708660" cy="883920"/>
                    </a:xfrm>
                    <a:prstGeom prst="rect">
                      <a:avLst/>
                    </a:prstGeom>
                    <a:noFill/>
                    <a:ln>
                      <a:noFill/>
                    </a:ln>
                  </pic:spPr>
                </pic:pic>
              </a:graphicData>
            </a:graphic>
          </wp:anchor>
        </w:drawing>
      </w:r>
      <w:r>
        <w:rPr>
          <w:color w:val="auto"/>
          <w:highlight w:val="none"/>
        </w:rPr>
        <w:drawing>
          <wp:inline distT="0" distB="0" distL="114300" distR="114300">
            <wp:extent cx="7390765" cy="5223510"/>
            <wp:effectExtent l="0" t="0" r="635" b="1524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78"/>
                    <a:stretch>
                      <a:fillRect/>
                    </a:stretch>
                  </pic:blipFill>
                  <pic:spPr>
                    <a:xfrm>
                      <a:off x="0" y="0"/>
                      <a:ext cx="7390765" cy="5223510"/>
                    </a:xfrm>
                    <a:prstGeom prst="rect">
                      <a:avLst/>
                    </a:prstGeom>
                    <a:noFill/>
                    <a:ln>
                      <a:noFill/>
                    </a:ln>
                  </pic:spPr>
                </pic:pic>
              </a:graphicData>
            </a:graphic>
          </wp:inline>
        </w:drawing>
      </w:r>
    </w:p>
    <w:p w14:paraId="3459371C">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outlineLvl w:val="0"/>
        <w:rPr>
          <w:rFonts w:hint="default" w:ascii="Times New Roman" w:hAnsi="Times New Roman" w:eastAsia="宋体" w:cs="Times New Roman"/>
          <w:b/>
          <w:bCs/>
          <w:color w:val="auto"/>
          <w:sz w:val="24"/>
          <w:szCs w:val="24"/>
          <w:highlight w:val="none"/>
        </w:rPr>
      </w:pPr>
      <w:bookmarkStart w:id="484" w:name="_Toc20130"/>
      <w:r>
        <w:rPr>
          <w:rFonts w:hint="default" w:ascii="Times New Roman" w:hAnsi="Times New Roman" w:eastAsia="宋体" w:cs="Times New Roman"/>
          <w:b/>
          <w:bCs/>
          <w:color w:val="auto"/>
          <w:sz w:val="24"/>
          <w:szCs w:val="24"/>
          <w:highlight w:val="none"/>
        </w:rPr>
        <w:t>附图</w:t>
      </w:r>
      <w:r>
        <w:rPr>
          <w:rFonts w:hint="eastAsia" w:cs="Times New Roman"/>
          <w:b/>
          <w:bCs/>
          <w:color w:val="auto"/>
          <w:sz w:val="24"/>
          <w:szCs w:val="24"/>
          <w:highlight w:val="none"/>
          <w:lang w:val="en-US" w:eastAsia="zh-CN"/>
        </w:rPr>
        <w:t>3</w:t>
      </w:r>
      <w:r>
        <w:rPr>
          <w:rFonts w:hint="default" w:ascii="Times New Roman" w:hAnsi="Times New Roman" w:eastAsia="宋体" w:cs="Times New Roman"/>
          <w:b/>
          <w:bCs/>
          <w:color w:val="auto"/>
          <w:sz w:val="24"/>
          <w:szCs w:val="24"/>
          <w:highlight w:val="none"/>
        </w:rPr>
        <w:t xml:space="preserve">  厂区平面布置图</w:t>
      </w:r>
      <w:bookmarkEnd w:id="484"/>
    </w:p>
    <w:p w14:paraId="75B3E751">
      <w:pPr>
        <w:rPr>
          <w:rFonts w:hint="default"/>
          <w:color w:val="auto"/>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bookmarkEnd w:id="482"/>
    <w:bookmarkEnd w:id="483"/>
    <w:p w14:paraId="1351152B">
      <w:pPr>
        <w:pStyle w:val="36"/>
        <w:ind w:left="0" w:leftChars="0" w:firstLine="0" w:firstLineChars="0"/>
        <w:rPr>
          <w:rFonts w:hint="default" w:ascii="Times New Roman" w:hAnsi="Times New Roman" w:eastAsia="宋体" w:cs="Times New Roman"/>
          <w:color w:val="auto"/>
          <w:highlight w:val="none"/>
          <w:lang w:eastAsia="zh-CN"/>
        </w:rPr>
      </w:pPr>
      <w:r>
        <w:rPr>
          <w:color w:val="auto"/>
          <w:highlight w:val="none"/>
        </w:rPr>
        <w:drawing>
          <wp:anchor distT="0" distB="0" distL="114300" distR="114300" simplePos="0" relativeHeight="251765760" behindDoc="0" locked="0" layoutInCell="1" allowOverlap="1">
            <wp:simplePos x="0" y="0"/>
            <wp:positionH relativeFrom="column">
              <wp:posOffset>47625</wp:posOffset>
            </wp:positionH>
            <wp:positionV relativeFrom="paragraph">
              <wp:posOffset>4191635</wp:posOffset>
            </wp:positionV>
            <wp:extent cx="728345" cy="323850"/>
            <wp:effectExtent l="0" t="0" r="14605" b="0"/>
            <wp:wrapNone/>
            <wp:docPr id="1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4"/>
                    <pic:cNvPicPr>
                      <a:picLocks noChangeAspect="1"/>
                    </pic:cNvPicPr>
                  </pic:nvPicPr>
                  <pic:blipFill>
                    <a:blip r:embed="rId76">
                      <a:lum contrast="12000"/>
                    </a:blip>
                    <a:stretch>
                      <a:fillRect/>
                    </a:stretch>
                  </pic:blipFill>
                  <pic:spPr>
                    <a:xfrm>
                      <a:off x="0" y="0"/>
                      <a:ext cx="728345" cy="323850"/>
                    </a:xfrm>
                    <a:prstGeom prst="rect">
                      <a:avLst/>
                    </a:prstGeom>
                    <a:noFill/>
                    <a:ln>
                      <a:noFill/>
                    </a:ln>
                  </pic:spPr>
                </pic:pic>
              </a:graphicData>
            </a:graphic>
          </wp:anchor>
        </w:drawing>
      </w:r>
      <w:r>
        <w:rPr>
          <w:color w:val="auto"/>
          <w:sz w:val="20"/>
          <w:highlight w:val="none"/>
        </w:rPr>
        <mc:AlternateContent>
          <mc:Choice Requires="wps">
            <w:drawing>
              <wp:anchor distT="0" distB="0" distL="114300" distR="114300" simplePos="0" relativeHeight="251749376" behindDoc="0" locked="0" layoutInCell="1" allowOverlap="1">
                <wp:simplePos x="0" y="0"/>
                <wp:positionH relativeFrom="column">
                  <wp:posOffset>144780</wp:posOffset>
                </wp:positionH>
                <wp:positionV relativeFrom="paragraph">
                  <wp:posOffset>3771900</wp:posOffset>
                </wp:positionV>
                <wp:extent cx="199390" cy="181610"/>
                <wp:effectExtent l="4445" t="4445" r="5715" b="23495"/>
                <wp:wrapNone/>
                <wp:docPr id="143" name="五角星 143"/>
                <wp:cNvGraphicFramePr/>
                <a:graphic xmlns:a="http://schemas.openxmlformats.org/drawingml/2006/main">
                  <a:graphicData uri="http://schemas.microsoft.com/office/word/2010/wordprocessingShape">
                    <wps:wsp>
                      <wps:cNvSpPr/>
                      <wps:spPr>
                        <a:xfrm>
                          <a:off x="0" y="0"/>
                          <a:ext cx="199390" cy="181610"/>
                        </a:xfrm>
                        <a:prstGeom prst="star5">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4pt;margin-top:297pt;height:14.3pt;width:15.7pt;z-index:251749376;v-text-anchor:middle;mso-width-relative:page;mso-height-relative:page;" fillcolor="#FF0000" filled="t" stroked="t" coordsize="199390,181610" o:gfxdata="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jdbeMtcAAAAJAQAADwAAAAAAAAABACAAAAAiAAAAZHJzL2Rvd25yZXYu&#10;eG1sUEsBAhQAFAAAAAgAh07iQP0BZfNuAgAA4wQAAA4AAAAAAAAAAQAgAAAAJgEAAGRycy9lMm9E&#10;b2MueG1sUEsFBgAAAAAGAAYAWQEAAAYGAAAAAA==&#10;" path="m0,69368l76160,69369,99695,0,123229,69369,199389,69368,137774,112240,161309,181609,99695,138736,38080,181609,61615,112240xe">
                <v:path o:connectlocs="99695,0;0,69368;38080,181609;161309,181609;199389,69368" o:connectangles="247,164,82,82,0"/>
                <v:fill on="t" focussize="0,0"/>
                <v:stroke weight="0.25pt" color="#000000 [3213]" joinstyle="round"/>
                <v:imagedata o:title=""/>
                <o:lock v:ext="edit" aspectratio="f"/>
              </v:shape>
            </w:pict>
          </mc:Fallback>
        </mc:AlternateContent>
      </w:r>
      <w:r>
        <w:rPr>
          <w:color w:val="auto"/>
          <w:sz w:val="20"/>
          <w:highlight w:val="none"/>
        </w:rPr>
        <mc:AlternateContent>
          <mc:Choice Requires="wps">
            <w:drawing>
              <wp:anchor distT="0" distB="0" distL="114300" distR="114300" simplePos="0" relativeHeight="251748352" behindDoc="0" locked="0" layoutInCell="1" allowOverlap="1">
                <wp:simplePos x="0" y="0"/>
                <wp:positionH relativeFrom="column">
                  <wp:posOffset>154940</wp:posOffset>
                </wp:positionH>
                <wp:positionV relativeFrom="paragraph">
                  <wp:posOffset>3562985</wp:posOffset>
                </wp:positionV>
                <wp:extent cx="164465" cy="164465"/>
                <wp:effectExtent l="4445" t="4445" r="21590" b="21590"/>
                <wp:wrapNone/>
                <wp:docPr id="138" name="同心圆 138"/>
                <wp:cNvGraphicFramePr/>
                <a:graphic xmlns:a="http://schemas.openxmlformats.org/drawingml/2006/main">
                  <a:graphicData uri="http://schemas.microsoft.com/office/word/2010/wordprocessingShape">
                    <wps:wsp>
                      <wps:cNvSpPr/>
                      <wps:spPr>
                        <a:xfrm>
                          <a:off x="0" y="0"/>
                          <a:ext cx="164465" cy="164465"/>
                        </a:xfrm>
                        <a:prstGeom prst="donu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12.2pt;margin-top:280.55pt;height:12.95pt;width:12.95pt;z-index:251748352;v-text-anchor:middle;mso-width-relative:page;mso-height-relative:page;" fillcolor="#FF0000" filled="t" stroked="t" coordsize="21600,21600" o:gfxdata="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FG0EN3YAAAACQEAAA8AAAAAAAAAAQAgAAAAIgAAAGRycy9kb3ducmV2LnhtbFBL&#10;AQIUABQAAAAIAIdO4kCDsdbGaAIAAOMEAAAOAAAAAAAAAAEAIAAAACcBAABkcnMvZTJvRG9jLnht&#10;bFBLBQYAAAAABgAGAFkBAAABBgAAAAA=&#10;" adj="5400">
                <v:fill on="t" focussize="0,0"/>
                <v:stroke weight="0.25pt" color="#000000 [3213]" joinstyle="round"/>
                <v:imagedata o:title=""/>
                <o:lock v:ext="edit" aspectratio="f"/>
              </v:shape>
            </w:pict>
          </mc:Fallback>
        </mc:AlternateContent>
      </w:r>
      <w:r>
        <w:rPr>
          <w:color w:val="auto"/>
          <w:sz w:val="20"/>
          <w:highlight w:val="none"/>
        </w:rPr>
        <mc:AlternateContent>
          <mc:Choice Requires="wps">
            <w:drawing>
              <wp:anchor distT="0" distB="0" distL="114300" distR="114300" simplePos="0" relativeHeight="251747328" behindDoc="0" locked="0" layoutInCell="1" allowOverlap="1">
                <wp:simplePos x="0" y="0"/>
                <wp:positionH relativeFrom="column">
                  <wp:posOffset>36830</wp:posOffset>
                </wp:positionH>
                <wp:positionV relativeFrom="paragraph">
                  <wp:posOffset>3275965</wp:posOffset>
                </wp:positionV>
                <wp:extent cx="1374775" cy="756285"/>
                <wp:effectExtent l="4445" t="4445" r="11430" b="20320"/>
                <wp:wrapNone/>
                <wp:docPr id="137" name="文本框 137"/>
                <wp:cNvGraphicFramePr/>
                <a:graphic xmlns:a="http://schemas.openxmlformats.org/drawingml/2006/main">
                  <a:graphicData uri="http://schemas.microsoft.com/office/word/2010/wordprocessingShape">
                    <wps:wsp>
                      <wps:cNvSpPr txBox="1"/>
                      <wps:spPr>
                        <a:xfrm>
                          <a:off x="1160780" y="3950335"/>
                          <a:ext cx="1374775" cy="7562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089DA33">
                            <w:pPr>
                              <w:spacing w:line="240" w:lineRule="auto"/>
                              <w:ind w:left="0" w:leftChars="0" w:firstLine="0" w:firstLineChars="0"/>
                              <w:jc w:val="center"/>
                              <w:rPr>
                                <w:rFonts w:hint="eastAsia"/>
                                <w:lang w:val="en-US" w:eastAsia="zh-CN"/>
                              </w:rPr>
                            </w:pPr>
                            <w:r>
                              <w:rPr>
                                <w:rFonts w:hint="eastAsia"/>
                                <w:lang w:val="en-US" w:eastAsia="zh-CN"/>
                              </w:rPr>
                              <w:t>图例</w:t>
                            </w:r>
                          </w:p>
                          <w:p w14:paraId="46E0641D">
                            <w:pPr>
                              <w:spacing w:line="240" w:lineRule="auto"/>
                              <w:rPr>
                                <w:rFonts w:hint="eastAsia"/>
                                <w:lang w:val="en-US" w:eastAsia="zh-CN"/>
                              </w:rPr>
                            </w:pPr>
                            <w:r>
                              <w:rPr>
                                <w:rFonts w:hint="eastAsia"/>
                                <w:lang w:val="en-US" w:eastAsia="zh-CN"/>
                              </w:rPr>
                              <w:t>：排气筒</w:t>
                            </w:r>
                          </w:p>
                          <w:p w14:paraId="0138B971">
                            <w:pPr>
                              <w:spacing w:line="240" w:lineRule="auto"/>
                              <w:rPr>
                                <w:rFonts w:hint="default"/>
                                <w:lang w:val="en-US" w:eastAsia="zh-CN"/>
                              </w:rPr>
                            </w:pPr>
                            <w:r>
                              <w:rPr>
                                <w:rFonts w:hint="eastAsia"/>
                                <w:lang w:val="en-US" w:eastAsia="zh-CN"/>
                              </w:rPr>
                              <w:t>：废水排放口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pt;margin-top:257.95pt;height:59.55pt;width:108.25pt;z-index:251747328;mso-width-relative:page;mso-height-relative:page;" fillcolor="#FFFFFF [3201]" filled="t" stroked="t" coordsize="21600,21600" o:gfxdata="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OLii3WAAAACQEAAA8AAAAAAAAAAQAgAAAAIgAAAGRycy9kb3ducmV2LnhtbFBLAQIU&#10;ABQAAAAIAIdO4kDuPvADZwIAAMcEAAAOAAAAAAAAAAEAIAAAACUBAABkcnMvZTJvRG9jLnhtbFBL&#10;BQYAAAAABgAGAFkBAAD+BQAAAAA=&#10;">
                <v:fill on="t" focussize="0,0"/>
                <v:stroke weight="0.5pt" color="#000000 [3204]" joinstyle="round"/>
                <v:imagedata o:title=""/>
                <o:lock v:ext="edit" aspectratio="f"/>
                <v:textbox>
                  <w:txbxContent>
                    <w:p w14:paraId="3089DA33">
                      <w:pPr>
                        <w:spacing w:line="240" w:lineRule="auto"/>
                        <w:ind w:left="0" w:leftChars="0" w:firstLine="0" w:firstLineChars="0"/>
                        <w:jc w:val="center"/>
                        <w:rPr>
                          <w:rFonts w:hint="eastAsia"/>
                          <w:lang w:val="en-US" w:eastAsia="zh-CN"/>
                        </w:rPr>
                      </w:pPr>
                      <w:r>
                        <w:rPr>
                          <w:rFonts w:hint="eastAsia"/>
                          <w:lang w:val="en-US" w:eastAsia="zh-CN"/>
                        </w:rPr>
                        <w:t>图例</w:t>
                      </w:r>
                    </w:p>
                    <w:p w14:paraId="46E0641D">
                      <w:pPr>
                        <w:spacing w:line="240" w:lineRule="auto"/>
                        <w:rPr>
                          <w:rFonts w:hint="eastAsia"/>
                          <w:lang w:val="en-US" w:eastAsia="zh-CN"/>
                        </w:rPr>
                      </w:pPr>
                      <w:r>
                        <w:rPr>
                          <w:rFonts w:hint="eastAsia"/>
                          <w:lang w:val="en-US" w:eastAsia="zh-CN"/>
                        </w:rPr>
                        <w:t>：排气筒</w:t>
                      </w:r>
                    </w:p>
                    <w:p w14:paraId="0138B971">
                      <w:pPr>
                        <w:spacing w:line="240" w:lineRule="auto"/>
                        <w:rPr>
                          <w:rFonts w:hint="default"/>
                          <w:lang w:val="en-US" w:eastAsia="zh-CN"/>
                        </w:rPr>
                      </w:pPr>
                      <w:r>
                        <w:rPr>
                          <w:rFonts w:hint="eastAsia"/>
                          <w:lang w:val="en-US" w:eastAsia="zh-CN"/>
                        </w:rPr>
                        <w:t>：废水排放口</w:t>
                      </w:r>
                    </w:p>
                  </w:txbxContent>
                </v:textbox>
              </v:shape>
            </w:pict>
          </mc:Fallback>
        </mc:AlternateContent>
      </w:r>
      <w:r>
        <w:rPr>
          <w:color w:val="auto"/>
          <w:sz w:val="20"/>
          <w:highlight w:val="none"/>
        </w:rPr>
        <mc:AlternateContent>
          <mc:Choice Requires="wps">
            <w:drawing>
              <wp:anchor distT="0" distB="0" distL="114300" distR="114300" simplePos="0" relativeHeight="251745280" behindDoc="0" locked="0" layoutInCell="1" allowOverlap="1">
                <wp:simplePos x="0" y="0"/>
                <wp:positionH relativeFrom="column">
                  <wp:posOffset>2005330</wp:posOffset>
                </wp:positionH>
                <wp:positionV relativeFrom="paragraph">
                  <wp:posOffset>3957955</wp:posOffset>
                </wp:positionV>
                <wp:extent cx="420370" cy="241935"/>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420370" cy="2419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742A4">
                            <w:pPr>
                              <w:spacing w:line="240" w:lineRule="auto"/>
                              <w:ind w:left="0" w:leftChars="0" w:firstLine="0" w:firstLineChars="0"/>
                              <w:rPr>
                                <w:rFonts w:hint="eastAsia" w:ascii="黑体" w:hAnsi="黑体" w:eastAsia="黑体" w:cs="黑体"/>
                                <w:b/>
                                <w:bCs/>
                                <w:sz w:val="8"/>
                                <w:szCs w:val="6"/>
                                <w:lang w:val="en-US" w:eastAsia="zh-CN"/>
                              </w:rPr>
                            </w:pPr>
                            <w:r>
                              <w:rPr>
                                <w:rFonts w:hint="eastAsia" w:ascii="黑体" w:hAnsi="黑体" w:eastAsia="黑体" w:cs="黑体"/>
                                <w:b/>
                                <w:bCs/>
                                <w:sz w:val="8"/>
                                <w:szCs w:val="6"/>
                                <w:lang w:val="en-US" w:eastAsia="zh-CN"/>
                              </w:rPr>
                              <w:t>一般固废暂存间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7.9pt;margin-top:311.65pt;height:19.05pt;width:33.1pt;z-index:251745280;mso-width-relative:page;mso-height-relative:page;" filled="f" stroked="f" coordsize="21600,21600" o:gfxdata="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6pcu9wAAAALAQAADwAAAAAAAAABACAAAAAiAAAA&#10;ZHJzL2Rvd25yZXYueG1sUEsBAhQAFAAAAAgAh07iQBmXa0k8AgAAaQQAAA4AAAAAAAAAAQAgAAAA&#10;KwEAAGRycy9lMm9Eb2MueG1sUEsFBgAAAAAGAAYAWQEAANkFAAAAAA==&#10;">
                <v:fill on="f" focussize="0,0"/>
                <v:stroke on="f" weight="0.5pt"/>
                <v:imagedata o:title=""/>
                <o:lock v:ext="edit" aspectratio="f"/>
                <v:textbox>
                  <w:txbxContent>
                    <w:p w14:paraId="734742A4">
                      <w:pPr>
                        <w:spacing w:line="240" w:lineRule="auto"/>
                        <w:ind w:left="0" w:leftChars="0" w:firstLine="0" w:firstLineChars="0"/>
                        <w:rPr>
                          <w:rFonts w:hint="eastAsia" w:ascii="黑体" w:hAnsi="黑体" w:eastAsia="黑体" w:cs="黑体"/>
                          <w:b/>
                          <w:bCs/>
                          <w:sz w:val="8"/>
                          <w:szCs w:val="6"/>
                          <w:lang w:val="en-US" w:eastAsia="zh-CN"/>
                        </w:rPr>
                      </w:pPr>
                      <w:r>
                        <w:rPr>
                          <w:rFonts w:hint="eastAsia" w:ascii="黑体" w:hAnsi="黑体" w:eastAsia="黑体" w:cs="黑体"/>
                          <w:b/>
                          <w:bCs/>
                          <w:sz w:val="8"/>
                          <w:szCs w:val="6"/>
                          <w:lang w:val="en-US" w:eastAsia="zh-CN"/>
                        </w:rPr>
                        <w:t>一般固废暂存间</w:t>
                      </w:r>
                    </w:p>
                  </w:txbxContent>
                </v:textbox>
              </v:shape>
            </w:pict>
          </mc:Fallback>
        </mc:AlternateContent>
      </w:r>
      <w:r>
        <w:rPr>
          <w:color w:val="auto"/>
          <w:sz w:val="20"/>
          <w:highlight w:val="none"/>
        </w:rPr>
        <mc:AlternateContent>
          <mc:Choice Requires="wps">
            <w:drawing>
              <wp:anchor distT="0" distB="0" distL="114300" distR="114300" simplePos="0" relativeHeight="251746304" behindDoc="0" locked="0" layoutInCell="1" allowOverlap="1">
                <wp:simplePos x="0" y="0"/>
                <wp:positionH relativeFrom="column">
                  <wp:posOffset>2013585</wp:posOffset>
                </wp:positionH>
                <wp:positionV relativeFrom="paragraph">
                  <wp:posOffset>4207510</wp:posOffset>
                </wp:positionV>
                <wp:extent cx="420370" cy="277495"/>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420370" cy="2774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9E3F6D">
                            <w:pPr>
                              <w:spacing w:line="240" w:lineRule="auto"/>
                              <w:ind w:left="0" w:leftChars="0" w:firstLine="0" w:firstLineChars="0"/>
                              <w:rPr>
                                <w:rFonts w:hint="default" w:ascii="黑体" w:hAnsi="黑体" w:eastAsia="黑体" w:cs="黑体"/>
                                <w:b/>
                                <w:bCs/>
                                <w:sz w:val="8"/>
                                <w:szCs w:val="6"/>
                                <w:lang w:val="en-US" w:eastAsia="zh-CN"/>
                              </w:rPr>
                            </w:pPr>
                            <w:r>
                              <w:rPr>
                                <w:rFonts w:hint="eastAsia" w:ascii="黑体" w:hAnsi="黑体" w:eastAsia="黑体" w:cs="黑体"/>
                                <w:b/>
                                <w:bCs/>
                                <w:sz w:val="8"/>
                                <w:szCs w:val="6"/>
                                <w:lang w:val="en-US" w:eastAsia="zh-CN"/>
                              </w:rPr>
                              <w:t>危险废物贮存点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8.55pt;margin-top:331.3pt;height:21.85pt;width:33.1pt;z-index:251746304;mso-width-relative:page;mso-height-relative:page;" filled="f" stroked="f" coordsize="21600,21600" o:gfxdata="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&#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LxAffcAAAACwEAAA8AAAAAAAAAAQAgAAAAIgAA&#10;AGRycy9kb3ducmV2LnhtbFBLAQIUABQAAAAIAIdO4kDwkfQSPQIAAGkEAAAOAAAAAAAAAAEAIAAA&#10;ACsBAABkcnMvZTJvRG9jLnhtbFBLBQYAAAAABgAGAFkBAADaBQAAAAA=&#10;">
                <v:fill on="f" focussize="0,0"/>
                <v:stroke on="f" weight="0.5pt"/>
                <v:imagedata o:title=""/>
                <o:lock v:ext="edit" aspectratio="f"/>
                <v:textbox>
                  <w:txbxContent>
                    <w:p w14:paraId="659E3F6D">
                      <w:pPr>
                        <w:spacing w:line="240" w:lineRule="auto"/>
                        <w:ind w:left="0" w:leftChars="0" w:firstLine="0" w:firstLineChars="0"/>
                        <w:rPr>
                          <w:rFonts w:hint="default" w:ascii="黑体" w:hAnsi="黑体" w:eastAsia="黑体" w:cs="黑体"/>
                          <w:b/>
                          <w:bCs/>
                          <w:sz w:val="8"/>
                          <w:szCs w:val="6"/>
                          <w:lang w:val="en-US" w:eastAsia="zh-CN"/>
                        </w:rPr>
                      </w:pPr>
                      <w:r>
                        <w:rPr>
                          <w:rFonts w:hint="eastAsia" w:ascii="黑体" w:hAnsi="黑体" w:eastAsia="黑体" w:cs="黑体"/>
                          <w:b/>
                          <w:bCs/>
                          <w:sz w:val="8"/>
                          <w:szCs w:val="6"/>
                          <w:lang w:val="en-US" w:eastAsia="zh-CN"/>
                        </w:rPr>
                        <w:t>危险废物贮存点</w:t>
                      </w:r>
                    </w:p>
                  </w:txbxContent>
                </v:textbox>
              </v:shape>
            </w:pict>
          </mc:Fallback>
        </mc:AlternateContent>
      </w:r>
      <w:r>
        <w:rPr>
          <w:color w:val="auto"/>
          <w:sz w:val="20"/>
          <w:highlight w:val="none"/>
        </w:rPr>
        <mc:AlternateContent>
          <mc:Choice Requires="wps">
            <w:drawing>
              <wp:anchor distT="0" distB="0" distL="114300" distR="114300" simplePos="0" relativeHeight="251744256" behindDoc="0" locked="0" layoutInCell="1" allowOverlap="1">
                <wp:simplePos x="0" y="0"/>
                <wp:positionH relativeFrom="column">
                  <wp:posOffset>2098675</wp:posOffset>
                </wp:positionH>
                <wp:positionV relativeFrom="paragraph">
                  <wp:posOffset>4175125</wp:posOffset>
                </wp:positionV>
                <wp:extent cx="229235" cy="224155"/>
                <wp:effectExtent l="0" t="0" r="18415" b="4445"/>
                <wp:wrapNone/>
                <wp:docPr id="134" name="文本框 134"/>
                <wp:cNvGraphicFramePr/>
                <a:graphic xmlns:a="http://schemas.openxmlformats.org/drawingml/2006/main">
                  <a:graphicData uri="http://schemas.microsoft.com/office/word/2010/wordprocessingShape">
                    <wps:wsp>
                      <wps:cNvSpPr txBox="1"/>
                      <wps:spPr>
                        <a:xfrm>
                          <a:off x="3241675" y="5104130"/>
                          <a:ext cx="229235" cy="2241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0D6B36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5.25pt;margin-top:328.75pt;height:17.65pt;width:18.05pt;z-index:251744256;mso-width-relative:page;mso-height-relative:page;" fillcolor="#FFFFFF [3201]" filled="t" stroked="f" coordsize="21600,21600" o:gfxdata="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BPIXC7W&#10;AAAACwEAAA8AAAAAAAAAAQAgAAAAIgAAAGRycy9kb3ducmV2LnhtbFBLAQIUABQAAAAIAIdO4kBh&#10;GPTaWwIAAJ4EAAAOAAAAAAAAAAEAIAAAACUBAABkcnMvZTJvRG9jLnhtbFBLBQYAAAAABgAGAFkB&#10;AADyBQAAAAA=&#10;">
                <v:fill on="t" focussize="0,0"/>
                <v:stroke on="f" weight="0.5pt"/>
                <v:imagedata o:title=""/>
                <o:lock v:ext="edit" aspectratio="f"/>
                <v:textbox>
                  <w:txbxContent>
                    <w:p w14:paraId="40D6B36F"/>
                  </w:txbxContent>
                </v:textbox>
              </v:shape>
            </w:pict>
          </mc:Fallback>
        </mc:AlternateContent>
      </w:r>
      <w:r>
        <w:rPr>
          <w:color w:val="auto"/>
          <w:sz w:val="20"/>
          <w:highlight w:val="none"/>
        </w:rPr>
        <mc:AlternateContent>
          <mc:Choice Requires="wps">
            <w:drawing>
              <wp:anchor distT="0" distB="0" distL="114300" distR="114300" simplePos="0" relativeHeight="251743232" behindDoc="0" locked="0" layoutInCell="1" allowOverlap="1">
                <wp:simplePos x="0" y="0"/>
                <wp:positionH relativeFrom="column">
                  <wp:posOffset>2070100</wp:posOffset>
                </wp:positionH>
                <wp:positionV relativeFrom="paragraph">
                  <wp:posOffset>4167505</wp:posOffset>
                </wp:positionV>
                <wp:extent cx="284480" cy="1270"/>
                <wp:effectExtent l="0" t="0" r="0" b="0"/>
                <wp:wrapNone/>
                <wp:docPr id="133" name="直接连接符 133"/>
                <wp:cNvGraphicFramePr/>
                <a:graphic xmlns:a="http://schemas.openxmlformats.org/drawingml/2006/main">
                  <a:graphicData uri="http://schemas.microsoft.com/office/word/2010/wordprocessingShape">
                    <wps:wsp>
                      <wps:cNvCnPr/>
                      <wps:spPr>
                        <a:xfrm>
                          <a:off x="3215005" y="5083175"/>
                          <a:ext cx="284480" cy="1270"/>
                        </a:xfrm>
                        <a:prstGeom prst="line">
                          <a:avLst/>
                        </a:prstGeom>
                        <a:ln w="12700">
                          <a:solidFill>
                            <a:srgbClr val="72FFFF"/>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63pt;margin-top:328.15pt;height:0.1pt;width:22.4pt;z-index:251743232;mso-width-relative:page;mso-height-relative:page;" filled="f" stroked="t" coordsize="21600,21600" o:gfxdata="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s&#10;iaeb1wAAAAsBAAAPAAAAAAAAAAEAIAAAACIAAABkcnMvZG93bnJldi54bWxQSwECFAAUAAAACACH&#10;TuJAHeCHjuwBAACtAwAADgAAAAAAAAABACAAAAAmAQAAZHJzL2Uyb0RvYy54bWxQSwUGAAAAAAYA&#10;BgBZAQAAhAUAAAAA&#10;">
                <v:fill on="f" focussize="0,0"/>
                <v:stroke weight="1pt" color="#72FFFF [3204]" joinstyle="round"/>
                <v:imagedata o:title=""/>
                <o:lock v:ext="edit" aspectratio="f"/>
              </v:line>
            </w:pict>
          </mc:Fallback>
        </mc:AlternateContent>
      </w:r>
      <w:r>
        <w:rPr>
          <w:color w:val="auto"/>
          <w:sz w:val="20"/>
          <w:highlight w:val="none"/>
        </w:rPr>
        <mc:AlternateContent>
          <mc:Choice Requires="wps">
            <w:drawing>
              <wp:anchor distT="0" distB="0" distL="114300" distR="114300" simplePos="0" relativeHeight="251742208" behindDoc="0" locked="0" layoutInCell="1" allowOverlap="1">
                <wp:simplePos x="0" y="0"/>
                <wp:positionH relativeFrom="column">
                  <wp:posOffset>7978775</wp:posOffset>
                </wp:positionH>
                <wp:positionV relativeFrom="paragraph">
                  <wp:posOffset>2263775</wp:posOffset>
                </wp:positionV>
                <wp:extent cx="640080" cy="26035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64008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B16FE5">
                            <w:pPr>
                              <w:spacing w:line="240" w:lineRule="auto"/>
                              <w:ind w:left="0" w:leftChars="0" w:firstLine="0" w:firstLineChars="0"/>
                              <w:rPr>
                                <w:rFonts w:hint="default" w:eastAsia="宋体"/>
                                <w:b/>
                                <w:bCs/>
                                <w:sz w:val="20"/>
                                <w:szCs w:val="18"/>
                                <w:lang w:val="en-US" w:eastAsia="zh-CN"/>
                              </w:rPr>
                            </w:pPr>
                            <w:r>
                              <w:rPr>
                                <w:rFonts w:hint="eastAsia"/>
                                <w:b/>
                                <w:bCs/>
                                <w:sz w:val="20"/>
                                <w:szCs w:val="18"/>
                                <w:lang w:val="en-US" w:eastAsia="zh-CN"/>
                              </w:rPr>
                              <w:t>DW001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8.25pt;margin-top:178.25pt;height:20.5pt;width:50.4pt;z-index:251742208;mso-width-relative:page;mso-height-relative:page;" filled="f" stroked="f" coordsize="21600,21600" o:gfxdata="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FedG3AAAAA0BAAAPAAAAAAAAAAEAIAAAACIAAABkcnMv&#10;ZG93bnJldi54bWxQSwECFAAUAAAACACHTuJAd/ivNDgCAABpBAAADgAAAAAAAAABACAAAAArAQAA&#10;ZHJzL2Uyb0RvYy54bWxQSwUGAAAAAAYABgBZAQAA1QUAAAAA&#10;">
                <v:fill on="f" focussize="0,0"/>
                <v:stroke on="f" weight="0.5pt"/>
                <v:imagedata o:title=""/>
                <o:lock v:ext="edit" aspectratio="f"/>
                <v:textbox>
                  <w:txbxContent>
                    <w:p w14:paraId="3EB16FE5">
                      <w:pPr>
                        <w:spacing w:line="240" w:lineRule="auto"/>
                        <w:ind w:left="0" w:leftChars="0" w:firstLine="0" w:firstLineChars="0"/>
                        <w:rPr>
                          <w:rFonts w:hint="default" w:eastAsia="宋体"/>
                          <w:b/>
                          <w:bCs/>
                          <w:sz w:val="20"/>
                          <w:szCs w:val="18"/>
                          <w:lang w:val="en-US" w:eastAsia="zh-CN"/>
                        </w:rPr>
                      </w:pPr>
                      <w:r>
                        <w:rPr>
                          <w:rFonts w:hint="eastAsia"/>
                          <w:b/>
                          <w:bCs/>
                          <w:sz w:val="20"/>
                          <w:szCs w:val="18"/>
                          <w:lang w:val="en-US" w:eastAsia="zh-CN"/>
                        </w:rPr>
                        <w:t>DW001</w:t>
                      </w:r>
                    </w:p>
                  </w:txbxContent>
                </v:textbox>
              </v:shape>
            </w:pict>
          </mc:Fallback>
        </mc:AlternateContent>
      </w:r>
      <w:r>
        <w:rPr>
          <w:color w:val="auto"/>
          <w:sz w:val="20"/>
          <w:highlight w:val="none"/>
        </w:rPr>
        <mc:AlternateContent>
          <mc:Choice Requires="wps">
            <w:drawing>
              <wp:anchor distT="0" distB="0" distL="114300" distR="114300" simplePos="0" relativeHeight="251741184" behindDoc="0" locked="0" layoutInCell="1" allowOverlap="1">
                <wp:simplePos x="0" y="0"/>
                <wp:positionH relativeFrom="column">
                  <wp:posOffset>7838440</wp:posOffset>
                </wp:positionH>
                <wp:positionV relativeFrom="paragraph">
                  <wp:posOffset>2317115</wp:posOffset>
                </wp:positionV>
                <wp:extent cx="199390" cy="181610"/>
                <wp:effectExtent l="4445" t="4445" r="5715" b="23495"/>
                <wp:wrapNone/>
                <wp:docPr id="98" name="五角星 98"/>
                <wp:cNvGraphicFramePr/>
                <a:graphic xmlns:a="http://schemas.openxmlformats.org/drawingml/2006/main">
                  <a:graphicData uri="http://schemas.microsoft.com/office/word/2010/wordprocessingShape">
                    <wps:wsp>
                      <wps:cNvSpPr/>
                      <wps:spPr>
                        <a:xfrm>
                          <a:off x="8600440" y="3370580"/>
                          <a:ext cx="199390" cy="181610"/>
                        </a:xfrm>
                        <a:prstGeom prst="star5">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617.2pt;margin-top:182.45pt;height:14.3pt;width:15.7pt;z-index:251741184;v-text-anchor:middle;mso-width-relative:page;mso-height-relative:page;" fillcolor="#FF0000" filled="t" stroked="t" coordsize="199390,181610" o:gfxdata="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K1LxCzZAAAADQEAAA8AAAAAAAAAAQAgAAAAIgAA&#10;AGRycy9kb3ducmV2LnhtbFBLAQIUABQAAAAIAIdO4kCLwYLPeQIAAO0EAAAOAAAAAAAAAAEAIAAA&#10;ACgBAABkcnMvZTJvRG9jLnhtbFBLBQYAAAAABgAGAFkBAAATBgAAAAA=&#10;" path="m0,69368l76160,69369,99695,0,123229,69369,199389,69368,137774,112240,161309,181609,99695,138736,38080,181609,61615,112240xe">
                <v:path o:connectlocs="99695,0;0,69368;38080,181609;161309,181609;199389,69368" o:connectangles="247,164,82,82,0"/>
                <v:fill on="t" focussize="0,0"/>
                <v:stroke weight="0.25pt" color="#000000 [3213]" joinstyle="round"/>
                <v:imagedata o:title=""/>
                <o:lock v:ext="edit" aspectratio="f"/>
              </v:shape>
            </w:pict>
          </mc:Fallback>
        </mc:AlternateContent>
      </w:r>
      <w:r>
        <w:rPr>
          <w:color w:val="auto"/>
          <w:sz w:val="20"/>
          <w:highlight w:val="none"/>
        </w:rPr>
        <mc:AlternateContent>
          <mc:Choice Requires="wps">
            <w:drawing>
              <wp:anchor distT="0" distB="0" distL="114300" distR="114300" simplePos="0" relativeHeight="251740160" behindDoc="0" locked="0" layoutInCell="1" allowOverlap="1">
                <wp:simplePos x="0" y="0"/>
                <wp:positionH relativeFrom="column">
                  <wp:posOffset>7670800</wp:posOffset>
                </wp:positionH>
                <wp:positionV relativeFrom="paragraph">
                  <wp:posOffset>4258310</wp:posOffset>
                </wp:positionV>
                <wp:extent cx="640080" cy="26035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64008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0C48FC">
                            <w:pPr>
                              <w:spacing w:line="240" w:lineRule="auto"/>
                              <w:ind w:left="0" w:leftChars="0" w:firstLine="0" w:firstLineChars="0"/>
                              <w:rPr>
                                <w:rFonts w:hint="default" w:eastAsia="宋体"/>
                                <w:b/>
                                <w:bCs/>
                                <w:sz w:val="20"/>
                                <w:szCs w:val="18"/>
                                <w:lang w:val="en-US" w:eastAsia="zh-CN"/>
                              </w:rPr>
                            </w:pPr>
                            <w:r>
                              <w:rPr>
                                <w:rFonts w:hint="eastAsia"/>
                                <w:b/>
                                <w:bCs/>
                                <w:sz w:val="20"/>
                                <w:szCs w:val="18"/>
                                <w:lang w:val="en-US" w:eastAsia="zh-CN"/>
                              </w:rPr>
                              <w:t>DA002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4pt;margin-top:335.3pt;height:20.5pt;width:50.4pt;z-index:251740160;mso-width-relative:page;mso-height-relative:page;" filled="f" stroked="f" coordsize="21600,21600" o:gfxdata="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GoCL/cAAAADQEAAA8AAAAAAAAAAQAgAAAAIgAAAGRy&#10;cy9kb3ducmV2LnhtbFBLAQIUABQAAAAIAIdO4kBh3Cr1OgIAAGcEAAAOAAAAAAAAAAEAIAAAACsB&#10;AABkcnMvZTJvRG9jLnhtbFBLBQYAAAAABgAGAFkBAADXBQAAAAA=&#10;">
                <v:fill on="f" focussize="0,0"/>
                <v:stroke on="f" weight="0.5pt"/>
                <v:imagedata o:title=""/>
                <o:lock v:ext="edit" aspectratio="f"/>
                <v:textbox>
                  <w:txbxContent>
                    <w:p w14:paraId="3C0C48FC">
                      <w:pPr>
                        <w:spacing w:line="240" w:lineRule="auto"/>
                        <w:ind w:left="0" w:leftChars="0" w:firstLine="0" w:firstLineChars="0"/>
                        <w:rPr>
                          <w:rFonts w:hint="default" w:eastAsia="宋体"/>
                          <w:b/>
                          <w:bCs/>
                          <w:sz w:val="20"/>
                          <w:szCs w:val="18"/>
                          <w:lang w:val="en-US" w:eastAsia="zh-CN"/>
                        </w:rPr>
                      </w:pPr>
                      <w:r>
                        <w:rPr>
                          <w:rFonts w:hint="eastAsia"/>
                          <w:b/>
                          <w:bCs/>
                          <w:sz w:val="20"/>
                          <w:szCs w:val="18"/>
                          <w:lang w:val="en-US" w:eastAsia="zh-CN"/>
                        </w:rPr>
                        <w:t>DA002</w:t>
                      </w:r>
                    </w:p>
                  </w:txbxContent>
                </v:textbox>
              </v:shape>
            </w:pict>
          </mc:Fallback>
        </mc:AlternateContent>
      </w:r>
      <w:r>
        <w:rPr>
          <w:color w:val="auto"/>
          <w:sz w:val="20"/>
          <w:highlight w:val="none"/>
        </w:rPr>
        <mc:AlternateContent>
          <mc:Choice Requires="wps">
            <w:drawing>
              <wp:anchor distT="0" distB="0" distL="114300" distR="114300" simplePos="0" relativeHeight="251739136" behindDoc="0" locked="0" layoutInCell="1" allowOverlap="1">
                <wp:simplePos x="0" y="0"/>
                <wp:positionH relativeFrom="column">
                  <wp:posOffset>3032760</wp:posOffset>
                </wp:positionH>
                <wp:positionV relativeFrom="paragraph">
                  <wp:posOffset>3508375</wp:posOffset>
                </wp:positionV>
                <wp:extent cx="640080" cy="260350"/>
                <wp:effectExtent l="0" t="0" r="7620" b="6350"/>
                <wp:wrapNone/>
                <wp:docPr id="89" name="文本框 89"/>
                <wp:cNvGraphicFramePr/>
                <a:graphic xmlns:a="http://schemas.openxmlformats.org/drawingml/2006/main">
                  <a:graphicData uri="http://schemas.microsoft.com/office/word/2010/wordprocessingShape">
                    <wps:wsp>
                      <wps:cNvSpPr txBox="1"/>
                      <wps:spPr>
                        <a:xfrm>
                          <a:off x="4340225" y="4457700"/>
                          <a:ext cx="64008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244958">
                            <w:pPr>
                              <w:spacing w:line="240" w:lineRule="auto"/>
                              <w:ind w:left="0" w:leftChars="0" w:firstLine="0" w:firstLineChars="0"/>
                              <w:rPr>
                                <w:rFonts w:hint="default" w:eastAsia="宋体"/>
                                <w:b/>
                                <w:bCs/>
                                <w:sz w:val="20"/>
                                <w:szCs w:val="18"/>
                                <w:lang w:val="en-US" w:eastAsia="zh-CN"/>
                              </w:rPr>
                            </w:pPr>
                            <w:r>
                              <w:rPr>
                                <w:rFonts w:hint="eastAsia"/>
                                <w:b/>
                                <w:bCs/>
                                <w:sz w:val="20"/>
                                <w:szCs w:val="18"/>
                                <w:lang w:val="en-US" w:eastAsia="zh-CN"/>
                              </w:rPr>
                              <w:t>DA001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8.8pt;margin-top:276.25pt;height:20.5pt;width:50.4pt;z-index:251739136;mso-width-relative:page;mso-height-relative:page;" filled="f" stroked="f" coordsize="21600,21600" o:gfxdata="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jA1z4dwAAAALAQAADwAAAAAAAAAB&#10;ACAAAAAiAAAAZHJzL2Rvd25yZXYueG1sUEsBAhQAFAAAAAgAh07iQNAch65FAgAAcwQAAA4AAAAA&#10;AAAAAQAgAAAAKwEAAGRycy9lMm9Eb2MueG1sUEsFBgAAAAAGAAYAWQEAAOIFAAAAAA==&#10;">
                <v:fill on="f" focussize="0,0"/>
                <v:stroke on="f" weight="0.5pt"/>
                <v:imagedata o:title=""/>
                <o:lock v:ext="edit" aspectratio="f"/>
                <v:textbox>
                  <w:txbxContent>
                    <w:p w14:paraId="07244958">
                      <w:pPr>
                        <w:spacing w:line="240" w:lineRule="auto"/>
                        <w:ind w:left="0" w:leftChars="0" w:firstLine="0" w:firstLineChars="0"/>
                        <w:rPr>
                          <w:rFonts w:hint="default" w:eastAsia="宋体"/>
                          <w:b/>
                          <w:bCs/>
                          <w:sz w:val="20"/>
                          <w:szCs w:val="18"/>
                          <w:lang w:val="en-US" w:eastAsia="zh-CN"/>
                        </w:rPr>
                      </w:pPr>
                      <w:r>
                        <w:rPr>
                          <w:rFonts w:hint="eastAsia"/>
                          <w:b/>
                          <w:bCs/>
                          <w:sz w:val="20"/>
                          <w:szCs w:val="18"/>
                          <w:lang w:val="en-US" w:eastAsia="zh-CN"/>
                        </w:rPr>
                        <w:t>DA001</w:t>
                      </w:r>
                    </w:p>
                  </w:txbxContent>
                </v:textbox>
              </v:shape>
            </w:pict>
          </mc:Fallback>
        </mc:AlternateContent>
      </w:r>
      <w:r>
        <w:rPr>
          <w:color w:val="auto"/>
          <w:sz w:val="20"/>
          <w:highlight w:val="none"/>
        </w:rPr>
        <mc:AlternateContent>
          <mc:Choice Requires="wps">
            <w:drawing>
              <wp:anchor distT="0" distB="0" distL="114300" distR="114300" simplePos="0" relativeHeight="251738112" behindDoc="0" locked="0" layoutInCell="1" allowOverlap="1">
                <wp:simplePos x="0" y="0"/>
                <wp:positionH relativeFrom="column">
                  <wp:posOffset>7540625</wp:posOffset>
                </wp:positionH>
                <wp:positionV relativeFrom="paragraph">
                  <wp:posOffset>4283710</wp:posOffset>
                </wp:positionV>
                <wp:extent cx="164465" cy="164465"/>
                <wp:effectExtent l="4445" t="4445" r="21590" b="21590"/>
                <wp:wrapNone/>
                <wp:docPr id="56" name="同心圆 56"/>
                <wp:cNvGraphicFramePr/>
                <a:graphic xmlns:a="http://schemas.openxmlformats.org/drawingml/2006/main">
                  <a:graphicData uri="http://schemas.microsoft.com/office/word/2010/wordprocessingShape">
                    <wps:wsp>
                      <wps:cNvSpPr/>
                      <wps:spPr>
                        <a:xfrm>
                          <a:off x="0" y="0"/>
                          <a:ext cx="164465" cy="164465"/>
                        </a:xfrm>
                        <a:prstGeom prst="donu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593.75pt;margin-top:337.3pt;height:12.95pt;width:12.95pt;z-index:251738112;v-text-anchor:middle;mso-width-relative:page;mso-height-relative:page;" fillcolor="#FF0000" filled="t" stroked="t" coordsize="21600,21600" o:gfxdata="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L20rc2QAAAA0BAAAPAAAAAAAAAAEAIAAAACIAAABkcnMvZG93bnJldi54bWxQ&#10;SwECFAAUAAAACACHTuJAGHgmlGgCAADhBAAADgAAAAAAAAABACAAAAAoAQAAZHJzL2Uyb0RvYy54&#10;bWxQSwUGAAAAAAYABgBZAQAAAgYAAAAA&#10;" adj="5400">
                <v:fill on="t" focussize="0,0"/>
                <v:stroke weight="0.25pt" color="#000000 [3213]" joinstyle="round"/>
                <v:imagedata o:title=""/>
                <o:lock v:ext="edit" aspectratio="f"/>
              </v:shape>
            </w:pict>
          </mc:Fallback>
        </mc:AlternateContent>
      </w:r>
      <w:r>
        <w:rPr>
          <w:color w:val="auto"/>
          <w:sz w:val="20"/>
          <w:highlight w:val="none"/>
        </w:rPr>
        <mc:AlternateContent>
          <mc:Choice Requires="wps">
            <w:drawing>
              <wp:anchor distT="0" distB="0" distL="114300" distR="114300" simplePos="0" relativeHeight="251737088" behindDoc="0" locked="0" layoutInCell="1" allowOverlap="1">
                <wp:simplePos x="0" y="0"/>
                <wp:positionH relativeFrom="column">
                  <wp:posOffset>2972435</wp:posOffset>
                </wp:positionH>
                <wp:positionV relativeFrom="paragraph">
                  <wp:posOffset>3447415</wp:posOffset>
                </wp:positionV>
                <wp:extent cx="164465" cy="164465"/>
                <wp:effectExtent l="4445" t="4445" r="21590" b="21590"/>
                <wp:wrapNone/>
                <wp:docPr id="46" name="同心圆 46"/>
                <wp:cNvGraphicFramePr/>
                <a:graphic xmlns:a="http://schemas.openxmlformats.org/drawingml/2006/main">
                  <a:graphicData uri="http://schemas.microsoft.com/office/word/2010/wordprocessingShape">
                    <wps:wsp>
                      <wps:cNvSpPr/>
                      <wps:spPr>
                        <a:xfrm>
                          <a:off x="4756150" y="4933315"/>
                          <a:ext cx="164465" cy="164465"/>
                        </a:xfrm>
                        <a:prstGeom prst="donut">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234.05pt;margin-top:271.45pt;height:12.95pt;width:12.95pt;z-index:251737088;v-text-anchor:middle;mso-width-relative:page;mso-height-relative:page;" fillcolor="#FF0000" filled="t" stroked="t" coordsize="21600,21600" o:gfxdata="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PEb1dDYAAAACwEAAA8AAAAAAAAAAQAgAAAAIgAAAGRycy9k&#10;b3ducmV2LnhtbFBLAQIUABQAAAAIAIdO4kDjolSadAIAAO0EAAAOAAAAAAAAAAEAIAAAACcBAABk&#10;cnMvZTJvRG9jLnhtbFBLBQYAAAAABgAGAFkBAAANBgAAAAA=&#10;" adj="5400">
                <v:fill on="t" focussize="0,0"/>
                <v:stroke weight="0.25pt" color="#000000 [3213]" joinstyle="round"/>
                <v:imagedata o:title=""/>
                <o:lock v:ext="edit" aspectratio="f"/>
              </v:shape>
            </w:pict>
          </mc:Fallback>
        </mc:AlternateContent>
      </w:r>
      <w:r>
        <w:rPr>
          <w:color w:val="auto"/>
          <w:highlight w:val="none"/>
        </w:rPr>
        <w:drawing>
          <wp:anchor distT="0" distB="0" distL="114300" distR="114300" simplePos="0" relativeHeight="251718656" behindDoc="0" locked="0" layoutInCell="1" allowOverlap="1">
            <wp:simplePos x="0" y="0"/>
            <wp:positionH relativeFrom="column">
              <wp:posOffset>7706995</wp:posOffset>
            </wp:positionH>
            <wp:positionV relativeFrom="paragraph">
              <wp:posOffset>1270</wp:posOffset>
            </wp:positionV>
            <wp:extent cx="708660" cy="883920"/>
            <wp:effectExtent l="0" t="0" r="15240" b="11430"/>
            <wp:wrapNone/>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77"/>
                    <a:stretch>
                      <a:fillRect/>
                    </a:stretch>
                  </pic:blipFill>
                  <pic:spPr>
                    <a:xfrm>
                      <a:off x="0" y="0"/>
                      <a:ext cx="708660" cy="883920"/>
                    </a:xfrm>
                    <a:prstGeom prst="rect">
                      <a:avLst/>
                    </a:prstGeom>
                    <a:noFill/>
                    <a:ln>
                      <a:noFill/>
                    </a:ln>
                  </pic:spPr>
                </pic:pic>
              </a:graphicData>
            </a:graphic>
          </wp:anchor>
        </w:drawing>
      </w:r>
      <w:r>
        <w:rPr>
          <w:color w:val="auto"/>
          <w:highlight w:val="none"/>
        </w:rPr>
        <w:drawing>
          <wp:inline distT="0" distB="0" distL="114300" distR="114300">
            <wp:extent cx="8404860" cy="4530090"/>
            <wp:effectExtent l="0" t="0" r="15240" b="381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pic:cNvPicPr>
                      <a:picLocks noChangeAspect="1"/>
                    </pic:cNvPicPr>
                  </pic:nvPicPr>
                  <pic:blipFill>
                    <a:blip r:embed="rId79"/>
                    <a:stretch>
                      <a:fillRect/>
                    </a:stretch>
                  </pic:blipFill>
                  <pic:spPr>
                    <a:xfrm>
                      <a:off x="0" y="0"/>
                      <a:ext cx="8404860" cy="4530090"/>
                    </a:xfrm>
                    <a:prstGeom prst="rect">
                      <a:avLst/>
                    </a:prstGeom>
                    <a:noFill/>
                    <a:ln>
                      <a:noFill/>
                    </a:ln>
                  </pic:spPr>
                </pic:pic>
              </a:graphicData>
            </a:graphic>
          </wp:inline>
        </w:drawing>
      </w:r>
    </w:p>
    <w:p w14:paraId="125ECF62">
      <w:pPr>
        <w:jc w:val="center"/>
        <w:outlineLvl w:val="0"/>
        <w:rPr>
          <w:rFonts w:hint="default" w:ascii="Times New Roman" w:hAnsi="Times New Roman" w:eastAsia="宋体" w:cs="Times New Roman"/>
          <w:b/>
          <w:bCs/>
          <w:color w:val="auto"/>
          <w:sz w:val="24"/>
          <w:szCs w:val="24"/>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485" w:name="_Toc17391"/>
      <w:bookmarkStart w:id="486" w:name="_Toc6621"/>
      <w:bookmarkStart w:id="487" w:name="_Toc29587"/>
      <w:r>
        <w:rPr>
          <w:rFonts w:hint="default" w:ascii="Times New Roman" w:hAnsi="Times New Roman" w:eastAsia="宋体" w:cs="Times New Roman"/>
          <w:b/>
          <w:bCs/>
          <w:color w:val="auto"/>
          <w:sz w:val="24"/>
          <w:szCs w:val="24"/>
          <w:highlight w:val="none"/>
        </w:rPr>
        <w:t>附图</w:t>
      </w:r>
      <w:r>
        <w:rPr>
          <w:rFonts w:hint="eastAsia" w:cs="Times New Roman"/>
          <w:b/>
          <w:bCs/>
          <w:color w:val="auto"/>
          <w:sz w:val="24"/>
          <w:szCs w:val="24"/>
          <w:highlight w:val="none"/>
          <w:lang w:val="en-US" w:eastAsia="zh-CN"/>
        </w:rPr>
        <w:t>4</w:t>
      </w:r>
      <w:r>
        <w:rPr>
          <w:rFonts w:hint="default" w:ascii="Times New Roman" w:hAnsi="Times New Roman" w:eastAsia="宋体" w:cs="Times New Roman"/>
          <w:b/>
          <w:bCs/>
          <w:color w:val="auto"/>
          <w:sz w:val="24"/>
          <w:szCs w:val="24"/>
          <w:highlight w:val="none"/>
        </w:rPr>
        <w:t xml:space="preserve">  </w:t>
      </w:r>
      <w:r>
        <w:rPr>
          <w:rFonts w:hint="eastAsia" w:cs="Times New Roman"/>
          <w:b/>
          <w:bCs/>
          <w:color w:val="auto"/>
          <w:sz w:val="24"/>
          <w:szCs w:val="24"/>
          <w:highlight w:val="none"/>
          <w:lang w:val="en-US" w:eastAsia="zh-CN"/>
        </w:rPr>
        <w:t>生产车间</w:t>
      </w:r>
      <w:r>
        <w:rPr>
          <w:rFonts w:hint="default" w:ascii="Times New Roman" w:hAnsi="Times New Roman" w:eastAsia="宋体" w:cs="Times New Roman"/>
          <w:b/>
          <w:bCs/>
          <w:color w:val="auto"/>
          <w:sz w:val="24"/>
          <w:szCs w:val="24"/>
          <w:highlight w:val="none"/>
        </w:rPr>
        <w:t>布置图</w:t>
      </w:r>
      <w:bookmarkEnd w:id="485"/>
      <w:bookmarkEnd w:id="486"/>
      <w:bookmarkEnd w:id="487"/>
    </w:p>
    <w:p w14:paraId="6BF3BB15">
      <w:pPr>
        <w:pStyle w:val="36"/>
        <w:ind w:left="0" w:leftChars="0" w:firstLine="0" w:firstLineChars="0"/>
        <w:rPr>
          <w:color w:val="auto"/>
          <w:highlight w:val="none"/>
        </w:rPr>
      </w:pPr>
    </w:p>
    <w:p w14:paraId="2586BF77">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5271135" cy="7449185"/>
            <wp:effectExtent l="0" t="0" r="5715" b="18415"/>
            <wp:docPr id="48" name="图片 48" descr="土地利用现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土地利用现状图"/>
                    <pic:cNvPicPr>
                      <a:picLocks noChangeAspect="1"/>
                    </pic:cNvPicPr>
                  </pic:nvPicPr>
                  <pic:blipFill>
                    <a:blip r:embed="rId80"/>
                    <a:stretch>
                      <a:fillRect/>
                    </a:stretch>
                  </pic:blipFill>
                  <pic:spPr>
                    <a:xfrm>
                      <a:off x="0" y="0"/>
                      <a:ext cx="5271135" cy="7449185"/>
                    </a:xfrm>
                    <a:prstGeom prst="rect">
                      <a:avLst/>
                    </a:prstGeom>
                  </pic:spPr>
                </pic:pic>
              </a:graphicData>
            </a:graphic>
          </wp:inline>
        </w:drawing>
      </w:r>
    </w:p>
    <w:p w14:paraId="1988733D">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outlineLvl w:val="0"/>
        <w:rPr>
          <w:rFonts w:hint="default" w:cs="Times New Roman"/>
          <w:b/>
          <w:bCs/>
          <w:color w:val="auto"/>
          <w:sz w:val="24"/>
          <w:szCs w:val="24"/>
          <w:highlight w:val="none"/>
          <w:lang w:val="en-US" w:eastAsia="zh-CN"/>
        </w:rPr>
      </w:pPr>
      <w:bookmarkStart w:id="488" w:name="_Toc17490"/>
      <w:r>
        <w:rPr>
          <w:rFonts w:hint="eastAsia" w:ascii="Times New Roman" w:hAnsi="Times New Roman" w:eastAsia="宋体" w:cs="Times New Roman"/>
          <w:b/>
          <w:bCs/>
          <w:color w:val="auto"/>
          <w:sz w:val="24"/>
          <w:szCs w:val="24"/>
          <w:highlight w:val="none"/>
          <w:lang w:val="en-US" w:eastAsia="zh-CN"/>
        </w:rPr>
        <w:t>附图</w:t>
      </w:r>
      <w:r>
        <w:rPr>
          <w:rFonts w:hint="eastAsia" w:cs="Times New Roman"/>
          <w:b/>
          <w:bCs/>
          <w:color w:val="auto"/>
          <w:sz w:val="24"/>
          <w:szCs w:val="24"/>
          <w:highlight w:val="none"/>
          <w:lang w:val="en-US" w:eastAsia="zh-CN"/>
        </w:rPr>
        <w:t>5：土地利用现状图</w:t>
      </w:r>
      <w:bookmarkEnd w:id="488"/>
    </w:p>
    <w:p w14:paraId="69151C8F">
      <w:pPr>
        <w:pStyle w:val="2"/>
        <w:keepNext w:val="0"/>
        <w:keepLines w:val="0"/>
        <w:pageBreakBefore w:val="0"/>
        <w:widowControl w:val="0"/>
        <w:kinsoku/>
        <w:wordWrap/>
        <w:overflowPunct/>
        <w:topLinePunct w:val="0"/>
        <w:autoSpaceDE/>
        <w:autoSpaceDN/>
        <w:bidi w:val="0"/>
        <w:adjustRightInd w:val="0"/>
        <w:snapToGrid w:val="0"/>
        <w:spacing w:line="240" w:lineRule="auto"/>
        <w:textAlignment w:val="auto"/>
        <w:rPr>
          <w:rFonts w:cs="Times New Roman"/>
          <w:color w:val="auto"/>
          <w:sz w:val="24"/>
          <w:szCs w:val="24"/>
          <w:highlight w:val="none"/>
        </w:rPr>
        <w:sectPr>
          <w:footerReference r:id="rId12" w:type="default"/>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536143D3">
      <w:pPr>
        <w:pStyle w:val="2"/>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eastAsia="黑体" w:cs="Times New Roman"/>
          <w:color w:val="auto"/>
          <w:sz w:val="24"/>
          <w:szCs w:val="24"/>
          <w:highlight w:val="none"/>
          <w:lang w:val="en-US" w:eastAsia="zh-CN"/>
        </w:rPr>
      </w:pPr>
      <w:bookmarkStart w:id="489" w:name="_Toc7892"/>
      <w:r>
        <w:rPr>
          <w:rFonts w:cs="Times New Roman"/>
          <w:color w:val="auto"/>
          <w:sz w:val="24"/>
          <w:szCs w:val="24"/>
          <w:highlight w:val="none"/>
        </w:rPr>
        <w:t>附件1</w:t>
      </w:r>
      <w:bookmarkEnd w:id="476"/>
      <w:r>
        <w:rPr>
          <w:rFonts w:cs="Times New Roman"/>
          <w:color w:val="auto"/>
          <w:sz w:val="24"/>
          <w:szCs w:val="24"/>
          <w:highlight w:val="none"/>
        </w:rPr>
        <w:t>：</w:t>
      </w:r>
      <w:r>
        <w:rPr>
          <w:rFonts w:hint="eastAsia" w:cs="Times New Roman"/>
          <w:color w:val="auto"/>
          <w:sz w:val="24"/>
          <w:szCs w:val="24"/>
          <w:highlight w:val="none"/>
          <w:lang w:val="en-US" w:eastAsia="zh-CN"/>
        </w:rPr>
        <w:t>企业投资项目备案承诺书</w:t>
      </w:r>
      <w:bookmarkEnd w:id="489"/>
    </w:p>
    <w:p w14:paraId="55A072C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cs="Times New Roman"/>
          <w:color w:val="auto"/>
          <w:highlight w:val="none"/>
        </w:rPr>
      </w:pPr>
    </w:p>
    <w:p w14:paraId="7DB1020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cs="Times New Roman"/>
          <w:color w:val="auto"/>
          <w:highlight w:val="none"/>
        </w:rPr>
      </w:pPr>
      <w:r>
        <w:rPr>
          <w:color w:val="auto"/>
          <w:highlight w:val="none"/>
        </w:rPr>
        <w:drawing>
          <wp:inline distT="0" distB="0" distL="114300" distR="114300">
            <wp:extent cx="5274310" cy="7475855"/>
            <wp:effectExtent l="0" t="0" r="2540" b="1079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81"/>
                    <a:stretch>
                      <a:fillRect/>
                    </a:stretch>
                  </pic:blipFill>
                  <pic:spPr>
                    <a:xfrm>
                      <a:off x="0" y="0"/>
                      <a:ext cx="5274310" cy="7475855"/>
                    </a:xfrm>
                    <a:prstGeom prst="rect">
                      <a:avLst/>
                    </a:prstGeom>
                    <a:noFill/>
                    <a:ln>
                      <a:noFill/>
                    </a:ln>
                  </pic:spPr>
                </pic:pic>
              </a:graphicData>
            </a:graphic>
          </wp:inline>
        </w:drawing>
      </w:r>
    </w:p>
    <w:p w14:paraId="6BBB7D0A">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cs="Times New Roman"/>
          <w:color w:val="auto"/>
          <w:highlight w:val="none"/>
        </w:rPr>
      </w:pPr>
    </w:p>
    <w:p w14:paraId="63032A1C">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cs="Times New Roman"/>
          <w:color w:val="auto"/>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bookmarkStart w:id="490" w:name="_Toc18573"/>
    </w:p>
    <w:p w14:paraId="5AED5D8A">
      <w:pPr>
        <w:pStyle w:val="2"/>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eastAsia="黑体" w:cs="Times New Roman"/>
          <w:color w:val="auto"/>
          <w:sz w:val="24"/>
          <w:szCs w:val="24"/>
          <w:highlight w:val="none"/>
          <w:lang w:val="en-US" w:eastAsia="zh-CN"/>
        </w:rPr>
      </w:pPr>
      <w:bookmarkStart w:id="491" w:name="_Toc13635"/>
      <w:r>
        <w:rPr>
          <w:rFonts w:cs="Times New Roman"/>
          <w:color w:val="auto"/>
          <w:sz w:val="24"/>
          <w:szCs w:val="24"/>
          <w:highlight w:val="none"/>
        </w:rPr>
        <w:t>附件2：</w:t>
      </w:r>
      <w:r>
        <w:rPr>
          <w:rFonts w:hint="eastAsia" w:cs="Times New Roman"/>
          <w:color w:val="auto"/>
          <w:sz w:val="24"/>
          <w:szCs w:val="24"/>
          <w:highlight w:val="none"/>
          <w:lang w:val="en-US" w:eastAsia="zh-CN"/>
        </w:rPr>
        <w:t>选址报告</w:t>
      </w:r>
      <w:bookmarkEnd w:id="491"/>
    </w:p>
    <w:p w14:paraId="3F90BA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cs="Times New Roman"/>
          <w:color w:val="auto"/>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color w:val="auto"/>
          <w:highlight w:val="none"/>
        </w:rPr>
        <w:drawing>
          <wp:inline distT="0" distB="0" distL="114300" distR="114300">
            <wp:extent cx="5029200" cy="7124700"/>
            <wp:effectExtent l="0" t="0" r="0" b="0"/>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82"/>
                    <a:stretch>
                      <a:fillRect/>
                    </a:stretch>
                  </pic:blipFill>
                  <pic:spPr>
                    <a:xfrm>
                      <a:off x="0" y="0"/>
                      <a:ext cx="5029200" cy="7124700"/>
                    </a:xfrm>
                    <a:prstGeom prst="rect">
                      <a:avLst/>
                    </a:prstGeom>
                    <a:noFill/>
                    <a:ln>
                      <a:noFill/>
                    </a:ln>
                  </pic:spPr>
                </pic:pic>
              </a:graphicData>
            </a:graphic>
          </wp:inline>
        </w:drawing>
      </w:r>
      <w:r>
        <w:rPr>
          <w:color w:val="auto"/>
          <w:highlight w:val="none"/>
        </w:rPr>
        <w:drawing>
          <wp:inline distT="0" distB="0" distL="114300" distR="114300">
            <wp:extent cx="5274945" cy="7470775"/>
            <wp:effectExtent l="0" t="0" r="1905" b="1587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3"/>
                    <a:stretch>
                      <a:fillRect/>
                    </a:stretch>
                  </pic:blipFill>
                  <pic:spPr>
                    <a:xfrm>
                      <a:off x="0" y="0"/>
                      <a:ext cx="5274945" cy="7470775"/>
                    </a:xfrm>
                    <a:prstGeom prst="rect">
                      <a:avLst/>
                    </a:prstGeom>
                    <a:noFill/>
                    <a:ln>
                      <a:noFill/>
                    </a:ln>
                  </pic:spPr>
                </pic:pic>
              </a:graphicData>
            </a:graphic>
          </wp:inline>
        </w:drawing>
      </w:r>
      <w:r>
        <w:rPr>
          <w:color w:val="auto"/>
          <w:highlight w:val="none"/>
        </w:rPr>
        <w:drawing>
          <wp:inline distT="0" distB="0" distL="114300" distR="114300">
            <wp:extent cx="5276215" cy="7350125"/>
            <wp:effectExtent l="0" t="0" r="63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84"/>
                    <a:stretch>
                      <a:fillRect/>
                    </a:stretch>
                  </pic:blipFill>
                  <pic:spPr>
                    <a:xfrm>
                      <a:off x="0" y="0"/>
                      <a:ext cx="5276215" cy="7350125"/>
                    </a:xfrm>
                    <a:prstGeom prst="rect">
                      <a:avLst/>
                    </a:prstGeom>
                    <a:noFill/>
                    <a:ln>
                      <a:noFill/>
                    </a:ln>
                  </pic:spPr>
                </pic:pic>
              </a:graphicData>
            </a:graphic>
          </wp:inline>
        </w:drawing>
      </w:r>
      <w:r>
        <w:rPr>
          <w:color w:val="auto"/>
          <w:highlight w:val="none"/>
        </w:rPr>
        <w:drawing>
          <wp:inline distT="0" distB="0" distL="114300" distR="114300">
            <wp:extent cx="5274310" cy="7346950"/>
            <wp:effectExtent l="0" t="0" r="2540" b="635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85"/>
                    <a:stretch>
                      <a:fillRect/>
                    </a:stretch>
                  </pic:blipFill>
                  <pic:spPr>
                    <a:xfrm>
                      <a:off x="0" y="0"/>
                      <a:ext cx="5274310" cy="7346950"/>
                    </a:xfrm>
                    <a:prstGeom prst="rect">
                      <a:avLst/>
                    </a:prstGeom>
                    <a:noFill/>
                    <a:ln>
                      <a:noFill/>
                    </a:ln>
                  </pic:spPr>
                </pic:pic>
              </a:graphicData>
            </a:graphic>
          </wp:inline>
        </w:drawing>
      </w:r>
    </w:p>
    <w:p w14:paraId="6967CA23">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rFonts w:hint="eastAsia" w:eastAsia="宋体"/>
          <w:color w:val="auto"/>
          <w:highlight w:val="none"/>
          <w:lang w:eastAsia="zh-CN"/>
        </w:rPr>
      </w:pPr>
    </w:p>
    <w:p w14:paraId="2FDCF099">
      <w:pPr>
        <w:pStyle w:val="2"/>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cs="Times New Roman"/>
          <w:color w:val="auto"/>
          <w:sz w:val="24"/>
          <w:szCs w:val="24"/>
          <w:highlight w:val="none"/>
          <w:lang w:val="en-US" w:eastAsia="zh-CN"/>
        </w:rPr>
      </w:pPr>
      <w:bookmarkStart w:id="492" w:name="_Toc8116"/>
      <w:r>
        <w:rPr>
          <w:rFonts w:hint="eastAsia" w:ascii="Times New Roman" w:hAnsi="Times New Roman" w:cs="Times New Roman"/>
          <w:color w:val="auto"/>
          <w:sz w:val="24"/>
          <w:szCs w:val="24"/>
          <w:highlight w:val="none"/>
          <w:lang w:val="en-US" w:eastAsia="zh-CN"/>
        </w:rPr>
        <w:t>附件</w:t>
      </w:r>
      <w:r>
        <w:rPr>
          <w:rFonts w:hint="eastAsia" w:cs="Times New Roman"/>
          <w:color w:val="auto"/>
          <w:sz w:val="24"/>
          <w:szCs w:val="24"/>
          <w:highlight w:val="none"/>
          <w:lang w:val="en-US" w:eastAsia="zh-CN"/>
        </w:rPr>
        <w:t>3</w:t>
      </w:r>
      <w:r>
        <w:rPr>
          <w:rFonts w:hint="eastAsia" w:ascii="Times New Roman" w:hAnsi="Times New Roman" w:cs="Times New Roman"/>
          <w:color w:val="auto"/>
          <w:sz w:val="24"/>
          <w:szCs w:val="24"/>
          <w:highlight w:val="none"/>
          <w:lang w:val="en-US" w:eastAsia="zh-CN"/>
        </w:rPr>
        <w:t>：</w:t>
      </w:r>
      <w:r>
        <w:rPr>
          <w:rFonts w:hint="eastAsia" w:cs="Times New Roman"/>
          <w:color w:val="auto"/>
          <w:sz w:val="24"/>
          <w:szCs w:val="24"/>
          <w:highlight w:val="none"/>
          <w:lang w:val="en-US" w:eastAsia="zh-CN"/>
        </w:rPr>
        <w:t>用水情况说明</w:t>
      </w:r>
      <w:bookmarkEnd w:id="492"/>
    </w:p>
    <w:p w14:paraId="465E0CA8">
      <w:pPr>
        <w:bidi w:val="0"/>
        <w:rPr>
          <w:color w:val="auto"/>
          <w:highlight w:val="none"/>
        </w:rPr>
      </w:pPr>
      <w:r>
        <w:rPr>
          <w:color w:val="auto"/>
          <w:highlight w:val="none"/>
        </w:rPr>
        <w:drawing>
          <wp:anchor distT="0" distB="0" distL="114300" distR="114300" simplePos="0" relativeHeight="251695104" behindDoc="0" locked="0" layoutInCell="1" allowOverlap="1">
            <wp:simplePos x="0" y="0"/>
            <wp:positionH relativeFrom="column">
              <wp:posOffset>150495</wp:posOffset>
            </wp:positionH>
            <wp:positionV relativeFrom="paragraph">
              <wp:posOffset>154305</wp:posOffset>
            </wp:positionV>
            <wp:extent cx="5029200" cy="7115175"/>
            <wp:effectExtent l="0" t="0" r="0" b="9525"/>
            <wp:wrapNone/>
            <wp:docPr id="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
                    <pic:cNvPicPr>
                      <a:picLocks noChangeAspect="1"/>
                    </pic:cNvPicPr>
                  </pic:nvPicPr>
                  <pic:blipFill>
                    <a:blip r:embed="rId86"/>
                    <a:stretch>
                      <a:fillRect/>
                    </a:stretch>
                  </pic:blipFill>
                  <pic:spPr>
                    <a:xfrm>
                      <a:off x="0" y="0"/>
                      <a:ext cx="5029200" cy="7115175"/>
                    </a:xfrm>
                    <a:prstGeom prst="rect">
                      <a:avLst/>
                    </a:prstGeom>
                    <a:noFill/>
                    <a:ln>
                      <a:noFill/>
                    </a:ln>
                  </pic:spPr>
                </pic:pic>
              </a:graphicData>
            </a:graphic>
          </wp:anchor>
        </w:drawing>
      </w:r>
    </w:p>
    <w:p w14:paraId="77AE6322">
      <w:pPr>
        <w:bidi w:val="0"/>
        <w:rPr>
          <w:color w:val="auto"/>
          <w:highlight w:val="none"/>
        </w:rPr>
      </w:pPr>
    </w:p>
    <w:p w14:paraId="25493772">
      <w:pPr>
        <w:bidi w:val="0"/>
        <w:rPr>
          <w:color w:val="auto"/>
          <w:highlight w:val="none"/>
        </w:rPr>
      </w:pPr>
    </w:p>
    <w:p w14:paraId="4AB4FB1B">
      <w:pPr>
        <w:bidi w:val="0"/>
        <w:rPr>
          <w:color w:val="auto"/>
          <w:highlight w:val="none"/>
        </w:rPr>
      </w:pPr>
    </w:p>
    <w:p w14:paraId="16929F52">
      <w:pPr>
        <w:bidi w:val="0"/>
        <w:rPr>
          <w:color w:val="auto"/>
          <w:highlight w:val="none"/>
        </w:rPr>
      </w:pPr>
    </w:p>
    <w:p w14:paraId="3F236765">
      <w:pPr>
        <w:bidi w:val="0"/>
        <w:rPr>
          <w:color w:val="auto"/>
          <w:highlight w:val="none"/>
        </w:rPr>
      </w:pPr>
    </w:p>
    <w:p w14:paraId="4348CE45">
      <w:pPr>
        <w:bidi w:val="0"/>
        <w:rPr>
          <w:color w:val="auto"/>
          <w:highlight w:val="none"/>
        </w:rPr>
      </w:pPr>
    </w:p>
    <w:p w14:paraId="0FF40BCF">
      <w:pPr>
        <w:bidi w:val="0"/>
        <w:rPr>
          <w:color w:val="auto"/>
          <w:highlight w:val="none"/>
        </w:rPr>
      </w:pPr>
    </w:p>
    <w:p w14:paraId="44CBD2DC">
      <w:pPr>
        <w:bidi w:val="0"/>
        <w:rPr>
          <w:color w:val="auto"/>
          <w:highlight w:val="none"/>
        </w:rPr>
      </w:pPr>
    </w:p>
    <w:p w14:paraId="7B8F3D9F">
      <w:pPr>
        <w:bidi w:val="0"/>
        <w:rPr>
          <w:color w:val="auto"/>
          <w:highlight w:val="none"/>
        </w:rPr>
      </w:pPr>
    </w:p>
    <w:p w14:paraId="5427C97A">
      <w:pPr>
        <w:bidi w:val="0"/>
        <w:rPr>
          <w:color w:val="auto"/>
          <w:highlight w:val="none"/>
        </w:rPr>
      </w:pPr>
    </w:p>
    <w:p w14:paraId="65A3D532">
      <w:pPr>
        <w:bidi w:val="0"/>
        <w:rPr>
          <w:color w:val="auto"/>
          <w:highlight w:val="none"/>
        </w:rPr>
      </w:pPr>
    </w:p>
    <w:p w14:paraId="41EF3275">
      <w:pPr>
        <w:bidi w:val="0"/>
        <w:rPr>
          <w:color w:val="auto"/>
          <w:highlight w:val="none"/>
        </w:rPr>
      </w:pPr>
    </w:p>
    <w:p w14:paraId="0F8F0A0E">
      <w:pPr>
        <w:bidi w:val="0"/>
        <w:rPr>
          <w:color w:val="auto"/>
          <w:highlight w:val="none"/>
        </w:rPr>
      </w:pPr>
    </w:p>
    <w:p w14:paraId="605F85AD">
      <w:pPr>
        <w:bidi w:val="0"/>
        <w:rPr>
          <w:color w:val="auto"/>
          <w:highlight w:val="none"/>
        </w:rPr>
      </w:pPr>
    </w:p>
    <w:p w14:paraId="3AA16F76">
      <w:pPr>
        <w:bidi w:val="0"/>
        <w:rPr>
          <w:color w:val="auto"/>
          <w:highlight w:val="none"/>
        </w:rPr>
      </w:pPr>
    </w:p>
    <w:p w14:paraId="7DF3560B">
      <w:pPr>
        <w:bidi w:val="0"/>
        <w:rPr>
          <w:color w:val="auto"/>
          <w:highlight w:val="none"/>
        </w:rPr>
      </w:pPr>
    </w:p>
    <w:p w14:paraId="7440DA9B">
      <w:pPr>
        <w:bidi w:val="0"/>
        <w:rPr>
          <w:color w:val="auto"/>
          <w:highlight w:val="none"/>
        </w:rPr>
      </w:pPr>
    </w:p>
    <w:p w14:paraId="3C933200">
      <w:pPr>
        <w:bidi w:val="0"/>
        <w:rPr>
          <w:color w:val="auto"/>
          <w:highlight w:val="none"/>
        </w:rPr>
      </w:pPr>
    </w:p>
    <w:p w14:paraId="1207A349">
      <w:pPr>
        <w:bidi w:val="0"/>
        <w:rPr>
          <w:color w:val="auto"/>
          <w:highlight w:val="none"/>
        </w:rPr>
      </w:pPr>
    </w:p>
    <w:p w14:paraId="14202B5C">
      <w:pPr>
        <w:bidi w:val="0"/>
        <w:rPr>
          <w:color w:val="auto"/>
          <w:highlight w:val="none"/>
        </w:rPr>
      </w:pPr>
    </w:p>
    <w:p w14:paraId="3B3F9231">
      <w:pPr>
        <w:bidi w:val="0"/>
        <w:rPr>
          <w:color w:val="auto"/>
          <w:highlight w:val="none"/>
        </w:rPr>
      </w:pPr>
    </w:p>
    <w:p w14:paraId="3DA51A11">
      <w:pPr>
        <w:bidi w:val="0"/>
        <w:rPr>
          <w:color w:val="auto"/>
          <w:highlight w:val="none"/>
        </w:rPr>
      </w:pPr>
    </w:p>
    <w:p w14:paraId="7A767C2C">
      <w:pPr>
        <w:bidi w:val="0"/>
        <w:rPr>
          <w:color w:val="auto"/>
          <w:highlight w:val="none"/>
        </w:rPr>
      </w:pPr>
    </w:p>
    <w:p w14:paraId="644CDFFD">
      <w:pPr>
        <w:bidi w:val="0"/>
        <w:rPr>
          <w:color w:val="auto"/>
          <w:highlight w:val="none"/>
        </w:rPr>
      </w:pPr>
    </w:p>
    <w:p w14:paraId="221991DA">
      <w:pPr>
        <w:bidi w:val="0"/>
        <w:rPr>
          <w:color w:val="auto"/>
          <w:highlight w:val="none"/>
        </w:rPr>
      </w:pPr>
    </w:p>
    <w:p w14:paraId="76615472">
      <w:pPr>
        <w:bidi w:val="0"/>
        <w:rPr>
          <w:color w:val="auto"/>
          <w:highlight w:val="none"/>
        </w:rPr>
      </w:pPr>
    </w:p>
    <w:p w14:paraId="62E2A3B8">
      <w:pPr>
        <w:bidi w:val="0"/>
        <w:rPr>
          <w:color w:val="auto"/>
          <w:highlight w:val="none"/>
        </w:rPr>
      </w:pPr>
      <w:r>
        <w:rPr>
          <w:color w:val="auto"/>
          <w:highlight w:val="none"/>
        </w:rPr>
        <w:drawing>
          <wp:anchor distT="0" distB="0" distL="114300" distR="114300" simplePos="0" relativeHeight="251696128" behindDoc="0" locked="0" layoutInCell="1" allowOverlap="1">
            <wp:simplePos x="0" y="0"/>
            <wp:positionH relativeFrom="column">
              <wp:posOffset>137795</wp:posOffset>
            </wp:positionH>
            <wp:positionV relativeFrom="paragraph">
              <wp:posOffset>189230</wp:posOffset>
            </wp:positionV>
            <wp:extent cx="5048250" cy="7115175"/>
            <wp:effectExtent l="0" t="0" r="0" b="9525"/>
            <wp:wrapNone/>
            <wp:docPr id="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
                    <pic:cNvPicPr>
                      <a:picLocks noChangeAspect="1"/>
                    </pic:cNvPicPr>
                  </pic:nvPicPr>
                  <pic:blipFill>
                    <a:blip r:embed="rId87"/>
                    <a:stretch>
                      <a:fillRect/>
                    </a:stretch>
                  </pic:blipFill>
                  <pic:spPr>
                    <a:xfrm>
                      <a:off x="0" y="0"/>
                      <a:ext cx="5048250" cy="7115175"/>
                    </a:xfrm>
                    <a:prstGeom prst="rect">
                      <a:avLst/>
                    </a:prstGeom>
                    <a:noFill/>
                    <a:ln>
                      <a:noFill/>
                    </a:ln>
                  </pic:spPr>
                </pic:pic>
              </a:graphicData>
            </a:graphic>
          </wp:anchor>
        </w:drawing>
      </w:r>
    </w:p>
    <w:p w14:paraId="081172F4">
      <w:pPr>
        <w:bidi w:val="0"/>
        <w:rPr>
          <w:color w:val="auto"/>
          <w:highlight w:val="none"/>
        </w:rPr>
      </w:pPr>
    </w:p>
    <w:p w14:paraId="17DCDB13">
      <w:pPr>
        <w:bidi w:val="0"/>
        <w:rPr>
          <w:color w:val="auto"/>
          <w:highlight w:val="none"/>
        </w:rPr>
      </w:pPr>
    </w:p>
    <w:p w14:paraId="62B508C0">
      <w:pPr>
        <w:bidi w:val="0"/>
        <w:rPr>
          <w:color w:val="auto"/>
          <w:highlight w:val="none"/>
        </w:rPr>
      </w:pPr>
    </w:p>
    <w:p w14:paraId="20518EF0">
      <w:pPr>
        <w:bidi w:val="0"/>
        <w:rPr>
          <w:color w:val="auto"/>
          <w:highlight w:val="none"/>
        </w:rPr>
      </w:pPr>
    </w:p>
    <w:p w14:paraId="63AD48AA">
      <w:pPr>
        <w:bidi w:val="0"/>
        <w:rPr>
          <w:color w:val="auto"/>
          <w:highlight w:val="none"/>
        </w:rPr>
      </w:pPr>
    </w:p>
    <w:p w14:paraId="626396D1">
      <w:pPr>
        <w:bidi w:val="0"/>
        <w:rPr>
          <w:color w:val="auto"/>
          <w:highlight w:val="none"/>
        </w:rPr>
      </w:pPr>
    </w:p>
    <w:p w14:paraId="2C7445A7">
      <w:pPr>
        <w:bidi w:val="0"/>
        <w:rPr>
          <w:color w:val="auto"/>
          <w:highlight w:val="none"/>
        </w:rPr>
      </w:pPr>
    </w:p>
    <w:p w14:paraId="7359F39F">
      <w:pPr>
        <w:bidi w:val="0"/>
        <w:rPr>
          <w:color w:val="auto"/>
          <w:highlight w:val="none"/>
        </w:rPr>
      </w:pPr>
    </w:p>
    <w:p w14:paraId="69C9F53B">
      <w:pPr>
        <w:bidi w:val="0"/>
        <w:rPr>
          <w:color w:val="auto"/>
          <w:highlight w:val="none"/>
        </w:rPr>
      </w:pPr>
    </w:p>
    <w:p w14:paraId="708ABC65">
      <w:pPr>
        <w:bidi w:val="0"/>
        <w:rPr>
          <w:color w:val="auto"/>
          <w:highlight w:val="none"/>
        </w:rPr>
      </w:pPr>
    </w:p>
    <w:p w14:paraId="1B693456">
      <w:pPr>
        <w:bidi w:val="0"/>
        <w:rPr>
          <w:color w:val="auto"/>
          <w:highlight w:val="none"/>
        </w:rPr>
      </w:pPr>
    </w:p>
    <w:p w14:paraId="551F01B2">
      <w:pPr>
        <w:bidi w:val="0"/>
        <w:rPr>
          <w:color w:val="auto"/>
          <w:highlight w:val="none"/>
        </w:rPr>
      </w:pPr>
    </w:p>
    <w:p w14:paraId="6CC218A0">
      <w:pPr>
        <w:bidi w:val="0"/>
        <w:rPr>
          <w:color w:val="auto"/>
          <w:highlight w:val="none"/>
        </w:rPr>
      </w:pPr>
    </w:p>
    <w:p w14:paraId="00074093">
      <w:pPr>
        <w:bidi w:val="0"/>
        <w:rPr>
          <w:color w:val="auto"/>
          <w:highlight w:val="none"/>
        </w:rPr>
      </w:pPr>
    </w:p>
    <w:p w14:paraId="5C8335B0">
      <w:pPr>
        <w:bidi w:val="0"/>
        <w:rPr>
          <w:color w:val="auto"/>
          <w:highlight w:val="none"/>
        </w:rPr>
      </w:pPr>
    </w:p>
    <w:p w14:paraId="25915A79">
      <w:pPr>
        <w:bidi w:val="0"/>
        <w:rPr>
          <w:color w:val="auto"/>
          <w:highlight w:val="none"/>
        </w:rPr>
      </w:pPr>
    </w:p>
    <w:p w14:paraId="6EC3E7D1">
      <w:pPr>
        <w:bidi w:val="0"/>
        <w:rPr>
          <w:color w:val="auto"/>
          <w:highlight w:val="none"/>
        </w:rPr>
      </w:pPr>
    </w:p>
    <w:p w14:paraId="02633546">
      <w:pPr>
        <w:bidi w:val="0"/>
        <w:rPr>
          <w:color w:val="auto"/>
          <w:highlight w:val="none"/>
        </w:rPr>
      </w:pPr>
      <w:r>
        <w:rPr>
          <w:color w:val="auto"/>
          <w:highlight w:val="none"/>
        </w:rPr>
        <w:t xml:space="preserve">  </w:t>
      </w:r>
      <w:bookmarkEnd w:id="490"/>
    </w:p>
    <w:p w14:paraId="0D64BEBA">
      <w:pPr>
        <w:bidi w:val="0"/>
        <w:rPr>
          <w:color w:val="auto"/>
          <w:highlight w:val="none"/>
        </w:rPr>
      </w:pPr>
    </w:p>
    <w:p w14:paraId="09105F19">
      <w:pPr>
        <w:bidi w:val="0"/>
        <w:rPr>
          <w:color w:val="auto"/>
          <w:highlight w:val="none"/>
        </w:rPr>
      </w:pPr>
      <w:bookmarkStart w:id="493" w:name="_Hlk15889861"/>
    </w:p>
    <w:p w14:paraId="4DCB3053">
      <w:pPr>
        <w:bidi w:val="0"/>
        <w:rPr>
          <w:color w:val="auto"/>
          <w:highlight w:val="none"/>
        </w:rPr>
      </w:pPr>
    </w:p>
    <w:p w14:paraId="02920E33">
      <w:pPr>
        <w:bidi w:val="0"/>
        <w:rPr>
          <w:color w:val="auto"/>
          <w:highlight w:val="none"/>
        </w:rPr>
      </w:pPr>
    </w:p>
    <w:p w14:paraId="271FA91A">
      <w:pPr>
        <w:bidi w:val="0"/>
        <w:rPr>
          <w:color w:val="auto"/>
          <w:highlight w:val="none"/>
        </w:rPr>
      </w:pPr>
    </w:p>
    <w:p w14:paraId="06F88DA3">
      <w:pPr>
        <w:bidi w:val="0"/>
        <w:rPr>
          <w:color w:val="auto"/>
          <w:highlight w:val="none"/>
        </w:rPr>
      </w:pPr>
    </w:p>
    <w:p w14:paraId="0EB5EE8B">
      <w:pPr>
        <w:pStyle w:val="46"/>
        <w:rPr>
          <w:color w:val="auto"/>
          <w:highlight w:val="none"/>
        </w:rPr>
      </w:pPr>
    </w:p>
    <w:p w14:paraId="6A02A716">
      <w:pPr>
        <w:pStyle w:val="45"/>
        <w:rPr>
          <w:color w:val="auto"/>
          <w:highlight w:val="none"/>
        </w:rPr>
      </w:pPr>
    </w:p>
    <w:p w14:paraId="3FFF27CC">
      <w:pPr>
        <w:rPr>
          <w:color w:val="auto"/>
          <w:highlight w:val="none"/>
        </w:rPr>
      </w:pPr>
    </w:p>
    <w:p w14:paraId="7A533350">
      <w:pPr>
        <w:pStyle w:val="46"/>
        <w:rPr>
          <w:color w:val="auto"/>
          <w:highlight w:val="none"/>
        </w:rPr>
      </w:pPr>
    </w:p>
    <w:p w14:paraId="19BCE035">
      <w:pPr>
        <w:pStyle w:val="45"/>
        <w:rPr>
          <w:color w:val="auto"/>
          <w:highlight w:val="none"/>
        </w:rPr>
      </w:pPr>
      <w:r>
        <w:rPr>
          <w:color w:val="auto"/>
          <w:highlight w:val="none"/>
        </w:rPr>
        <w:drawing>
          <wp:inline distT="0" distB="0" distL="114300" distR="114300">
            <wp:extent cx="5019675" cy="7067550"/>
            <wp:effectExtent l="0" t="0" r="9525" b="0"/>
            <wp:docPr id="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
                    <pic:cNvPicPr>
                      <a:picLocks noChangeAspect="1"/>
                    </pic:cNvPicPr>
                  </pic:nvPicPr>
                  <pic:blipFill>
                    <a:blip r:embed="rId88"/>
                    <a:stretch>
                      <a:fillRect/>
                    </a:stretch>
                  </pic:blipFill>
                  <pic:spPr>
                    <a:xfrm>
                      <a:off x="0" y="0"/>
                      <a:ext cx="5019675" cy="7067550"/>
                    </a:xfrm>
                    <a:prstGeom prst="rect">
                      <a:avLst/>
                    </a:prstGeom>
                    <a:noFill/>
                    <a:ln>
                      <a:noFill/>
                    </a:ln>
                  </pic:spPr>
                </pic:pic>
              </a:graphicData>
            </a:graphic>
          </wp:inline>
        </w:drawing>
      </w:r>
    </w:p>
    <w:p w14:paraId="0167AB11">
      <w:pPr>
        <w:rPr>
          <w:color w:val="auto"/>
          <w:highlight w:val="none"/>
        </w:rPr>
      </w:pPr>
    </w:p>
    <w:p w14:paraId="41BC5C4A">
      <w:pPr>
        <w:pStyle w:val="46"/>
        <w:rPr>
          <w:color w:val="auto"/>
          <w:highlight w:val="none"/>
        </w:rPr>
      </w:pPr>
    </w:p>
    <w:p w14:paraId="075C51B0">
      <w:pPr>
        <w:bidi w:val="0"/>
        <w:rPr>
          <w:color w:val="auto"/>
          <w:highlight w:val="none"/>
        </w:rPr>
      </w:pPr>
    </w:p>
    <w:p w14:paraId="444F5F56">
      <w:pPr>
        <w:bidi w:val="0"/>
        <w:ind w:left="0" w:leftChars="0" w:firstLine="0" w:firstLineChars="0"/>
        <w:rPr>
          <w:color w:val="auto"/>
          <w:highlight w:val="none"/>
        </w:rPr>
      </w:pPr>
      <w:bookmarkStart w:id="494" w:name="_Toc8259"/>
    </w:p>
    <w:p w14:paraId="0535DC00">
      <w:pPr>
        <w:pStyle w:val="2"/>
        <w:keepNext w:val="0"/>
        <w:keepLines w:val="0"/>
        <w:pageBreakBefore w:val="0"/>
        <w:widowControl w:val="0"/>
        <w:kinsoku/>
        <w:wordWrap/>
        <w:overflowPunct/>
        <w:topLinePunct w:val="0"/>
        <w:autoSpaceDE/>
        <w:autoSpaceDN/>
        <w:bidi w:val="0"/>
        <w:adjustRightInd w:val="0"/>
        <w:snapToGrid w:val="0"/>
        <w:spacing w:line="240" w:lineRule="auto"/>
        <w:textAlignment w:val="auto"/>
        <w:rPr>
          <w:rFonts w:cs="Times New Roman"/>
          <w:color w:val="auto"/>
          <w:sz w:val="24"/>
          <w:szCs w:val="24"/>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bookmarkStart w:id="495" w:name="_Toc13366"/>
      <w:bookmarkStart w:id="496" w:name="_Toc10901"/>
      <w:r>
        <w:rPr>
          <w:color w:val="auto"/>
          <w:highlight w:val="none"/>
        </w:rPr>
        <w:drawing>
          <wp:inline distT="0" distB="0" distL="114300" distR="114300">
            <wp:extent cx="4991100" cy="7077075"/>
            <wp:effectExtent l="0" t="0" r="0" b="9525"/>
            <wp:docPr id="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7"/>
                    <pic:cNvPicPr>
                      <a:picLocks noChangeAspect="1"/>
                    </pic:cNvPicPr>
                  </pic:nvPicPr>
                  <pic:blipFill>
                    <a:blip r:embed="rId89"/>
                    <a:stretch>
                      <a:fillRect/>
                    </a:stretch>
                  </pic:blipFill>
                  <pic:spPr>
                    <a:xfrm>
                      <a:off x="0" y="0"/>
                      <a:ext cx="4991100" cy="7077075"/>
                    </a:xfrm>
                    <a:prstGeom prst="rect">
                      <a:avLst/>
                    </a:prstGeom>
                    <a:noFill/>
                    <a:ln>
                      <a:noFill/>
                    </a:ln>
                  </pic:spPr>
                </pic:pic>
              </a:graphicData>
            </a:graphic>
          </wp:inline>
        </w:drawing>
      </w:r>
      <w:r>
        <w:rPr>
          <w:color w:val="auto"/>
          <w:highlight w:val="none"/>
        </w:rPr>
        <w:drawing>
          <wp:inline distT="0" distB="0" distL="114300" distR="114300">
            <wp:extent cx="5019675" cy="7067550"/>
            <wp:effectExtent l="0" t="0" r="9525" b="0"/>
            <wp:docPr id="8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
                    <pic:cNvPicPr>
                      <a:picLocks noChangeAspect="1"/>
                    </pic:cNvPicPr>
                  </pic:nvPicPr>
                  <pic:blipFill>
                    <a:blip r:embed="rId90"/>
                    <a:stretch>
                      <a:fillRect/>
                    </a:stretch>
                  </pic:blipFill>
                  <pic:spPr>
                    <a:xfrm>
                      <a:off x="0" y="0"/>
                      <a:ext cx="5019675" cy="7067550"/>
                    </a:xfrm>
                    <a:prstGeom prst="rect">
                      <a:avLst/>
                    </a:prstGeom>
                    <a:noFill/>
                    <a:ln>
                      <a:noFill/>
                    </a:ln>
                  </pic:spPr>
                </pic:pic>
              </a:graphicData>
            </a:graphic>
          </wp:inline>
        </w:drawing>
      </w:r>
      <w:r>
        <w:rPr>
          <w:color w:val="auto"/>
          <w:highlight w:val="none"/>
        </w:rPr>
        <w:drawing>
          <wp:inline distT="0" distB="0" distL="114300" distR="114300">
            <wp:extent cx="5019675" cy="7077075"/>
            <wp:effectExtent l="0" t="0" r="9525" b="9525"/>
            <wp:docPr id="1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
                    <pic:cNvPicPr>
                      <a:picLocks noChangeAspect="1"/>
                    </pic:cNvPicPr>
                  </pic:nvPicPr>
                  <pic:blipFill>
                    <a:blip r:embed="rId91"/>
                    <a:stretch>
                      <a:fillRect/>
                    </a:stretch>
                  </pic:blipFill>
                  <pic:spPr>
                    <a:xfrm>
                      <a:off x="0" y="0"/>
                      <a:ext cx="5019675" cy="7077075"/>
                    </a:xfrm>
                    <a:prstGeom prst="rect">
                      <a:avLst/>
                    </a:prstGeom>
                    <a:noFill/>
                    <a:ln>
                      <a:noFill/>
                    </a:ln>
                  </pic:spPr>
                </pic:pic>
              </a:graphicData>
            </a:graphic>
          </wp:inline>
        </w:drawing>
      </w:r>
      <w:bookmarkEnd w:id="495"/>
      <w:bookmarkEnd w:id="496"/>
    </w:p>
    <w:p w14:paraId="540290CF">
      <w:pPr>
        <w:pStyle w:val="2"/>
        <w:keepNext w:val="0"/>
        <w:keepLines w:val="0"/>
        <w:pageBreakBefore w:val="0"/>
        <w:widowControl w:val="0"/>
        <w:kinsoku/>
        <w:wordWrap/>
        <w:overflowPunct/>
        <w:topLinePunct w:val="0"/>
        <w:autoSpaceDE/>
        <w:autoSpaceDN/>
        <w:bidi w:val="0"/>
        <w:adjustRightInd w:val="0"/>
        <w:snapToGrid w:val="0"/>
        <w:spacing w:line="240" w:lineRule="auto"/>
        <w:textAlignment w:val="auto"/>
        <w:rPr>
          <w:color w:val="auto"/>
          <w:highlight w:val="none"/>
        </w:rPr>
      </w:pPr>
      <w:bookmarkStart w:id="497" w:name="_Toc28931"/>
      <w:r>
        <w:rPr>
          <w:rFonts w:cs="Times New Roman"/>
          <w:color w:val="auto"/>
          <w:sz w:val="24"/>
          <w:szCs w:val="24"/>
          <w:highlight w:val="none"/>
        </w:rPr>
        <w:t>附件</w:t>
      </w:r>
      <w:r>
        <w:rPr>
          <w:rFonts w:hint="eastAsia" w:cs="Times New Roman"/>
          <w:color w:val="auto"/>
          <w:sz w:val="24"/>
          <w:szCs w:val="24"/>
          <w:highlight w:val="none"/>
          <w:lang w:val="en-US" w:eastAsia="zh-CN"/>
        </w:rPr>
        <w:t>4</w:t>
      </w:r>
      <w:r>
        <w:rPr>
          <w:rFonts w:cs="Times New Roman"/>
          <w:color w:val="auto"/>
          <w:sz w:val="24"/>
          <w:szCs w:val="24"/>
          <w:highlight w:val="none"/>
        </w:rPr>
        <w:t>：监测报告</w:t>
      </w:r>
      <w:bookmarkEnd w:id="494"/>
      <w:r>
        <w:rPr>
          <w:color w:val="auto"/>
          <w:highlight w:val="none"/>
        </w:rPr>
        <w:drawing>
          <wp:inline distT="0" distB="0" distL="114300" distR="114300">
            <wp:extent cx="5205095" cy="7338695"/>
            <wp:effectExtent l="0" t="0" r="14605" b="14605"/>
            <wp:docPr id="2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3"/>
                    <pic:cNvPicPr>
                      <a:picLocks noChangeAspect="1"/>
                    </pic:cNvPicPr>
                  </pic:nvPicPr>
                  <pic:blipFill>
                    <a:blip r:embed="rId92"/>
                    <a:stretch>
                      <a:fillRect/>
                    </a:stretch>
                  </pic:blipFill>
                  <pic:spPr>
                    <a:xfrm>
                      <a:off x="0" y="0"/>
                      <a:ext cx="5205095" cy="7338695"/>
                    </a:xfrm>
                    <a:prstGeom prst="rect">
                      <a:avLst/>
                    </a:prstGeom>
                    <a:noFill/>
                    <a:ln>
                      <a:noFill/>
                    </a:ln>
                  </pic:spPr>
                </pic:pic>
              </a:graphicData>
            </a:graphic>
          </wp:inline>
        </w:drawing>
      </w:r>
      <w:bookmarkEnd w:id="497"/>
      <w:r>
        <w:rPr>
          <w:color w:val="auto"/>
          <w:highlight w:val="none"/>
        </w:rPr>
        <w:drawing>
          <wp:inline distT="0" distB="0" distL="114300" distR="114300">
            <wp:extent cx="5252085" cy="7424420"/>
            <wp:effectExtent l="0" t="0" r="5715" b="5080"/>
            <wp:docPr id="2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
                    <pic:cNvPicPr>
                      <a:picLocks noChangeAspect="1"/>
                    </pic:cNvPicPr>
                  </pic:nvPicPr>
                  <pic:blipFill>
                    <a:blip r:embed="rId93"/>
                    <a:stretch>
                      <a:fillRect/>
                    </a:stretch>
                  </pic:blipFill>
                  <pic:spPr>
                    <a:xfrm>
                      <a:off x="0" y="0"/>
                      <a:ext cx="5252085" cy="7424420"/>
                    </a:xfrm>
                    <a:prstGeom prst="rect">
                      <a:avLst/>
                    </a:prstGeom>
                    <a:noFill/>
                    <a:ln>
                      <a:noFill/>
                    </a:ln>
                  </pic:spPr>
                </pic:pic>
              </a:graphicData>
            </a:graphic>
          </wp:inline>
        </w:drawing>
      </w:r>
      <w:r>
        <w:rPr>
          <w:color w:val="auto"/>
          <w:highlight w:val="none"/>
        </w:rPr>
        <w:drawing>
          <wp:inline distT="0" distB="0" distL="114300" distR="114300">
            <wp:extent cx="5278120" cy="7467600"/>
            <wp:effectExtent l="0" t="0" r="17780" b="0"/>
            <wp:docPr id="2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
                    <pic:cNvPicPr>
                      <a:picLocks noChangeAspect="1"/>
                    </pic:cNvPicPr>
                  </pic:nvPicPr>
                  <pic:blipFill>
                    <a:blip r:embed="rId94"/>
                    <a:stretch>
                      <a:fillRect/>
                    </a:stretch>
                  </pic:blipFill>
                  <pic:spPr>
                    <a:xfrm>
                      <a:off x="0" y="0"/>
                      <a:ext cx="5278120" cy="7467600"/>
                    </a:xfrm>
                    <a:prstGeom prst="rect">
                      <a:avLst/>
                    </a:prstGeom>
                    <a:noFill/>
                    <a:ln>
                      <a:noFill/>
                    </a:ln>
                  </pic:spPr>
                </pic:pic>
              </a:graphicData>
            </a:graphic>
          </wp:inline>
        </w:drawing>
      </w:r>
      <w:r>
        <w:rPr>
          <w:color w:val="auto"/>
          <w:highlight w:val="none"/>
        </w:rPr>
        <w:drawing>
          <wp:inline distT="0" distB="0" distL="114300" distR="114300">
            <wp:extent cx="5278120" cy="7419975"/>
            <wp:effectExtent l="0" t="0" r="17780" b="9525"/>
            <wp:docPr id="2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6"/>
                    <pic:cNvPicPr>
                      <a:picLocks noChangeAspect="1"/>
                    </pic:cNvPicPr>
                  </pic:nvPicPr>
                  <pic:blipFill>
                    <a:blip r:embed="rId95"/>
                    <a:stretch>
                      <a:fillRect/>
                    </a:stretch>
                  </pic:blipFill>
                  <pic:spPr>
                    <a:xfrm>
                      <a:off x="0" y="0"/>
                      <a:ext cx="5278120" cy="7419975"/>
                    </a:xfrm>
                    <a:prstGeom prst="rect">
                      <a:avLst/>
                    </a:prstGeom>
                    <a:noFill/>
                    <a:ln>
                      <a:noFill/>
                    </a:ln>
                  </pic:spPr>
                </pic:pic>
              </a:graphicData>
            </a:graphic>
          </wp:inline>
        </w:drawing>
      </w:r>
      <w:r>
        <w:rPr>
          <w:color w:val="auto"/>
          <w:highlight w:val="none"/>
        </w:rPr>
        <w:drawing>
          <wp:inline distT="0" distB="0" distL="114300" distR="114300">
            <wp:extent cx="5274310" cy="7437120"/>
            <wp:effectExtent l="0" t="0" r="2540" b="11430"/>
            <wp:docPr id="2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
                    <pic:cNvPicPr>
                      <a:picLocks noChangeAspect="1"/>
                    </pic:cNvPicPr>
                  </pic:nvPicPr>
                  <pic:blipFill>
                    <a:blip r:embed="rId96"/>
                    <a:stretch>
                      <a:fillRect/>
                    </a:stretch>
                  </pic:blipFill>
                  <pic:spPr>
                    <a:xfrm>
                      <a:off x="0" y="0"/>
                      <a:ext cx="5274310" cy="7437120"/>
                    </a:xfrm>
                    <a:prstGeom prst="rect">
                      <a:avLst/>
                    </a:prstGeom>
                    <a:noFill/>
                    <a:ln>
                      <a:noFill/>
                    </a:ln>
                  </pic:spPr>
                </pic:pic>
              </a:graphicData>
            </a:graphic>
          </wp:inline>
        </w:drawing>
      </w:r>
      <w:r>
        <w:rPr>
          <w:color w:val="auto"/>
          <w:highlight w:val="none"/>
        </w:rPr>
        <w:drawing>
          <wp:inline distT="0" distB="0" distL="114300" distR="114300">
            <wp:extent cx="5274310" cy="7454900"/>
            <wp:effectExtent l="0" t="0" r="2540" b="12700"/>
            <wp:docPr id="2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8"/>
                    <pic:cNvPicPr>
                      <a:picLocks noChangeAspect="1"/>
                    </pic:cNvPicPr>
                  </pic:nvPicPr>
                  <pic:blipFill>
                    <a:blip r:embed="rId97"/>
                    <a:stretch>
                      <a:fillRect/>
                    </a:stretch>
                  </pic:blipFill>
                  <pic:spPr>
                    <a:xfrm>
                      <a:off x="0" y="0"/>
                      <a:ext cx="5274310" cy="7454900"/>
                    </a:xfrm>
                    <a:prstGeom prst="rect">
                      <a:avLst/>
                    </a:prstGeom>
                    <a:noFill/>
                    <a:ln>
                      <a:noFill/>
                    </a:ln>
                  </pic:spPr>
                </pic:pic>
              </a:graphicData>
            </a:graphic>
          </wp:inline>
        </w:drawing>
      </w:r>
      <w:r>
        <w:rPr>
          <w:color w:val="auto"/>
          <w:highlight w:val="none"/>
        </w:rPr>
        <w:drawing>
          <wp:inline distT="0" distB="0" distL="114300" distR="114300">
            <wp:extent cx="5278120" cy="7467600"/>
            <wp:effectExtent l="0" t="0" r="17780" b="0"/>
            <wp:docPr id="2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9"/>
                    <pic:cNvPicPr>
                      <a:picLocks noChangeAspect="1"/>
                    </pic:cNvPicPr>
                  </pic:nvPicPr>
                  <pic:blipFill>
                    <a:blip r:embed="rId98"/>
                    <a:stretch>
                      <a:fillRect/>
                    </a:stretch>
                  </pic:blipFill>
                  <pic:spPr>
                    <a:xfrm>
                      <a:off x="0" y="0"/>
                      <a:ext cx="5278120" cy="7467600"/>
                    </a:xfrm>
                    <a:prstGeom prst="rect">
                      <a:avLst/>
                    </a:prstGeom>
                    <a:noFill/>
                    <a:ln>
                      <a:noFill/>
                    </a:ln>
                  </pic:spPr>
                </pic:pic>
              </a:graphicData>
            </a:graphic>
          </wp:inline>
        </w:drawing>
      </w:r>
      <w:r>
        <w:rPr>
          <w:color w:val="auto"/>
          <w:highlight w:val="none"/>
        </w:rPr>
        <w:drawing>
          <wp:inline distT="0" distB="0" distL="114300" distR="114300">
            <wp:extent cx="5274310" cy="7427595"/>
            <wp:effectExtent l="0" t="0" r="2540" b="1905"/>
            <wp:docPr id="2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0"/>
                    <pic:cNvPicPr>
                      <a:picLocks noChangeAspect="1"/>
                    </pic:cNvPicPr>
                  </pic:nvPicPr>
                  <pic:blipFill>
                    <a:blip r:embed="rId99"/>
                    <a:stretch>
                      <a:fillRect/>
                    </a:stretch>
                  </pic:blipFill>
                  <pic:spPr>
                    <a:xfrm>
                      <a:off x="0" y="0"/>
                      <a:ext cx="5274310" cy="7427595"/>
                    </a:xfrm>
                    <a:prstGeom prst="rect">
                      <a:avLst/>
                    </a:prstGeom>
                    <a:noFill/>
                    <a:ln>
                      <a:noFill/>
                    </a:ln>
                  </pic:spPr>
                </pic:pic>
              </a:graphicData>
            </a:graphic>
          </wp:inline>
        </w:drawing>
      </w:r>
      <w:r>
        <w:rPr>
          <w:color w:val="auto"/>
          <w:highlight w:val="none"/>
        </w:rPr>
        <w:drawing>
          <wp:inline distT="0" distB="0" distL="114300" distR="114300">
            <wp:extent cx="5277485" cy="7488555"/>
            <wp:effectExtent l="0" t="0" r="18415" b="17145"/>
            <wp:docPr id="2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1"/>
                    <pic:cNvPicPr>
                      <a:picLocks noChangeAspect="1"/>
                    </pic:cNvPicPr>
                  </pic:nvPicPr>
                  <pic:blipFill>
                    <a:blip r:embed="rId100"/>
                    <a:stretch>
                      <a:fillRect/>
                    </a:stretch>
                  </pic:blipFill>
                  <pic:spPr>
                    <a:xfrm>
                      <a:off x="0" y="0"/>
                      <a:ext cx="5277485" cy="7488555"/>
                    </a:xfrm>
                    <a:prstGeom prst="rect">
                      <a:avLst/>
                    </a:prstGeom>
                    <a:noFill/>
                    <a:ln>
                      <a:noFill/>
                    </a:ln>
                  </pic:spPr>
                </pic:pic>
              </a:graphicData>
            </a:graphic>
          </wp:inline>
        </w:drawing>
      </w:r>
      <w:r>
        <w:rPr>
          <w:color w:val="auto"/>
          <w:highlight w:val="none"/>
        </w:rPr>
        <w:drawing>
          <wp:inline distT="0" distB="0" distL="114300" distR="114300">
            <wp:extent cx="5276215" cy="7461250"/>
            <wp:effectExtent l="0" t="0" r="635" b="6350"/>
            <wp:docPr id="2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2"/>
                    <pic:cNvPicPr>
                      <a:picLocks noChangeAspect="1"/>
                    </pic:cNvPicPr>
                  </pic:nvPicPr>
                  <pic:blipFill>
                    <a:blip r:embed="rId101"/>
                    <a:stretch>
                      <a:fillRect/>
                    </a:stretch>
                  </pic:blipFill>
                  <pic:spPr>
                    <a:xfrm>
                      <a:off x="0" y="0"/>
                      <a:ext cx="5276215" cy="7461250"/>
                    </a:xfrm>
                    <a:prstGeom prst="rect">
                      <a:avLst/>
                    </a:prstGeom>
                    <a:noFill/>
                    <a:ln>
                      <a:noFill/>
                    </a:ln>
                  </pic:spPr>
                </pic:pic>
              </a:graphicData>
            </a:graphic>
          </wp:inline>
        </w:drawing>
      </w:r>
    </w:p>
    <w:p w14:paraId="257C3AEF">
      <w:pPr>
        <w:pStyle w:val="45"/>
        <w:ind w:left="0" w:leftChars="0" w:firstLine="0" w:firstLineChars="0"/>
        <w:rPr>
          <w:i/>
          <w:iCs/>
          <w:color w:val="auto"/>
          <w:highlight w:val="none"/>
        </w:rPr>
      </w:pPr>
    </w:p>
    <w:p w14:paraId="099A811D">
      <w:pPr>
        <w:pStyle w:val="117"/>
        <w:adjustRightInd w:val="0"/>
        <w:snapToGrid w:val="0"/>
        <w:spacing w:line="360" w:lineRule="auto"/>
        <w:ind w:firstLine="0" w:firstLineChars="0"/>
        <w:rPr>
          <w:color w:val="auto"/>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72DE6485">
      <w:pPr>
        <w:pStyle w:val="2"/>
        <w:rPr>
          <w:rFonts w:hint="eastAsia" w:ascii="Times New Roman" w:hAnsi="Times New Roman" w:cs="Times New Roman"/>
          <w:color w:val="auto"/>
          <w:sz w:val="24"/>
          <w:szCs w:val="24"/>
          <w:highlight w:val="none"/>
          <w:lang w:val="en-US" w:eastAsia="zh-CN"/>
        </w:rPr>
      </w:pPr>
      <w:bookmarkStart w:id="498" w:name="_Toc22394"/>
      <w:r>
        <w:rPr>
          <w:rFonts w:hint="eastAsia" w:ascii="Times New Roman" w:hAnsi="Times New Roman" w:cs="Times New Roman"/>
          <w:color w:val="auto"/>
          <w:sz w:val="24"/>
          <w:szCs w:val="24"/>
          <w:highlight w:val="none"/>
          <w:lang w:val="en-US" w:eastAsia="zh-CN"/>
        </w:rPr>
        <w:t>附件</w:t>
      </w:r>
      <w:r>
        <w:rPr>
          <w:rFonts w:hint="eastAsia" w:cs="Times New Roman"/>
          <w:color w:val="auto"/>
          <w:sz w:val="24"/>
          <w:szCs w:val="24"/>
          <w:highlight w:val="none"/>
          <w:lang w:val="en-US" w:eastAsia="zh-CN"/>
        </w:rPr>
        <w:t>5</w:t>
      </w:r>
      <w:r>
        <w:rPr>
          <w:rFonts w:hint="eastAsia" w:ascii="Times New Roman" w:hAnsi="Times New Roman" w:cs="Times New Roman"/>
          <w:color w:val="auto"/>
          <w:sz w:val="24"/>
          <w:szCs w:val="24"/>
          <w:highlight w:val="none"/>
          <w:lang w:val="en-US" w:eastAsia="zh-CN"/>
        </w:rPr>
        <w:t>：无害化处理协议</w:t>
      </w:r>
      <w:bookmarkEnd w:id="498"/>
    </w:p>
    <w:p w14:paraId="00B93A2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r>
        <w:rPr>
          <w:color w:val="auto"/>
          <w:highlight w:val="none"/>
        </w:rPr>
        <w:drawing>
          <wp:inline distT="0" distB="0" distL="114300" distR="114300">
            <wp:extent cx="5274310" cy="6989445"/>
            <wp:effectExtent l="0" t="0" r="2540" b="1905"/>
            <wp:docPr id="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
                    <pic:cNvPicPr>
                      <a:picLocks noChangeAspect="1"/>
                    </pic:cNvPicPr>
                  </pic:nvPicPr>
                  <pic:blipFill>
                    <a:blip r:embed="rId102"/>
                    <a:stretch>
                      <a:fillRect/>
                    </a:stretch>
                  </pic:blipFill>
                  <pic:spPr>
                    <a:xfrm>
                      <a:off x="0" y="0"/>
                      <a:ext cx="5274310" cy="6989445"/>
                    </a:xfrm>
                    <a:prstGeom prst="rect">
                      <a:avLst/>
                    </a:prstGeom>
                    <a:noFill/>
                    <a:ln>
                      <a:noFill/>
                    </a:ln>
                  </pic:spPr>
                </pic:pic>
              </a:graphicData>
            </a:graphic>
          </wp:inline>
        </w:drawing>
      </w:r>
      <w:r>
        <w:rPr>
          <w:color w:val="auto"/>
          <w:highlight w:val="none"/>
        </w:rPr>
        <w:drawing>
          <wp:inline distT="0" distB="0" distL="114300" distR="114300">
            <wp:extent cx="5274310" cy="6989445"/>
            <wp:effectExtent l="0" t="0" r="2540" b="1905"/>
            <wp:docPr id="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
                    <pic:cNvPicPr>
                      <a:picLocks noChangeAspect="1"/>
                    </pic:cNvPicPr>
                  </pic:nvPicPr>
                  <pic:blipFill>
                    <a:blip r:embed="rId102"/>
                    <a:stretch>
                      <a:fillRect/>
                    </a:stretch>
                  </pic:blipFill>
                  <pic:spPr>
                    <a:xfrm>
                      <a:off x="0" y="0"/>
                      <a:ext cx="5274310" cy="6989445"/>
                    </a:xfrm>
                    <a:prstGeom prst="rect">
                      <a:avLst/>
                    </a:prstGeom>
                    <a:noFill/>
                    <a:ln>
                      <a:noFill/>
                    </a:ln>
                  </pic:spPr>
                </pic:pic>
              </a:graphicData>
            </a:graphic>
          </wp:inline>
        </w:drawing>
      </w:r>
      <w:r>
        <w:rPr>
          <w:color w:val="auto"/>
          <w:highlight w:val="none"/>
        </w:rPr>
        <w:drawing>
          <wp:inline distT="0" distB="0" distL="114300" distR="114300">
            <wp:extent cx="5105400" cy="7058025"/>
            <wp:effectExtent l="0" t="0" r="0" b="9525"/>
            <wp:docPr id="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
                    <pic:cNvPicPr>
                      <a:picLocks noChangeAspect="1"/>
                    </pic:cNvPicPr>
                  </pic:nvPicPr>
                  <pic:blipFill>
                    <a:blip r:embed="rId103"/>
                    <a:stretch>
                      <a:fillRect/>
                    </a:stretch>
                  </pic:blipFill>
                  <pic:spPr>
                    <a:xfrm>
                      <a:off x="0" y="0"/>
                      <a:ext cx="5105400" cy="7058025"/>
                    </a:xfrm>
                    <a:prstGeom prst="rect">
                      <a:avLst/>
                    </a:prstGeom>
                    <a:noFill/>
                    <a:ln>
                      <a:noFill/>
                    </a:ln>
                  </pic:spPr>
                </pic:pic>
              </a:graphicData>
            </a:graphic>
          </wp:inline>
        </w:drawing>
      </w:r>
      <w:r>
        <w:rPr>
          <w:color w:val="auto"/>
          <w:highlight w:val="none"/>
        </w:rPr>
        <w:drawing>
          <wp:inline distT="0" distB="0" distL="114300" distR="114300">
            <wp:extent cx="5274310" cy="7117715"/>
            <wp:effectExtent l="0" t="0" r="2540" b="6985"/>
            <wp:docPr id="1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1"/>
                    <pic:cNvPicPr>
                      <a:picLocks noChangeAspect="1"/>
                    </pic:cNvPicPr>
                  </pic:nvPicPr>
                  <pic:blipFill>
                    <a:blip r:embed="rId104"/>
                    <a:stretch>
                      <a:fillRect/>
                    </a:stretch>
                  </pic:blipFill>
                  <pic:spPr>
                    <a:xfrm>
                      <a:off x="0" y="0"/>
                      <a:ext cx="5274310" cy="7117715"/>
                    </a:xfrm>
                    <a:prstGeom prst="rect">
                      <a:avLst/>
                    </a:prstGeom>
                    <a:noFill/>
                    <a:ln>
                      <a:noFill/>
                    </a:ln>
                  </pic:spPr>
                </pic:pic>
              </a:graphicData>
            </a:graphic>
          </wp:inline>
        </w:drawing>
      </w:r>
    </w:p>
    <w:p w14:paraId="73EEAA3F">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0D8A124B">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52FD4428">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73B49B62">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0CD2F9BC">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7E3B0768">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190340A9">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7D3CDD1A">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4FD6922C">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textAlignment w:val="auto"/>
        <w:rPr>
          <w:color w:val="auto"/>
          <w:highlight w:val="none"/>
        </w:rPr>
      </w:pPr>
    </w:p>
    <w:p w14:paraId="3B4AE091">
      <w:pPr>
        <w:pStyle w:val="2"/>
        <w:rPr>
          <w:rFonts w:hint="eastAsia" w:ascii="Times New Roman" w:hAnsi="Times New Roman" w:cs="Times New Roman"/>
          <w:color w:val="auto"/>
          <w:sz w:val="24"/>
          <w:szCs w:val="24"/>
          <w:highlight w:val="none"/>
          <w:lang w:val="en-US" w:eastAsia="zh-CN"/>
        </w:rPr>
      </w:pPr>
      <w:bookmarkStart w:id="499" w:name="_Toc27132"/>
      <w:r>
        <w:rPr>
          <w:color w:val="auto"/>
          <w:highlight w:val="none"/>
        </w:rPr>
        <w:drawing>
          <wp:anchor distT="0" distB="0" distL="114300" distR="114300" simplePos="0" relativeHeight="251721728" behindDoc="0" locked="0" layoutInCell="1" allowOverlap="1">
            <wp:simplePos x="0" y="0"/>
            <wp:positionH relativeFrom="column">
              <wp:posOffset>-17145</wp:posOffset>
            </wp:positionH>
            <wp:positionV relativeFrom="paragraph">
              <wp:posOffset>370205</wp:posOffset>
            </wp:positionV>
            <wp:extent cx="5278120" cy="7435215"/>
            <wp:effectExtent l="0" t="0" r="17780" b="1333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5"/>
                    <a:stretch>
                      <a:fillRect/>
                    </a:stretch>
                  </pic:blipFill>
                  <pic:spPr>
                    <a:xfrm>
                      <a:off x="0" y="0"/>
                      <a:ext cx="5278120" cy="7435215"/>
                    </a:xfrm>
                    <a:prstGeom prst="rect">
                      <a:avLst/>
                    </a:prstGeom>
                    <a:noFill/>
                    <a:ln>
                      <a:noFill/>
                    </a:ln>
                  </pic:spPr>
                </pic:pic>
              </a:graphicData>
            </a:graphic>
          </wp:anchor>
        </w:drawing>
      </w:r>
      <w:r>
        <w:rPr>
          <w:rFonts w:hint="eastAsia" w:ascii="Times New Roman" w:hAnsi="Times New Roman" w:cs="Times New Roman"/>
          <w:color w:val="auto"/>
          <w:sz w:val="24"/>
          <w:szCs w:val="24"/>
          <w:highlight w:val="none"/>
          <w:lang w:val="en-US" w:eastAsia="zh-CN"/>
        </w:rPr>
        <w:t>附件6：用地情况说明</w:t>
      </w:r>
      <w:bookmarkEnd w:id="499"/>
    </w:p>
    <w:p w14:paraId="21AA5473">
      <w:pPr>
        <w:bidi w:val="0"/>
        <w:rPr>
          <w:rFonts w:hint="default"/>
          <w:color w:val="auto"/>
          <w:highlight w:val="none"/>
          <w:lang w:val="en-US" w:eastAsia="zh-CN"/>
        </w:rPr>
      </w:pPr>
    </w:p>
    <w:p w14:paraId="5BC9C757">
      <w:pPr>
        <w:bidi w:val="0"/>
        <w:rPr>
          <w:rFonts w:hint="default"/>
          <w:color w:val="auto"/>
          <w:highlight w:val="none"/>
          <w:lang w:val="en-US" w:eastAsia="zh-CN"/>
        </w:rPr>
      </w:pPr>
    </w:p>
    <w:p w14:paraId="4811F0E1">
      <w:pPr>
        <w:bidi w:val="0"/>
        <w:rPr>
          <w:rFonts w:hint="default"/>
          <w:color w:val="auto"/>
          <w:highlight w:val="none"/>
          <w:lang w:val="en-US" w:eastAsia="zh-CN"/>
        </w:rPr>
      </w:pPr>
    </w:p>
    <w:p w14:paraId="412B8188">
      <w:pPr>
        <w:bidi w:val="0"/>
        <w:rPr>
          <w:rFonts w:hint="default"/>
          <w:color w:val="auto"/>
          <w:highlight w:val="none"/>
          <w:lang w:val="en-US" w:eastAsia="zh-CN"/>
        </w:rPr>
      </w:pPr>
    </w:p>
    <w:p w14:paraId="4A434CA4">
      <w:pPr>
        <w:bidi w:val="0"/>
        <w:rPr>
          <w:rFonts w:hint="default"/>
          <w:color w:val="auto"/>
          <w:highlight w:val="none"/>
          <w:lang w:val="en-US" w:eastAsia="zh-CN"/>
        </w:rPr>
      </w:pPr>
    </w:p>
    <w:p w14:paraId="67C2BC9F">
      <w:pPr>
        <w:bidi w:val="0"/>
        <w:rPr>
          <w:rFonts w:hint="default"/>
          <w:color w:val="auto"/>
          <w:highlight w:val="none"/>
          <w:lang w:val="en-US" w:eastAsia="zh-CN"/>
        </w:rPr>
      </w:pPr>
    </w:p>
    <w:p w14:paraId="4D17E2A0">
      <w:pPr>
        <w:bidi w:val="0"/>
        <w:rPr>
          <w:rFonts w:hint="default"/>
          <w:color w:val="auto"/>
          <w:highlight w:val="none"/>
          <w:lang w:val="en-US" w:eastAsia="zh-CN"/>
        </w:rPr>
      </w:pPr>
    </w:p>
    <w:p w14:paraId="0F99DDB6">
      <w:pPr>
        <w:bidi w:val="0"/>
        <w:rPr>
          <w:rFonts w:hint="default"/>
          <w:color w:val="auto"/>
          <w:highlight w:val="none"/>
          <w:lang w:val="en-US" w:eastAsia="zh-CN"/>
        </w:rPr>
      </w:pPr>
    </w:p>
    <w:p w14:paraId="1A575D35">
      <w:pPr>
        <w:bidi w:val="0"/>
        <w:rPr>
          <w:rFonts w:hint="default"/>
          <w:color w:val="auto"/>
          <w:highlight w:val="none"/>
          <w:lang w:val="en-US" w:eastAsia="zh-CN"/>
        </w:rPr>
      </w:pPr>
    </w:p>
    <w:p w14:paraId="6783718F">
      <w:pPr>
        <w:bidi w:val="0"/>
        <w:rPr>
          <w:rFonts w:hint="default"/>
          <w:color w:val="auto"/>
          <w:highlight w:val="none"/>
          <w:lang w:val="en-US" w:eastAsia="zh-CN"/>
        </w:rPr>
      </w:pPr>
    </w:p>
    <w:p w14:paraId="4D734E4D">
      <w:pPr>
        <w:bidi w:val="0"/>
        <w:rPr>
          <w:rFonts w:hint="default"/>
          <w:color w:val="auto"/>
          <w:highlight w:val="none"/>
          <w:lang w:val="en-US" w:eastAsia="zh-CN"/>
        </w:rPr>
      </w:pPr>
    </w:p>
    <w:p w14:paraId="2CB1AFBA">
      <w:pPr>
        <w:bidi w:val="0"/>
        <w:rPr>
          <w:rFonts w:hint="default"/>
          <w:color w:val="auto"/>
          <w:highlight w:val="none"/>
          <w:lang w:val="en-US" w:eastAsia="zh-CN"/>
        </w:rPr>
      </w:pPr>
    </w:p>
    <w:p w14:paraId="6E8EDE3D">
      <w:pPr>
        <w:bidi w:val="0"/>
        <w:rPr>
          <w:rFonts w:hint="default"/>
          <w:color w:val="auto"/>
          <w:highlight w:val="none"/>
          <w:lang w:val="en-US" w:eastAsia="zh-CN"/>
        </w:rPr>
      </w:pPr>
    </w:p>
    <w:p w14:paraId="59967798">
      <w:pPr>
        <w:bidi w:val="0"/>
        <w:rPr>
          <w:rFonts w:hint="default"/>
          <w:color w:val="auto"/>
          <w:highlight w:val="none"/>
          <w:lang w:val="en-US" w:eastAsia="zh-CN"/>
        </w:rPr>
      </w:pPr>
    </w:p>
    <w:p w14:paraId="50B89F02">
      <w:pPr>
        <w:bidi w:val="0"/>
        <w:rPr>
          <w:rFonts w:hint="default"/>
          <w:color w:val="auto"/>
          <w:highlight w:val="none"/>
          <w:lang w:val="en-US" w:eastAsia="zh-CN"/>
        </w:rPr>
      </w:pPr>
    </w:p>
    <w:p w14:paraId="072B9D94">
      <w:pPr>
        <w:bidi w:val="0"/>
        <w:rPr>
          <w:rFonts w:hint="default"/>
          <w:color w:val="auto"/>
          <w:highlight w:val="none"/>
          <w:lang w:val="en-US" w:eastAsia="zh-CN"/>
        </w:rPr>
      </w:pPr>
    </w:p>
    <w:p w14:paraId="5D258AC8">
      <w:pPr>
        <w:bidi w:val="0"/>
        <w:rPr>
          <w:rFonts w:hint="default"/>
          <w:color w:val="auto"/>
          <w:highlight w:val="none"/>
          <w:lang w:val="en-US" w:eastAsia="zh-CN"/>
        </w:rPr>
      </w:pPr>
    </w:p>
    <w:p w14:paraId="3188BCD1">
      <w:pPr>
        <w:bidi w:val="0"/>
        <w:rPr>
          <w:rFonts w:hint="default"/>
          <w:color w:val="auto"/>
          <w:highlight w:val="none"/>
          <w:lang w:val="en-US" w:eastAsia="zh-CN"/>
        </w:rPr>
      </w:pPr>
    </w:p>
    <w:p w14:paraId="1EA5A438">
      <w:pPr>
        <w:bidi w:val="0"/>
        <w:rPr>
          <w:rFonts w:hint="default"/>
          <w:color w:val="auto"/>
          <w:highlight w:val="none"/>
          <w:lang w:val="en-US" w:eastAsia="zh-CN"/>
        </w:rPr>
      </w:pPr>
    </w:p>
    <w:p w14:paraId="315D818A">
      <w:pPr>
        <w:bidi w:val="0"/>
        <w:rPr>
          <w:rFonts w:hint="default"/>
          <w:color w:val="auto"/>
          <w:highlight w:val="none"/>
          <w:lang w:val="en-US" w:eastAsia="zh-CN"/>
        </w:rPr>
      </w:pPr>
    </w:p>
    <w:p w14:paraId="2514F483">
      <w:pPr>
        <w:bidi w:val="0"/>
        <w:rPr>
          <w:rFonts w:hint="default"/>
          <w:color w:val="auto"/>
          <w:highlight w:val="none"/>
          <w:lang w:val="en-US" w:eastAsia="zh-CN"/>
        </w:rPr>
      </w:pPr>
    </w:p>
    <w:p w14:paraId="09347596">
      <w:pPr>
        <w:bidi w:val="0"/>
        <w:rPr>
          <w:rFonts w:hint="default"/>
          <w:color w:val="auto"/>
          <w:highlight w:val="none"/>
          <w:lang w:val="en-US" w:eastAsia="zh-CN"/>
        </w:rPr>
      </w:pPr>
    </w:p>
    <w:p w14:paraId="306774CA">
      <w:pPr>
        <w:bidi w:val="0"/>
        <w:rPr>
          <w:rFonts w:hint="default"/>
          <w:color w:val="auto"/>
          <w:highlight w:val="none"/>
          <w:lang w:val="en-US" w:eastAsia="zh-CN"/>
        </w:rPr>
      </w:pPr>
    </w:p>
    <w:p w14:paraId="442F0AAD">
      <w:pPr>
        <w:bidi w:val="0"/>
        <w:rPr>
          <w:rFonts w:hint="default"/>
          <w:color w:val="auto"/>
          <w:highlight w:val="none"/>
          <w:lang w:val="en-US" w:eastAsia="zh-CN"/>
        </w:rPr>
      </w:pPr>
    </w:p>
    <w:p w14:paraId="31EDA240">
      <w:pPr>
        <w:bidi w:val="0"/>
        <w:rPr>
          <w:rFonts w:hint="default"/>
          <w:color w:val="auto"/>
          <w:highlight w:val="none"/>
          <w:lang w:val="en-US" w:eastAsia="zh-CN"/>
        </w:rPr>
      </w:pPr>
    </w:p>
    <w:p w14:paraId="269FC193">
      <w:pPr>
        <w:bidi w:val="0"/>
        <w:rPr>
          <w:rFonts w:hint="default"/>
          <w:color w:val="auto"/>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37DFE549">
      <w:pPr>
        <w:bidi w:val="0"/>
        <w:rPr>
          <w:rFonts w:hint="default"/>
          <w:color w:val="auto"/>
          <w:highlight w:val="none"/>
          <w:lang w:val="en-US" w:eastAsia="zh-CN"/>
        </w:rPr>
      </w:pPr>
      <w:r>
        <w:rPr>
          <w:color w:val="auto"/>
          <w:highlight w:val="none"/>
        </w:rPr>
        <w:drawing>
          <wp:anchor distT="0" distB="0" distL="114300" distR="114300" simplePos="0" relativeHeight="251722752" behindDoc="0" locked="0" layoutInCell="1" allowOverlap="1">
            <wp:simplePos x="0" y="0"/>
            <wp:positionH relativeFrom="column">
              <wp:posOffset>521335</wp:posOffset>
            </wp:positionH>
            <wp:positionV relativeFrom="paragraph">
              <wp:posOffset>116205</wp:posOffset>
            </wp:positionV>
            <wp:extent cx="7249160" cy="4862830"/>
            <wp:effectExtent l="0" t="0" r="8890" b="13970"/>
            <wp:wrapNone/>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06"/>
                    <a:stretch>
                      <a:fillRect/>
                    </a:stretch>
                  </pic:blipFill>
                  <pic:spPr>
                    <a:xfrm>
                      <a:off x="0" y="0"/>
                      <a:ext cx="7249160" cy="4862830"/>
                    </a:xfrm>
                    <a:prstGeom prst="rect">
                      <a:avLst/>
                    </a:prstGeom>
                    <a:noFill/>
                    <a:ln>
                      <a:noFill/>
                    </a:ln>
                  </pic:spPr>
                </pic:pic>
              </a:graphicData>
            </a:graphic>
          </wp:anchor>
        </w:drawing>
      </w:r>
    </w:p>
    <w:p w14:paraId="54EEBF2D">
      <w:pPr>
        <w:tabs>
          <w:tab w:val="left" w:pos="604"/>
        </w:tabs>
        <w:bidi w:val="0"/>
        <w:jc w:val="left"/>
        <w:rPr>
          <w:rFonts w:hint="eastAsia"/>
          <w:color w:val="auto"/>
          <w:highlight w:val="none"/>
          <w:lang w:val="en-US" w:eastAsia="zh-CN"/>
        </w:rPr>
      </w:pPr>
      <w:r>
        <w:rPr>
          <w:rFonts w:hint="eastAsia"/>
          <w:color w:val="auto"/>
          <w:highlight w:val="none"/>
          <w:lang w:val="en-US" w:eastAsia="zh-CN"/>
        </w:rPr>
        <w:tab/>
      </w:r>
    </w:p>
    <w:p w14:paraId="38939FF9">
      <w:pPr>
        <w:bidi w:val="0"/>
        <w:rPr>
          <w:rFonts w:hint="default" w:ascii="Times New Roman" w:hAnsi="Times New Roman" w:eastAsia="宋体" w:cstheme="minorBidi"/>
          <w:color w:val="auto"/>
          <w:kern w:val="2"/>
          <w:sz w:val="24"/>
          <w:szCs w:val="22"/>
          <w:highlight w:val="none"/>
          <w:lang w:val="en-US" w:eastAsia="zh-CN" w:bidi="ar-SA"/>
        </w:rPr>
      </w:pPr>
    </w:p>
    <w:p w14:paraId="3D8D5A56">
      <w:pPr>
        <w:bidi w:val="0"/>
        <w:rPr>
          <w:rFonts w:hint="default"/>
          <w:color w:val="auto"/>
          <w:highlight w:val="none"/>
          <w:lang w:val="en-US" w:eastAsia="zh-CN"/>
        </w:rPr>
      </w:pPr>
    </w:p>
    <w:p w14:paraId="0CAD70D8">
      <w:pPr>
        <w:bidi w:val="0"/>
        <w:rPr>
          <w:rFonts w:hint="default"/>
          <w:color w:val="auto"/>
          <w:highlight w:val="none"/>
          <w:lang w:val="en-US" w:eastAsia="zh-CN"/>
        </w:rPr>
      </w:pPr>
    </w:p>
    <w:p w14:paraId="3F88812F">
      <w:pPr>
        <w:bidi w:val="0"/>
        <w:rPr>
          <w:rFonts w:hint="default"/>
          <w:color w:val="auto"/>
          <w:highlight w:val="none"/>
          <w:lang w:val="en-US" w:eastAsia="zh-CN"/>
        </w:rPr>
      </w:pPr>
    </w:p>
    <w:p w14:paraId="4A5D77DA">
      <w:pPr>
        <w:bidi w:val="0"/>
        <w:rPr>
          <w:rFonts w:hint="default"/>
          <w:color w:val="auto"/>
          <w:highlight w:val="none"/>
          <w:lang w:val="en-US" w:eastAsia="zh-CN"/>
        </w:rPr>
      </w:pPr>
    </w:p>
    <w:p w14:paraId="59C74462">
      <w:pPr>
        <w:bidi w:val="0"/>
        <w:rPr>
          <w:rFonts w:hint="default"/>
          <w:color w:val="auto"/>
          <w:highlight w:val="none"/>
          <w:lang w:val="en-US" w:eastAsia="zh-CN"/>
        </w:rPr>
      </w:pPr>
    </w:p>
    <w:p w14:paraId="2D8E23AA">
      <w:pPr>
        <w:bidi w:val="0"/>
        <w:rPr>
          <w:rFonts w:hint="default"/>
          <w:color w:val="auto"/>
          <w:highlight w:val="none"/>
          <w:lang w:val="en-US" w:eastAsia="zh-CN"/>
        </w:rPr>
      </w:pPr>
    </w:p>
    <w:p w14:paraId="27D4795F">
      <w:pPr>
        <w:bidi w:val="0"/>
        <w:rPr>
          <w:rFonts w:hint="default"/>
          <w:color w:val="auto"/>
          <w:highlight w:val="none"/>
          <w:lang w:val="en-US" w:eastAsia="zh-CN"/>
        </w:rPr>
      </w:pPr>
    </w:p>
    <w:p w14:paraId="1EC25D1A">
      <w:pPr>
        <w:bidi w:val="0"/>
        <w:rPr>
          <w:rFonts w:hint="default"/>
          <w:color w:val="auto"/>
          <w:highlight w:val="none"/>
          <w:lang w:val="en-US" w:eastAsia="zh-CN"/>
        </w:rPr>
      </w:pPr>
    </w:p>
    <w:p w14:paraId="69DA6122">
      <w:pPr>
        <w:bidi w:val="0"/>
        <w:rPr>
          <w:rFonts w:hint="default"/>
          <w:color w:val="auto"/>
          <w:highlight w:val="none"/>
          <w:lang w:val="en-US" w:eastAsia="zh-CN"/>
        </w:rPr>
      </w:pPr>
    </w:p>
    <w:p w14:paraId="7D628A24">
      <w:pPr>
        <w:bidi w:val="0"/>
        <w:rPr>
          <w:rFonts w:hint="default"/>
          <w:color w:val="auto"/>
          <w:highlight w:val="none"/>
          <w:lang w:val="en-US" w:eastAsia="zh-CN"/>
        </w:rPr>
      </w:pPr>
    </w:p>
    <w:p w14:paraId="0D10790A">
      <w:pPr>
        <w:bidi w:val="0"/>
        <w:rPr>
          <w:rFonts w:hint="default"/>
          <w:color w:val="auto"/>
          <w:highlight w:val="none"/>
          <w:lang w:val="en-US" w:eastAsia="zh-CN"/>
        </w:rPr>
      </w:pPr>
    </w:p>
    <w:p w14:paraId="4981A22F">
      <w:pPr>
        <w:bidi w:val="0"/>
        <w:rPr>
          <w:rFonts w:hint="default"/>
          <w:color w:val="auto"/>
          <w:highlight w:val="none"/>
          <w:lang w:val="en-US" w:eastAsia="zh-CN"/>
        </w:rPr>
      </w:pPr>
    </w:p>
    <w:p w14:paraId="22CAFFBD">
      <w:pPr>
        <w:bidi w:val="0"/>
        <w:rPr>
          <w:rFonts w:hint="default"/>
          <w:color w:val="auto"/>
          <w:highlight w:val="none"/>
          <w:lang w:val="en-US" w:eastAsia="zh-CN"/>
        </w:rPr>
      </w:pPr>
    </w:p>
    <w:p w14:paraId="61B27493">
      <w:pPr>
        <w:tabs>
          <w:tab w:val="left" w:pos="12686"/>
        </w:tabs>
        <w:bidi w:val="0"/>
        <w:jc w:val="left"/>
        <w:rPr>
          <w:rFonts w:hint="eastAsia"/>
          <w:color w:val="auto"/>
          <w:highlight w:val="none"/>
          <w:lang w:val="en-US"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color w:val="auto"/>
          <w:highlight w:val="none"/>
        </w:rPr>
        <w:drawing>
          <wp:anchor distT="0" distB="0" distL="114300" distR="114300" simplePos="0" relativeHeight="251723776" behindDoc="0" locked="0" layoutInCell="1" allowOverlap="1">
            <wp:simplePos x="0" y="0"/>
            <wp:positionH relativeFrom="column">
              <wp:posOffset>467995</wp:posOffset>
            </wp:positionH>
            <wp:positionV relativeFrom="paragraph">
              <wp:posOffset>151130</wp:posOffset>
            </wp:positionV>
            <wp:extent cx="7421880" cy="5043805"/>
            <wp:effectExtent l="0" t="0" r="7620" b="4445"/>
            <wp:wrapNone/>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07"/>
                    <a:stretch>
                      <a:fillRect/>
                    </a:stretch>
                  </pic:blipFill>
                  <pic:spPr>
                    <a:xfrm>
                      <a:off x="0" y="0"/>
                      <a:ext cx="7421880" cy="5043805"/>
                    </a:xfrm>
                    <a:prstGeom prst="rect">
                      <a:avLst/>
                    </a:prstGeom>
                    <a:noFill/>
                    <a:ln>
                      <a:noFill/>
                    </a:ln>
                  </pic:spPr>
                </pic:pic>
              </a:graphicData>
            </a:graphic>
          </wp:anchor>
        </w:drawing>
      </w:r>
      <w:r>
        <w:rPr>
          <w:rFonts w:hint="eastAsia"/>
          <w:color w:val="auto"/>
          <w:highlight w:val="none"/>
          <w:lang w:val="en-US" w:eastAsia="zh-CN"/>
        </w:rPr>
        <w:tab/>
      </w:r>
    </w:p>
    <w:p w14:paraId="4620BDEA">
      <w:pPr>
        <w:tabs>
          <w:tab w:val="left" w:pos="12686"/>
        </w:tabs>
        <w:bidi w:val="0"/>
        <w:ind w:left="0" w:leftChars="0" w:firstLine="0" w:firstLineChars="0"/>
        <w:jc w:val="left"/>
        <w:outlineLvl w:val="0"/>
        <w:rPr>
          <w:rFonts w:hint="eastAsia" w:ascii="黑体" w:hAnsi="黑体" w:eastAsia="黑体" w:cs="黑体"/>
          <w:color w:val="auto"/>
          <w:sz w:val="24"/>
          <w:szCs w:val="24"/>
          <w:highlight w:val="none"/>
          <w:lang w:val="en-US" w:eastAsia="zh-CN"/>
        </w:rPr>
      </w:pPr>
      <w:bookmarkStart w:id="500" w:name="_Toc18227"/>
      <w:r>
        <w:rPr>
          <w:color w:val="auto"/>
          <w:highlight w:val="none"/>
        </w:rPr>
        <w:drawing>
          <wp:anchor distT="0" distB="0" distL="114300" distR="114300" simplePos="0" relativeHeight="251724800" behindDoc="0" locked="0" layoutInCell="1" allowOverlap="1">
            <wp:simplePos x="0" y="0"/>
            <wp:positionH relativeFrom="column">
              <wp:posOffset>0</wp:posOffset>
            </wp:positionH>
            <wp:positionV relativeFrom="paragraph">
              <wp:posOffset>491490</wp:posOffset>
            </wp:positionV>
            <wp:extent cx="5278120" cy="7431405"/>
            <wp:effectExtent l="0" t="0" r="17780" b="17145"/>
            <wp:wrapNone/>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08"/>
                    <a:stretch>
                      <a:fillRect/>
                    </a:stretch>
                  </pic:blipFill>
                  <pic:spPr>
                    <a:xfrm>
                      <a:off x="0" y="0"/>
                      <a:ext cx="5278120" cy="7431405"/>
                    </a:xfrm>
                    <a:prstGeom prst="rect">
                      <a:avLst/>
                    </a:prstGeom>
                    <a:noFill/>
                    <a:ln>
                      <a:noFill/>
                    </a:ln>
                  </pic:spPr>
                </pic:pic>
              </a:graphicData>
            </a:graphic>
          </wp:anchor>
        </w:drawing>
      </w:r>
      <w:r>
        <w:rPr>
          <w:rFonts w:hint="eastAsia" w:ascii="黑体" w:hAnsi="黑体" w:eastAsia="黑体" w:cs="黑体"/>
          <w:color w:val="auto"/>
          <w:sz w:val="24"/>
          <w:szCs w:val="24"/>
          <w:highlight w:val="none"/>
          <w:lang w:val="en-US" w:eastAsia="zh-CN"/>
        </w:rPr>
        <w:t>附件7：竞价确认书</w:t>
      </w:r>
      <w:bookmarkEnd w:id="500"/>
    </w:p>
    <w:p w14:paraId="101CA1E4">
      <w:pPr>
        <w:bidi w:val="0"/>
        <w:rPr>
          <w:rFonts w:hint="eastAsia" w:ascii="Times New Roman" w:hAnsi="Times New Roman" w:eastAsia="宋体" w:cstheme="minorBidi"/>
          <w:color w:val="auto"/>
          <w:kern w:val="2"/>
          <w:sz w:val="24"/>
          <w:szCs w:val="22"/>
          <w:highlight w:val="none"/>
          <w:lang w:val="en-US" w:eastAsia="zh-CN" w:bidi="ar-SA"/>
        </w:rPr>
      </w:pPr>
    </w:p>
    <w:p w14:paraId="74D5BB52">
      <w:pPr>
        <w:bidi w:val="0"/>
        <w:rPr>
          <w:rFonts w:hint="eastAsia"/>
          <w:color w:val="auto"/>
          <w:highlight w:val="none"/>
          <w:lang w:val="en-US" w:eastAsia="zh-CN"/>
        </w:rPr>
      </w:pPr>
    </w:p>
    <w:p w14:paraId="48FE0758">
      <w:pPr>
        <w:bidi w:val="0"/>
        <w:rPr>
          <w:rFonts w:hint="eastAsia"/>
          <w:color w:val="auto"/>
          <w:highlight w:val="none"/>
          <w:lang w:val="en-US" w:eastAsia="zh-CN"/>
        </w:rPr>
      </w:pPr>
    </w:p>
    <w:p w14:paraId="096104E2">
      <w:pPr>
        <w:bidi w:val="0"/>
        <w:rPr>
          <w:rFonts w:hint="eastAsia"/>
          <w:color w:val="auto"/>
          <w:highlight w:val="none"/>
          <w:lang w:val="en-US" w:eastAsia="zh-CN"/>
        </w:rPr>
      </w:pPr>
    </w:p>
    <w:p w14:paraId="2E0134C8">
      <w:pPr>
        <w:bidi w:val="0"/>
        <w:rPr>
          <w:rFonts w:hint="eastAsia"/>
          <w:color w:val="auto"/>
          <w:highlight w:val="none"/>
          <w:lang w:val="en-US" w:eastAsia="zh-CN"/>
        </w:rPr>
      </w:pPr>
    </w:p>
    <w:p w14:paraId="06DF4231">
      <w:pPr>
        <w:bidi w:val="0"/>
        <w:rPr>
          <w:rFonts w:hint="eastAsia"/>
          <w:color w:val="auto"/>
          <w:highlight w:val="none"/>
          <w:lang w:val="en-US" w:eastAsia="zh-CN"/>
        </w:rPr>
      </w:pPr>
    </w:p>
    <w:p w14:paraId="0BE2B195">
      <w:pPr>
        <w:bidi w:val="0"/>
        <w:rPr>
          <w:rFonts w:hint="eastAsia"/>
          <w:color w:val="auto"/>
          <w:highlight w:val="none"/>
          <w:lang w:val="en-US" w:eastAsia="zh-CN"/>
        </w:rPr>
      </w:pPr>
    </w:p>
    <w:p w14:paraId="2A2C0635">
      <w:pPr>
        <w:bidi w:val="0"/>
        <w:rPr>
          <w:rFonts w:hint="eastAsia"/>
          <w:color w:val="auto"/>
          <w:highlight w:val="none"/>
          <w:lang w:val="en-US" w:eastAsia="zh-CN"/>
        </w:rPr>
      </w:pPr>
    </w:p>
    <w:p w14:paraId="6D65B377">
      <w:pPr>
        <w:bidi w:val="0"/>
        <w:rPr>
          <w:rFonts w:hint="eastAsia"/>
          <w:color w:val="auto"/>
          <w:highlight w:val="none"/>
          <w:lang w:val="en-US" w:eastAsia="zh-CN"/>
        </w:rPr>
      </w:pPr>
    </w:p>
    <w:p w14:paraId="3F8A03B2">
      <w:pPr>
        <w:bidi w:val="0"/>
        <w:rPr>
          <w:rFonts w:hint="eastAsia"/>
          <w:color w:val="auto"/>
          <w:highlight w:val="none"/>
          <w:lang w:val="en-US" w:eastAsia="zh-CN"/>
        </w:rPr>
      </w:pPr>
    </w:p>
    <w:p w14:paraId="1F5C3B25">
      <w:pPr>
        <w:bidi w:val="0"/>
        <w:rPr>
          <w:rFonts w:hint="eastAsia"/>
          <w:color w:val="auto"/>
          <w:highlight w:val="none"/>
          <w:lang w:val="en-US" w:eastAsia="zh-CN"/>
        </w:rPr>
      </w:pPr>
    </w:p>
    <w:p w14:paraId="47355446">
      <w:pPr>
        <w:bidi w:val="0"/>
        <w:rPr>
          <w:rFonts w:hint="eastAsia"/>
          <w:color w:val="auto"/>
          <w:highlight w:val="none"/>
          <w:lang w:val="en-US" w:eastAsia="zh-CN"/>
        </w:rPr>
      </w:pPr>
    </w:p>
    <w:p w14:paraId="5FE19D28">
      <w:pPr>
        <w:bidi w:val="0"/>
        <w:rPr>
          <w:rFonts w:hint="eastAsia"/>
          <w:color w:val="auto"/>
          <w:highlight w:val="none"/>
          <w:lang w:val="en-US" w:eastAsia="zh-CN"/>
        </w:rPr>
      </w:pPr>
    </w:p>
    <w:p w14:paraId="2D320C04">
      <w:pPr>
        <w:bidi w:val="0"/>
        <w:rPr>
          <w:rFonts w:hint="eastAsia"/>
          <w:color w:val="auto"/>
          <w:highlight w:val="none"/>
          <w:lang w:val="en-US" w:eastAsia="zh-CN"/>
        </w:rPr>
      </w:pPr>
    </w:p>
    <w:p w14:paraId="5BF0C6AA">
      <w:pPr>
        <w:bidi w:val="0"/>
        <w:rPr>
          <w:rFonts w:hint="eastAsia"/>
          <w:color w:val="auto"/>
          <w:highlight w:val="none"/>
          <w:lang w:val="en-US" w:eastAsia="zh-CN"/>
        </w:rPr>
      </w:pPr>
    </w:p>
    <w:p w14:paraId="5E5EFD04">
      <w:pPr>
        <w:bidi w:val="0"/>
        <w:rPr>
          <w:rFonts w:hint="eastAsia"/>
          <w:color w:val="auto"/>
          <w:highlight w:val="none"/>
          <w:lang w:val="en-US" w:eastAsia="zh-CN"/>
        </w:rPr>
      </w:pPr>
    </w:p>
    <w:p w14:paraId="37442A4A">
      <w:pPr>
        <w:bidi w:val="0"/>
        <w:rPr>
          <w:rFonts w:hint="eastAsia"/>
          <w:color w:val="auto"/>
          <w:highlight w:val="none"/>
          <w:lang w:val="en-US" w:eastAsia="zh-CN"/>
        </w:rPr>
      </w:pPr>
    </w:p>
    <w:p w14:paraId="2735553F">
      <w:pPr>
        <w:bidi w:val="0"/>
        <w:rPr>
          <w:rFonts w:hint="eastAsia"/>
          <w:color w:val="auto"/>
          <w:highlight w:val="none"/>
          <w:lang w:val="en-US" w:eastAsia="zh-CN"/>
        </w:rPr>
      </w:pPr>
    </w:p>
    <w:p w14:paraId="3F5FA43E">
      <w:pPr>
        <w:bidi w:val="0"/>
        <w:rPr>
          <w:rFonts w:hint="eastAsia"/>
          <w:color w:val="auto"/>
          <w:highlight w:val="none"/>
          <w:lang w:val="en-US" w:eastAsia="zh-CN"/>
        </w:rPr>
      </w:pPr>
    </w:p>
    <w:p w14:paraId="2ECDF62D">
      <w:pPr>
        <w:bidi w:val="0"/>
        <w:rPr>
          <w:rFonts w:hint="eastAsia"/>
          <w:color w:val="auto"/>
          <w:highlight w:val="none"/>
          <w:lang w:val="en-US" w:eastAsia="zh-CN"/>
        </w:rPr>
      </w:pPr>
    </w:p>
    <w:p w14:paraId="7C594795">
      <w:pPr>
        <w:bidi w:val="0"/>
        <w:rPr>
          <w:rFonts w:hint="eastAsia"/>
          <w:color w:val="auto"/>
          <w:highlight w:val="none"/>
          <w:lang w:val="en-US" w:eastAsia="zh-CN"/>
        </w:rPr>
      </w:pPr>
    </w:p>
    <w:p w14:paraId="105C447B">
      <w:pPr>
        <w:bidi w:val="0"/>
        <w:rPr>
          <w:rFonts w:hint="eastAsia"/>
          <w:color w:val="auto"/>
          <w:highlight w:val="none"/>
          <w:lang w:val="en-US" w:eastAsia="zh-CN"/>
        </w:rPr>
      </w:pPr>
    </w:p>
    <w:p w14:paraId="782AB58B">
      <w:pPr>
        <w:bidi w:val="0"/>
        <w:rPr>
          <w:rFonts w:hint="eastAsia"/>
          <w:color w:val="auto"/>
          <w:highlight w:val="none"/>
          <w:lang w:val="en-US" w:eastAsia="zh-CN"/>
        </w:rPr>
      </w:pPr>
    </w:p>
    <w:p w14:paraId="64C883F4">
      <w:pPr>
        <w:bidi w:val="0"/>
        <w:rPr>
          <w:rFonts w:hint="eastAsia"/>
          <w:color w:val="auto"/>
          <w:highlight w:val="none"/>
          <w:lang w:val="en-US" w:eastAsia="zh-CN"/>
        </w:rPr>
      </w:pPr>
    </w:p>
    <w:p w14:paraId="328B35D3">
      <w:pPr>
        <w:bidi w:val="0"/>
        <w:rPr>
          <w:rFonts w:hint="eastAsia"/>
          <w:color w:val="auto"/>
          <w:highlight w:val="none"/>
          <w:lang w:val="en-US" w:eastAsia="zh-CN"/>
        </w:rPr>
      </w:pPr>
    </w:p>
    <w:p w14:paraId="1BB7DE6D">
      <w:pPr>
        <w:bidi w:val="0"/>
        <w:rPr>
          <w:rFonts w:hint="eastAsia"/>
          <w:color w:val="auto"/>
          <w:highlight w:val="none"/>
          <w:lang w:val="en-US" w:eastAsia="zh-CN"/>
        </w:rPr>
      </w:pPr>
    </w:p>
    <w:p w14:paraId="2D018044">
      <w:pPr>
        <w:tabs>
          <w:tab w:val="left" w:pos="618"/>
        </w:tabs>
        <w:bidi w:val="0"/>
        <w:jc w:val="left"/>
        <w:rPr>
          <w:rFonts w:hint="eastAsia"/>
          <w:color w:val="auto"/>
          <w:highlight w:val="none"/>
          <w:lang w:val="en-US" w:eastAsia="zh-CN"/>
        </w:rPr>
      </w:pPr>
      <w:r>
        <w:rPr>
          <w:color w:val="auto"/>
          <w:highlight w:val="none"/>
        </w:rPr>
        <w:drawing>
          <wp:anchor distT="0" distB="0" distL="114300" distR="114300" simplePos="0" relativeHeight="251725824" behindDoc="0" locked="0" layoutInCell="1" allowOverlap="1">
            <wp:simplePos x="0" y="0"/>
            <wp:positionH relativeFrom="column">
              <wp:posOffset>1270</wp:posOffset>
            </wp:positionH>
            <wp:positionV relativeFrom="paragraph">
              <wp:posOffset>189230</wp:posOffset>
            </wp:positionV>
            <wp:extent cx="5276215" cy="7277100"/>
            <wp:effectExtent l="0" t="0" r="635" b="0"/>
            <wp:wrapNone/>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109"/>
                    <a:stretch>
                      <a:fillRect/>
                    </a:stretch>
                  </pic:blipFill>
                  <pic:spPr>
                    <a:xfrm>
                      <a:off x="0" y="0"/>
                      <a:ext cx="5276215" cy="7277100"/>
                    </a:xfrm>
                    <a:prstGeom prst="rect">
                      <a:avLst/>
                    </a:prstGeom>
                    <a:noFill/>
                    <a:ln>
                      <a:noFill/>
                    </a:ln>
                  </pic:spPr>
                </pic:pic>
              </a:graphicData>
            </a:graphic>
          </wp:anchor>
        </w:drawing>
      </w:r>
      <w:r>
        <w:rPr>
          <w:rFonts w:hint="eastAsia"/>
          <w:color w:val="auto"/>
          <w:highlight w:val="none"/>
          <w:lang w:val="en-US" w:eastAsia="zh-CN"/>
        </w:rPr>
        <w:tab/>
      </w:r>
    </w:p>
    <w:p w14:paraId="27B2FF15">
      <w:pPr>
        <w:bidi w:val="0"/>
        <w:rPr>
          <w:rFonts w:hint="eastAsia" w:ascii="Times New Roman" w:hAnsi="Times New Roman" w:eastAsia="宋体" w:cstheme="minorBidi"/>
          <w:color w:val="auto"/>
          <w:kern w:val="2"/>
          <w:sz w:val="24"/>
          <w:szCs w:val="22"/>
          <w:highlight w:val="none"/>
          <w:lang w:val="en-US" w:eastAsia="zh-CN" w:bidi="ar-SA"/>
        </w:rPr>
      </w:pPr>
    </w:p>
    <w:p w14:paraId="05DAC4C1">
      <w:pPr>
        <w:bidi w:val="0"/>
        <w:rPr>
          <w:rFonts w:hint="eastAsia"/>
          <w:color w:val="auto"/>
          <w:highlight w:val="none"/>
          <w:lang w:val="en-US" w:eastAsia="zh-CN"/>
        </w:rPr>
      </w:pPr>
    </w:p>
    <w:p w14:paraId="0DFBE757">
      <w:pPr>
        <w:bidi w:val="0"/>
        <w:rPr>
          <w:rFonts w:hint="eastAsia"/>
          <w:color w:val="auto"/>
          <w:highlight w:val="none"/>
          <w:lang w:val="en-US" w:eastAsia="zh-CN"/>
        </w:rPr>
      </w:pPr>
    </w:p>
    <w:p w14:paraId="5EFAE1CF">
      <w:pPr>
        <w:bidi w:val="0"/>
        <w:rPr>
          <w:rFonts w:hint="eastAsia"/>
          <w:color w:val="auto"/>
          <w:highlight w:val="none"/>
          <w:lang w:val="en-US" w:eastAsia="zh-CN"/>
        </w:rPr>
      </w:pPr>
    </w:p>
    <w:p w14:paraId="457204A1">
      <w:pPr>
        <w:bidi w:val="0"/>
        <w:rPr>
          <w:rFonts w:hint="eastAsia"/>
          <w:color w:val="auto"/>
          <w:highlight w:val="none"/>
          <w:lang w:val="en-US" w:eastAsia="zh-CN"/>
        </w:rPr>
      </w:pPr>
    </w:p>
    <w:p w14:paraId="15C37158">
      <w:pPr>
        <w:bidi w:val="0"/>
        <w:rPr>
          <w:rFonts w:hint="eastAsia"/>
          <w:color w:val="auto"/>
          <w:highlight w:val="none"/>
          <w:lang w:val="en-US" w:eastAsia="zh-CN"/>
        </w:rPr>
      </w:pPr>
    </w:p>
    <w:p w14:paraId="17ADE3CD">
      <w:pPr>
        <w:bidi w:val="0"/>
        <w:rPr>
          <w:rFonts w:hint="eastAsia"/>
          <w:color w:val="auto"/>
          <w:highlight w:val="none"/>
          <w:lang w:val="en-US" w:eastAsia="zh-CN"/>
        </w:rPr>
      </w:pPr>
    </w:p>
    <w:p w14:paraId="3FDC92ED">
      <w:pPr>
        <w:bidi w:val="0"/>
        <w:rPr>
          <w:rFonts w:hint="eastAsia"/>
          <w:color w:val="auto"/>
          <w:highlight w:val="none"/>
          <w:lang w:val="en-US" w:eastAsia="zh-CN"/>
        </w:rPr>
      </w:pPr>
    </w:p>
    <w:p w14:paraId="3682C3B1">
      <w:pPr>
        <w:bidi w:val="0"/>
        <w:rPr>
          <w:rFonts w:hint="eastAsia"/>
          <w:color w:val="auto"/>
          <w:highlight w:val="none"/>
          <w:lang w:val="en-US" w:eastAsia="zh-CN"/>
        </w:rPr>
      </w:pPr>
    </w:p>
    <w:p w14:paraId="69675A3A">
      <w:pPr>
        <w:bidi w:val="0"/>
        <w:rPr>
          <w:rFonts w:hint="eastAsia"/>
          <w:color w:val="auto"/>
          <w:highlight w:val="none"/>
          <w:lang w:val="en-US" w:eastAsia="zh-CN"/>
        </w:rPr>
      </w:pPr>
    </w:p>
    <w:p w14:paraId="390D9763">
      <w:pPr>
        <w:bidi w:val="0"/>
        <w:rPr>
          <w:rFonts w:hint="eastAsia"/>
          <w:color w:val="auto"/>
          <w:highlight w:val="none"/>
          <w:lang w:val="en-US" w:eastAsia="zh-CN"/>
        </w:rPr>
      </w:pPr>
    </w:p>
    <w:p w14:paraId="28924D05">
      <w:pPr>
        <w:bidi w:val="0"/>
        <w:rPr>
          <w:rFonts w:hint="eastAsia"/>
          <w:color w:val="auto"/>
          <w:highlight w:val="none"/>
          <w:lang w:val="en-US" w:eastAsia="zh-CN"/>
        </w:rPr>
      </w:pPr>
    </w:p>
    <w:p w14:paraId="3426797E">
      <w:pPr>
        <w:bidi w:val="0"/>
        <w:rPr>
          <w:rFonts w:hint="eastAsia"/>
          <w:color w:val="auto"/>
          <w:highlight w:val="none"/>
          <w:lang w:val="en-US" w:eastAsia="zh-CN"/>
        </w:rPr>
      </w:pPr>
    </w:p>
    <w:p w14:paraId="1A7928CF">
      <w:pPr>
        <w:bidi w:val="0"/>
        <w:rPr>
          <w:rFonts w:hint="eastAsia"/>
          <w:color w:val="auto"/>
          <w:highlight w:val="none"/>
          <w:lang w:val="en-US" w:eastAsia="zh-CN"/>
        </w:rPr>
      </w:pPr>
    </w:p>
    <w:p w14:paraId="74C3321B">
      <w:pPr>
        <w:bidi w:val="0"/>
        <w:rPr>
          <w:rFonts w:hint="eastAsia"/>
          <w:color w:val="auto"/>
          <w:highlight w:val="none"/>
          <w:lang w:val="en-US" w:eastAsia="zh-CN"/>
        </w:rPr>
      </w:pPr>
    </w:p>
    <w:p w14:paraId="3EADA0D5">
      <w:pPr>
        <w:bidi w:val="0"/>
        <w:rPr>
          <w:rFonts w:hint="eastAsia"/>
          <w:color w:val="auto"/>
          <w:highlight w:val="none"/>
          <w:lang w:val="en-US" w:eastAsia="zh-CN"/>
        </w:rPr>
      </w:pPr>
    </w:p>
    <w:p w14:paraId="6777359A">
      <w:pPr>
        <w:bidi w:val="0"/>
        <w:rPr>
          <w:rFonts w:hint="eastAsia"/>
          <w:color w:val="auto"/>
          <w:highlight w:val="none"/>
          <w:lang w:val="en-US" w:eastAsia="zh-CN"/>
        </w:rPr>
      </w:pPr>
    </w:p>
    <w:p w14:paraId="7A1C1B83">
      <w:pPr>
        <w:bidi w:val="0"/>
        <w:rPr>
          <w:rFonts w:hint="eastAsia"/>
          <w:color w:val="auto"/>
          <w:highlight w:val="none"/>
          <w:lang w:val="en-US" w:eastAsia="zh-CN"/>
        </w:rPr>
      </w:pPr>
    </w:p>
    <w:p w14:paraId="348B3810">
      <w:pPr>
        <w:bidi w:val="0"/>
        <w:rPr>
          <w:rFonts w:hint="eastAsia"/>
          <w:color w:val="auto"/>
          <w:highlight w:val="none"/>
          <w:lang w:val="en-US" w:eastAsia="zh-CN"/>
        </w:rPr>
      </w:pPr>
    </w:p>
    <w:p w14:paraId="7AB44935">
      <w:pPr>
        <w:bidi w:val="0"/>
        <w:rPr>
          <w:rFonts w:hint="eastAsia"/>
          <w:color w:val="auto"/>
          <w:highlight w:val="none"/>
          <w:lang w:val="en-US" w:eastAsia="zh-CN"/>
        </w:rPr>
      </w:pPr>
    </w:p>
    <w:p w14:paraId="5AFA0104">
      <w:pPr>
        <w:bidi w:val="0"/>
        <w:rPr>
          <w:rFonts w:hint="eastAsia"/>
          <w:color w:val="auto"/>
          <w:highlight w:val="none"/>
          <w:lang w:val="en-US" w:eastAsia="zh-CN"/>
        </w:rPr>
      </w:pPr>
    </w:p>
    <w:p w14:paraId="3FE465FA">
      <w:pPr>
        <w:bidi w:val="0"/>
        <w:rPr>
          <w:rFonts w:hint="eastAsia"/>
          <w:color w:val="auto"/>
          <w:highlight w:val="none"/>
          <w:lang w:val="en-US" w:eastAsia="zh-CN"/>
        </w:rPr>
      </w:pPr>
    </w:p>
    <w:p w14:paraId="73DAD101">
      <w:pPr>
        <w:bidi w:val="0"/>
        <w:rPr>
          <w:rFonts w:hint="eastAsia"/>
          <w:color w:val="auto"/>
          <w:highlight w:val="none"/>
          <w:lang w:val="en-US" w:eastAsia="zh-CN"/>
        </w:rPr>
      </w:pPr>
    </w:p>
    <w:p w14:paraId="4F51ABCE">
      <w:pPr>
        <w:bidi w:val="0"/>
        <w:rPr>
          <w:rFonts w:hint="eastAsia"/>
          <w:color w:val="auto"/>
          <w:highlight w:val="none"/>
          <w:lang w:val="en-US" w:eastAsia="zh-CN"/>
        </w:rPr>
      </w:pPr>
    </w:p>
    <w:p w14:paraId="23BAB1CB">
      <w:pPr>
        <w:bidi w:val="0"/>
        <w:rPr>
          <w:rFonts w:hint="eastAsia"/>
          <w:color w:val="auto"/>
          <w:highlight w:val="none"/>
          <w:lang w:val="en-US" w:eastAsia="zh-CN"/>
        </w:rPr>
      </w:pPr>
    </w:p>
    <w:p w14:paraId="00A46290">
      <w:pPr>
        <w:bidi w:val="0"/>
        <w:rPr>
          <w:rFonts w:hint="eastAsia"/>
          <w:color w:val="auto"/>
          <w:highlight w:val="none"/>
          <w:lang w:val="en-US" w:eastAsia="zh-CN"/>
        </w:rPr>
      </w:pPr>
    </w:p>
    <w:p w14:paraId="49A9BCC0">
      <w:pPr>
        <w:tabs>
          <w:tab w:val="left" w:pos="413"/>
        </w:tabs>
        <w:bidi w:val="0"/>
        <w:jc w:val="left"/>
        <w:rPr>
          <w:rFonts w:hint="eastAsia"/>
          <w:color w:val="auto"/>
          <w:highlight w:val="none"/>
          <w:lang w:val="en-US" w:eastAsia="zh-CN"/>
        </w:rPr>
      </w:pPr>
      <w:r>
        <w:rPr>
          <w:color w:val="auto"/>
          <w:highlight w:val="none"/>
        </w:rPr>
        <w:drawing>
          <wp:anchor distT="0" distB="0" distL="114300" distR="114300" simplePos="0" relativeHeight="251726848" behindDoc="0" locked="0" layoutInCell="1" allowOverlap="1">
            <wp:simplePos x="0" y="0"/>
            <wp:positionH relativeFrom="column">
              <wp:posOffset>-52070</wp:posOffset>
            </wp:positionH>
            <wp:positionV relativeFrom="paragraph">
              <wp:posOffset>165735</wp:posOffset>
            </wp:positionV>
            <wp:extent cx="5278120" cy="7310755"/>
            <wp:effectExtent l="0" t="0" r="17780" b="4445"/>
            <wp:wrapNone/>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110"/>
                    <a:stretch>
                      <a:fillRect/>
                    </a:stretch>
                  </pic:blipFill>
                  <pic:spPr>
                    <a:xfrm>
                      <a:off x="0" y="0"/>
                      <a:ext cx="5278120" cy="7310755"/>
                    </a:xfrm>
                    <a:prstGeom prst="rect">
                      <a:avLst/>
                    </a:prstGeom>
                    <a:noFill/>
                    <a:ln>
                      <a:noFill/>
                    </a:ln>
                  </pic:spPr>
                </pic:pic>
              </a:graphicData>
            </a:graphic>
          </wp:anchor>
        </w:drawing>
      </w:r>
      <w:r>
        <w:rPr>
          <w:rFonts w:hint="eastAsia"/>
          <w:color w:val="auto"/>
          <w:highlight w:val="none"/>
          <w:lang w:val="en-US" w:eastAsia="zh-CN"/>
        </w:rPr>
        <w:tab/>
      </w:r>
    </w:p>
    <w:p w14:paraId="2CD92FA6">
      <w:pPr>
        <w:bidi w:val="0"/>
        <w:rPr>
          <w:rFonts w:hint="eastAsia" w:ascii="Times New Roman" w:hAnsi="Times New Roman" w:eastAsia="宋体" w:cstheme="minorBidi"/>
          <w:color w:val="auto"/>
          <w:kern w:val="2"/>
          <w:sz w:val="24"/>
          <w:szCs w:val="22"/>
          <w:highlight w:val="none"/>
          <w:lang w:val="en-US" w:eastAsia="zh-CN" w:bidi="ar-SA"/>
        </w:rPr>
      </w:pPr>
    </w:p>
    <w:p w14:paraId="55E1C5A2">
      <w:pPr>
        <w:bidi w:val="0"/>
        <w:rPr>
          <w:rFonts w:hint="eastAsia"/>
          <w:color w:val="auto"/>
          <w:highlight w:val="none"/>
          <w:lang w:val="en-US" w:eastAsia="zh-CN"/>
        </w:rPr>
      </w:pPr>
    </w:p>
    <w:p w14:paraId="461841E6">
      <w:pPr>
        <w:bidi w:val="0"/>
        <w:rPr>
          <w:rFonts w:hint="eastAsia"/>
          <w:color w:val="auto"/>
          <w:highlight w:val="none"/>
          <w:lang w:val="en-US" w:eastAsia="zh-CN"/>
        </w:rPr>
      </w:pPr>
    </w:p>
    <w:p w14:paraId="42F0D5BB">
      <w:pPr>
        <w:bidi w:val="0"/>
        <w:rPr>
          <w:rFonts w:hint="eastAsia"/>
          <w:color w:val="auto"/>
          <w:highlight w:val="none"/>
          <w:lang w:val="en-US" w:eastAsia="zh-CN"/>
        </w:rPr>
      </w:pPr>
    </w:p>
    <w:p w14:paraId="64001A12">
      <w:pPr>
        <w:bidi w:val="0"/>
        <w:rPr>
          <w:rFonts w:hint="eastAsia"/>
          <w:color w:val="auto"/>
          <w:highlight w:val="none"/>
          <w:lang w:val="en-US" w:eastAsia="zh-CN"/>
        </w:rPr>
      </w:pPr>
    </w:p>
    <w:p w14:paraId="5C66C940">
      <w:pPr>
        <w:bidi w:val="0"/>
        <w:rPr>
          <w:rFonts w:hint="eastAsia"/>
          <w:color w:val="auto"/>
          <w:highlight w:val="none"/>
          <w:lang w:val="en-US" w:eastAsia="zh-CN"/>
        </w:rPr>
      </w:pPr>
    </w:p>
    <w:p w14:paraId="717741C5">
      <w:pPr>
        <w:bidi w:val="0"/>
        <w:rPr>
          <w:rFonts w:hint="eastAsia"/>
          <w:color w:val="auto"/>
          <w:highlight w:val="none"/>
          <w:lang w:val="en-US" w:eastAsia="zh-CN"/>
        </w:rPr>
      </w:pPr>
    </w:p>
    <w:p w14:paraId="3789F7DD">
      <w:pPr>
        <w:bidi w:val="0"/>
        <w:rPr>
          <w:rFonts w:hint="eastAsia"/>
          <w:color w:val="auto"/>
          <w:highlight w:val="none"/>
          <w:lang w:val="en-US" w:eastAsia="zh-CN"/>
        </w:rPr>
      </w:pPr>
    </w:p>
    <w:p w14:paraId="1A59E7DC">
      <w:pPr>
        <w:bidi w:val="0"/>
        <w:rPr>
          <w:rFonts w:hint="eastAsia"/>
          <w:color w:val="auto"/>
          <w:highlight w:val="none"/>
          <w:lang w:val="en-US" w:eastAsia="zh-CN"/>
        </w:rPr>
      </w:pPr>
    </w:p>
    <w:p w14:paraId="41922F11">
      <w:pPr>
        <w:bidi w:val="0"/>
        <w:rPr>
          <w:rFonts w:hint="eastAsia"/>
          <w:color w:val="auto"/>
          <w:highlight w:val="none"/>
          <w:lang w:val="en-US" w:eastAsia="zh-CN"/>
        </w:rPr>
      </w:pPr>
    </w:p>
    <w:p w14:paraId="39935F7C">
      <w:pPr>
        <w:bidi w:val="0"/>
        <w:rPr>
          <w:rFonts w:hint="eastAsia"/>
          <w:color w:val="auto"/>
          <w:highlight w:val="none"/>
          <w:lang w:val="en-US" w:eastAsia="zh-CN"/>
        </w:rPr>
      </w:pPr>
    </w:p>
    <w:p w14:paraId="71FE1A2F">
      <w:pPr>
        <w:bidi w:val="0"/>
        <w:rPr>
          <w:rFonts w:hint="eastAsia"/>
          <w:color w:val="auto"/>
          <w:highlight w:val="none"/>
          <w:lang w:val="en-US" w:eastAsia="zh-CN"/>
        </w:rPr>
      </w:pPr>
    </w:p>
    <w:p w14:paraId="03B7ED94">
      <w:pPr>
        <w:bidi w:val="0"/>
        <w:rPr>
          <w:rFonts w:hint="eastAsia"/>
          <w:color w:val="auto"/>
          <w:highlight w:val="none"/>
          <w:lang w:val="en-US" w:eastAsia="zh-CN"/>
        </w:rPr>
      </w:pPr>
    </w:p>
    <w:p w14:paraId="275A5C47">
      <w:pPr>
        <w:bidi w:val="0"/>
        <w:rPr>
          <w:rFonts w:hint="eastAsia"/>
          <w:color w:val="auto"/>
          <w:highlight w:val="none"/>
          <w:lang w:val="en-US" w:eastAsia="zh-CN"/>
        </w:rPr>
      </w:pPr>
    </w:p>
    <w:p w14:paraId="0ECCD5CD">
      <w:pPr>
        <w:bidi w:val="0"/>
        <w:rPr>
          <w:rFonts w:hint="eastAsia"/>
          <w:color w:val="auto"/>
          <w:highlight w:val="none"/>
          <w:lang w:val="en-US" w:eastAsia="zh-CN"/>
        </w:rPr>
      </w:pPr>
    </w:p>
    <w:p w14:paraId="18397111">
      <w:pPr>
        <w:bidi w:val="0"/>
        <w:rPr>
          <w:rFonts w:hint="eastAsia"/>
          <w:color w:val="auto"/>
          <w:highlight w:val="none"/>
          <w:lang w:val="en-US" w:eastAsia="zh-CN"/>
        </w:rPr>
      </w:pPr>
    </w:p>
    <w:p w14:paraId="5D56B812">
      <w:pPr>
        <w:bidi w:val="0"/>
        <w:rPr>
          <w:rFonts w:hint="eastAsia"/>
          <w:color w:val="auto"/>
          <w:highlight w:val="none"/>
          <w:lang w:val="en-US" w:eastAsia="zh-CN"/>
        </w:rPr>
      </w:pPr>
    </w:p>
    <w:p w14:paraId="0F8ECB16">
      <w:pPr>
        <w:bidi w:val="0"/>
        <w:rPr>
          <w:rFonts w:hint="eastAsia"/>
          <w:color w:val="auto"/>
          <w:highlight w:val="none"/>
          <w:lang w:val="en-US" w:eastAsia="zh-CN"/>
        </w:rPr>
      </w:pPr>
    </w:p>
    <w:p w14:paraId="6DAED8C5">
      <w:pPr>
        <w:bidi w:val="0"/>
        <w:rPr>
          <w:rFonts w:hint="eastAsia"/>
          <w:color w:val="auto"/>
          <w:highlight w:val="none"/>
          <w:lang w:val="en-US" w:eastAsia="zh-CN"/>
        </w:rPr>
      </w:pPr>
    </w:p>
    <w:p w14:paraId="37B3C1CD">
      <w:pPr>
        <w:bidi w:val="0"/>
        <w:rPr>
          <w:rFonts w:hint="eastAsia"/>
          <w:color w:val="auto"/>
          <w:highlight w:val="none"/>
          <w:lang w:val="en-US" w:eastAsia="zh-CN"/>
        </w:rPr>
      </w:pPr>
    </w:p>
    <w:p w14:paraId="4CD338FD">
      <w:pPr>
        <w:bidi w:val="0"/>
        <w:rPr>
          <w:rFonts w:hint="eastAsia"/>
          <w:color w:val="auto"/>
          <w:highlight w:val="none"/>
          <w:lang w:val="en-US" w:eastAsia="zh-CN"/>
        </w:rPr>
      </w:pPr>
    </w:p>
    <w:p w14:paraId="3F768BE8">
      <w:pPr>
        <w:bidi w:val="0"/>
        <w:rPr>
          <w:rFonts w:hint="eastAsia"/>
          <w:color w:val="auto"/>
          <w:highlight w:val="none"/>
          <w:lang w:val="en-US" w:eastAsia="zh-CN"/>
        </w:rPr>
      </w:pPr>
    </w:p>
    <w:p w14:paraId="0DC91555">
      <w:pPr>
        <w:bidi w:val="0"/>
        <w:rPr>
          <w:rFonts w:hint="eastAsia"/>
          <w:color w:val="auto"/>
          <w:highlight w:val="none"/>
          <w:lang w:val="en-US" w:eastAsia="zh-CN"/>
        </w:rPr>
      </w:pPr>
    </w:p>
    <w:p w14:paraId="31A9FEE5">
      <w:pPr>
        <w:bidi w:val="0"/>
        <w:rPr>
          <w:rFonts w:hint="eastAsia"/>
          <w:color w:val="auto"/>
          <w:highlight w:val="none"/>
          <w:lang w:val="en-US" w:eastAsia="zh-CN"/>
        </w:rPr>
      </w:pPr>
    </w:p>
    <w:p w14:paraId="2DFC6A4C">
      <w:pPr>
        <w:bidi w:val="0"/>
        <w:rPr>
          <w:rFonts w:hint="eastAsia"/>
          <w:color w:val="auto"/>
          <w:highlight w:val="none"/>
          <w:lang w:val="en-US" w:eastAsia="zh-CN"/>
        </w:rPr>
      </w:pPr>
    </w:p>
    <w:p w14:paraId="5C625E2A">
      <w:pPr>
        <w:bidi w:val="0"/>
        <w:rPr>
          <w:rFonts w:hint="eastAsia"/>
          <w:color w:val="auto"/>
          <w:highlight w:val="none"/>
          <w:lang w:val="en-US" w:eastAsia="zh-CN"/>
        </w:rPr>
      </w:pPr>
    </w:p>
    <w:p w14:paraId="0CF8E246">
      <w:pPr>
        <w:tabs>
          <w:tab w:val="left" w:pos="754"/>
        </w:tabs>
        <w:bidi w:val="0"/>
        <w:jc w:val="left"/>
        <w:rPr>
          <w:rFonts w:hint="eastAsia"/>
          <w:color w:val="auto"/>
          <w:highlight w:val="none"/>
          <w:lang w:val="en-US" w:eastAsia="zh-CN"/>
        </w:rPr>
      </w:pPr>
      <w:r>
        <w:rPr>
          <w:color w:val="auto"/>
          <w:highlight w:val="none"/>
        </w:rPr>
        <w:drawing>
          <wp:anchor distT="0" distB="0" distL="114300" distR="114300" simplePos="0" relativeHeight="251727872" behindDoc="0" locked="0" layoutInCell="1" allowOverlap="1">
            <wp:simplePos x="0" y="0"/>
            <wp:positionH relativeFrom="column">
              <wp:posOffset>0</wp:posOffset>
            </wp:positionH>
            <wp:positionV relativeFrom="paragraph">
              <wp:posOffset>153670</wp:posOffset>
            </wp:positionV>
            <wp:extent cx="5278120" cy="7531735"/>
            <wp:effectExtent l="0" t="0" r="17780" b="12065"/>
            <wp:wrapNone/>
            <wp:docPr id="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pic:cNvPicPr>
                      <a:picLocks noChangeAspect="1"/>
                    </pic:cNvPicPr>
                  </pic:nvPicPr>
                  <pic:blipFill>
                    <a:blip r:embed="rId111"/>
                    <a:stretch>
                      <a:fillRect/>
                    </a:stretch>
                  </pic:blipFill>
                  <pic:spPr>
                    <a:xfrm>
                      <a:off x="0" y="0"/>
                      <a:ext cx="5278120" cy="7531735"/>
                    </a:xfrm>
                    <a:prstGeom prst="rect">
                      <a:avLst/>
                    </a:prstGeom>
                    <a:noFill/>
                    <a:ln>
                      <a:noFill/>
                    </a:ln>
                  </pic:spPr>
                </pic:pic>
              </a:graphicData>
            </a:graphic>
          </wp:anchor>
        </w:drawing>
      </w:r>
      <w:r>
        <w:rPr>
          <w:rFonts w:hint="eastAsia"/>
          <w:color w:val="auto"/>
          <w:highlight w:val="none"/>
          <w:lang w:val="en-US" w:eastAsia="zh-CN"/>
        </w:rPr>
        <w:tab/>
      </w:r>
    </w:p>
    <w:p w14:paraId="4FC9F742">
      <w:pPr>
        <w:bidi w:val="0"/>
        <w:rPr>
          <w:rFonts w:hint="eastAsia" w:ascii="Times New Roman" w:hAnsi="Times New Roman" w:eastAsia="宋体" w:cstheme="minorBidi"/>
          <w:color w:val="auto"/>
          <w:kern w:val="2"/>
          <w:sz w:val="24"/>
          <w:szCs w:val="22"/>
          <w:highlight w:val="none"/>
          <w:lang w:val="en-US" w:eastAsia="zh-CN" w:bidi="ar-SA"/>
        </w:rPr>
      </w:pPr>
    </w:p>
    <w:p w14:paraId="5A0A8719">
      <w:pPr>
        <w:bidi w:val="0"/>
        <w:rPr>
          <w:rFonts w:hint="eastAsia"/>
          <w:color w:val="auto"/>
          <w:highlight w:val="none"/>
          <w:lang w:val="en-US" w:eastAsia="zh-CN"/>
        </w:rPr>
      </w:pPr>
    </w:p>
    <w:p w14:paraId="3A823BE2">
      <w:pPr>
        <w:bidi w:val="0"/>
        <w:rPr>
          <w:rFonts w:hint="eastAsia"/>
          <w:color w:val="auto"/>
          <w:highlight w:val="none"/>
          <w:lang w:val="en-US" w:eastAsia="zh-CN"/>
        </w:rPr>
      </w:pPr>
    </w:p>
    <w:p w14:paraId="1D81D9D9">
      <w:pPr>
        <w:bidi w:val="0"/>
        <w:rPr>
          <w:rFonts w:hint="eastAsia"/>
          <w:color w:val="auto"/>
          <w:highlight w:val="none"/>
          <w:lang w:val="en-US" w:eastAsia="zh-CN"/>
        </w:rPr>
      </w:pPr>
    </w:p>
    <w:p w14:paraId="5C024E82">
      <w:pPr>
        <w:bidi w:val="0"/>
        <w:rPr>
          <w:rFonts w:hint="eastAsia"/>
          <w:color w:val="auto"/>
          <w:highlight w:val="none"/>
          <w:lang w:val="en-US" w:eastAsia="zh-CN"/>
        </w:rPr>
      </w:pPr>
    </w:p>
    <w:p w14:paraId="5E90BB31">
      <w:pPr>
        <w:bidi w:val="0"/>
        <w:rPr>
          <w:rFonts w:hint="eastAsia"/>
          <w:color w:val="auto"/>
          <w:highlight w:val="none"/>
          <w:lang w:val="en-US" w:eastAsia="zh-CN"/>
        </w:rPr>
      </w:pPr>
    </w:p>
    <w:p w14:paraId="2D69A653">
      <w:pPr>
        <w:bidi w:val="0"/>
        <w:rPr>
          <w:rFonts w:hint="eastAsia"/>
          <w:color w:val="auto"/>
          <w:highlight w:val="none"/>
          <w:lang w:val="en-US" w:eastAsia="zh-CN"/>
        </w:rPr>
      </w:pPr>
    </w:p>
    <w:p w14:paraId="119C21A6">
      <w:pPr>
        <w:bidi w:val="0"/>
        <w:rPr>
          <w:rFonts w:hint="eastAsia"/>
          <w:color w:val="auto"/>
          <w:highlight w:val="none"/>
          <w:lang w:val="en-US" w:eastAsia="zh-CN"/>
        </w:rPr>
      </w:pPr>
    </w:p>
    <w:p w14:paraId="24B148A1">
      <w:pPr>
        <w:bidi w:val="0"/>
        <w:rPr>
          <w:rFonts w:hint="eastAsia"/>
          <w:color w:val="auto"/>
          <w:highlight w:val="none"/>
          <w:lang w:val="en-US" w:eastAsia="zh-CN"/>
        </w:rPr>
      </w:pPr>
    </w:p>
    <w:p w14:paraId="00018B03">
      <w:pPr>
        <w:bidi w:val="0"/>
        <w:rPr>
          <w:rFonts w:hint="eastAsia"/>
          <w:color w:val="auto"/>
          <w:highlight w:val="none"/>
          <w:lang w:val="en-US" w:eastAsia="zh-CN"/>
        </w:rPr>
      </w:pPr>
    </w:p>
    <w:p w14:paraId="2B680BC9">
      <w:pPr>
        <w:bidi w:val="0"/>
        <w:rPr>
          <w:rFonts w:hint="eastAsia"/>
          <w:color w:val="auto"/>
          <w:highlight w:val="none"/>
          <w:lang w:val="en-US" w:eastAsia="zh-CN"/>
        </w:rPr>
      </w:pPr>
    </w:p>
    <w:p w14:paraId="2209AFBE">
      <w:pPr>
        <w:bidi w:val="0"/>
        <w:rPr>
          <w:rFonts w:hint="eastAsia"/>
          <w:color w:val="auto"/>
          <w:highlight w:val="none"/>
          <w:lang w:val="en-US" w:eastAsia="zh-CN"/>
        </w:rPr>
      </w:pPr>
    </w:p>
    <w:p w14:paraId="058A57DB">
      <w:pPr>
        <w:bidi w:val="0"/>
        <w:rPr>
          <w:rFonts w:hint="eastAsia"/>
          <w:color w:val="auto"/>
          <w:highlight w:val="none"/>
          <w:lang w:val="en-US" w:eastAsia="zh-CN"/>
        </w:rPr>
      </w:pPr>
    </w:p>
    <w:p w14:paraId="00A9CD4B">
      <w:pPr>
        <w:bidi w:val="0"/>
        <w:rPr>
          <w:rFonts w:hint="eastAsia"/>
          <w:color w:val="auto"/>
          <w:highlight w:val="none"/>
          <w:lang w:val="en-US" w:eastAsia="zh-CN"/>
        </w:rPr>
      </w:pPr>
    </w:p>
    <w:p w14:paraId="12E9D1EF">
      <w:pPr>
        <w:bidi w:val="0"/>
        <w:rPr>
          <w:rFonts w:hint="eastAsia"/>
          <w:color w:val="auto"/>
          <w:highlight w:val="none"/>
          <w:lang w:val="en-US" w:eastAsia="zh-CN"/>
        </w:rPr>
      </w:pPr>
    </w:p>
    <w:p w14:paraId="5FA021D9">
      <w:pPr>
        <w:bidi w:val="0"/>
        <w:rPr>
          <w:rFonts w:hint="eastAsia"/>
          <w:color w:val="auto"/>
          <w:highlight w:val="none"/>
          <w:lang w:val="en-US" w:eastAsia="zh-CN"/>
        </w:rPr>
      </w:pPr>
    </w:p>
    <w:p w14:paraId="69ACF633">
      <w:pPr>
        <w:bidi w:val="0"/>
        <w:rPr>
          <w:rFonts w:hint="eastAsia"/>
          <w:color w:val="auto"/>
          <w:highlight w:val="none"/>
          <w:lang w:val="en-US" w:eastAsia="zh-CN"/>
        </w:rPr>
      </w:pPr>
    </w:p>
    <w:p w14:paraId="704EE6F5">
      <w:pPr>
        <w:bidi w:val="0"/>
        <w:rPr>
          <w:rFonts w:hint="eastAsia"/>
          <w:color w:val="auto"/>
          <w:highlight w:val="none"/>
          <w:lang w:val="en-US" w:eastAsia="zh-CN"/>
        </w:rPr>
      </w:pPr>
    </w:p>
    <w:p w14:paraId="1DD31CA9">
      <w:pPr>
        <w:bidi w:val="0"/>
        <w:rPr>
          <w:rFonts w:hint="eastAsia"/>
          <w:color w:val="auto"/>
          <w:highlight w:val="none"/>
          <w:lang w:val="en-US" w:eastAsia="zh-CN"/>
        </w:rPr>
      </w:pPr>
    </w:p>
    <w:p w14:paraId="0F0D7529">
      <w:pPr>
        <w:bidi w:val="0"/>
        <w:rPr>
          <w:rFonts w:hint="eastAsia"/>
          <w:color w:val="auto"/>
          <w:highlight w:val="none"/>
          <w:lang w:val="en-US" w:eastAsia="zh-CN"/>
        </w:rPr>
      </w:pPr>
    </w:p>
    <w:p w14:paraId="2D1AE0A0">
      <w:pPr>
        <w:bidi w:val="0"/>
        <w:rPr>
          <w:rFonts w:hint="eastAsia"/>
          <w:color w:val="auto"/>
          <w:highlight w:val="none"/>
          <w:lang w:val="en-US" w:eastAsia="zh-CN"/>
        </w:rPr>
      </w:pPr>
    </w:p>
    <w:p w14:paraId="62908800">
      <w:pPr>
        <w:bidi w:val="0"/>
        <w:rPr>
          <w:rFonts w:hint="eastAsia"/>
          <w:color w:val="auto"/>
          <w:highlight w:val="none"/>
          <w:lang w:val="en-US" w:eastAsia="zh-CN"/>
        </w:rPr>
      </w:pPr>
    </w:p>
    <w:p w14:paraId="086DED5C">
      <w:pPr>
        <w:bidi w:val="0"/>
        <w:rPr>
          <w:rFonts w:hint="eastAsia"/>
          <w:color w:val="auto"/>
          <w:highlight w:val="none"/>
          <w:lang w:val="en-US" w:eastAsia="zh-CN"/>
        </w:rPr>
      </w:pPr>
    </w:p>
    <w:p w14:paraId="5DC17F8F">
      <w:pPr>
        <w:bidi w:val="0"/>
        <w:rPr>
          <w:rFonts w:hint="eastAsia"/>
          <w:color w:val="auto"/>
          <w:highlight w:val="none"/>
          <w:lang w:val="en-US" w:eastAsia="zh-CN"/>
        </w:rPr>
      </w:pPr>
    </w:p>
    <w:p w14:paraId="68A5748F">
      <w:pPr>
        <w:bidi w:val="0"/>
        <w:rPr>
          <w:rFonts w:hint="eastAsia"/>
          <w:color w:val="auto"/>
          <w:highlight w:val="none"/>
          <w:lang w:val="en-US" w:eastAsia="zh-CN"/>
        </w:rPr>
      </w:pPr>
    </w:p>
    <w:p w14:paraId="56C8C7E0">
      <w:pPr>
        <w:bidi w:val="0"/>
        <w:rPr>
          <w:rFonts w:hint="eastAsia"/>
          <w:color w:val="auto"/>
          <w:highlight w:val="none"/>
          <w:lang w:val="en-US" w:eastAsia="zh-CN"/>
        </w:rPr>
      </w:pPr>
    </w:p>
    <w:p w14:paraId="353BBB98">
      <w:pPr>
        <w:tabs>
          <w:tab w:val="left" w:pos="795"/>
        </w:tabs>
        <w:bidi w:val="0"/>
        <w:jc w:val="left"/>
        <w:rPr>
          <w:rFonts w:hint="eastAsia"/>
          <w:color w:val="auto"/>
          <w:highlight w:val="none"/>
          <w:lang w:val="en-US" w:eastAsia="zh-CN"/>
        </w:rPr>
      </w:pPr>
      <w:r>
        <w:rPr>
          <w:color w:val="auto"/>
          <w:highlight w:val="none"/>
        </w:rPr>
        <w:drawing>
          <wp:anchor distT="0" distB="0" distL="114300" distR="114300" simplePos="0" relativeHeight="251728896" behindDoc="0" locked="0" layoutInCell="1" allowOverlap="1">
            <wp:simplePos x="0" y="0"/>
            <wp:positionH relativeFrom="column">
              <wp:posOffset>-26035</wp:posOffset>
            </wp:positionH>
            <wp:positionV relativeFrom="paragraph">
              <wp:posOffset>189230</wp:posOffset>
            </wp:positionV>
            <wp:extent cx="5276215" cy="7443470"/>
            <wp:effectExtent l="0" t="0" r="635" b="5080"/>
            <wp:wrapNone/>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12"/>
                    <a:stretch>
                      <a:fillRect/>
                    </a:stretch>
                  </pic:blipFill>
                  <pic:spPr>
                    <a:xfrm>
                      <a:off x="0" y="0"/>
                      <a:ext cx="5276215" cy="7443470"/>
                    </a:xfrm>
                    <a:prstGeom prst="rect">
                      <a:avLst/>
                    </a:prstGeom>
                    <a:noFill/>
                    <a:ln>
                      <a:noFill/>
                    </a:ln>
                  </pic:spPr>
                </pic:pic>
              </a:graphicData>
            </a:graphic>
          </wp:anchor>
        </w:drawing>
      </w:r>
      <w:r>
        <w:rPr>
          <w:rFonts w:hint="eastAsia"/>
          <w:color w:val="auto"/>
          <w:highlight w:val="none"/>
          <w:lang w:val="en-US" w:eastAsia="zh-CN"/>
        </w:rPr>
        <w:tab/>
      </w:r>
    </w:p>
    <w:p w14:paraId="48918747">
      <w:pPr>
        <w:bidi w:val="0"/>
        <w:rPr>
          <w:rFonts w:hint="eastAsia" w:ascii="Times New Roman" w:hAnsi="Times New Roman" w:eastAsia="宋体" w:cstheme="minorBidi"/>
          <w:color w:val="auto"/>
          <w:kern w:val="2"/>
          <w:sz w:val="24"/>
          <w:szCs w:val="22"/>
          <w:highlight w:val="none"/>
          <w:lang w:val="en-US" w:eastAsia="zh-CN" w:bidi="ar-SA"/>
        </w:rPr>
      </w:pPr>
    </w:p>
    <w:p w14:paraId="29162B82">
      <w:pPr>
        <w:bidi w:val="0"/>
        <w:rPr>
          <w:rFonts w:hint="eastAsia"/>
          <w:color w:val="auto"/>
          <w:highlight w:val="none"/>
          <w:lang w:val="en-US" w:eastAsia="zh-CN"/>
        </w:rPr>
      </w:pPr>
    </w:p>
    <w:p w14:paraId="1DAE253A">
      <w:pPr>
        <w:bidi w:val="0"/>
        <w:rPr>
          <w:rFonts w:hint="eastAsia"/>
          <w:color w:val="auto"/>
          <w:highlight w:val="none"/>
          <w:lang w:val="en-US" w:eastAsia="zh-CN"/>
        </w:rPr>
      </w:pPr>
    </w:p>
    <w:p w14:paraId="21867FAA">
      <w:pPr>
        <w:bidi w:val="0"/>
        <w:rPr>
          <w:rFonts w:hint="eastAsia"/>
          <w:color w:val="auto"/>
          <w:highlight w:val="none"/>
          <w:lang w:val="en-US" w:eastAsia="zh-CN"/>
        </w:rPr>
      </w:pPr>
    </w:p>
    <w:p w14:paraId="67AFD445">
      <w:pPr>
        <w:bidi w:val="0"/>
        <w:rPr>
          <w:rFonts w:hint="eastAsia"/>
          <w:color w:val="auto"/>
          <w:highlight w:val="none"/>
          <w:lang w:val="en-US" w:eastAsia="zh-CN"/>
        </w:rPr>
      </w:pPr>
    </w:p>
    <w:p w14:paraId="223E90B0">
      <w:pPr>
        <w:bidi w:val="0"/>
        <w:rPr>
          <w:rFonts w:hint="eastAsia"/>
          <w:color w:val="auto"/>
          <w:highlight w:val="none"/>
          <w:lang w:val="en-US" w:eastAsia="zh-CN"/>
        </w:rPr>
      </w:pPr>
    </w:p>
    <w:p w14:paraId="26BC62C0">
      <w:pPr>
        <w:bidi w:val="0"/>
        <w:rPr>
          <w:rFonts w:hint="eastAsia"/>
          <w:color w:val="auto"/>
          <w:highlight w:val="none"/>
          <w:lang w:val="en-US" w:eastAsia="zh-CN"/>
        </w:rPr>
      </w:pPr>
    </w:p>
    <w:p w14:paraId="38CD71AC">
      <w:pPr>
        <w:bidi w:val="0"/>
        <w:rPr>
          <w:rFonts w:hint="eastAsia"/>
          <w:color w:val="auto"/>
          <w:highlight w:val="none"/>
          <w:lang w:val="en-US" w:eastAsia="zh-CN"/>
        </w:rPr>
      </w:pPr>
    </w:p>
    <w:p w14:paraId="7D6D3DBF">
      <w:pPr>
        <w:bidi w:val="0"/>
        <w:rPr>
          <w:rFonts w:hint="eastAsia"/>
          <w:color w:val="auto"/>
          <w:highlight w:val="none"/>
          <w:lang w:val="en-US" w:eastAsia="zh-CN"/>
        </w:rPr>
      </w:pPr>
    </w:p>
    <w:p w14:paraId="6283A164">
      <w:pPr>
        <w:bidi w:val="0"/>
        <w:rPr>
          <w:rFonts w:hint="eastAsia"/>
          <w:color w:val="auto"/>
          <w:highlight w:val="none"/>
          <w:lang w:val="en-US" w:eastAsia="zh-CN"/>
        </w:rPr>
      </w:pPr>
    </w:p>
    <w:p w14:paraId="38FF931B">
      <w:pPr>
        <w:bidi w:val="0"/>
        <w:rPr>
          <w:rFonts w:hint="eastAsia"/>
          <w:color w:val="auto"/>
          <w:highlight w:val="none"/>
          <w:lang w:val="en-US" w:eastAsia="zh-CN"/>
        </w:rPr>
      </w:pPr>
    </w:p>
    <w:p w14:paraId="3FDD95E7">
      <w:pPr>
        <w:bidi w:val="0"/>
        <w:rPr>
          <w:rFonts w:hint="eastAsia"/>
          <w:color w:val="auto"/>
          <w:highlight w:val="none"/>
          <w:lang w:val="en-US" w:eastAsia="zh-CN"/>
        </w:rPr>
      </w:pPr>
    </w:p>
    <w:p w14:paraId="107CFEF8">
      <w:pPr>
        <w:bidi w:val="0"/>
        <w:rPr>
          <w:rFonts w:hint="eastAsia"/>
          <w:color w:val="auto"/>
          <w:highlight w:val="none"/>
          <w:lang w:val="en-US" w:eastAsia="zh-CN"/>
        </w:rPr>
      </w:pPr>
    </w:p>
    <w:p w14:paraId="759331C5">
      <w:pPr>
        <w:bidi w:val="0"/>
        <w:rPr>
          <w:rFonts w:hint="eastAsia"/>
          <w:color w:val="auto"/>
          <w:highlight w:val="none"/>
          <w:lang w:val="en-US" w:eastAsia="zh-CN"/>
        </w:rPr>
      </w:pPr>
    </w:p>
    <w:p w14:paraId="489CC0AB">
      <w:pPr>
        <w:bidi w:val="0"/>
        <w:rPr>
          <w:rFonts w:hint="eastAsia"/>
          <w:color w:val="auto"/>
          <w:highlight w:val="none"/>
          <w:lang w:val="en-US" w:eastAsia="zh-CN"/>
        </w:rPr>
      </w:pPr>
    </w:p>
    <w:p w14:paraId="00842351">
      <w:pPr>
        <w:bidi w:val="0"/>
        <w:rPr>
          <w:rFonts w:hint="eastAsia"/>
          <w:color w:val="auto"/>
          <w:highlight w:val="none"/>
          <w:lang w:val="en-US" w:eastAsia="zh-CN"/>
        </w:rPr>
      </w:pPr>
    </w:p>
    <w:p w14:paraId="45AAA5A8">
      <w:pPr>
        <w:bidi w:val="0"/>
        <w:rPr>
          <w:rFonts w:hint="eastAsia"/>
          <w:color w:val="auto"/>
          <w:highlight w:val="none"/>
          <w:lang w:val="en-US" w:eastAsia="zh-CN"/>
        </w:rPr>
      </w:pPr>
    </w:p>
    <w:p w14:paraId="461885B5">
      <w:pPr>
        <w:bidi w:val="0"/>
        <w:rPr>
          <w:rFonts w:hint="eastAsia"/>
          <w:color w:val="auto"/>
          <w:highlight w:val="none"/>
          <w:lang w:val="en-US" w:eastAsia="zh-CN"/>
        </w:rPr>
      </w:pPr>
    </w:p>
    <w:p w14:paraId="2C92B78D">
      <w:pPr>
        <w:bidi w:val="0"/>
        <w:rPr>
          <w:rFonts w:hint="eastAsia"/>
          <w:color w:val="auto"/>
          <w:highlight w:val="none"/>
          <w:lang w:val="en-US" w:eastAsia="zh-CN"/>
        </w:rPr>
      </w:pPr>
    </w:p>
    <w:p w14:paraId="283F8B0E">
      <w:pPr>
        <w:bidi w:val="0"/>
        <w:rPr>
          <w:rFonts w:hint="eastAsia"/>
          <w:color w:val="auto"/>
          <w:highlight w:val="none"/>
          <w:lang w:val="en-US" w:eastAsia="zh-CN"/>
        </w:rPr>
      </w:pPr>
    </w:p>
    <w:p w14:paraId="38C249D3">
      <w:pPr>
        <w:bidi w:val="0"/>
        <w:rPr>
          <w:rFonts w:hint="eastAsia"/>
          <w:color w:val="auto"/>
          <w:highlight w:val="none"/>
          <w:lang w:val="en-US" w:eastAsia="zh-CN"/>
        </w:rPr>
      </w:pPr>
    </w:p>
    <w:p w14:paraId="48816A1B">
      <w:pPr>
        <w:bidi w:val="0"/>
        <w:rPr>
          <w:rFonts w:hint="eastAsia"/>
          <w:color w:val="auto"/>
          <w:highlight w:val="none"/>
          <w:lang w:val="en-US" w:eastAsia="zh-CN"/>
        </w:rPr>
      </w:pPr>
    </w:p>
    <w:p w14:paraId="778972C3">
      <w:pPr>
        <w:bidi w:val="0"/>
        <w:rPr>
          <w:rFonts w:hint="eastAsia"/>
          <w:color w:val="auto"/>
          <w:highlight w:val="none"/>
          <w:lang w:val="en-US" w:eastAsia="zh-CN"/>
        </w:rPr>
      </w:pPr>
    </w:p>
    <w:p w14:paraId="3602CFDC">
      <w:pPr>
        <w:bidi w:val="0"/>
        <w:rPr>
          <w:rFonts w:hint="eastAsia"/>
          <w:color w:val="auto"/>
          <w:highlight w:val="none"/>
          <w:lang w:val="en-US" w:eastAsia="zh-CN"/>
        </w:rPr>
      </w:pPr>
    </w:p>
    <w:p w14:paraId="18D215EC">
      <w:pPr>
        <w:bidi w:val="0"/>
        <w:rPr>
          <w:rFonts w:hint="eastAsia"/>
          <w:color w:val="auto"/>
          <w:highlight w:val="none"/>
          <w:lang w:val="en-US" w:eastAsia="zh-CN"/>
        </w:rPr>
      </w:pPr>
    </w:p>
    <w:p w14:paraId="0069395C">
      <w:pPr>
        <w:bidi w:val="0"/>
        <w:rPr>
          <w:rFonts w:hint="eastAsia"/>
          <w:color w:val="auto"/>
          <w:highlight w:val="none"/>
          <w:lang w:val="en-US" w:eastAsia="zh-CN"/>
        </w:rPr>
      </w:pPr>
    </w:p>
    <w:p w14:paraId="0CB5C8E8">
      <w:pPr>
        <w:tabs>
          <w:tab w:val="left" w:pos="1913"/>
        </w:tabs>
        <w:bidi w:val="0"/>
        <w:jc w:val="left"/>
        <w:rPr>
          <w:rFonts w:hint="eastAsia"/>
          <w:color w:val="auto"/>
          <w:highlight w:val="none"/>
          <w:lang w:val="en-US" w:eastAsia="zh-CN"/>
        </w:rPr>
      </w:pPr>
      <w:r>
        <w:rPr>
          <w:color w:val="auto"/>
          <w:highlight w:val="none"/>
        </w:rPr>
        <w:drawing>
          <wp:anchor distT="0" distB="0" distL="114300" distR="114300" simplePos="0" relativeHeight="251729920" behindDoc="0" locked="0" layoutInCell="1" allowOverlap="1">
            <wp:simplePos x="0" y="0"/>
            <wp:positionH relativeFrom="column">
              <wp:posOffset>-6350</wp:posOffset>
            </wp:positionH>
            <wp:positionV relativeFrom="paragraph">
              <wp:posOffset>198120</wp:posOffset>
            </wp:positionV>
            <wp:extent cx="5275580" cy="7266305"/>
            <wp:effectExtent l="0" t="0" r="1270" b="10795"/>
            <wp:wrapNone/>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113"/>
                    <a:stretch>
                      <a:fillRect/>
                    </a:stretch>
                  </pic:blipFill>
                  <pic:spPr>
                    <a:xfrm>
                      <a:off x="0" y="0"/>
                      <a:ext cx="5275580" cy="7266305"/>
                    </a:xfrm>
                    <a:prstGeom prst="rect">
                      <a:avLst/>
                    </a:prstGeom>
                    <a:noFill/>
                    <a:ln>
                      <a:noFill/>
                    </a:ln>
                  </pic:spPr>
                </pic:pic>
              </a:graphicData>
            </a:graphic>
          </wp:anchor>
        </w:drawing>
      </w:r>
      <w:r>
        <w:rPr>
          <w:rFonts w:hint="eastAsia"/>
          <w:color w:val="auto"/>
          <w:highlight w:val="none"/>
          <w:lang w:val="en-US" w:eastAsia="zh-CN"/>
        </w:rPr>
        <w:tab/>
      </w:r>
    </w:p>
    <w:p w14:paraId="6BCAD443">
      <w:pPr>
        <w:bidi w:val="0"/>
        <w:rPr>
          <w:rFonts w:hint="eastAsia" w:ascii="Times New Roman" w:hAnsi="Times New Roman" w:eastAsia="宋体" w:cstheme="minorBidi"/>
          <w:color w:val="auto"/>
          <w:kern w:val="2"/>
          <w:sz w:val="24"/>
          <w:szCs w:val="22"/>
          <w:highlight w:val="none"/>
          <w:lang w:val="en-US" w:eastAsia="zh-CN" w:bidi="ar-SA"/>
        </w:rPr>
      </w:pPr>
    </w:p>
    <w:p w14:paraId="3A6113C7">
      <w:pPr>
        <w:bidi w:val="0"/>
        <w:rPr>
          <w:rFonts w:hint="eastAsia"/>
          <w:color w:val="auto"/>
          <w:highlight w:val="none"/>
          <w:lang w:val="en-US" w:eastAsia="zh-CN"/>
        </w:rPr>
      </w:pPr>
    </w:p>
    <w:p w14:paraId="6EEBC3F5">
      <w:pPr>
        <w:bidi w:val="0"/>
        <w:rPr>
          <w:rFonts w:hint="eastAsia"/>
          <w:color w:val="auto"/>
          <w:highlight w:val="none"/>
          <w:lang w:val="en-US" w:eastAsia="zh-CN"/>
        </w:rPr>
      </w:pPr>
    </w:p>
    <w:p w14:paraId="7DFE98BA">
      <w:pPr>
        <w:bidi w:val="0"/>
        <w:rPr>
          <w:rFonts w:hint="eastAsia"/>
          <w:color w:val="auto"/>
          <w:highlight w:val="none"/>
          <w:lang w:val="en-US" w:eastAsia="zh-CN"/>
        </w:rPr>
      </w:pPr>
    </w:p>
    <w:p w14:paraId="4C767016">
      <w:pPr>
        <w:bidi w:val="0"/>
        <w:rPr>
          <w:rFonts w:hint="eastAsia"/>
          <w:color w:val="auto"/>
          <w:highlight w:val="none"/>
          <w:lang w:val="en-US" w:eastAsia="zh-CN"/>
        </w:rPr>
      </w:pPr>
    </w:p>
    <w:p w14:paraId="00FB797C">
      <w:pPr>
        <w:bidi w:val="0"/>
        <w:rPr>
          <w:rFonts w:hint="eastAsia"/>
          <w:color w:val="auto"/>
          <w:highlight w:val="none"/>
          <w:lang w:val="en-US" w:eastAsia="zh-CN"/>
        </w:rPr>
      </w:pPr>
    </w:p>
    <w:p w14:paraId="4DB41FAD">
      <w:pPr>
        <w:bidi w:val="0"/>
        <w:rPr>
          <w:rFonts w:hint="eastAsia"/>
          <w:color w:val="auto"/>
          <w:highlight w:val="none"/>
          <w:lang w:val="en-US" w:eastAsia="zh-CN"/>
        </w:rPr>
      </w:pPr>
    </w:p>
    <w:p w14:paraId="5D32510F">
      <w:pPr>
        <w:bidi w:val="0"/>
        <w:rPr>
          <w:rFonts w:hint="eastAsia"/>
          <w:color w:val="auto"/>
          <w:highlight w:val="none"/>
          <w:lang w:val="en-US" w:eastAsia="zh-CN"/>
        </w:rPr>
      </w:pPr>
    </w:p>
    <w:p w14:paraId="1B3A1570">
      <w:pPr>
        <w:bidi w:val="0"/>
        <w:rPr>
          <w:rFonts w:hint="eastAsia"/>
          <w:color w:val="auto"/>
          <w:highlight w:val="none"/>
          <w:lang w:val="en-US" w:eastAsia="zh-CN"/>
        </w:rPr>
      </w:pPr>
    </w:p>
    <w:p w14:paraId="7E744EAE">
      <w:pPr>
        <w:bidi w:val="0"/>
        <w:rPr>
          <w:rFonts w:hint="eastAsia"/>
          <w:color w:val="auto"/>
          <w:highlight w:val="none"/>
          <w:lang w:val="en-US" w:eastAsia="zh-CN"/>
        </w:rPr>
      </w:pPr>
    </w:p>
    <w:p w14:paraId="33EA0522">
      <w:pPr>
        <w:bidi w:val="0"/>
        <w:rPr>
          <w:rFonts w:hint="eastAsia"/>
          <w:color w:val="auto"/>
          <w:highlight w:val="none"/>
          <w:lang w:val="en-US" w:eastAsia="zh-CN"/>
        </w:rPr>
      </w:pPr>
    </w:p>
    <w:p w14:paraId="2D2450C0">
      <w:pPr>
        <w:bidi w:val="0"/>
        <w:rPr>
          <w:rFonts w:hint="eastAsia"/>
          <w:color w:val="auto"/>
          <w:highlight w:val="none"/>
          <w:lang w:val="en-US" w:eastAsia="zh-CN"/>
        </w:rPr>
      </w:pPr>
    </w:p>
    <w:p w14:paraId="4AB0A54D">
      <w:pPr>
        <w:bidi w:val="0"/>
        <w:rPr>
          <w:rFonts w:hint="eastAsia"/>
          <w:color w:val="auto"/>
          <w:highlight w:val="none"/>
          <w:lang w:val="en-US" w:eastAsia="zh-CN"/>
        </w:rPr>
      </w:pPr>
    </w:p>
    <w:p w14:paraId="1BC23036">
      <w:pPr>
        <w:bidi w:val="0"/>
        <w:rPr>
          <w:rFonts w:hint="eastAsia"/>
          <w:color w:val="auto"/>
          <w:highlight w:val="none"/>
          <w:lang w:val="en-US" w:eastAsia="zh-CN"/>
        </w:rPr>
      </w:pPr>
    </w:p>
    <w:p w14:paraId="4DDB84E3">
      <w:pPr>
        <w:bidi w:val="0"/>
        <w:rPr>
          <w:rFonts w:hint="eastAsia"/>
          <w:color w:val="auto"/>
          <w:highlight w:val="none"/>
          <w:lang w:val="en-US" w:eastAsia="zh-CN"/>
        </w:rPr>
      </w:pPr>
    </w:p>
    <w:p w14:paraId="4ED3F272">
      <w:pPr>
        <w:bidi w:val="0"/>
        <w:rPr>
          <w:rFonts w:hint="eastAsia"/>
          <w:color w:val="auto"/>
          <w:highlight w:val="none"/>
          <w:lang w:val="en-US" w:eastAsia="zh-CN"/>
        </w:rPr>
      </w:pPr>
    </w:p>
    <w:p w14:paraId="3CA530C2">
      <w:pPr>
        <w:bidi w:val="0"/>
        <w:rPr>
          <w:rFonts w:hint="eastAsia"/>
          <w:color w:val="auto"/>
          <w:highlight w:val="none"/>
          <w:lang w:val="en-US" w:eastAsia="zh-CN"/>
        </w:rPr>
      </w:pPr>
    </w:p>
    <w:p w14:paraId="2CFC88F9">
      <w:pPr>
        <w:bidi w:val="0"/>
        <w:rPr>
          <w:rFonts w:hint="eastAsia"/>
          <w:color w:val="auto"/>
          <w:highlight w:val="none"/>
          <w:lang w:val="en-US" w:eastAsia="zh-CN"/>
        </w:rPr>
      </w:pPr>
    </w:p>
    <w:p w14:paraId="0D1952F5">
      <w:pPr>
        <w:bidi w:val="0"/>
        <w:rPr>
          <w:rFonts w:hint="eastAsia"/>
          <w:color w:val="auto"/>
          <w:highlight w:val="none"/>
          <w:lang w:val="en-US" w:eastAsia="zh-CN"/>
        </w:rPr>
      </w:pPr>
    </w:p>
    <w:p w14:paraId="220E03BA">
      <w:pPr>
        <w:bidi w:val="0"/>
        <w:rPr>
          <w:rFonts w:hint="eastAsia"/>
          <w:color w:val="auto"/>
          <w:highlight w:val="none"/>
          <w:lang w:val="en-US" w:eastAsia="zh-CN"/>
        </w:rPr>
      </w:pPr>
    </w:p>
    <w:p w14:paraId="57D22231">
      <w:pPr>
        <w:bidi w:val="0"/>
        <w:rPr>
          <w:rFonts w:hint="eastAsia"/>
          <w:color w:val="auto"/>
          <w:highlight w:val="none"/>
          <w:lang w:val="en-US" w:eastAsia="zh-CN"/>
        </w:rPr>
      </w:pPr>
    </w:p>
    <w:p w14:paraId="13B7EEC3">
      <w:pPr>
        <w:bidi w:val="0"/>
        <w:rPr>
          <w:rFonts w:hint="eastAsia"/>
          <w:color w:val="auto"/>
          <w:highlight w:val="none"/>
          <w:lang w:val="en-US" w:eastAsia="zh-CN"/>
        </w:rPr>
      </w:pPr>
    </w:p>
    <w:p w14:paraId="2C11C9E6">
      <w:pPr>
        <w:bidi w:val="0"/>
        <w:rPr>
          <w:rFonts w:hint="eastAsia"/>
          <w:color w:val="auto"/>
          <w:highlight w:val="none"/>
          <w:lang w:val="en-US" w:eastAsia="zh-CN"/>
        </w:rPr>
      </w:pPr>
    </w:p>
    <w:p w14:paraId="4E871012">
      <w:pPr>
        <w:bidi w:val="0"/>
        <w:rPr>
          <w:rFonts w:hint="eastAsia"/>
          <w:color w:val="auto"/>
          <w:highlight w:val="none"/>
          <w:lang w:val="en-US" w:eastAsia="zh-CN"/>
        </w:rPr>
      </w:pPr>
    </w:p>
    <w:p w14:paraId="78EF516E">
      <w:pPr>
        <w:bidi w:val="0"/>
        <w:rPr>
          <w:rFonts w:hint="eastAsia"/>
          <w:color w:val="auto"/>
          <w:highlight w:val="none"/>
          <w:lang w:val="en-US" w:eastAsia="zh-CN"/>
        </w:rPr>
      </w:pPr>
    </w:p>
    <w:p w14:paraId="403FDFC6">
      <w:pPr>
        <w:bidi w:val="0"/>
        <w:rPr>
          <w:rFonts w:hint="eastAsia"/>
          <w:color w:val="auto"/>
          <w:highlight w:val="none"/>
          <w:lang w:val="en-US" w:eastAsia="zh-CN"/>
        </w:rPr>
      </w:pPr>
    </w:p>
    <w:p w14:paraId="73E7AECD">
      <w:pPr>
        <w:tabs>
          <w:tab w:val="left" w:pos="563"/>
        </w:tabs>
        <w:bidi w:val="0"/>
        <w:jc w:val="left"/>
        <w:rPr>
          <w:rFonts w:hint="eastAsia"/>
          <w:color w:val="auto"/>
          <w:highlight w:val="none"/>
          <w:lang w:val="en-US" w:eastAsia="zh-CN"/>
        </w:rPr>
      </w:pPr>
      <w:r>
        <w:rPr>
          <w:color w:val="auto"/>
          <w:highlight w:val="none"/>
        </w:rPr>
        <w:drawing>
          <wp:anchor distT="0" distB="0" distL="114300" distR="114300" simplePos="0" relativeHeight="251730944" behindDoc="0" locked="0" layoutInCell="1" allowOverlap="1">
            <wp:simplePos x="0" y="0"/>
            <wp:positionH relativeFrom="column">
              <wp:posOffset>26035</wp:posOffset>
            </wp:positionH>
            <wp:positionV relativeFrom="paragraph">
              <wp:posOffset>150495</wp:posOffset>
            </wp:positionV>
            <wp:extent cx="5273675" cy="7379970"/>
            <wp:effectExtent l="0" t="0" r="3175" b="11430"/>
            <wp:wrapNone/>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114"/>
                    <a:stretch>
                      <a:fillRect/>
                    </a:stretch>
                  </pic:blipFill>
                  <pic:spPr>
                    <a:xfrm>
                      <a:off x="0" y="0"/>
                      <a:ext cx="5273675" cy="7379970"/>
                    </a:xfrm>
                    <a:prstGeom prst="rect">
                      <a:avLst/>
                    </a:prstGeom>
                    <a:noFill/>
                    <a:ln>
                      <a:noFill/>
                    </a:ln>
                  </pic:spPr>
                </pic:pic>
              </a:graphicData>
            </a:graphic>
          </wp:anchor>
        </w:drawing>
      </w:r>
      <w:r>
        <w:rPr>
          <w:rFonts w:hint="eastAsia"/>
          <w:color w:val="auto"/>
          <w:highlight w:val="none"/>
          <w:lang w:val="en-US" w:eastAsia="zh-CN"/>
        </w:rPr>
        <w:tab/>
      </w:r>
    </w:p>
    <w:p w14:paraId="6E6470E9">
      <w:pPr>
        <w:bidi w:val="0"/>
        <w:rPr>
          <w:rFonts w:hint="eastAsia" w:ascii="Times New Roman" w:hAnsi="Times New Roman" w:eastAsia="宋体" w:cstheme="minorBidi"/>
          <w:color w:val="auto"/>
          <w:kern w:val="2"/>
          <w:sz w:val="24"/>
          <w:szCs w:val="22"/>
          <w:highlight w:val="none"/>
          <w:lang w:val="en-US" w:eastAsia="zh-CN" w:bidi="ar-SA"/>
        </w:rPr>
      </w:pPr>
    </w:p>
    <w:p w14:paraId="2A959D55">
      <w:pPr>
        <w:bidi w:val="0"/>
        <w:rPr>
          <w:rFonts w:hint="eastAsia"/>
          <w:color w:val="auto"/>
          <w:highlight w:val="none"/>
          <w:lang w:val="en-US" w:eastAsia="zh-CN"/>
        </w:rPr>
      </w:pPr>
    </w:p>
    <w:p w14:paraId="68469B4B">
      <w:pPr>
        <w:bidi w:val="0"/>
        <w:rPr>
          <w:rFonts w:hint="eastAsia"/>
          <w:color w:val="auto"/>
          <w:highlight w:val="none"/>
          <w:lang w:val="en-US" w:eastAsia="zh-CN"/>
        </w:rPr>
      </w:pPr>
    </w:p>
    <w:p w14:paraId="0413C7D4">
      <w:pPr>
        <w:bidi w:val="0"/>
        <w:rPr>
          <w:rFonts w:hint="eastAsia"/>
          <w:color w:val="auto"/>
          <w:highlight w:val="none"/>
          <w:lang w:val="en-US" w:eastAsia="zh-CN"/>
        </w:rPr>
      </w:pPr>
    </w:p>
    <w:p w14:paraId="2CA56370">
      <w:pPr>
        <w:bidi w:val="0"/>
        <w:rPr>
          <w:rFonts w:hint="eastAsia"/>
          <w:color w:val="auto"/>
          <w:highlight w:val="none"/>
          <w:lang w:val="en-US" w:eastAsia="zh-CN"/>
        </w:rPr>
      </w:pPr>
    </w:p>
    <w:p w14:paraId="20ED9002">
      <w:pPr>
        <w:bidi w:val="0"/>
        <w:rPr>
          <w:rFonts w:hint="eastAsia"/>
          <w:color w:val="auto"/>
          <w:highlight w:val="none"/>
          <w:lang w:val="en-US" w:eastAsia="zh-CN"/>
        </w:rPr>
      </w:pPr>
    </w:p>
    <w:p w14:paraId="7A9509FC">
      <w:pPr>
        <w:bidi w:val="0"/>
        <w:rPr>
          <w:rFonts w:hint="eastAsia"/>
          <w:color w:val="auto"/>
          <w:highlight w:val="none"/>
          <w:lang w:val="en-US" w:eastAsia="zh-CN"/>
        </w:rPr>
      </w:pPr>
    </w:p>
    <w:p w14:paraId="0CEC5D8B">
      <w:pPr>
        <w:bidi w:val="0"/>
        <w:rPr>
          <w:rFonts w:hint="eastAsia"/>
          <w:color w:val="auto"/>
          <w:highlight w:val="none"/>
          <w:lang w:val="en-US" w:eastAsia="zh-CN"/>
        </w:rPr>
      </w:pPr>
    </w:p>
    <w:p w14:paraId="5DECA6D0">
      <w:pPr>
        <w:bidi w:val="0"/>
        <w:rPr>
          <w:rFonts w:hint="eastAsia"/>
          <w:color w:val="auto"/>
          <w:highlight w:val="none"/>
          <w:lang w:val="en-US" w:eastAsia="zh-CN"/>
        </w:rPr>
      </w:pPr>
    </w:p>
    <w:p w14:paraId="7269B5B2">
      <w:pPr>
        <w:bidi w:val="0"/>
        <w:rPr>
          <w:rFonts w:hint="eastAsia"/>
          <w:color w:val="auto"/>
          <w:highlight w:val="none"/>
          <w:lang w:val="en-US" w:eastAsia="zh-CN"/>
        </w:rPr>
      </w:pPr>
    </w:p>
    <w:p w14:paraId="0F33C1A5">
      <w:pPr>
        <w:bidi w:val="0"/>
        <w:rPr>
          <w:rFonts w:hint="eastAsia"/>
          <w:color w:val="auto"/>
          <w:highlight w:val="none"/>
          <w:lang w:val="en-US" w:eastAsia="zh-CN"/>
        </w:rPr>
      </w:pPr>
    </w:p>
    <w:p w14:paraId="1F9CBEA2">
      <w:pPr>
        <w:bidi w:val="0"/>
        <w:rPr>
          <w:rFonts w:hint="eastAsia"/>
          <w:color w:val="auto"/>
          <w:highlight w:val="none"/>
          <w:lang w:val="en-US" w:eastAsia="zh-CN"/>
        </w:rPr>
      </w:pPr>
    </w:p>
    <w:p w14:paraId="06DCBE8D">
      <w:pPr>
        <w:bidi w:val="0"/>
        <w:rPr>
          <w:rFonts w:hint="eastAsia"/>
          <w:color w:val="auto"/>
          <w:highlight w:val="none"/>
          <w:lang w:val="en-US" w:eastAsia="zh-CN"/>
        </w:rPr>
      </w:pPr>
    </w:p>
    <w:p w14:paraId="6EA37927">
      <w:pPr>
        <w:bidi w:val="0"/>
        <w:rPr>
          <w:rFonts w:hint="eastAsia"/>
          <w:color w:val="auto"/>
          <w:highlight w:val="none"/>
          <w:lang w:val="en-US" w:eastAsia="zh-CN"/>
        </w:rPr>
      </w:pPr>
    </w:p>
    <w:p w14:paraId="1364BE5D">
      <w:pPr>
        <w:bidi w:val="0"/>
        <w:rPr>
          <w:rFonts w:hint="eastAsia"/>
          <w:color w:val="auto"/>
          <w:highlight w:val="none"/>
          <w:lang w:val="en-US" w:eastAsia="zh-CN"/>
        </w:rPr>
      </w:pPr>
    </w:p>
    <w:p w14:paraId="497B256A">
      <w:pPr>
        <w:bidi w:val="0"/>
        <w:rPr>
          <w:rFonts w:hint="eastAsia"/>
          <w:color w:val="auto"/>
          <w:highlight w:val="none"/>
          <w:lang w:val="en-US" w:eastAsia="zh-CN"/>
        </w:rPr>
      </w:pPr>
    </w:p>
    <w:p w14:paraId="1AEBC678">
      <w:pPr>
        <w:bidi w:val="0"/>
        <w:rPr>
          <w:rFonts w:hint="eastAsia"/>
          <w:color w:val="auto"/>
          <w:highlight w:val="none"/>
          <w:lang w:val="en-US" w:eastAsia="zh-CN"/>
        </w:rPr>
      </w:pPr>
    </w:p>
    <w:p w14:paraId="66F825E2">
      <w:pPr>
        <w:bidi w:val="0"/>
        <w:rPr>
          <w:rFonts w:hint="eastAsia"/>
          <w:color w:val="auto"/>
          <w:highlight w:val="none"/>
          <w:lang w:val="en-US" w:eastAsia="zh-CN"/>
        </w:rPr>
      </w:pPr>
    </w:p>
    <w:p w14:paraId="0E25D9F0">
      <w:pPr>
        <w:bidi w:val="0"/>
        <w:rPr>
          <w:rFonts w:hint="eastAsia"/>
          <w:color w:val="auto"/>
          <w:highlight w:val="none"/>
          <w:lang w:val="en-US" w:eastAsia="zh-CN"/>
        </w:rPr>
      </w:pPr>
    </w:p>
    <w:p w14:paraId="0D0DA2C2">
      <w:pPr>
        <w:bidi w:val="0"/>
        <w:rPr>
          <w:rFonts w:hint="eastAsia"/>
          <w:color w:val="auto"/>
          <w:highlight w:val="none"/>
          <w:lang w:val="en-US" w:eastAsia="zh-CN"/>
        </w:rPr>
      </w:pPr>
    </w:p>
    <w:p w14:paraId="5835BD3C">
      <w:pPr>
        <w:bidi w:val="0"/>
        <w:rPr>
          <w:rFonts w:hint="eastAsia"/>
          <w:color w:val="auto"/>
          <w:highlight w:val="none"/>
          <w:lang w:val="en-US" w:eastAsia="zh-CN"/>
        </w:rPr>
      </w:pPr>
    </w:p>
    <w:p w14:paraId="7335CA6B">
      <w:pPr>
        <w:bidi w:val="0"/>
        <w:rPr>
          <w:rFonts w:hint="eastAsia"/>
          <w:color w:val="auto"/>
          <w:highlight w:val="none"/>
          <w:lang w:val="en-US" w:eastAsia="zh-CN"/>
        </w:rPr>
      </w:pPr>
    </w:p>
    <w:p w14:paraId="488C03FE">
      <w:pPr>
        <w:bidi w:val="0"/>
        <w:rPr>
          <w:rFonts w:hint="eastAsia"/>
          <w:color w:val="auto"/>
          <w:highlight w:val="none"/>
          <w:lang w:val="en-US" w:eastAsia="zh-CN"/>
        </w:rPr>
      </w:pPr>
    </w:p>
    <w:p w14:paraId="1D002D06">
      <w:pPr>
        <w:bidi w:val="0"/>
        <w:rPr>
          <w:rFonts w:hint="eastAsia"/>
          <w:color w:val="auto"/>
          <w:highlight w:val="none"/>
          <w:lang w:val="en-US" w:eastAsia="zh-CN"/>
        </w:rPr>
      </w:pPr>
    </w:p>
    <w:p w14:paraId="3D3878A1">
      <w:pPr>
        <w:bidi w:val="0"/>
        <w:rPr>
          <w:rFonts w:hint="eastAsia"/>
          <w:color w:val="auto"/>
          <w:highlight w:val="none"/>
          <w:lang w:val="en-US" w:eastAsia="zh-CN"/>
        </w:rPr>
      </w:pPr>
    </w:p>
    <w:p w14:paraId="49EDC755">
      <w:pPr>
        <w:bidi w:val="0"/>
        <w:rPr>
          <w:rFonts w:hint="eastAsia"/>
          <w:color w:val="auto"/>
          <w:highlight w:val="none"/>
          <w:lang w:val="en-US" w:eastAsia="zh-CN"/>
        </w:rPr>
      </w:pPr>
    </w:p>
    <w:p w14:paraId="693E0B41">
      <w:pPr>
        <w:tabs>
          <w:tab w:val="left" w:pos="427"/>
        </w:tabs>
        <w:bidi w:val="0"/>
        <w:jc w:val="left"/>
        <w:rPr>
          <w:rFonts w:hint="eastAsia"/>
          <w:color w:val="auto"/>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541076BB">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color w:val="auto"/>
          <w:highlight w:val="none"/>
        </w:rPr>
        <w:drawing>
          <wp:anchor distT="0" distB="0" distL="114300" distR="114300" simplePos="0" relativeHeight="251731968" behindDoc="0" locked="0" layoutInCell="1" allowOverlap="1">
            <wp:simplePos x="0" y="0"/>
            <wp:positionH relativeFrom="column">
              <wp:posOffset>-34925</wp:posOffset>
            </wp:positionH>
            <wp:positionV relativeFrom="paragraph">
              <wp:posOffset>156210</wp:posOffset>
            </wp:positionV>
            <wp:extent cx="5278120" cy="7465695"/>
            <wp:effectExtent l="0" t="0" r="17780" b="1905"/>
            <wp:wrapNone/>
            <wp:docPr id="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pic:cNvPicPr>
                      <a:picLocks noChangeAspect="1"/>
                    </pic:cNvPicPr>
                  </pic:nvPicPr>
                  <pic:blipFill>
                    <a:blip r:embed="rId115"/>
                    <a:stretch>
                      <a:fillRect/>
                    </a:stretch>
                  </pic:blipFill>
                  <pic:spPr>
                    <a:xfrm>
                      <a:off x="0" y="0"/>
                      <a:ext cx="5278120" cy="7465695"/>
                    </a:xfrm>
                    <a:prstGeom prst="rect">
                      <a:avLst/>
                    </a:prstGeom>
                    <a:noFill/>
                    <a:ln>
                      <a:noFill/>
                    </a:ln>
                  </pic:spPr>
                </pic:pic>
              </a:graphicData>
            </a:graphic>
          </wp:anchor>
        </w:drawing>
      </w:r>
    </w:p>
    <w:p w14:paraId="7D0FF211">
      <w:pPr>
        <w:tabs>
          <w:tab w:val="left" w:pos="427"/>
        </w:tabs>
        <w:bidi w:val="0"/>
        <w:ind w:left="0" w:leftChars="0" w:firstLine="0" w:firstLineChars="0"/>
        <w:jc w:val="left"/>
        <w:outlineLvl w:val="0"/>
        <w:rPr>
          <w:rFonts w:hint="eastAsia" w:ascii="黑体" w:hAnsi="黑体" w:eastAsia="黑体" w:cs="黑体"/>
          <w:color w:val="auto"/>
          <w:sz w:val="24"/>
          <w:szCs w:val="24"/>
          <w:highlight w:val="none"/>
          <w:lang w:val="en-US" w:eastAsia="zh-CN"/>
        </w:rPr>
      </w:pPr>
      <w:bookmarkStart w:id="501" w:name="_Toc32266"/>
      <w:r>
        <w:rPr>
          <w:rFonts w:hint="eastAsia" w:ascii="黑体" w:hAnsi="黑体" w:eastAsia="黑体" w:cs="黑体"/>
          <w:color w:val="auto"/>
          <w:sz w:val="24"/>
          <w:szCs w:val="24"/>
          <w:highlight w:val="none"/>
          <w:lang w:val="en-US" w:eastAsia="zh-CN"/>
        </w:rPr>
        <w:t>附件8：营业执照</w:t>
      </w:r>
      <w:bookmarkEnd w:id="501"/>
    </w:p>
    <w:p w14:paraId="30DEDEF2">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r>
        <w:rPr>
          <w:color w:val="auto"/>
          <w:highlight w:val="none"/>
        </w:rPr>
        <w:drawing>
          <wp:anchor distT="0" distB="0" distL="114300" distR="114300" simplePos="0" relativeHeight="251752448" behindDoc="0" locked="0" layoutInCell="1" allowOverlap="1">
            <wp:simplePos x="0" y="0"/>
            <wp:positionH relativeFrom="column">
              <wp:posOffset>339725</wp:posOffset>
            </wp:positionH>
            <wp:positionV relativeFrom="paragraph">
              <wp:posOffset>181610</wp:posOffset>
            </wp:positionV>
            <wp:extent cx="8257540" cy="4868545"/>
            <wp:effectExtent l="0" t="0" r="10160" b="8255"/>
            <wp:wrapNone/>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116"/>
                    <a:stretch>
                      <a:fillRect/>
                    </a:stretch>
                  </pic:blipFill>
                  <pic:spPr>
                    <a:xfrm>
                      <a:off x="0" y="0"/>
                      <a:ext cx="8257540" cy="4868545"/>
                    </a:xfrm>
                    <a:prstGeom prst="rect">
                      <a:avLst/>
                    </a:prstGeom>
                    <a:noFill/>
                    <a:ln>
                      <a:noFill/>
                    </a:ln>
                  </pic:spPr>
                </pic:pic>
              </a:graphicData>
            </a:graphic>
          </wp:anchor>
        </w:drawing>
      </w:r>
    </w:p>
    <w:p w14:paraId="0CB1608E">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6B3A41C2">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3A9C12B5">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32E1E2E1">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114C39B2">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46A0A03A">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28056DE0">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514B59A1">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0A86B392">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788ED676">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00AAC4EA">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2D8872C1">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31564332">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pPr>
    </w:p>
    <w:p w14:paraId="4B65F598">
      <w:pPr>
        <w:tabs>
          <w:tab w:val="left" w:pos="427"/>
        </w:tabs>
        <w:bidi w:val="0"/>
        <w:ind w:left="0" w:leftChars="0" w:firstLine="0" w:firstLineChars="0"/>
        <w:jc w:val="left"/>
        <w:rPr>
          <w:rFonts w:hint="eastAsia" w:ascii="黑体" w:hAnsi="黑体" w:eastAsia="黑体" w:cs="黑体"/>
          <w:color w:val="auto"/>
          <w:sz w:val="24"/>
          <w:szCs w:val="24"/>
          <w:highlight w:val="none"/>
          <w:lang w:val="en-US"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28C819E8">
      <w:pPr>
        <w:tabs>
          <w:tab w:val="left" w:pos="427"/>
        </w:tabs>
        <w:bidi w:val="0"/>
        <w:ind w:left="0" w:leftChars="0" w:firstLine="0" w:firstLineChars="0"/>
        <w:jc w:val="left"/>
        <w:outlineLvl w:val="0"/>
        <w:rPr>
          <w:rFonts w:hint="eastAsia" w:ascii="黑体" w:hAnsi="黑体" w:eastAsia="黑体" w:cs="黑体"/>
          <w:color w:val="auto"/>
          <w:sz w:val="24"/>
          <w:szCs w:val="24"/>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bookmarkStart w:id="502" w:name="_Toc2045"/>
      <w:r>
        <w:rPr>
          <w:color w:val="auto"/>
          <w:highlight w:val="none"/>
        </w:rPr>
        <w:drawing>
          <wp:anchor distT="0" distB="0" distL="114300" distR="114300" simplePos="0" relativeHeight="251732992" behindDoc="0" locked="0" layoutInCell="1" allowOverlap="1">
            <wp:simplePos x="0" y="0"/>
            <wp:positionH relativeFrom="column">
              <wp:posOffset>-43180</wp:posOffset>
            </wp:positionH>
            <wp:positionV relativeFrom="paragraph">
              <wp:posOffset>394335</wp:posOffset>
            </wp:positionV>
            <wp:extent cx="5273675" cy="7261860"/>
            <wp:effectExtent l="0" t="0" r="3175" b="15240"/>
            <wp:wrapNone/>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117"/>
                    <a:stretch>
                      <a:fillRect/>
                    </a:stretch>
                  </pic:blipFill>
                  <pic:spPr>
                    <a:xfrm>
                      <a:off x="0" y="0"/>
                      <a:ext cx="5273675" cy="7261860"/>
                    </a:xfrm>
                    <a:prstGeom prst="rect">
                      <a:avLst/>
                    </a:prstGeom>
                    <a:noFill/>
                    <a:ln>
                      <a:noFill/>
                    </a:ln>
                  </pic:spPr>
                </pic:pic>
              </a:graphicData>
            </a:graphic>
          </wp:anchor>
        </w:drawing>
      </w:r>
      <w:r>
        <w:rPr>
          <w:rFonts w:hint="eastAsia" w:ascii="黑体" w:hAnsi="黑体" w:eastAsia="黑体" w:cs="黑体"/>
          <w:color w:val="auto"/>
          <w:sz w:val="24"/>
          <w:szCs w:val="24"/>
          <w:highlight w:val="none"/>
          <w:lang w:val="en-US" w:eastAsia="zh-CN"/>
        </w:rPr>
        <w:t>附件9：分区管控情况说明</w:t>
      </w:r>
      <w:bookmarkEnd w:id="502"/>
    </w:p>
    <w:p w14:paraId="4567D74D">
      <w:pPr>
        <w:tabs>
          <w:tab w:val="left" w:pos="427"/>
        </w:tabs>
        <w:bidi w:val="0"/>
        <w:jc w:val="left"/>
        <w:rPr>
          <w:rFonts w:hint="default" w:ascii="黑体" w:hAnsi="黑体" w:eastAsia="黑体" w:cs="黑体"/>
          <w:color w:val="auto"/>
          <w:sz w:val="24"/>
          <w:szCs w:val="24"/>
          <w:highlight w:val="none"/>
          <w:lang w:val="en-US" w:eastAsia="zh-CN"/>
        </w:rPr>
      </w:pPr>
      <w:r>
        <w:rPr>
          <w:color w:val="auto"/>
          <w:highlight w:val="none"/>
        </w:rPr>
        <w:drawing>
          <wp:anchor distT="0" distB="0" distL="114300" distR="114300" simplePos="0" relativeHeight="251772928" behindDoc="0" locked="0" layoutInCell="1" allowOverlap="1">
            <wp:simplePos x="0" y="0"/>
            <wp:positionH relativeFrom="column">
              <wp:posOffset>828675</wp:posOffset>
            </wp:positionH>
            <wp:positionV relativeFrom="paragraph">
              <wp:posOffset>73025</wp:posOffset>
            </wp:positionV>
            <wp:extent cx="7554595" cy="5277485"/>
            <wp:effectExtent l="0" t="0" r="8255" b="18415"/>
            <wp:wrapNone/>
            <wp:docPr id="2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
                    <pic:cNvPicPr>
                      <a:picLocks noChangeAspect="1"/>
                    </pic:cNvPicPr>
                  </pic:nvPicPr>
                  <pic:blipFill>
                    <a:blip r:embed="rId118"/>
                    <a:stretch>
                      <a:fillRect/>
                    </a:stretch>
                  </pic:blipFill>
                  <pic:spPr>
                    <a:xfrm>
                      <a:off x="0" y="0"/>
                      <a:ext cx="7554595" cy="5277485"/>
                    </a:xfrm>
                    <a:prstGeom prst="rect">
                      <a:avLst/>
                    </a:prstGeom>
                    <a:noFill/>
                    <a:ln>
                      <a:noFill/>
                    </a:ln>
                  </pic:spPr>
                </pic:pic>
              </a:graphicData>
            </a:graphic>
          </wp:anchor>
        </w:drawing>
      </w:r>
    </w:p>
    <w:p w14:paraId="45EE8404">
      <w:pPr>
        <w:tabs>
          <w:tab w:val="left" w:pos="427"/>
        </w:tabs>
        <w:bidi w:val="0"/>
        <w:jc w:val="left"/>
        <w:rPr>
          <w:rFonts w:hint="default" w:ascii="黑体" w:hAnsi="黑体" w:eastAsia="黑体" w:cs="黑体"/>
          <w:color w:val="auto"/>
          <w:sz w:val="24"/>
          <w:szCs w:val="24"/>
          <w:highlight w:val="none"/>
          <w:lang w:val="en-US" w:eastAsia="zh-CN"/>
        </w:rPr>
      </w:pPr>
    </w:p>
    <w:p w14:paraId="1F5F1C8D">
      <w:pPr>
        <w:tabs>
          <w:tab w:val="left" w:pos="427"/>
        </w:tabs>
        <w:bidi w:val="0"/>
        <w:jc w:val="left"/>
        <w:rPr>
          <w:rFonts w:hint="default" w:ascii="黑体" w:hAnsi="黑体" w:eastAsia="黑体" w:cs="黑体"/>
          <w:color w:val="auto"/>
          <w:sz w:val="24"/>
          <w:szCs w:val="24"/>
          <w:highlight w:val="none"/>
          <w:lang w:val="en-US" w:eastAsia="zh-CN"/>
        </w:rPr>
      </w:pPr>
    </w:p>
    <w:p w14:paraId="0A0E9028">
      <w:pPr>
        <w:tabs>
          <w:tab w:val="left" w:pos="427"/>
        </w:tabs>
        <w:bidi w:val="0"/>
        <w:jc w:val="left"/>
        <w:rPr>
          <w:rFonts w:hint="default" w:ascii="黑体" w:hAnsi="黑体" w:eastAsia="黑体" w:cs="黑体"/>
          <w:color w:val="auto"/>
          <w:sz w:val="24"/>
          <w:szCs w:val="24"/>
          <w:highlight w:val="none"/>
          <w:lang w:val="en-US" w:eastAsia="zh-CN"/>
        </w:rPr>
      </w:pPr>
    </w:p>
    <w:p w14:paraId="75168320">
      <w:pPr>
        <w:tabs>
          <w:tab w:val="left" w:pos="427"/>
        </w:tabs>
        <w:bidi w:val="0"/>
        <w:jc w:val="left"/>
        <w:rPr>
          <w:rFonts w:hint="default" w:ascii="黑体" w:hAnsi="黑体" w:eastAsia="黑体" w:cs="黑体"/>
          <w:color w:val="auto"/>
          <w:sz w:val="24"/>
          <w:szCs w:val="24"/>
          <w:highlight w:val="none"/>
          <w:lang w:val="en-US" w:eastAsia="zh-CN"/>
        </w:rPr>
      </w:pPr>
    </w:p>
    <w:p w14:paraId="6C557BB6">
      <w:pPr>
        <w:tabs>
          <w:tab w:val="left" w:pos="427"/>
        </w:tabs>
        <w:bidi w:val="0"/>
        <w:jc w:val="left"/>
        <w:rPr>
          <w:rFonts w:hint="default" w:ascii="黑体" w:hAnsi="黑体" w:eastAsia="黑体" w:cs="黑体"/>
          <w:color w:val="auto"/>
          <w:sz w:val="24"/>
          <w:szCs w:val="24"/>
          <w:highlight w:val="none"/>
          <w:lang w:val="en-US" w:eastAsia="zh-CN"/>
        </w:rPr>
      </w:pPr>
    </w:p>
    <w:p w14:paraId="473E9D52">
      <w:pPr>
        <w:bidi w:val="0"/>
        <w:rPr>
          <w:rFonts w:hint="default" w:ascii="Times New Roman" w:hAnsi="Times New Roman" w:eastAsia="宋体" w:cstheme="minorBidi"/>
          <w:color w:val="auto"/>
          <w:kern w:val="2"/>
          <w:sz w:val="24"/>
          <w:szCs w:val="22"/>
          <w:highlight w:val="none"/>
          <w:lang w:val="en-US" w:eastAsia="zh-CN" w:bidi="ar-SA"/>
        </w:rPr>
      </w:pPr>
    </w:p>
    <w:p w14:paraId="05482160">
      <w:pPr>
        <w:bidi w:val="0"/>
        <w:rPr>
          <w:rFonts w:hint="default"/>
          <w:color w:val="auto"/>
          <w:highlight w:val="none"/>
          <w:lang w:val="en-US" w:eastAsia="zh-CN"/>
        </w:rPr>
      </w:pPr>
    </w:p>
    <w:p w14:paraId="7A44FF0B">
      <w:pPr>
        <w:bidi w:val="0"/>
        <w:rPr>
          <w:rFonts w:hint="default"/>
          <w:color w:val="auto"/>
          <w:highlight w:val="none"/>
          <w:lang w:val="en-US" w:eastAsia="zh-CN"/>
        </w:rPr>
      </w:pPr>
    </w:p>
    <w:p w14:paraId="7B4AFA9A">
      <w:pPr>
        <w:bidi w:val="0"/>
        <w:rPr>
          <w:rFonts w:hint="default"/>
          <w:color w:val="auto"/>
          <w:highlight w:val="none"/>
          <w:lang w:val="en-US" w:eastAsia="zh-CN"/>
        </w:rPr>
      </w:pPr>
    </w:p>
    <w:p w14:paraId="05DBE7F6">
      <w:pPr>
        <w:bidi w:val="0"/>
        <w:rPr>
          <w:rFonts w:hint="default"/>
          <w:color w:val="auto"/>
          <w:highlight w:val="none"/>
          <w:lang w:val="en-US" w:eastAsia="zh-CN"/>
        </w:rPr>
      </w:pPr>
    </w:p>
    <w:p w14:paraId="3AD121F2">
      <w:pPr>
        <w:bidi w:val="0"/>
        <w:rPr>
          <w:rFonts w:hint="default"/>
          <w:color w:val="auto"/>
          <w:highlight w:val="none"/>
          <w:lang w:val="en-US" w:eastAsia="zh-CN"/>
        </w:rPr>
      </w:pPr>
    </w:p>
    <w:p w14:paraId="029DC33F">
      <w:pPr>
        <w:bidi w:val="0"/>
        <w:rPr>
          <w:rFonts w:hint="default"/>
          <w:color w:val="auto"/>
          <w:highlight w:val="none"/>
          <w:lang w:val="en-US" w:eastAsia="zh-CN"/>
        </w:rPr>
      </w:pPr>
    </w:p>
    <w:p w14:paraId="7EA72A52">
      <w:pPr>
        <w:bidi w:val="0"/>
        <w:rPr>
          <w:rFonts w:hint="default"/>
          <w:color w:val="auto"/>
          <w:highlight w:val="none"/>
          <w:lang w:val="en-US" w:eastAsia="zh-CN"/>
        </w:rPr>
      </w:pPr>
    </w:p>
    <w:p w14:paraId="26F105EB">
      <w:pPr>
        <w:bidi w:val="0"/>
        <w:rPr>
          <w:rFonts w:hint="default"/>
          <w:color w:val="auto"/>
          <w:highlight w:val="none"/>
          <w:lang w:val="en-US" w:eastAsia="zh-CN"/>
        </w:rPr>
      </w:pPr>
    </w:p>
    <w:p w14:paraId="63B23E8D">
      <w:pPr>
        <w:bidi w:val="0"/>
        <w:rPr>
          <w:rFonts w:hint="default"/>
          <w:color w:val="auto"/>
          <w:highlight w:val="none"/>
          <w:lang w:val="en-US" w:eastAsia="zh-CN"/>
        </w:rPr>
      </w:pPr>
    </w:p>
    <w:p w14:paraId="173EB90A">
      <w:pPr>
        <w:tabs>
          <w:tab w:val="left" w:pos="754"/>
        </w:tabs>
        <w:bidi w:val="0"/>
        <w:jc w:val="left"/>
        <w:rPr>
          <w:rFonts w:hint="eastAsia"/>
          <w:color w:val="auto"/>
          <w:highlight w:val="none"/>
          <w:lang w:val="en-US" w:eastAsia="zh-CN"/>
        </w:rPr>
      </w:pPr>
      <w:r>
        <w:rPr>
          <w:color w:val="auto"/>
          <w:highlight w:val="none"/>
        </w:rPr>
        <w:drawing>
          <wp:anchor distT="0" distB="0" distL="114300" distR="114300" simplePos="0" relativeHeight="251761664" behindDoc="0" locked="0" layoutInCell="1" allowOverlap="1">
            <wp:simplePos x="0" y="0"/>
            <wp:positionH relativeFrom="column">
              <wp:posOffset>828675</wp:posOffset>
            </wp:positionH>
            <wp:positionV relativeFrom="paragraph">
              <wp:posOffset>130175</wp:posOffset>
            </wp:positionV>
            <wp:extent cx="7286625" cy="5164455"/>
            <wp:effectExtent l="0" t="0" r="9525" b="17145"/>
            <wp:wrapNone/>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119"/>
                    <a:stretch>
                      <a:fillRect/>
                    </a:stretch>
                  </pic:blipFill>
                  <pic:spPr>
                    <a:xfrm>
                      <a:off x="0" y="0"/>
                      <a:ext cx="7286625" cy="5164455"/>
                    </a:xfrm>
                    <a:prstGeom prst="rect">
                      <a:avLst/>
                    </a:prstGeom>
                    <a:noFill/>
                    <a:ln>
                      <a:noFill/>
                    </a:ln>
                  </pic:spPr>
                </pic:pic>
              </a:graphicData>
            </a:graphic>
          </wp:anchor>
        </w:drawing>
      </w:r>
      <w:r>
        <w:rPr>
          <w:rFonts w:hint="eastAsia"/>
          <w:color w:val="auto"/>
          <w:highlight w:val="none"/>
          <w:lang w:val="en-US" w:eastAsia="zh-CN"/>
        </w:rPr>
        <w:tab/>
      </w:r>
    </w:p>
    <w:p w14:paraId="7D42A0ED">
      <w:pPr>
        <w:bidi w:val="0"/>
        <w:rPr>
          <w:rFonts w:hint="default" w:ascii="Times New Roman" w:hAnsi="Times New Roman" w:eastAsia="宋体" w:cstheme="minorBidi"/>
          <w:color w:val="auto"/>
          <w:kern w:val="2"/>
          <w:sz w:val="24"/>
          <w:szCs w:val="22"/>
          <w:highlight w:val="none"/>
          <w:lang w:val="en-US" w:eastAsia="zh-CN" w:bidi="ar-SA"/>
        </w:rPr>
      </w:pPr>
    </w:p>
    <w:p w14:paraId="702F49B0">
      <w:pPr>
        <w:bidi w:val="0"/>
        <w:rPr>
          <w:rFonts w:hint="default"/>
          <w:color w:val="auto"/>
          <w:highlight w:val="none"/>
          <w:lang w:val="en-US" w:eastAsia="zh-CN"/>
        </w:rPr>
      </w:pPr>
    </w:p>
    <w:p w14:paraId="1DB0E2AD">
      <w:pPr>
        <w:bidi w:val="0"/>
        <w:rPr>
          <w:rFonts w:hint="default"/>
          <w:color w:val="auto"/>
          <w:highlight w:val="none"/>
          <w:lang w:val="en-US" w:eastAsia="zh-CN"/>
        </w:rPr>
      </w:pPr>
    </w:p>
    <w:p w14:paraId="3C25C39C">
      <w:pPr>
        <w:bidi w:val="0"/>
        <w:rPr>
          <w:rFonts w:hint="default"/>
          <w:color w:val="auto"/>
          <w:highlight w:val="none"/>
          <w:lang w:val="en-US" w:eastAsia="zh-CN"/>
        </w:rPr>
      </w:pPr>
    </w:p>
    <w:p w14:paraId="7DB8FBF6">
      <w:pPr>
        <w:bidi w:val="0"/>
        <w:rPr>
          <w:rFonts w:hint="default"/>
          <w:color w:val="auto"/>
          <w:highlight w:val="none"/>
          <w:lang w:val="en-US" w:eastAsia="zh-CN"/>
        </w:rPr>
      </w:pPr>
    </w:p>
    <w:p w14:paraId="414F158A">
      <w:pPr>
        <w:bidi w:val="0"/>
        <w:rPr>
          <w:rFonts w:hint="default"/>
          <w:color w:val="auto"/>
          <w:highlight w:val="none"/>
          <w:lang w:val="en-US" w:eastAsia="zh-CN"/>
        </w:rPr>
      </w:pPr>
    </w:p>
    <w:p w14:paraId="65B72BF2">
      <w:pPr>
        <w:bidi w:val="0"/>
        <w:rPr>
          <w:rFonts w:hint="default"/>
          <w:color w:val="auto"/>
          <w:highlight w:val="none"/>
          <w:lang w:val="en-US" w:eastAsia="zh-CN"/>
        </w:rPr>
      </w:pPr>
    </w:p>
    <w:p w14:paraId="2771F0D7">
      <w:pPr>
        <w:bidi w:val="0"/>
        <w:rPr>
          <w:rFonts w:hint="default"/>
          <w:color w:val="auto"/>
          <w:highlight w:val="none"/>
          <w:lang w:val="en-US" w:eastAsia="zh-CN"/>
        </w:rPr>
      </w:pPr>
    </w:p>
    <w:p w14:paraId="5D8E6B12">
      <w:pPr>
        <w:bidi w:val="0"/>
        <w:rPr>
          <w:rFonts w:hint="default"/>
          <w:color w:val="auto"/>
          <w:highlight w:val="none"/>
          <w:lang w:val="en-US" w:eastAsia="zh-CN"/>
        </w:rPr>
      </w:pPr>
    </w:p>
    <w:p w14:paraId="439E9BC4">
      <w:pPr>
        <w:bidi w:val="0"/>
        <w:rPr>
          <w:rFonts w:hint="default"/>
          <w:color w:val="auto"/>
          <w:highlight w:val="none"/>
          <w:lang w:val="en-US" w:eastAsia="zh-CN"/>
        </w:rPr>
      </w:pPr>
    </w:p>
    <w:p w14:paraId="0960DF57">
      <w:pPr>
        <w:bidi w:val="0"/>
        <w:rPr>
          <w:rFonts w:hint="default"/>
          <w:color w:val="auto"/>
          <w:highlight w:val="none"/>
          <w:lang w:val="en-US" w:eastAsia="zh-CN"/>
        </w:rPr>
      </w:pPr>
    </w:p>
    <w:p w14:paraId="360F4EBB">
      <w:pPr>
        <w:bidi w:val="0"/>
        <w:rPr>
          <w:rFonts w:hint="default"/>
          <w:color w:val="auto"/>
          <w:highlight w:val="none"/>
          <w:lang w:val="en-US" w:eastAsia="zh-CN"/>
        </w:rPr>
      </w:pPr>
    </w:p>
    <w:p w14:paraId="77632347">
      <w:pPr>
        <w:bidi w:val="0"/>
        <w:rPr>
          <w:rFonts w:hint="default"/>
          <w:color w:val="auto"/>
          <w:highlight w:val="none"/>
          <w:lang w:val="en-US" w:eastAsia="zh-CN"/>
        </w:rPr>
      </w:pPr>
    </w:p>
    <w:p w14:paraId="21D3F823">
      <w:pPr>
        <w:bidi w:val="0"/>
        <w:rPr>
          <w:rFonts w:hint="default"/>
          <w:color w:val="auto"/>
          <w:highlight w:val="none"/>
          <w:lang w:val="en-US" w:eastAsia="zh-CN"/>
        </w:rPr>
      </w:pPr>
    </w:p>
    <w:p w14:paraId="6E459448">
      <w:pPr>
        <w:bidi w:val="0"/>
        <w:rPr>
          <w:rFonts w:hint="default"/>
          <w:color w:val="auto"/>
          <w:highlight w:val="none"/>
          <w:lang w:val="en-US" w:eastAsia="zh-CN"/>
        </w:rPr>
      </w:pPr>
    </w:p>
    <w:p w14:paraId="4B66B0D8">
      <w:pPr>
        <w:tabs>
          <w:tab w:val="left" w:pos="468"/>
        </w:tabs>
        <w:bidi w:val="0"/>
        <w:jc w:val="left"/>
        <w:rPr>
          <w:rFonts w:hint="eastAsia"/>
          <w:color w:val="auto"/>
          <w:highlight w:val="none"/>
          <w:lang w:val="en-US" w:eastAsia="zh-CN"/>
        </w:rPr>
      </w:pPr>
      <w:r>
        <w:rPr>
          <w:color w:val="auto"/>
          <w:highlight w:val="none"/>
        </w:rPr>
        <w:drawing>
          <wp:anchor distT="0" distB="0" distL="114300" distR="114300" simplePos="0" relativeHeight="251773952" behindDoc="0" locked="0" layoutInCell="1" allowOverlap="1">
            <wp:simplePos x="0" y="0"/>
            <wp:positionH relativeFrom="column">
              <wp:posOffset>609600</wp:posOffset>
            </wp:positionH>
            <wp:positionV relativeFrom="paragraph">
              <wp:posOffset>149225</wp:posOffset>
            </wp:positionV>
            <wp:extent cx="7759065" cy="5276850"/>
            <wp:effectExtent l="0" t="0" r="13335" b="0"/>
            <wp:wrapNone/>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120"/>
                    <a:stretch>
                      <a:fillRect/>
                    </a:stretch>
                  </pic:blipFill>
                  <pic:spPr>
                    <a:xfrm>
                      <a:off x="0" y="0"/>
                      <a:ext cx="7759065" cy="5276850"/>
                    </a:xfrm>
                    <a:prstGeom prst="rect">
                      <a:avLst/>
                    </a:prstGeom>
                    <a:noFill/>
                    <a:ln>
                      <a:noFill/>
                    </a:ln>
                  </pic:spPr>
                </pic:pic>
              </a:graphicData>
            </a:graphic>
          </wp:anchor>
        </w:drawing>
      </w:r>
      <w:r>
        <w:rPr>
          <w:rFonts w:hint="eastAsia"/>
          <w:color w:val="auto"/>
          <w:highlight w:val="none"/>
          <w:lang w:val="en-US" w:eastAsia="zh-CN"/>
        </w:rPr>
        <w:tab/>
      </w:r>
    </w:p>
    <w:p w14:paraId="7B49F27A">
      <w:pPr>
        <w:bidi w:val="0"/>
        <w:rPr>
          <w:rFonts w:hint="default" w:ascii="Times New Roman" w:hAnsi="Times New Roman" w:eastAsia="宋体" w:cstheme="minorBidi"/>
          <w:color w:val="auto"/>
          <w:kern w:val="2"/>
          <w:sz w:val="24"/>
          <w:szCs w:val="22"/>
          <w:highlight w:val="none"/>
          <w:lang w:val="en-US" w:eastAsia="zh-CN" w:bidi="ar-SA"/>
        </w:rPr>
      </w:pPr>
    </w:p>
    <w:p w14:paraId="501DBA66">
      <w:pPr>
        <w:bidi w:val="0"/>
        <w:rPr>
          <w:rFonts w:hint="default"/>
          <w:color w:val="auto"/>
          <w:highlight w:val="none"/>
          <w:lang w:val="en-US" w:eastAsia="zh-CN"/>
        </w:rPr>
      </w:pPr>
    </w:p>
    <w:p w14:paraId="23DFD1D7">
      <w:pPr>
        <w:bidi w:val="0"/>
        <w:rPr>
          <w:rFonts w:hint="default"/>
          <w:color w:val="auto"/>
          <w:highlight w:val="none"/>
          <w:lang w:val="en-US" w:eastAsia="zh-CN"/>
        </w:rPr>
      </w:pPr>
    </w:p>
    <w:p w14:paraId="7307BF62">
      <w:pPr>
        <w:bidi w:val="0"/>
        <w:rPr>
          <w:rFonts w:hint="default"/>
          <w:color w:val="auto"/>
          <w:highlight w:val="none"/>
          <w:lang w:val="en-US" w:eastAsia="zh-CN"/>
        </w:rPr>
      </w:pPr>
    </w:p>
    <w:p w14:paraId="46EC5A72">
      <w:pPr>
        <w:bidi w:val="0"/>
        <w:rPr>
          <w:rFonts w:hint="default"/>
          <w:color w:val="auto"/>
          <w:highlight w:val="none"/>
          <w:lang w:val="en-US" w:eastAsia="zh-CN"/>
        </w:rPr>
      </w:pPr>
    </w:p>
    <w:p w14:paraId="7617CA9F">
      <w:pPr>
        <w:bidi w:val="0"/>
        <w:rPr>
          <w:rFonts w:hint="default"/>
          <w:color w:val="auto"/>
          <w:highlight w:val="none"/>
          <w:lang w:val="en-US" w:eastAsia="zh-CN"/>
        </w:rPr>
      </w:pPr>
    </w:p>
    <w:p w14:paraId="34121A93">
      <w:pPr>
        <w:bidi w:val="0"/>
        <w:rPr>
          <w:rFonts w:hint="default"/>
          <w:color w:val="auto"/>
          <w:highlight w:val="none"/>
          <w:lang w:val="en-US" w:eastAsia="zh-CN"/>
        </w:rPr>
      </w:pPr>
    </w:p>
    <w:p w14:paraId="174D2A95">
      <w:pPr>
        <w:bidi w:val="0"/>
        <w:rPr>
          <w:rFonts w:hint="default"/>
          <w:color w:val="auto"/>
          <w:highlight w:val="none"/>
          <w:lang w:val="en-US" w:eastAsia="zh-CN"/>
        </w:rPr>
      </w:pPr>
    </w:p>
    <w:p w14:paraId="5A6D3A50">
      <w:pPr>
        <w:bidi w:val="0"/>
        <w:rPr>
          <w:rFonts w:hint="default"/>
          <w:color w:val="auto"/>
          <w:highlight w:val="none"/>
          <w:lang w:val="en-US" w:eastAsia="zh-CN"/>
        </w:rPr>
      </w:pPr>
    </w:p>
    <w:p w14:paraId="432DE30F">
      <w:pPr>
        <w:bidi w:val="0"/>
        <w:rPr>
          <w:rFonts w:hint="default"/>
          <w:color w:val="auto"/>
          <w:highlight w:val="none"/>
          <w:lang w:val="en-US" w:eastAsia="zh-CN"/>
        </w:rPr>
      </w:pPr>
    </w:p>
    <w:p w14:paraId="6D498642">
      <w:pPr>
        <w:bidi w:val="0"/>
        <w:rPr>
          <w:rFonts w:hint="default"/>
          <w:color w:val="auto"/>
          <w:highlight w:val="none"/>
          <w:lang w:val="en-US" w:eastAsia="zh-CN"/>
        </w:rPr>
      </w:pPr>
    </w:p>
    <w:p w14:paraId="76A77245">
      <w:pPr>
        <w:bidi w:val="0"/>
        <w:rPr>
          <w:rFonts w:hint="default"/>
          <w:color w:val="auto"/>
          <w:highlight w:val="none"/>
          <w:lang w:val="en-US" w:eastAsia="zh-CN"/>
        </w:rPr>
      </w:pPr>
    </w:p>
    <w:p w14:paraId="5C46249B">
      <w:pPr>
        <w:bidi w:val="0"/>
        <w:rPr>
          <w:rFonts w:hint="default"/>
          <w:color w:val="auto"/>
          <w:highlight w:val="none"/>
          <w:lang w:val="en-US" w:eastAsia="zh-CN"/>
        </w:rPr>
      </w:pPr>
    </w:p>
    <w:p w14:paraId="2AEDF0FF">
      <w:pPr>
        <w:bidi w:val="0"/>
        <w:rPr>
          <w:rFonts w:hint="default"/>
          <w:color w:val="auto"/>
          <w:highlight w:val="none"/>
          <w:lang w:val="en-US" w:eastAsia="zh-CN"/>
        </w:rPr>
      </w:pPr>
    </w:p>
    <w:p w14:paraId="0ADAFF0D">
      <w:pPr>
        <w:bidi w:val="0"/>
        <w:rPr>
          <w:rFonts w:hint="default"/>
          <w:color w:val="auto"/>
          <w:highlight w:val="none"/>
          <w:lang w:val="en-US" w:eastAsia="zh-CN"/>
        </w:rPr>
      </w:pPr>
    </w:p>
    <w:p w14:paraId="3ECDEBDC">
      <w:pPr>
        <w:tabs>
          <w:tab w:val="right" w:pos="13478"/>
        </w:tabs>
        <w:bidi w:val="0"/>
        <w:jc w:val="left"/>
        <w:rPr>
          <w:rFonts w:hint="eastAsia"/>
          <w:color w:val="auto"/>
          <w:highlight w:val="none"/>
          <w:lang w:val="en-US" w:eastAsia="zh-CN"/>
        </w:rPr>
      </w:pPr>
      <w:r>
        <w:rPr>
          <w:color w:val="auto"/>
          <w:highlight w:val="none"/>
        </w:rPr>
        <w:drawing>
          <wp:anchor distT="0" distB="0" distL="114300" distR="114300" simplePos="0" relativeHeight="251774976" behindDoc="0" locked="0" layoutInCell="1" allowOverlap="1">
            <wp:simplePos x="0" y="0"/>
            <wp:positionH relativeFrom="column">
              <wp:posOffset>647700</wp:posOffset>
            </wp:positionH>
            <wp:positionV relativeFrom="paragraph">
              <wp:posOffset>130175</wp:posOffset>
            </wp:positionV>
            <wp:extent cx="7915275" cy="5210175"/>
            <wp:effectExtent l="0" t="0" r="9525" b="9525"/>
            <wp:wrapNone/>
            <wp:docPr id="2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4"/>
                    <pic:cNvPicPr>
                      <a:picLocks noChangeAspect="1"/>
                    </pic:cNvPicPr>
                  </pic:nvPicPr>
                  <pic:blipFill>
                    <a:blip r:embed="rId121"/>
                    <a:stretch>
                      <a:fillRect/>
                    </a:stretch>
                  </pic:blipFill>
                  <pic:spPr>
                    <a:xfrm>
                      <a:off x="0" y="0"/>
                      <a:ext cx="7915275" cy="5210175"/>
                    </a:xfrm>
                    <a:prstGeom prst="rect">
                      <a:avLst/>
                    </a:prstGeom>
                    <a:noFill/>
                    <a:ln>
                      <a:noFill/>
                    </a:ln>
                  </pic:spPr>
                </pic:pic>
              </a:graphicData>
            </a:graphic>
          </wp:anchor>
        </w:drawing>
      </w:r>
      <w:r>
        <w:rPr>
          <w:rFonts w:hint="eastAsia"/>
          <w:color w:val="auto"/>
          <w:highlight w:val="none"/>
          <w:lang w:val="en-US" w:eastAsia="zh-CN"/>
        </w:rPr>
        <w:tab/>
      </w:r>
    </w:p>
    <w:p w14:paraId="1B339705">
      <w:pPr>
        <w:bidi w:val="0"/>
        <w:rPr>
          <w:rFonts w:hint="default" w:ascii="Times New Roman" w:hAnsi="Times New Roman" w:eastAsia="宋体" w:cstheme="minorBidi"/>
          <w:color w:val="auto"/>
          <w:kern w:val="2"/>
          <w:sz w:val="24"/>
          <w:szCs w:val="22"/>
          <w:highlight w:val="none"/>
          <w:lang w:val="en-US" w:eastAsia="zh-CN" w:bidi="ar-SA"/>
        </w:rPr>
      </w:pPr>
    </w:p>
    <w:p w14:paraId="32B5C4DC">
      <w:pPr>
        <w:bidi w:val="0"/>
        <w:rPr>
          <w:rFonts w:hint="default"/>
          <w:color w:val="auto"/>
          <w:highlight w:val="none"/>
          <w:lang w:val="en-US" w:eastAsia="zh-CN"/>
        </w:rPr>
      </w:pPr>
    </w:p>
    <w:p w14:paraId="647B69A8">
      <w:pPr>
        <w:bidi w:val="0"/>
        <w:rPr>
          <w:rFonts w:hint="default"/>
          <w:color w:val="auto"/>
          <w:highlight w:val="none"/>
          <w:lang w:val="en-US" w:eastAsia="zh-CN"/>
        </w:rPr>
      </w:pPr>
    </w:p>
    <w:p w14:paraId="04B07532">
      <w:pPr>
        <w:bidi w:val="0"/>
        <w:rPr>
          <w:rFonts w:hint="default"/>
          <w:color w:val="auto"/>
          <w:highlight w:val="none"/>
          <w:lang w:val="en-US" w:eastAsia="zh-CN"/>
        </w:rPr>
      </w:pPr>
    </w:p>
    <w:p w14:paraId="7BEAC181">
      <w:pPr>
        <w:bidi w:val="0"/>
        <w:rPr>
          <w:rFonts w:hint="default"/>
          <w:color w:val="auto"/>
          <w:highlight w:val="none"/>
          <w:lang w:val="en-US" w:eastAsia="zh-CN"/>
        </w:rPr>
      </w:pPr>
    </w:p>
    <w:p w14:paraId="03B95025">
      <w:pPr>
        <w:bidi w:val="0"/>
        <w:rPr>
          <w:rFonts w:hint="default"/>
          <w:color w:val="auto"/>
          <w:highlight w:val="none"/>
          <w:lang w:val="en-US" w:eastAsia="zh-CN"/>
        </w:rPr>
      </w:pPr>
    </w:p>
    <w:p w14:paraId="06E615AF">
      <w:pPr>
        <w:bidi w:val="0"/>
        <w:rPr>
          <w:rFonts w:hint="default"/>
          <w:color w:val="auto"/>
          <w:highlight w:val="none"/>
          <w:lang w:val="en-US" w:eastAsia="zh-CN"/>
        </w:rPr>
      </w:pPr>
    </w:p>
    <w:p w14:paraId="01DD9420">
      <w:pPr>
        <w:bidi w:val="0"/>
        <w:rPr>
          <w:rFonts w:hint="default"/>
          <w:color w:val="auto"/>
          <w:highlight w:val="none"/>
          <w:lang w:val="en-US" w:eastAsia="zh-CN"/>
        </w:rPr>
      </w:pPr>
    </w:p>
    <w:p w14:paraId="555B5FC9">
      <w:pPr>
        <w:bidi w:val="0"/>
        <w:rPr>
          <w:rFonts w:hint="default"/>
          <w:color w:val="auto"/>
          <w:highlight w:val="none"/>
          <w:lang w:val="en-US" w:eastAsia="zh-CN"/>
        </w:rPr>
      </w:pPr>
    </w:p>
    <w:p w14:paraId="2766D7AE">
      <w:pPr>
        <w:bidi w:val="0"/>
        <w:rPr>
          <w:rFonts w:hint="default"/>
          <w:color w:val="auto"/>
          <w:highlight w:val="none"/>
          <w:lang w:val="en-US" w:eastAsia="zh-CN"/>
        </w:rPr>
      </w:pPr>
    </w:p>
    <w:p w14:paraId="3370C15C">
      <w:pPr>
        <w:bidi w:val="0"/>
        <w:rPr>
          <w:rFonts w:hint="default"/>
          <w:color w:val="auto"/>
          <w:highlight w:val="none"/>
          <w:lang w:val="en-US" w:eastAsia="zh-CN"/>
        </w:rPr>
      </w:pPr>
    </w:p>
    <w:p w14:paraId="5C99EF13">
      <w:pPr>
        <w:bidi w:val="0"/>
        <w:rPr>
          <w:rFonts w:hint="default"/>
          <w:color w:val="auto"/>
          <w:highlight w:val="none"/>
          <w:lang w:val="en-US" w:eastAsia="zh-CN"/>
        </w:rPr>
      </w:pPr>
    </w:p>
    <w:p w14:paraId="0B965725">
      <w:pPr>
        <w:bidi w:val="0"/>
        <w:rPr>
          <w:rFonts w:hint="default"/>
          <w:color w:val="auto"/>
          <w:highlight w:val="none"/>
          <w:lang w:val="en-US" w:eastAsia="zh-CN"/>
        </w:rPr>
      </w:pPr>
    </w:p>
    <w:p w14:paraId="0E76AC60">
      <w:pPr>
        <w:bidi w:val="0"/>
        <w:rPr>
          <w:rFonts w:hint="default"/>
          <w:color w:val="auto"/>
          <w:highlight w:val="none"/>
          <w:lang w:val="en-US" w:eastAsia="zh-CN"/>
        </w:rPr>
      </w:pPr>
    </w:p>
    <w:p w14:paraId="3AA9C1C5">
      <w:pPr>
        <w:bidi w:val="0"/>
        <w:rPr>
          <w:rFonts w:hint="default"/>
          <w:color w:val="auto"/>
          <w:highlight w:val="none"/>
          <w:lang w:val="en-US" w:eastAsia="zh-CN"/>
        </w:rPr>
      </w:pPr>
    </w:p>
    <w:p w14:paraId="067B3EF4">
      <w:pPr>
        <w:tabs>
          <w:tab w:val="right" w:pos="13478"/>
        </w:tabs>
        <w:bidi w:val="0"/>
        <w:jc w:val="left"/>
        <w:rPr>
          <w:rFonts w:hint="eastAsia"/>
          <w:color w:val="auto"/>
          <w:highlight w:val="none"/>
          <w:lang w:val="en-US" w:eastAsia="zh-CN"/>
        </w:rPr>
      </w:pPr>
      <w:r>
        <w:rPr>
          <w:color w:val="auto"/>
          <w:highlight w:val="none"/>
        </w:rPr>
        <w:drawing>
          <wp:anchor distT="0" distB="0" distL="114300" distR="114300" simplePos="0" relativeHeight="251776000" behindDoc="0" locked="0" layoutInCell="1" allowOverlap="1">
            <wp:simplePos x="0" y="0"/>
            <wp:positionH relativeFrom="column">
              <wp:posOffset>676275</wp:posOffset>
            </wp:positionH>
            <wp:positionV relativeFrom="paragraph">
              <wp:posOffset>60325</wp:posOffset>
            </wp:positionV>
            <wp:extent cx="7810500" cy="5267325"/>
            <wp:effectExtent l="0" t="0" r="0" b="9525"/>
            <wp:wrapNone/>
            <wp:docPr id="2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6"/>
                    <pic:cNvPicPr>
                      <a:picLocks noChangeAspect="1"/>
                    </pic:cNvPicPr>
                  </pic:nvPicPr>
                  <pic:blipFill>
                    <a:blip r:embed="rId122"/>
                    <a:stretch>
                      <a:fillRect/>
                    </a:stretch>
                  </pic:blipFill>
                  <pic:spPr>
                    <a:xfrm>
                      <a:off x="0" y="0"/>
                      <a:ext cx="7810500" cy="5267325"/>
                    </a:xfrm>
                    <a:prstGeom prst="rect">
                      <a:avLst/>
                    </a:prstGeom>
                    <a:noFill/>
                    <a:ln>
                      <a:noFill/>
                    </a:ln>
                  </pic:spPr>
                </pic:pic>
              </a:graphicData>
            </a:graphic>
          </wp:anchor>
        </w:drawing>
      </w:r>
      <w:r>
        <w:rPr>
          <w:rFonts w:hint="eastAsia"/>
          <w:color w:val="auto"/>
          <w:highlight w:val="none"/>
          <w:lang w:val="en-US" w:eastAsia="zh-CN"/>
        </w:rPr>
        <w:tab/>
      </w:r>
    </w:p>
    <w:p w14:paraId="118CB74C">
      <w:pPr>
        <w:bidi w:val="0"/>
        <w:rPr>
          <w:rFonts w:hint="default" w:ascii="Times New Roman" w:hAnsi="Times New Roman" w:eastAsia="宋体" w:cstheme="minorBidi"/>
          <w:color w:val="auto"/>
          <w:kern w:val="2"/>
          <w:sz w:val="24"/>
          <w:szCs w:val="22"/>
          <w:highlight w:val="none"/>
          <w:lang w:val="en-US" w:eastAsia="zh-CN" w:bidi="ar-SA"/>
        </w:rPr>
      </w:pPr>
    </w:p>
    <w:p w14:paraId="2B34DAEC">
      <w:pPr>
        <w:bidi w:val="0"/>
        <w:rPr>
          <w:rFonts w:hint="default"/>
          <w:color w:val="auto"/>
          <w:highlight w:val="none"/>
          <w:lang w:val="en-US" w:eastAsia="zh-CN"/>
        </w:rPr>
      </w:pPr>
    </w:p>
    <w:p w14:paraId="6109BBDD">
      <w:pPr>
        <w:bidi w:val="0"/>
        <w:rPr>
          <w:rFonts w:hint="default"/>
          <w:color w:val="auto"/>
          <w:highlight w:val="none"/>
          <w:lang w:val="en-US" w:eastAsia="zh-CN"/>
        </w:rPr>
      </w:pPr>
    </w:p>
    <w:p w14:paraId="72010FB7">
      <w:pPr>
        <w:bidi w:val="0"/>
        <w:rPr>
          <w:rFonts w:hint="default"/>
          <w:color w:val="auto"/>
          <w:highlight w:val="none"/>
          <w:lang w:val="en-US" w:eastAsia="zh-CN"/>
        </w:rPr>
      </w:pPr>
    </w:p>
    <w:p w14:paraId="57F396DF">
      <w:pPr>
        <w:bidi w:val="0"/>
        <w:rPr>
          <w:rFonts w:hint="default"/>
          <w:color w:val="auto"/>
          <w:highlight w:val="none"/>
          <w:lang w:val="en-US" w:eastAsia="zh-CN"/>
        </w:rPr>
      </w:pPr>
    </w:p>
    <w:p w14:paraId="1DA5FFB8">
      <w:pPr>
        <w:bidi w:val="0"/>
        <w:rPr>
          <w:rFonts w:hint="default"/>
          <w:color w:val="auto"/>
          <w:highlight w:val="none"/>
          <w:lang w:val="en-US" w:eastAsia="zh-CN"/>
        </w:rPr>
      </w:pPr>
    </w:p>
    <w:p w14:paraId="42C643B4">
      <w:pPr>
        <w:bidi w:val="0"/>
        <w:rPr>
          <w:rFonts w:hint="default"/>
          <w:color w:val="auto"/>
          <w:highlight w:val="none"/>
          <w:lang w:val="en-US" w:eastAsia="zh-CN"/>
        </w:rPr>
      </w:pPr>
    </w:p>
    <w:p w14:paraId="667D8206">
      <w:pPr>
        <w:bidi w:val="0"/>
        <w:rPr>
          <w:rFonts w:hint="default"/>
          <w:color w:val="auto"/>
          <w:highlight w:val="none"/>
          <w:lang w:val="en-US" w:eastAsia="zh-CN"/>
        </w:rPr>
      </w:pPr>
    </w:p>
    <w:p w14:paraId="507DE29D">
      <w:pPr>
        <w:bidi w:val="0"/>
        <w:rPr>
          <w:rFonts w:hint="default"/>
          <w:color w:val="auto"/>
          <w:highlight w:val="none"/>
          <w:lang w:val="en-US" w:eastAsia="zh-CN"/>
        </w:rPr>
      </w:pPr>
    </w:p>
    <w:p w14:paraId="2F7206DA">
      <w:pPr>
        <w:bidi w:val="0"/>
        <w:rPr>
          <w:rFonts w:hint="default"/>
          <w:color w:val="auto"/>
          <w:highlight w:val="none"/>
          <w:lang w:val="en-US" w:eastAsia="zh-CN"/>
        </w:rPr>
      </w:pPr>
    </w:p>
    <w:p w14:paraId="51C177F9">
      <w:pPr>
        <w:bidi w:val="0"/>
        <w:rPr>
          <w:rFonts w:hint="default"/>
          <w:color w:val="auto"/>
          <w:highlight w:val="none"/>
          <w:lang w:val="en-US" w:eastAsia="zh-CN"/>
        </w:rPr>
      </w:pPr>
    </w:p>
    <w:p w14:paraId="27364809">
      <w:pPr>
        <w:bidi w:val="0"/>
        <w:rPr>
          <w:rFonts w:hint="default"/>
          <w:color w:val="auto"/>
          <w:highlight w:val="none"/>
          <w:lang w:val="en-US" w:eastAsia="zh-CN"/>
        </w:rPr>
      </w:pPr>
    </w:p>
    <w:p w14:paraId="0DEECDBE">
      <w:pPr>
        <w:bidi w:val="0"/>
        <w:rPr>
          <w:rFonts w:hint="default"/>
          <w:color w:val="auto"/>
          <w:highlight w:val="none"/>
          <w:lang w:val="en-US" w:eastAsia="zh-CN"/>
        </w:rPr>
      </w:pPr>
    </w:p>
    <w:p w14:paraId="70E56010">
      <w:pPr>
        <w:bidi w:val="0"/>
        <w:rPr>
          <w:rFonts w:hint="default"/>
          <w:color w:val="auto"/>
          <w:highlight w:val="none"/>
          <w:lang w:val="en-US" w:eastAsia="zh-CN"/>
        </w:rPr>
      </w:pPr>
    </w:p>
    <w:p w14:paraId="6C536AC6">
      <w:pPr>
        <w:bidi w:val="0"/>
        <w:rPr>
          <w:rFonts w:hint="default"/>
          <w:color w:val="auto"/>
          <w:highlight w:val="none"/>
          <w:lang w:val="en-US" w:eastAsia="zh-CN"/>
        </w:rPr>
      </w:pPr>
    </w:p>
    <w:p w14:paraId="2C322C7D">
      <w:pPr>
        <w:tabs>
          <w:tab w:val="left" w:pos="536"/>
        </w:tabs>
        <w:bidi w:val="0"/>
        <w:jc w:val="left"/>
        <w:rPr>
          <w:rFonts w:hint="eastAsia"/>
          <w:color w:val="auto"/>
          <w:highlight w:val="none"/>
          <w:lang w:val="en-US" w:eastAsia="zh-CN"/>
        </w:rPr>
      </w:pPr>
      <w:r>
        <w:rPr>
          <w:color w:val="auto"/>
          <w:highlight w:val="none"/>
        </w:rPr>
        <w:drawing>
          <wp:anchor distT="0" distB="0" distL="114300" distR="114300" simplePos="0" relativeHeight="251777024" behindDoc="0" locked="0" layoutInCell="1" allowOverlap="1">
            <wp:simplePos x="0" y="0"/>
            <wp:positionH relativeFrom="column">
              <wp:posOffset>714375</wp:posOffset>
            </wp:positionH>
            <wp:positionV relativeFrom="paragraph">
              <wp:posOffset>120650</wp:posOffset>
            </wp:positionV>
            <wp:extent cx="7743825" cy="5257800"/>
            <wp:effectExtent l="0" t="0" r="9525" b="0"/>
            <wp:wrapNone/>
            <wp:docPr id="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7"/>
                    <pic:cNvPicPr>
                      <a:picLocks noChangeAspect="1"/>
                    </pic:cNvPicPr>
                  </pic:nvPicPr>
                  <pic:blipFill>
                    <a:blip r:embed="rId123"/>
                    <a:stretch>
                      <a:fillRect/>
                    </a:stretch>
                  </pic:blipFill>
                  <pic:spPr>
                    <a:xfrm>
                      <a:off x="0" y="0"/>
                      <a:ext cx="7743825" cy="5257800"/>
                    </a:xfrm>
                    <a:prstGeom prst="rect">
                      <a:avLst/>
                    </a:prstGeom>
                    <a:noFill/>
                    <a:ln>
                      <a:noFill/>
                    </a:ln>
                  </pic:spPr>
                </pic:pic>
              </a:graphicData>
            </a:graphic>
          </wp:anchor>
        </w:drawing>
      </w:r>
      <w:r>
        <w:rPr>
          <w:rFonts w:hint="eastAsia"/>
          <w:color w:val="auto"/>
          <w:highlight w:val="none"/>
          <w:lang w:val="en-US" w:eastAsia="zh-CN"/>
        </w:rPr>
        <w:tab/>
      </w:r>
    </w:p>
    <w:p w14:paraId="1178D9F1">
      <w:pPr>
        <w:bidi w:val="0"/>
        <w:rPr>
          <w:rFonts w:hint="default" w:ascii="Times New Roman" w:hAnsi="Times New Roman" w:eastAsia="宋体" w:cstheme="minorBidi"/>
          <w:color w:val="auto"/>
          <w:kern w:val="2"/>
          <w:sz w:val="24"/>
          <w:szCs w:val="22"/>
          <w:highlight w:val="none"/>
          <w:lang w:val="en-US" w:eastAsia="zh-CN" w:bidi="ar-SA"/>
        </w:rPr>
      </w:pPr>
    </w:p>
    <w:p w14:paraId="7C6E5B44">
      <w:pPr>
        <w:bidi w:val="0"/>
        <w:rPr>
          <w:rFonts w:hint="default"/>
          <w:color w:val="auto"/>
          <w:highlight w:val="none"/>
          <w:lang w:val="en-US" w:eastAsia="zh-CN"/>
        </w:rPr>
      </w:pPr>
    </w:p>
    <w:p w14:paraId="100CDF33">
      <w:pPr>
        <w:bidi w:val="0"/>
        <w:rPr>
          <w:rFonts w:hint="default"/>
          <w:color w:val="auto"/>
          <w:highlight w:val="none"/>
          <w:lang w:val="en-US" w:eastAsia="zh-CN"/>
        </w:rPr>
      </w:pPr>
    </w:p>
    <w:p w14:paraId="4E2DD5F1">
      <w:pPr>
        <w:bidi w:val="0"/>
        <w:rPr>
          <w:rFonts w:hint="default"/>
          <w:color w:val="auto"/>
          <w:highlight w:val="none"/>
          <w:lang w:val="en-US" w:eastAsia="zh-CN"/>
        </w:rPr>
      </w:pPr>
    </w:p>
    <w:p w14:paraId="50891255">
      <w:pPr>
        <w:bidi w:val="0"/>
        <w:rPr>
          <w:rFonts w:hint="default"/>
          <w:color w:val="auto"/>
          <w:highlight w:val="none"/>
          <w:lang w:val="en-US" w:eastAsia="zh-CN"/>
        </w:rPr>
      </w:pPr>
    </w:p>
    <w:p w14:paraId="51FDCDE8">
      <w:pPr>
        <w:bidi w:val="0"/>
        <w:rPr>
          <w:rFonts w:hint="default"/>
          <w:color w:val="auto"/>
          <w:highlight w:val="none"/>
          <w:lang w:val="en-US" w:eastAsia="zh-CN"/>
        </w:rPr>
      </w:pPr>
    </w:p>
    <w:p w14:paraId="6DE54B63">
      <w:pPr>
        <w:bidi w:val="0"/>
        <w:rPr>
          <w:rFonts w:hint="default"/>
          <w:color w:val="auto"/>
          <w:highlight w:val="none"/>
          <w:lang w:val="en-US" w:eastAsia="zh-CN"/>
        </w:rPr>
      </w:pPr>
    </w:p>
    <w:p w14:paraId="42DFAC20">
      <w:pPr>
        <w:bidi w:val="0"/>
        <w:rPr>
          <w:rFonts w:hint="default"/>
          <w:color w:val="auto"/>
          <w:highlight w:val="none"/>
          <w:lang w:val="en-US" w:eastAsia="zh-CN"/>
        </w:rPr>
      </w:pPr>
    </w:p>
    <w:p w14:paraId="1BE44DEE">
      <w:pPr>
        <w:bidi w:val="0"/>
        <w:rPr>
          <w:rFonts w:hint="default"/>
          <w:color w:val="auto"/>
          <w:highlight w:val="none"/>
          <w:lang w:val="en-US" w:eastAsia="zh-CN"/>
        </w:rPr>
      </w:pPr>
    </w:p>
    <w:p w14:paraId="1F961E6A">
      <w:pPr>
        <w:bidi w:val="0"/>
        <w:rPr>
          <w:rFonts w:hint="default"/>
          <w:color w:val="auto"/>
          <w:highlight w:val="none"/>
          <w:lang w:val="en-US" w:eastAsia="zh-CN"/>
        </w:rPr>
      </w:pPr>
    </w:p>
    <w:p w14:paraId="42E5D566">
      <w:pPr>
        <w:bidi w:val="0"/>
        <w:rPr>
          <w:rFonts w:hint="default"/>
          <w:color w:val="auto"/>
          <w:highlight w:val="none"/>
          <w:lang w:val="en-US" w:eastAsia="zh-CN"/>
        </w:rPr>
      </w:pPr>
    </w:p>
    <w:p w14:paraId="3A6BFBC5">
      <w:pPr>
        <w:bidi w:val="0"/>
        <w:rPr>
          <w:rFonts w:hint="default"/>
          <w:color w:val="auto"/>
          <w:highlight w:val="none"/>
          <w:lang w:val="en-US" w:eastAsia="zh-CN"/>
        </w:rPr>
      </w:pPr>
    </w:p>
    <w:p w14:paraId="7C4AF031">
      <w:pPr>
        <w:bidi w:val="0"/>
        <w:rPr>
          <w:rFonts w:hint="default"/>
          <w:color w:val="auto"/>
          <w:highlight w:val="none"/>
          <w:lang w:val="en-US" w:eastAsia="zh-CN"/>
        </w:rPr>
      </w:pPr>
    </w:p>
    <w:p w14:paraId="0086F354">
      <w:pPr>
        <w:bidi w:val="0"/>
        <w:rPr>
          <w:rFonts w:hint="default"/>
          <w:color w:val="auto"/>
          <w:highlight w:val="none"/>
          <w:lang w:val="en-US" w:eastAsia="zh-CN"/>
        </w:rPr>
      </w:pPr>
    </w:p>
    <w:p w14:paraId="2F8E9AEB">
      <w:pPr>
        <w:bidi w:val="0"/>
        <w:rPr>
          <w:rFonts w:hint="default"/>
          <w:color w:val="auto"/>
          <w:highlight w:val="none"/>
          <w:lang w:val="en-US" w:eastAsia="zh-CN"/>
        </w:rPr>
      </w:pPr>
    </w:p>
    <w:p w14:paraId="06F962F3">
      <w:pPr>
        <w:tabs>
          <w:tab w:val="left" w:pos="13259"/>
        </w:tabs>
        <w:bidi w:val="0"/>
        <w:jc w:val="left"/>
        <w:rPr>
          <w:rFonts w:hint="eastAsia"/>
          <w:color w:val="auto"/>
          <w:highlight w:val="none"/>
          <w:lang w:val="en-US" w:eastAsia="zh-CN"/>
        </w:rPr>
      </w:pPr>
      <w:r>
        <w:rPr>
          <w:color w:val="auto"/>
          <w:highlight w:val="none"/>
        </w:rPr>
        <w:drawing>
          <wp:anchor distT="0" distB="0" distL="114300" distR="114300" simplePos="0" relativeHeight="251778048" behindDoc="0" locked="0" layoutInCell="1" allowOverlap="1">
            <wp:simplePos x="0" y="0"/>
            <wp:positionH relativeFrom="column">
              <wp:posOffset>704850</wp:posOffset>
            </wp:positionH>
            <wp:positionV relativeFrom="paragraph">
              <wp:posOffset>60325</wp:posOffset>
            </wp:positionV>
            <wp:extent cx="7664450" cy="5276850"/>
            <wp:effectExtent l="0" t="0" r="12700" b="0"/>
            <wp:wrapNone/>
            <wp:docPr id="2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8"/>
                    <pic:cNvPicPr>
                      <a:picLocks noChangeAspect="1"/>
                    </pic:cNvPicPr>
                  </pic:nvPicPr>
                  <pic:blipFill>
                    <a:blip r:embed="rId124"/>
                    <a:stretch>
                      <a:fillRect/>
                    </a:stretch>
                  </pic:blipFill>
                  <pic:spPr>
                    <a:xfrm>
                      <a:off x="0" y="0"/>
                      <a:ext cx="7664450" cy="5276850"/>
                    </a:xfrm>
                    <a:prstGeom prst="rect">
                      <a:avLst/>
                    </a:prstGeom>
                    <a:noFill/>
                    <a:ln>
                      <a:noFill/>
                    </a:ln>
                  </pic:spPr>
                </pic:pic>
              </a:graphicData>
            </a:graphic>
          </wp:anchor>
        </w:drawing>
      </w:r>
      <w:r>
        <w:rPr>
          <w:rFonts w:hint="eastAsia"/>
          <w:color w:val="auto"/>
          <w:highlight w:val="none"/>
          <w:lang w:val="en-US" w:eastAsia="zh-CN"/>
        </w:rPr>
        <w:tab/>
      </w:r>
    </w:p>
    <w:p w14:paraId="0F824B32">
      <w:pPr>
        <w:bidi w:val="0"/>
        <w:rPr>
          <w:rFonts w:hint="default" w:ascii="Times New Roman" w:hAnsi="Times New Roman" w:eastAsia="宋体" w:cstheme="minorBidi"/>
          <w:color w:val="auto"/>
          <w:kern w:val="2"/>
          <w:sz w:val="24"/>
          <w:szCs w:val="22"/>
          <w:highlight w:val="none"/>
          <w:lang w:val="en-US" w:eastAsia="zh-CN" w:bidi="ar-SA"/>
        </w:rPr>
      </w:pPr>
    </w:p>
    <w:p w14:paraId="488CB9C7">
      <w:pPr>
        <w:bidi w:val="0"/>
        <w:rPr>
          <w:rFonts w:hint="default"/>
          <w:color w:val="auto"/>
          <w:highlight w:val="none"/>
          <w:lang w:val="en-US" w:eastAsia="zh-CN"/>
        </w:rPr>
      </w:pPr>
    </w:p>
    <w:p w14:paraId="78D74A4F">
      <w:pPr>
        <w:bidi w:val="0"/>
        <w:rPr>
          <w:rFonts w:hint="default"/>
          <w:color w:val="auto"/>
          <w:highlight w:val="none"/>
          <w:lang w:val="en-US" w:eastAsia="zh-CN"/>
        </w:rPr>
      </w:pPr>
    </w:p>
    <w:p w14:paraId="6325F2EB">
      <w:pPr>
        <w:bidi w:val="0"/>
        <w:rPr>
          <w:rFonts w:hint="default"/>
          <w:color w:val="auto"/>
          <w:highlight w:val="none"/>
          <w:lang w:val="en-US" w:eastAsia="zh-CN"/>
        </w:rPr>
      </w:pPr>
    </w:p>
    <w:p w14:paraId="02AC9EC3">
      <w:pPr>
        <w:bidi w:val="0"/>
        <w:rPr>
          <w:rFonts w:hint="default"/>
          <w:color w:val="auto"/>
          <w:highlight w:val="none"/>
          <w:lang w:val="en-US" w:eastAsia="zh-CN"/>
        </w:rPr>
      </w:pPr>
    </w:p>
    <w:p w14:paraId="57BC628B">
      <w:pPr>
        <w:bidi w:val="0"/>
        <w:rPr>
          <w:rFonts w:hint="default"/>
          <w:color w:val="auto"/>
          <w:highlight w:val="none"/>
          <w:lang w:val="en-US" w:eastAsia="zh-CN"/>
        </w:rPr>
      </w:pPr>
    </w:p>
    <w:p w14:paraId="4DD223A7">
      <w:pPr>
        <w:bidi w:val="0"/>
        <w:rPr>
          <w:rFonts w:hint="default"/>
          <w:color w:val="auto"/>
          <w:highlight w:val="none"/>
          <w:lang w:val="en-US" w:eastAsia="zh-CN"/>
        </w:rPr>
      </w:pPr>
    </w:p>
    <w:p w14:paraId="1C15E4A2">
      <w:pPr>
        <w:bidi w:val="0"/>
        <w:rPr>
          <w:rFonts w:hint="default"/>
          <w:color w:val="auto"/>
          <w:highlight w:val="none"/>
          <w:lang w:val="en-US" w:eastAsia="zh-CN"/>
        </w:rPr>
      </w:pPr>
    </w:p>
    <w:p w14:paraId="75AAEFF2">
      <w:pPr>
        <w:bidi w:val="0"/>
        <w:rPr>
          <w:rFonts w:hint="default"/>
          <w:color w:val="auto"/>
          <w:highlight w:val="none"/>
          <w:lang w:val="en-US" w:eastAsia="zh-CN"/>
        </w:rPr>
      </w:pPr>
    </w:p>
    <w:p w14:paraId="7BCB0197">
      <w:pPr>
        <w:bidi w:val="0"/>
        <w:rPr>
          <w:rFonts w:hint="default"/>
          <w:color w:val="auto"/>
          <w:highlight w:val="none"/>
          <w:lang w:val="en-US" w:eastAsia="zh-CN"/>
        </w:rPr>
      </w:pPr>
    </w:p>
    <w:p w14:paraId="2AB44F37">
      <w:pPr>
        <w:bidi w:val="0"/>
        <w:rPr>
          <w:rFonts w:hint="default"/>
          <w:color w:val="auto"/>
          <w:highlight w:val="none"/>
          <w:lang w:val="en-US" w:eastAsia="zh-CN"/>
        </w:rPr>
      </w:pPr>
    </w:p>
    <w:p w14:paraId="63B38739">
      <w:pPr>
        <w:bidi w:val="0"/>
        <w:rPr>
          <w:rFonts w:hint="default"/>
          <w:color w:val="auto"/>
          <w:highlight w:val="none"/>
          <w:lang w:val="en-US" w:eastAsia="zh-CN"/>
        </w:rPr>
      </w:pPr>
    </w:p>
    <w:p w14:paraId="428D2D3A">
      <w:pPr>
        <w:bidi w:val="0"/>
        <w:rPr>
          <w:rFonts w:hint="default"/>
          <w:color w:val="auto"/>
          <w:highlight w:val="none"/>
          <w:lang w:val="en-US" w:eastAsia="zh-CN"/>
        </w:rPr>
      </w:pPr>
    </w:p>
    <w:p w14:paraId="2BB00E6F">
      <w:pPr>
        <w:bidi w:val="0"/>
        <w:rPr>
          <w:rFonts w:hint="default"/>
          <w:color w:val="auto"/>
          <w:highlight w:val="none"/>
          <w:lang w:val="en-US" w:eastAsia="zh-CN"/>
        </w:rPr>
      </w:pPr>
    </w:p>
    <w:p w14:paraId="0CBE6752">
      <w:pPr>
        <w:bidi w:val="0"/>
        <w:rPr>
          <w:rFonts w:hint="default"/>
          <w:color w:val="auto"/>
          <w:highlight w:val="none"/>
          <w:lang w:val="en-US" w:eastAsia="zh-CN"/>
        </w:rPr>
      </w:pPr>
    </w:p>
    <w:p w14:paraId="6A0BEE4C">
      <w:pPr>
        <w:tabs>
          <w:tab w:val="left" w:pos="236"/>
        </w:tabs>
        <w:bidi w:val="0"/>
        <w:jc w:val="left"/>
        <w:rPr>
          <w:rFonts w:hint="eastAsia"/>
          <w:color w:val="auto"/>
          <w:highlight w:val="none"/>
          <w:lang w:val="en-US" w:eastAsia="zh-CN"/>
        </w:rPr>
      </w:pPr>
      <w:r>
        <w:rPr>
          <w:color w:val="auto"/>
          <w:highlight w:val="none"/>
        </w:rPr>
        <w:drawing>
          <wp:anchor distT="0" distB="0" distL="114300" distR="114300" simplePos="0" relativeHeight="251779072" behindDoc="0" locked="0" layoutInCell="1" allowOverlap="1">
            <wp:simplePos x="0" y="0"/>
            <wp:positionH relativeFrom="column">
              <wp:posOffset>857250</wp:posOffset>
            </wp:positionH>
            <wp:positionV relativeFrom="paragraph">
              <wp:posOffset>130175</wp:posOffset>
            </wp:positionV>
            <wp:extent cx="7477125" cy="5038725"/>
            <wp:effectExtent l="0" t="0" r="9525" b="9525"/>
            <wp:wrapNone/>
            <wp:docPr id="2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9"/>
                    <pic:cNvPicPr>
                      <a:picLocks noChangeAspect="1"/>
                    </pic:cNvPicPr>
                  </pic:nvPicPr>
                  <pic:blipFill>
                    <a:blip r:embed="rId125"/>
                    <a:stretch>
                      <a:fillRect/>
                    </a:stretch>
                  </pic:blipFill>
                  <pic:spPr>
                    <a:xfrm>
                      <a:off x="0" y="0"/>
                      <a:ext cx="7477125" cy="5038725"/>
                    </a:xfrm>
                    <a:prstGeom prst="rect">
                      <a:avLst/>
                    </a:prstGeom>
                    <a:noFill/>
                    <a:ln>
                      <a:noFill/>
                    </a:ln>
                  </pic:spPr>
                </pic:pic>
              </a:graphicData>
            </a:graphic>
          </wp:anchor>
        </w:drawing>
      </w:r>
      <w:r>
        <w:rPr>
          <w:rFonts w:hint="eastAsia"/>
          <w:color w:val="auto"/>
          <w:highlight w:val="none"/>
          <w:lang w:val="en-US" w:eastAsia="zh-CN"/>
        </w:rPr>
        <w:tab/>
      </w:r>
    </w:p>
    <w:p w14:paraId="6C08C813">
      <w:pPr>
        <w:bidi w:val="0"/>
        <w:rPr>
          <w:rFonts w:hint="default" w:ascii="Times New Roman" w:hAnsi="Times New Roman" w:eastAsia="宋体" w:cstheme="minorBidi"/>
          <w:color w:val="auto"/>
          <w:kern w:val="2"/>
          <w:sz w:val="24"/>
          <w:szCs w:val="22"/>
          <w:highlight w:val="none"/>
          <w:lang w:val="en-US" w:eastAsia="zh-CN" w:bidi="ar-SA"/>
        </w:rPr>
      </w:pPr>
    </w:p>
    <w:p w14:paraId="7ECF568D">
      <w:pPr>
        <w:bidi w:val="0"/>
        <w:rPr>
          <w:rFonts w:hint="default"/>
          <w:color w:val="auto"/>
          <w:highlight w:val="none"/>
          <w:lang w:val="en-US" w:eastAsia="zh-CN"/>
        </w:rPr>
      </w:pPr>
    </w:p>
    <w:p w14:paraId="5B5010D4">
      <w:pPr>
        <w:bidi w:val="0"/>
        <w:rPr>
          <w:rFonts w:hint="default"/>
          <w:color w:val="auto"/>
          <w:highlight w:val="none"/>
          <w:lang w:val="en-US" w:eastAsia="zh-CN"/>
        </w:rPr>
      </w:pPr>
    </w:p>
    <w:p w14:paraId="661D8FF7">
      <w:pPr>
        <w:bidi w:val="0"/>
        <w:rPr>
          <w:rFonts w:hint="default"/>
          <w:color w:val="auto"/>
          <w:highlight w:val="none"/>
          <w:lang w:val="en-US" w:eastAsia="zh-CN"/>
        </w:rPr>
      </w:pPr>
    </w:p>
    <w:p w14:paraId="233DB9F1">
      <w:pPr>
        <w:bidi w:val="0"/>
        <w:rPr>
          <w:rFonts w:hint="default"/>
          <w:color w:val="auto"/>
          <w:highlight w:val="none"/>
          <w:lang w:val="en-US" w:eastAsia="zh-CN"/>
        </w:rPr>
      </w:pPr>
    </w:p>
    <w:p w14:paraId="3AEF2587">
      <w:pPr>
        <w:bidi w:val="0"/>
        <w:rPr>
          <w:rFonts w:hint="default"/>
          <w:color w:val="auto"/>
          <w:highlight w:val="none"/>
          <w:lang w:val="en-US" w:eastAsia="zh-CN"/>
        </w:rPr>
      </w:pPr>
    </w:p>
    <w:p w14:paraId="1B7CC1AA">
      <w:pPr>
        <w:bidi w:val="0"/>
        <w:rPr>
          <w:rFonts w:hint="default"/>
          <w:color w:val="auto"/>
          <w:highlight w:val="none"/>
          <w:lang w:val="en-US" w:eastAsia="zh-CN"/>
        </w:rPr>
      </w:pPr>
    </w:p>
    <w:p w14:paraId="45A0DE15">
      <w:pPr>
        <w:bidi w:val="0"/>
        <w:rPr>
          <w:rFonts w:hint="default"/>
          <w:color w:val="auto"/>
          <w:highlight w:val="none"/>
          <w:lang w:val="en-US" w:eastAsia="zh-CN"/>
        </w:rPr>
      </w:pPr>
    </w:p>
    <w:p w14:paraId="03792BF9">
      <w:pPr>
        <w:bidi w:val="0"/>
        <w:rPr>
          <w:rFonts w:hint="default"/>
          <w:color w:val="auto"/>
          <w:highlight w:val="none"/>
          <w:lang w:val="en-US" w:eastAsia="zh-CN"/>
        </w:rPr>
      </w:pPr>
    </w:p>
    <w:p w14:paraId="1DC2126C">
      <w:pPr>
        <w:bidi w:val="0"/>
        <w:rPr>
          <w:rFonts w:hint="default"/>
          <w:color w:val="auto"/>
          <w:highlight w:val="none"/>
          <w:lang w:val="en-US" w:eastAsia="zh-CN"/>
        </w:rPr>
      </w:pPr>
    </w:p>
    <w:p w14:paraId="0ABD41A3">
      <w:pPr>
        <w:bidi w:val="0"/>
        <w:rPr>
          <w:rFonts w:hint="default"/>
          <w:color w:val="auto"/>
          <w:highlight w:val="none"/>
          <w:lang w:val="en-US" w:eastAsia="zh-CN"/>
        </w:rPr>
      </w:pPr>
    </w:p>
    <w:p w14:paraId="4C529CA3">
      <w:pPr>
        <w:bidi w:val="0"/>
        <w:rPr>
          <w:rFonts w:hint="default"/>
          <w:color w:val="auto"/>
          <w:highlight w:val="none"/>
          <w:lang w:val="en-US" w:eastAsia="zh-CN"/>
        </w:rPr>
      </w:pPr>
    </w:p>
    <w:p w14:paraId="5C3FE3BB">
      <w:pPr>
        <w:bidi w:val="0"/>
        <w:rPr>
          <w:rFonts w:hint="default"/>
          <w:color w:val="auto"/>
          <w:highlight w:val="none"/>
          <w:lang w:val="en-US" w:eastAsia="zh-CN"/>
        </w:rPr>
      </w:pPr>
    </w:p>
    <w:p w14:paraId="2761B11F">
      <w:pPr>
        <w:bidi w:val="0"/>
        <w:rPr>
          <w:rFonts w:hint="default"/>
          <w:color w:val="auto"/>
          <w:highlight w:val="none"/>
          <w:lang w:val="en-US" w:eastAsia="zh-CN"/>
        </w:rPr>
      </w:pPr>
    </w:p>
    <w:p w14:paraId="78BB3E61">
      <w:pPr>
        <w:bidi w:val="0"/>
        <w:rPr>
          <w:rFonts w:hint="default"/>
          <w:color w:val="auto"/>
          <w:highlight w:val="none"/>
          <w:lang w:val="en-US" w:eastAsia="zh-CN"/>
        </w:rPr>
      </w:pPr>
    </w:p>
    <w:p w14:paraId="0578FF29">
      <w:pPr>
        <w:tabs>
          <w:tab w:val="left" w:pos="454"/>
        </w:tabs>
        <w:bidi w:val="0"/>
        <w:jc w:val="left"/>
        <w:rPr>
          <w:rFonts w:hint="eastAsia"/>
          <w:color w:val="auto"/>
          <w:highlight w:val="none"/>
          <w:lang w:val="en-US" w:eastAsia="zh-CN"/>
        </w:rPr>
      </w:pPr>
      <w:r>
        <w:rPr>
          <w:color w:val="auto"/>
          <w:highlight w:val="none"/>
        </w:rPr>
        <w:drawing>
          <wp:anchor distT="0" distB="0" distL="114300" distR="114300" simplePos="0" relativeHeight="251780096" behindDoc="0" locked="0" layoutInCell="1" allowOverlap="1">
            <wp:simplePos x="0" y="0"/>
            <wp:positionH relativeFrom="column">
              <wp:posOffset>666750</wp:posOffset>
            </wp:positionH>
            <wp:positionV relativeFrom="paragraph">
              <wp:posOffset>120650</wp:posOffset>
            </wp:positionV>
            <wp:extent cx="7680960" cy="5274310"/>
            <wp:effectExtent l="0" t="0" r="15240" b="2540"/>
            <wp:wrapNone/>
            <wp:docPr id="2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0"/>
                    <pic:cNvPicPr>
                      <a:picLocks noChangeAspect="1"/>
                    </pic:cNvPicPr>
                  </pic:nvPicPr>
                  <pic:blipFill>
                    <a:blip r:embed="rId126"/>
                    <a:stretch>
                      <a:fillRect/>
                    </a:stretch>
                  </pic:blipFill>
                  <pic:spPr>
                    <a:xfrm>
                      <a:off x="0" y="0"/>
                      <a:ext cx="7680960" cy="5274310"/>
                    </a:xfrm>
                    <a:prstGeom prst="rect">
                      <a:avLst/>
                    </a:prstGeom>
                    <a:noFill/>
                    <a:ln>
                      <a:noFill/>
                    </a:ln>
                  </pic:spPr>
                </pic:pic>
              </a:graphicData>
            </a:graphic>
          </wp:anchor>
        </w:drawing>
      </w:r>
      <w:r>
        <w:rPr>
          <w:rFonts w:hint="eastAsia"/>
          <w:color w:val="auto"/>
          <w:highlight w:val="none"/>
          <w:lang w:val="en-US" w:eastAsia="zh-CN"/>
        </w:rPr>
        <w:tab/>
      </w:r>
    </w:p>
    <w:p w14:paraId="500DC104">
      <w:pPr>
        <w:bidi w:val="0"/>
        <w:rPr>
          <w:rFonts w:hint="default" w:ascii="Times New Roman" w:hAnsi="Times New Roman" w:eastAsia="宋体" w:cstheme="minorBidi"/>
          <w:color w:val="auto"/>
          <w:kern w:val="2"/>
          <w:sz w:val="24"/>
          <w:szCs w:val="22"/>
          <w:highlight w:val="none"/>
          <w:lang w:val="en-US" w:eastAsia="zh-CN" w:bidi="ar-SA"/>
        </w:rPr>
      </w:pPr>
    </w:p>
    <w:p w14:paraId="540CA413">
      <w:pPr>
        <w:bidi w:val="0"/>
        <w:rPr>
          <w:rFonts w:hint="default"/>
          <w:color w:val="auto"/>
          <w:highlight w:val="none"/>
          <w:lang w:val="en-US" w:eastAsia="zh-CN"/>
        </w:rPr>
      </w:pPr>
    </w:p>
    <w:p w14:paraId="52B6472A">
      <w:pPr>
        <w:bidi w:val="0"/>
        <w:rPr>
          <w:rFonts w:hint="default"/>
          <w:color w:val="auto"/>
          <w:highlight w:val="none"/>
          <w:lang w:val="en-US" w:eastAsia="zh-CN"/>
        </w:rPr>
      </w:pPr>
    </w:p>
    <w:p w14:paraId="5E12AFBC">
      <w:pPr>
        <w:bidi w:val="0"/>
        <w:rPr>
          <w:rFonts w:hint="default"/>
          <w:color w:val="auto"/>
          <w:highlight w:val="none"/>
          <w:lang w:val="en-US" w:eastAsia="zh-CN"/>
        </w:rPr>
      </w:pPr>
    </w:p>
    <w:p w14:paraId="62276F44">
      <w:pPr>
        <w:bidi w:val="0"/>
        <w:rPr>
          <w:rFonts w:hint="default"/>
          <w:color w:val="auto"/>
          <w:highlight w:val="none"/>
          <w:lang w:val="en-US" w:eastAsia="zh-CN"/>
        </w:rPr>
      </w:pPr>
    </w:p>
    <w:p w14:paraId="289D0491">
      <w:pPr>
        <w:bidi w:val="0"/>
        <w:rPr>
          <w:rFonts w:hint="default"/>
          <w:color w:val="auto"/>
          <w:highlight w:val="none"/>
          <w:lang w:val="en-US" w:eastAsia="zh-CN"/>
        </w:rPr>
      </w:pPr>
    </w:p>
    <w:p w14:paraId="21504472">
      <w:pPr>
        <w:bidi w:val="0"/>
        <w:rPr>
          <w:rFonts w:hint="default"/>
          <w:color w:val="auto"/>
          <w:highlight w:val="none"/>
          <w:lang w:val="en-US" w:eastAsia="zh-CN"/>
        </w:rPr>
      </w:pPr>
    </w:p>
    <w:p w14:paraId="67AD1268">
      <w:pPr>
        <w:bidi w:val="0"/>
        <w:rPr>
          <w:rFonts w:hint="default"/>
          <w:color w:val="auto"/>
          <w:highlight w:val="none"/>
          <w:lang w:val="en-US" w:eastAsia="zh-CN"/>
        </w:rPr>
      </w:pPr>
    </w:p>
    <w:p w14:paraId="1CA10867">
      <w:pPr>
        <w:bidi w:val="0"/>
        <w:rPr>
          <w:rFonts w:hint="default"/>
          <w:color w:val="auto"/>
          <w:highlight w:val="none"/>
          <w:lang w:val="en-US" w:eastAsia="zh-CN"/>
        </w:rPr>
      </w:pPr>
    </w:p>
    <w:p w14:paraId="68956D83">
      <w:pPr>
        <w:bidi w:val="0"/>
        <w:rPr>
          <w:rFonts w:hint="default"/>
          <w:color w:val="auto"/>
          <w:highlight w:val="none"/>
          <w:lang w:val="en-US" w:eastAsia="zh-CN"/>
        </w:rPr>
      </w:pPr>
    </w:p>
    <w:p w14:paraId="2407ABD8">
      <w:pPr>
        <w:bidi w:val="0"/>
        <w:rPr>
          <w:rFonts w:hint="default"/>
          <w:color w:val="auto"/>
          <w:highlight w:val="none"/>
          <w:lang w:val="en-US" w:eastAsia="zh-CN"/>
        </w:rPr>
      </w:pPr>
    </w:p>
    <w:p w14:paraId="3C745752">
      <w:pPr>
        <w:bidi w:val="0"/>
        <w:rPr>
          <w:rFonts w:hint="default"/>
          <w:color w:val="auto"/>
          <w:highlight w:val="none"/>
          <w:lang w:val="en-US" w:eastAsia="zh-CN"/>
        </w:rPr>
      </w:pPr>
    </w:p>
    <w:p w14:paraId="067624E4">
      <w:pPr>
        <w:bidi w:val="0"/>
        <w:rPr>
          <w:rFonts w:hint="default"/>
          <w:color w:val="auto"/>
          <w:highlight w:val="none"/>
          <w:lang w:val="en-US" w:eastAsia="zh-CN"/>
        </w:rPr>
      </w:pPr>
    </w:p>
    <w:p w14:paraId="506CB55F">
      <w:pPr>
        <w:bidi w:val="0"/>
        <w:rPr>
          <w:rFonts w:hint="default"/>
          <w:color w:val="auto"/>
          <w:highlight w:val="none"/>
          <w:lang w:val="en-US" w:eastAsia="zh-CN"/>
        </w:rPr>
      </w:pPr>
    </w:p>
    <w:p w14:paraId="21ACE4B0">
      <w:pPr>
        <w:bidi w:val="0"/>
        <w:rPr>
          <w:rFonts w:hint="default"/>
          <w:color w:val="auto"/>
          <w:highlight w:val="none"/>
          <w:lang w:val="en-US" w:eastAsia="zh-CN"/>
        </w:rPr>
      </w:pPr>
    </w:p>
    <w:p w14:paraId="1E101125">
      <w:pPr>
        <w:tabs>
          <w:tab w:val="right" w:pos="13478"/>
        </w:tabs>
        <w:bidi w:val="0"/>
        <w:jc w:val="left"/>
        <w:rPr>
          <w:rFonts w:hint="eastAsia"/>
          <w:color w:val="auto"/>
          <w:highlight w:val="none"/>
          <w:lang w:val="en-US" w:eastAsia="zh-CN"/>
        </w:rPr>
      </w:pPr>
      <w:r>
        <w:rPr>
          <w:color w:val="auto"/>
          <w:highlight w:val="none"/>
        </w:rPr>
        <w:drawing>
          <wp:anchor distT="0" distB="0" distL="114300" distR="114300" simplePos="0" relativeHeight="251781120" behindDoc="0" locked="0" layoutInCell="1" allowOverlap="1">
            <wp:simplePos x="0" y="0"/>
            <wp:positionH relativeFrom="column">
              <wp:posOffset>838200</wp:posOffset>
            </wp:positionH>
            <wp:positionV relativeFrom="paragraph">
              <wp:posOffset>101600</wp:posOffset>
            </wp:positionV>
            <wp:extent cx="7572375" cy="5181600"/>
            <wp:effectExtent l="0" t="0" r="9525" b="0"/>
            <wp:wrapNone/>
            <wp:docPr id="2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1"/>
                    <pic:cNvPicPr>
                      <a:picLocks noChangeAspect="1"/>
                    </pic:cNvPicPr>
                  </pic:nvPicPr>
                  <pic:blipFill>
                    <a:blip r:embed="rId127"/>
                    <a:stretch>
                      <a:fillRect/>
                    </a:stretch>
                  </pic:blipFill>
                  <pic:spPr>
                    <a:xfrm>
                      <a:off x="0" y="0"/>
                      <a:ext cx="7572375" cy="5181600"/>
                    </a:xfrm>
                    <a:prstGeom prst="rect">
                      <a:avLst/>
                    </a:prstGeom>
                    <a:noFill/>
                    <a:ln>
                      <a:noFill/>
                    </a:ln>
                  </pic:spPr>
                </pic:pic>
              </a:graphicData>
            </a:graphic>
          </wp:anchor>
        </w:drawing>
      </w:r>
      <w:r>
        <w:rPr>
          <w:rFonts w:hint="eastAsia"/>
          <w:color w:val="auto"/>
          <w:highlight w:val="none"/>
          <w:lang w:val="en-US" w:eastAsia="zh-CN"/>
        </w:rPr>
        <w:tab/>
      </w:r>
    </w:p>
    <w:p w14:paraId="226C3BA4">
      <w:pPr>
        <w:tabs>
          <w:tab w:val="right" w:pos="13478"/>
        </w:tabs>
        <w:bidi w:val="0"/>
        <w:jc w:val="left"/>
        <w:rPr>
          <w:rFonts w:hint="eastAsia"/>
          <w:color w:val="auto"/>
          <w:highlight w:val="none"/>
          <w:lang w:val="en-US" w:eastAsia="zh-CN"/>
        </w:rPr>
      </w:pPr>
    </w:p>
    <w:p w14:paraId="3D86B62C">
      <w:pPr>
        <w:tabs>
          <w:tab w:val="right" w:pos="13478"/>
        </w:tabs>
        <w:bidi w:val="0"/>
        <w:jc w:val="left"/>
        <w:rPr>
          <w:rFonts w:hint="eastAsia"/>
          <w:color w:val="auto"/>
          <w:highlight w:val="none"/>
          <w:lang w:val="en-US" w:eastAsia="zh-CN"/>
        </w:rPr>
      </w:pPr>
    </w:p>
    <w:p w14:paraId="08B0DF4A">
      <w:pPr>
        <w:tabs>
          <w:tab w:val="right" w:pos="13478"/>
        </w:tabs>
        <w:bidi w:val="0"/>
        <w:jc w:val="left"/>
        <w:rPr>
          <w:rFonts w:hint="eastAsia"/>
          <w:color w:val="auto"/>
          <w:highlight w:val="none"/>
          <w:lang w:val="en-US" w:eastAsia="zh-CN"/>
        </w:rPr>
      </w:pPr>
    </w:p>
    <w:p w14:paraId="6AA1D3BC">
      <w:pPr>
        <w:tabs>
          <w:tab w:val="right" w:pos="13478"/>
        </w:tabs>
        <w:bidi w:val="0"/>
        <w:jc w:val="left"/>
        <w:rPr>
          <w:rFonts w:hint="eastAsia"/>
          <w:color w:val="auto"/>
          <w:highlight w:val="none"/>
          <w:lang w:val="en-US" w:eastAsia="zh-CN"/>
        </w:rPr>
      </w:pPr>
    </w:p>
    <w:p w14:paraId="5DB32B5B">
      <w:pPr>
        <w:tabs>
          <w:tab w:val="right" w:pos="13478"/>
        </w:tabs>
        <w:bidi w:val="0"/>
        <w:jc w:val="left"/>
        <w:rPr>
          <w:rFonts w:hint="eastAsia"/>
          <w:color w:val="auto"/>
          <w:highlight w:val="none"/>
          <w:lang w:val="en-US" w:eastAsia="zh-CN"/>
        </w:rPr>
      </w:pPr>
    </w:p>
    <w:p w14:paraId="129D0F6C">
      <w:pPr>
        <w:tabs>
          <w:tab w:val="right" w:pos="13478"/>
        </w:tabs>
        <w:bidi w:val="0"/>
        <w:jc w:val="left"/>
        <w:rPr>
          <w:rFonts w:hint="eastAsia"/>
          <w:color w:val="auto"/>
          <w:highlight w:val="none"/>
          <w:lang w:val="en-US" w:eastAsia="zh-CN"/>
        </w:rPr>
      </w:pPr>
    </w:p>
    <w:p w14:paraId="25D280A4">
      <w:pPr>
        <w:tabs>
          <w:tab w:val="right" w:pos="13478"/>
        </w:tabs>
        <w:bidi w:val="0"/>
        <w:jc w:val="left"/>
        <w:rPr>
          <w:rFonts w:hint="eastAsia"/>
          <w:color w:val="auto"/>
          <w:highlight w:val="none"/>
          <w:lang w:val="en-US" w:eastAsia="zh-CN"/>
        </w:rPr>
      </w:pPr>
    </w:p>
    <w:p w14:paraId="4F343D3A">
      <w:pPr>
        <w:tabs>
          <w:tab w:val="right" w:pos="13478"/>
        </w:tabs>
        <w:bidi w:val="0"/>
        <w:jc w:val="left"/>
        <w:rPr>
          <w:rFonts w:hint="eastAsia"/>
          <w:color w:val="auto"/>
          <w:highlight w:val="none"/>
          <w:lang w:val="en-US" w:eastAsia="zh-CN"/>
        </w:rPr>
      </w:pPr>
    </w:p>
    <w:p w14:paraId="21315E85">
      <w:pPr>
        <w:tabs>
          <w:tab w:val="right" w:pos="13478"/>
        </w:tabs>
        <w:bidi w:val="0"/>
        <w:jc w:val="left"/>
        <w:rPr>
          <w:rFonts w:hint="eastAsia"/>
          <w:color w:val="auto"/>
          <w:highlight w:val="none"/>
          <w:lang w:val="en-US" w:eastAsia="zh-CN"/>
        </w:rPr>
      </w:pPr>
    </w:p>
    <w:p w14:paraId="0D44DDA3">
      <w:pPr>
        <w:tabs>
          <w:tab w:val="right" w:pos="13478"/>
        </w:tabs>
        <w:bidi w:val="0"/>
        <w:jc w:val="left"/>
        <w:rPr>
          <w:rFonts w:hint="eastAsia"/>
          <w:color w:val="auto"/>
          <w:highlight w:val="none"/>
          <w:lang w:val="en-US" w:eastAsia="zh-CN"/>
        </w:rPr>
      </w:pPr>
    </w:p>
    <w:p w14:paraId="5AF57AA6">
      <w:pPr>
        <w:tabs>
          <w:tab w:val="right" w:pos="13478"/>
        </w:tabs>
        <w:bidi w:val="0"/>
        <w:jc w:val="left"/>
        <w:rPr>
          <w:rFonts w:hint="eastAsia"/>
          <w:color w:val="auto"/>
          <w:highlight w:val="none"/>
          <w:lang w:val="en-US" w:eastAsia="zh-CN"/>
        </w:rPr>
      </w:pPr>
    </w:p>
    <w:p w14:paraId="2E74D8D2">
      <w:pPr>
        <w:tabs>
          <w:tab w:val="right" w:pos="13478"/>
        </w:tabs>
        <w:bidi w:val="0"/>
        <w:jc w:val="left"/>
        <w:rPr>
          <w:rFonts w:hint="eastAsia"/>
          <w:color w:val="auto"/>
          <w:highlight w:val="none"/>
          <w:lang w:val="en-US" w:eastAsia="zh-CN"/>
        </w:rPr>
      </w:pPr>
    </w:p>
    <w:p w14:paraId="7261B5C9">
      <w:pPr>
        <w:tabs>
          <w:tab w:val="right" w:pos="13478"/>
        </w:tabs>
        <w:bidi w:val="0"/>
        <w:jc w:val="left"/>
        <w:rPr>
          <w:rFonts w:hint="eastAsia"/>
          <w:color w:val="auto"/>
          <w:highlight w:val="none"/>
          <w:lang w:val="en-US" w:eastAsia="zh-CN"/>
        </w:rPr>
      </w:pPr>
    </w:p>
    <w:p w14:paraId="2DBBF868">
      <w:pPr>
        <w:tabs>
          <w:tab w:val="right" w:pos="13478"/>
        </w:tabs>
        <w:bidi w:val="0"/>
        <w:jc w:val="left"/>
        <w:rPr>
          <w:rFonts w:hint="eastAsia"/>
          <w:color w:val="auto"/>
          <w:highlight w:val="none"/>
          <w:lang w:val="en-US" w:eastAsia="zh-CN"/>
        </w:rPr>
      </w:pPr>
    </w:p>
    <w:p w14:paraId="562DDAA0">
      <w:pPr>
        <w:tabs>
          <w:tab w:val="right" w:pos="13478"/>
        </w:tabs>
        <w:bidi w:val="0"/>
        <w:jc w:val="left"/>
        <w:rPr>
          <w:rFonts w:hint="eastAsia"/>
          <w:color w:val="auto"/>
          <w:highlight w:val="none"/>
          <w:lang w:val="en-US" w:eastAsia="zh-CN"/>
        </w:rPr>
      </w:pPr>
    </w:p>
    <w:p w14:paraId="04006CE7">
      <w:pPr>
        <w:tabs>
          <w:tab w:val="right" w:pos="13478"/>
        </w:tabs>
        <w:bidi w:val="0"/>
        <w:jc w:val="left"/>
        <w:rPr>
          <w:rFonts w:hint="eastAsia"/>
          <w:color w:val="auto"/>
          <w:highlight w:val="none"/>
          <w:lang w:val="en-US" w:eastAsia="zh-CN"/>
        </w:rPr>
      </w:pPr>
      <w:r>
        <w:rPr>
          <w:color w:val="auto"/>
          <w:highlight w:val="none"/>
        </w:rPr>
        <w:drawing>
          <wp:anchor distT="0" distB="0" distL="114300" distR="114300" simplePos="0" relativeHeight="251782144" behindDoc="0" locked="0" layoutInCell="1" allowOverlap="1">
            <wp:simplePos x="0" y="0"/>
            <wp:positionH relativeFrom="column">
              <wp:posOffset>600075</wp:posOffset>
            </wp:positionH>
            <wp:positionV relativeFrom="paragraph">
              <wp:posOffset>85725</wp:posOffset>
            </wp:positionV>
            <wp:extent cx="7744460" cy="5273675"/>
            <wp:effectExtent l="0" t="0" r="8890" b="3175"/>
            <wp:wrapNone/>
            <wp:docPr id="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2"/>
                    <pic:cNvPicPr>
                      <a:picLocks noChangeAspect="1"/>
                    </pic:cNvPicPr>
                  </pic:nvPicPr>
                  <pic:blipFill>
                    <a:blip r:embed="rId128"/>
                    <a:stretch>
                      <a:fillRect/>
                    </a:stretch>
                  </pic:blipFill>
                  <pic:spPr>
                    <a:xfrm>
                      <a:off x="0" y="0"/>
                      <a:ext cx="7744460" cy="5273675"/>
                    </a:xfrm>
                    <a:prstGeom prst="rect">
                      <a:avLst/>
                    </a:prstGeom>
                    <a:noFill/>
                    <a:ln>
                      <a:noFill/>
                    </a:ln>
                  </pic:spPr>
                </pic:pic>
              </a:graphicData>
            </a:graphic>
          </wp:anchor>
        </w:drawing>
      </w:r>
    </w:p>
    <w:p w14:paraId="6864CAA1">
      <w:pPr>
        <w:tabs>
          <w:tab w:val="right" w:pos="13478"/>
        </w:tabs>
        <w:bidi w:val="0"/>
        <w:jc w:val="left"/>
        <w:rPr>
          <w:rFonts w:hint="eastAsia"/>
          <w:color w:val="auto"/>
          <w:highlight w:val="none"/>
          <w:lang w:val="en-US" w:eastAsia="zh-CN"/>
        </w:rPr>
      </w:pPr>
    </w:p>
    <w:p w14:paraId="5968E6A9">
      <w:pPr>
        <w:tabs>
          <w:tab w:val="right" w:pos="13478"/>
        </w:tabs>
        <w:bidi w:val="0"/>
        <w:jc w:val="left"/>
        <w:rPr>
          <w:rFonts w:hint="eastAsia"/>
          <w:color w:val="auto"/>
          <w:highlight w:val="none"/>
          <w:lang w:val="en-US" w:eastAsia="zh-CN"/>
        </w:rPr>
      </w:pPr>
    </w:p>
    <w:p w14:paraId="701458E5">
      <w:pPr>
        <w:tabs>
          <w:tab w:val="right" w:pos="13478"/>
        </w:tabs>
        <w:bidi w:val="0"/>
        <w:jc w:val="left"/>
        <w:rPr>
          <w:rFonts w:hint="eastAsia"/>
          <w:color w:val="auto"/>
          <w:highlight w:val="none"/>
          <w:lang w:val="en-US" w:eastAsia="zh-CN"/>
        </w:rPr>
      </w:pPr>
    </w:p>
    <w:p w14:paraId="6B8E1FAF">
      <w:pPr>
        <w:tabs>
          <w:tab w:val="right" w:pos="13478"/>
        </w:tabs>
        <w:bidi w:val="0"/>
        <w:jc w:val="left"/>
        <w:rPr>
          <w:rFonts w:hint="default"/>
          <w:color w:val="auto"/>
          <w:highlight w:val="none"/>
          <w:lang w:val="en-US" w:eastAsia="zh-CN"/>
        </w:rPr>
      </w:pPr>
    </w:p>
    <w:p w14:paraId="526E90CF">
      <w:pPr>
        <w:tabs>
          <w:tab w:val="right" w:pos="13478"/>
        </w:tabs>
        <w:bidi w:val="0"/>
        <w:jc w:val="left"/>
        <w:rPr>
          <w:rFonts w:hint="default"/>
          <w:color w:val="auto"/>
          <w:highlight w:val="none"/>
          <w:lang w:val="en-US" w:eastAsia="zh-CN"/>
        </w:rPr>
      </w:pPr>
    </w:p>
    <w:p w14:paraId="5FE629FD">
      <w:pPr>
        <w:tabs>
          <w:tab w:val="right" w:pos="13478"/>
        </w:tabs>
        <w:bidi w:val="0"/>
        <w:jc w:val="left"/>
        <w:rPr>
          <w:rFonts w:hint="default"/>
          <w:color w:val="auto"/>
          <w:highlight w:val="none"/>
          <w:lang w:val="en-US" w:eastAsia="zh-CN"/>
        </w:rPr>
      </w:pPr>
    </w:p>
    <w:p w14:paraId="3D8C1B57">
      <w:pPr>
        <w:tabs>
          <w:tab w:val="right" w:pos="13478"/>
        </w:tabs>
        <w:bidi w:val="0"/>
        <w:jc w:val="left"/>
        <w:rPr>
          <w:rFonts w:hint="default"/>
          <w:color w:val="auto"/>
          <w:highlight w:val="none"/>
          <w:lang w:val="en-US" w:eastAsia="zh-CN"/>
        </w:rPr>
      </w:pPr>
    </w:p>
    <w:p w14:paraId="28C83B8A">
      <w:pPr>
        <w:tabs>
          <w:tab w:val="right" w:pos="13478"/>
        </w:tabs>
        <w:bidi w:val="0"/>
        <w:jc w:val="left"/>
        <w:rPr>
          <w:rFonts w:hint="default"/>
          <w:color w:val="auto"/>
          <w:highlight w:val="none"/>
          <w:lang w:val="en-US" w:eastAsia="zh-CN"/>
        </w:rPr>
      </w:pPr>
    </w:p>
    <w:p w14:paraId="5A3372BA">
      <w:pPr>
        <w:tabs>
          <w:tab w:val="right" w:pos="13478"/>
        </w:tabs>
        <w:bidi w:val="0"/>
        <w:jc w:val="left"/>
        <w:rPr>
          <w:rFonts w:hint="default"/>
          <w:color w:val="auto"/>
          <w:highlight w:val="none"/>
          <w:lang w:val="en-US" w:eastAsia="zh-CN"/>
        </w:rPr>
      </w:pPr>
    </w:p>
    <w:p w14:paraId="5951B459">
      <w:pPr>
        <w:tabs>
          <w:tab w:val="right" w:pos="13478"/>
        </w:tabs>
        <w:bidi w:val="0"/>
        <w:jc w:val="left"/>
        <w:rPr>
          <w:rFonts w:hint="default"/>
          <w:color w:val="auto"/>
          <w:highlight w:val="none"/>
          <w:lang w:val="en-US" w:eastAsia="zh-CN"/>
        </w:rPr>
      </w:pPr>
    </w:p>
    <w:p w14:paraId="36F8E18C">
      <w:pPr>
        <w:tabs>
          <w:tab w:val="right" w:pos="13478"/>
        </w:tabs>
        <w:bidi w:val="0"/>
        <w:jc w:val="left"/>
        <w:rPr>
          <w:rFonts w:hint="default"/>
          <w:color w:val="auto"/>
          <w:highlight w:val="none"/>
          <w:lang w:val="en-US" w:eastAsia="zh-CN"/>
        </w:rPr>
      </w:pPr>
    </w:p>
    <w:p w14:paraId="1A57E8C4">
      <w:pPr>
        <w:tabs>
          <w:tab w:val="right" w:pos="13478"/>
        </w:tabs>
        <w:bidi w:val="0"/>
        <w:jc w:val="left"/>
        <w:rPr>
          <w:rFonts w:hint="default"/>
          <w:color w:val="auto"/>
          <w:highlight w:val="none"/>
          <w:lang w:val="en-US" w:eastAsia="zh-CN"/>
        </w:rPr>
      </w:pPr>
    </w:p>
    <w:p w14:paraId="45C7CE0C">
      <w:pPr>
        <w:tabs>
          <w:tab w:val="right" w:pos="13478"/>
        </w:tabs>
        <w:bidi w:val="0"/>
        <w:jc w:val="left"/>
        <w:rPr>
          <w:rFonts w:hint="default"/>
          <w:color w:val="auto"/>
          <w:highlight w:val="none"/>
          <w:lang w:val="en-US" w:eastAsia="zh-CN"/>
        </w:rPr>
      </w:pPr>
    </w:p>
    <w:p w14:paraId="6B5385C8">
      <w:pPr>
        <w:tabs>
          <w:tab w:val="right" w:pos="13478"/>
        </w:tabs>
        <w:bidi w:val="0"/>
        <w:jc w:val="left"/>
        <w:rPr>
          <w:rFonts w:hint="default"/>
          <w:color w:val="auto"/>
          <w:highlight w:val="none"/>
          <w:lang w:val="en-US" w:eastAsia="zh-CN"/>
        </w:rPr>
      </w:pPr>
    </w:p>
    <w:p w14:paraId="1072363C">
      <w:pPr>
        <w:tabs>
          <w:tab w:val="right" w:pos="13478"/>
        </w:tabs>
        <w:bidi w:val="0"/>
        <w:jc w:val="left"/>
        <w:rPr>
          <w:rFonts w:hint="default"/>
          <w:color w:val="auto"/>
          <w:highlight w:val="none"/>
          <w:lang w:val="en-US" w:eastAsia="zh-CN"/>
        </w:rPr>
      </w:pPr>
    </w:p>
    <w:p w14:paraId="04BDEE46">
      <w:pPr>
        <w:tabs>
          <w:tab w:val="right" w:pos="13478"/>
        </w:tabs>
        <w:bidi w:val="0"/>
        <w:jc w:val="left"/>
        <w:rPr>
          <w:rFonts w:hint="default"/>
          <w:color w:val="auto"/>
          <w:highlight w:val="none"/>
          <w:lang w:val="en-US" w:eastAsia="zh-CN"/>
        </w:rPr>
      </w:pPr>
      <w:r>
        <w:rPr>
          <w:color w:val="auto"/>
          <w:highlight w:val="none"/>
        </w:rPr>
        <w:drawing>
          <wp:anchor distT="0" distB="0" distL="114300" distR="114300" simplePos="0" relativeHeight="251783168" behindDoc="0" locked="0" layoutInCell="1" allowOverlap="1">
            <wp:simplePos x="0" y="0"/>
            <wp:positionH relativeFrom="column">
              <wp:posOffset>657225</wp:posOffset>
            </wp:positionH>
            <wp:positionV relativeFrom="paragraph">
              <wp:posOffset>82550</wp:posOffset>
            </wp:positionV>
            <wp:extent cx="7664450" cy="5276850"/>
            <wp:effectExtent l="0" t="0" r="12700" b="0"/>
            <wp:wrapNone/>
            <wp:docPr id="2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3"/>
                    <pic:cNvPicPr>
                      <a:picLocks noChangeAspect="1"/>
                    </pic:cNvPicPr>
                  </pic:nvPicPr>
                  <pic:blipFill>
                    <a:blip r:embed="rId129"/>
                    <a:stretch>
                      <a:fillRect/>
                    </a:stretch>
                  </pic:blipFill>
                  <pic:spPr>
                    <a:xfrm>
                      <a:off x="0" y="0"/>
                      <a:ext cx="7664450" cy="5276850"/>
                    </a:xfrm>
                    <a:prstGeom prst="rect">
                      <a:avLst/>
                    </a:prstGeom>
                    <a:noFill/>
                    <a:ln>
                      <a:noFill/>
                    </a:ln>
                  </pic:spPr>
                </pic:pic>
              </a:graphicData>
            </a:graphic>
          </wp:anchor>
        </w:drawing>
      </w:r>
    </w:p>
    <w:p w14:paraId="5B08FC01">
      <w:pPr>
        <w:tabs>
          <w:tab w:val="right" w:pos="13478"/>
        </w:tabs>
        <w:bidi w:val="0"/>
        <w:jc w:val="left"/>
        <w:rPr>
          <w:rFonts w:hint="default"/>
          <w:color w:val="auto"/>
          <w:highlight w:val="none"/>
          <w:lang w:val="en-US" w:eastAsia="zh-CN"/>
        </w:rPr>
      </w:pPr>
    </w:p>
    <w:p w14:paraId="273ADBB6">
      <w:pPr>
        <w:tabs>
          <w:tab w:val="right" w:pos="13478"/>
        </w:tabs>
        <w:bidi w:val="0"/>
        <w:jc w:val="left"/>
        <w:rPr>
          <w:rFonts w:hint="default"/>
          <w:color w:val="auto"/>
          <w:highlight w:val="none"/>
          <w:lang w:val="en-US" w:eastAsia="zh-CN"/>
        </w:rPr>
      </w:pPr>
    </w:p>
    <w:p w14:paraId="2DC070CF">
      <w:pPr>
        <w:tabs>
          <w:tab w:val="right" w:pos="13478"/>
        </w:tabs>
        <w:bidi w:val="0"/>
        <w:jc w:val="left"/>
        <w:rPr>
          <w:rFonts w:hint="default"/>
          <w:color w:val="auto"/>
          <w:highlight w:val="none"/>
          <w:lang w:val="en-US"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bookmarkEnd w:id="493"/>
    <w:p w14:paraId="3E50230D">
      <w:pPr>
        <w:tabs>
          <w:tab w:val="left" w:pos="427"/>
        </w:tabs>
        <w:bidi w:val="0"/>
        <w:spacing w:line="360" w:lineRule="auto"/>
        <w:ind w:left="0" w:leftChars="0" w:firstLine="0" w:firstLineChars="0"/>
        <w:jc w:val="left"/>
        <w:outlineLvl w:val="0"/>
        <w:rPr>
          <w:rFonts w:hint="default" w:ascii="黑体" w:hAnsi="黑体" w:eastAsia="黑体" w:cs="黑体"/>
          <w:color w:val="auto"/>
          <w:sz w:val="24"/>
          <w:szCs w:val="24"/>
          <w:highlight w:val="none"/>
          <w:lang w:val="en-US" w:eastAsia="zh-CN"/>
        </w:rPr>
      </w:pPr>
      <w:bookmarkStart w:id="503" w:name="_Toc20720"/>
      <w:bookmarkStart w:id="504" w:name="_Toc1879"/>
      <w:r>
        <w:rPr>
          <w:rFonts w:hint="eastAsia" w:ascii="黑体" w:hAnsi="黑体" w:eastAsia="黑体" w:cs="黑体"/>
          <w:color w:val="auto"/>
          <w:sz w:val="24"/>
          <w:szCs w:val="24"/>
          <w:highlight w:val="none"/>
          <w:lang w:val="en-US" w:eastAsia="zh-CN"/>
        </w:rPr>
        <w:t>附件10：</w:t>
      </w:r>
      <w:r>
        <w:rPr>
          <w:rFonts w:hint="default" w:ascii="黑体" w:hAnsi="黑体" w:eastAsia="黑体" w:cs="黑体"/>
          <w:color w:val="auto"/>
          <w:sz w:val="24"/>
          <w:szCs w:val="24"/>
          <w:highlight w:val="none"/>
          <w:lang w:val="en-US" w:eastAsia="zh-CN"/>
        </w:rPr>
        <w:t>卫生防护距离计算</w:t>
      </w:r>
      <w:r>
        <w:rPr>
          <w:rFonts w:hint="eastAsia" w:ascii="黑体" w:hAnsi="黑体" w:eastAsia="黑体" w:cs="黑体"/>
          <w:color w:val="auto"/>
          <w:sz w:val="24"/>
          <w:szCs w:val="24"/>
          <w:highlight w:val="none"/>
          <w:lang w:val="en-US" w:eastAsia="zh-CN"/>
        </w:rPr>
        <w:t>说明</w:t>
      </w:r>
      <w:r>
        <w:rPr>
          <w:rFonts w:hint="default" w:ascii="黑体" w:hAnsi="黑体" w:eastAsia="黑体" w:cs="黑体"/>
          <w:color w:val="auto"/>
          <w:sz w:val="24"/>
          <w:szCs w:val="24"/>
          <w:highlight w:val="none"/>
          <w:lang w:val="en-US" w:eastAsia="zh-CN"/>
        </w:rPr>
        <w:t>：</w:t>
      </w:r>
      <w:bookmarkEnd w:id="503"/>
    </w:p>
    <w:p w14:paraId="776ECF7D">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采用GB/T3840-1991中7.4推荐的估算方法进行计算,具体计算公式见式：</w:t>
      </w:r>
    </w:p>
    <w:p w14:paraId="21578D7B">
      <w:pPr>
        <w:spacing w:line="360" w:lineRule="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drawing>
          <wp:inline distT="0" distB="0" distL="114300" distR="114300">
            <wp:extent cx="2981325" cy="581025"/>
            <wp:effectExtent l="0" t="0" r="9525"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30"/>
                    <a:stretch>
                      <a:fillRect/>
                    </a:stretch>
                  </pic:blipFill>
                  <pic:spPr>
                    <a:xfrm>
                      <a:off x="0" y="0"/>
                      <a:ext cx="2981325" cy="581025"/>
                    </a:xfrm>
                    <a:prstGeom prst="rect">
                      <a:avLst/>
                    </a:prstGeom>
                    <a:noFill/>
                    <a:ln>
                      <a:noFill/>
                    </a:ln>
                  </pic:spPr>
                </pic:pic>
              </a:graphicData>
            </a:graphic>
          </wp:inline>
        </w:drawing>
      </w:r>
    </w:p>
    <w:p w14:paraId="7C04A820">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式中:</w:t>
      </w:r>
    </w:p>
    <w:p w14:paraId="65F9CD61">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Qc—大气有害物质的无组织排放量,单位为千克每小时(kg/h)；</w:t>
      </w:r>
    </w:p>
    <w:p w14:paraId="56EAC0F0">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本项目：4</w:t>
      </w:r>
      <w:r>
        <w:rPr>
          <w:rFonts w:hint="default" w:ascii="Times New Roman" w:hAnsi="Times New Roman" w:cs="Times New Roman"/>
          <w:color w:val="auto"/>
          <w:sz w:val="24"/>
          <w:szCs w:val="24"/>
          <w:highlight w:val="none"/>
          <w:lang w:val="en-US" w:eastAsia="zh-CN"/>
        </w:rPr>
        <w:t>.25</w:t>
      </w:r>
      <w:r>
        <w:rPr>
          <w:rFonts w:hint="default" w:ascii="Times New Roman" w:hAnsi="Times New Roman" w:cs="Times New Roman"/>
          <w:snapToGrid w:val="0"/>
          <w:color w:val="auto"/>
          <w:sz w:val="24"/>
          <w:szCs w:val="24"/>
          <w:highlight w:val="none"/>
          <w:lang w:val="zh-CN"/>
        </w:rPr>
        <w:t>×</w:t>
      </w:r>
      <w:r>
        <w:rPr>
          <w:rFonts w:hint="default" w:ascii="Times New Roman" w:hAnsi="Times New Roman" w:cs="Times New Roman"/>
          <w:color w:val="auto"/>
          <w:sz w:val="24"/>
          <w:szCs w:val="24"/>
          <w:highlight w:val="none"/>
          <w:lang w:eastAsia="zh-CN"/>
        </w:rPr>
        <w:t>10</w:t>
      </w:r>
      <w:r>
        <w:rPr>
          <w:rFonts w:hint="default" w:ascii="Times New Roman" w:hAnsi="Times New Roman" w:cs="Times New Roman"/>
          <w:color w:val="auto"/>
          <w:sz w:val="24"/>
          <w:szCs w:val="24"/>
          <w:highlight w:val="none"/>
          <w:vertAlign w:val="superscript"/>
        </w:rPr>
        <w:t>-</w:t>
      </w:r>
      <w:r>
        <w:rPr>
          <w:rFonts w:hint="default" w:ascii="Times New Roman" w:hAnsi="Times New Roman" w:cs="Times New Roman"/>
          <w:color w:val="auto"/>
          <w:sz w:val="24"/>
          <w:szCs w:val="24"/>
          <w:highlight w:val="none"/>
          <w:vertAlign w:val="superscript"/>
          <w:lang w:val="en-US" w:eastAsia="zh-CN"/>
        </w:rPr>
        <w:t>3</w:t>
      </w:r>
      <w:r>
        <w:rPr>
          <w:rFonts w:hint="default" w:ascii="Times New Roman" w:hAnsi="Times New Roman" w:cs="Times New Roman"/>
          <w:color w:val="auto"/>
          <w:sz w:val="24"/>
          <w:szCs w:val="24"/>
          <w:highlight w:val="none"/>
          <w:lang w:val="en-US" w:eastAsia="zh-CN"/>
        </w:rPr>
        <w:t>kg/h</w:t>
      </w:r>
    </w:p>
    <w:p w14:paraId="482FF1D0">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Cm—大气有害物质环境空气质量的标准限值,单位为毫克每立方米(mg/m</w:t>
      </w:r>
      <w:r>
        <w:rPr>
          <w:rFonts w:hint="default" w:ascii="Times New Roman" w:hAnsi="Times New Roman" w:cs="Times New Roman"/>
          <w:color w:val="auto"/>
          <w:sz w:val="24"/>
          <w:szCs w:val="24"/>
          <w:highlight w:val="none"/>
          <w:vertAlign w:val="superscript"/>
          <w:lang w:val="en-US" w:eastAsia="zh-CN"/>
        </w:rPr>
        <w:t>3</w:t>
      </w:r>
      <w:r>
        <w:rPr>
          <w:rFonts w:hint="default" w:ascii="Times New Roman" w:hAnsi="Times New Roman" w:cs="Times New Roman"/>
          <w:color w:val="auto"/>
          <w:sz w:val="24"/>
          <w:szCs w:val="24"/>
          <w:highlight w:val="none"/>
          <w:lang w:val="en-US" w:eastAsia="zh-CN"/>
        </w:rPr>
        <w:t>)；</w:t>
      </w:r>
    </w:p>
    <w:p w14:paraId="6C4D4ACC">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本项目：</w:t>
      </w:r>
      <w:r>
        <w:rPr>
          <w:rFonts w:hint="eastAsia" w:ascii="Times New Roman" w:hAnsi="Times New Roman" w:cs="Times New Roman"/>
          <w:color w:val="auto"/>
          <w:sz w:val="24"/>
          <w:szCs w:val="24"/>
          <w:highlight w:val="none"/>
          <w:lang w:val="en-US" w:eastAsia="zh-CN"/>
        </w:rPr>
        <w:t>0.2</w:t>
      </w:r>
      <w:r>
        <w:rPr>
          <w:rFonts w:hint="default" w:ascii="Times New Roman" w:hAnsi="Times New Roman" w:cs="Times New Roman"/>
          <w:color w:val="auto"/>
          <w:sz w:val="24"/>
          <w:szCs w:val="24"/>
          <w:highlight w:val="none"/>
        </w:rPr>
        <w:t>mg/m</w:t>
      </w:r>
      <w:r>
        <w:rPr>
          <w:rFonts w:hint="default" w:ascii="Times New Roman" w:hAnsi="Times New Roman" w:cs="Times New Roman"/>
          <w:color w:val="auto"/>
          <w:sz w:val="24"/>
          <w:szCs w:val="24"/>
          <w:highlight w:val="none"/>
          <w:vertAlign w:val="superscript"/>
        </w:rPr>
        <w:t>3</w:t>
      </w:r>
    </w:p>
    <w:p w14:paraId="2C96E85E">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L—大气有害物质卫生防护距离初值，单位为米(m);</w:t>
      </w:r>
    </w:p>
    <w:p w14:paraId="70AC2EDA">
      <w:p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r—大气有害物质无组织排放源所在生产单元的等效半径，单位为米(m);</w:t>
      </w:r>
    </w:p>
    <w:p w14:paraId="09499A3D">
      <w:pPr>
        <w:spacing w:line="360" w:lineRule="auto"/>
        <w:rPr>
          <w:rFonts w:hint="default" w:ascii="Times New Roman" w:hAnsi="Times New Roman" w:cs="Times New Roman" w:eastAsiaTheme="minorEastAsia"/>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收集企业生产单元占地面积S(m</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)数据,根据下式计算：本项目S为</w:t>
      </w:r>
      <w:r>
        <w:rPr>
          <w:rFonts w:hint="eastAsia" w:ascii="Times New Roman" w:hAnsi="Times New Roman" w:cs="Times New Roman"/>
          <w:color w:val="auto"/>
          <w:sz w:val="24"/>
          <w:szCs w:val="24"/>
          <w:highlight w:val="none"/>
          <w:lang w:val="en-US" w:eastAsia="zh-CN"/>
        </w:rPr>
        <w:t>35</w:t>
      </w:r>
      <w:r>
        <w:rPr>
          <w:rFonts w:hint="default" w:ascii="Times New Roman" w:hAnsi="Times New Roman" w:cs="Times New Roman"/>
          <w:color w:val="auto"/>
          <w:sz w:val="24"/>
          <w:szCs w:val="24"/>
          <w:highlight w:val="none"/>
          <w:lang w:val="en-US" w:eastAsia="zh-CN"/>
        </w:rPr>
        <w:t>m</w:t>
      </w:r>
      <w:r>
        <w:rPr>
          <w:rFonts w:hint="default" w:ascii="Times New Roman" w:hAnsi="Times New Roman" w:cs="Times New Roman"/>
          <w:color w:val="auto"/>
          <w:sz w:val="24"/>
          <w:szCs w:val="24"/>
          <w:highlight w:val="none"/>
          <w:vertAlign w:val="superscript"/>
          <w:lang w:val="en-US" w:eastAsia="zh-CN"/>
        </w:rPr>
        <w:t>2</w:t>
      </w:r>
    </w:p>
    <w:p w14:paraId="67A2A86F">
      <w:pPr>
        <w:spacing w:line="360" w:lineRule="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drawing>
          <wp:inline distT="0" distB="0" distL="114300" distR="114300">
            <wp:extent cx="1390650" cy="381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31"/>
                    <a:stretch>
                      <a:fillRect/>
                    </a:stretch>
                  </pic:blipFill>
                  <pic:spPr>
                    <a:xfrm>
                      <a:off x="0" y="0"/>
                      <a:ext cx="1390650" cy="381000"/>
                    </a:xfrm>
                    <a:prstGeom prst="rect">
                      <a:avLst/>
                    </a:prstGeom>
                    <a:noFill/>
                    <a:ln>
                      <a:noFill/>
                    </a:ln>
                  </pic:spPr>
                </pic:pic>
              </a:graphicData>
            </a:graphic>
          </wp:inline>
        </w:drawing>
      </w:r>
    </w:p>
    <w:p w14:paraId="7826B959">
      <w:pPr>
        <w:spacing w:line="360" w:lineRule="auto"/>
        <w:rPr>
          <w:rFonts w:hint="default" w:ascii="Times New Roman" w:hAnsi="Times New Roman" w:cs="Times New Roman" w:eastAsiaTheme="minorEastAsia"/>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经计算r=</w:t>
      </w:r>
      <w:r>
        <w:rPr>
          <w:rFonts w:hint="eastAsia" w:ascii="Times New Roman" w:hAnsi="Times New Roman" w:cs="Times New Roman"/>
          <w:color w:val="auto"/>
          <w:sz w:val="24"/>
          <w:szCs w:val="24"/>
          <w:highlight w:val="none"/>
          <w:lang w:val="en-US" w:eastAsia="zh-CN"/>
        </w:rPr>
        <w:t>3.3</w:t>
      </w:r>
      <w:r>
        <w:rPr>
          <w:rFonts w:hint="default" w:ascii="Times New Roman" w:hAnsi="Times New Roman" w:cs="Times New Roman"/>
          <w:color w:val="auto"/>
          <w:sz w:val="24"/>
          <w:szCs w:val="24"/>
          <w:highlight w:val="none"/>
          <w:lang w:val="en-US" w:eastAsia="zh-CN"/>
        </w:rPr>
        <w:t>m</w:t>
      </w:r>
    </w:p>
    <w:p w14:paraId="41F994BF">
      <w:pPr>
        <w:numPr>
          <w:ilvl w:val="0"/>
          <w:numId w:val="19"/>
        </w:numPr>
        <w:spacing w:line="360" w:lineRule="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B、C、D-一卫生防护距离初值计算系数,无因次,根据工业企业所在地区近5年平均风速及大气污染源构成类别从表1查取。经调查，双鸭山市近五年平均风速（2020年~2024年）平均风速为1.96m/s。</w:t>
      </w:r>
    </w:p>
    <w:p w14:paraId="687C6423">
      <w:pPr>
        <w:numPr>
          <w:ilvl w:val="0"/>
          <w:numId w:val="0"/>
        </w:numPr>
        <w:spacing w:line="360" w:lineRule="auto"/>
        <w:rPr>
          <w:rFonts w:hint="default" w:ascii="Times New Roman" w:hAnsi="Times New Roman" w:cs="Times New Roman"/>
          <w:b/>
          <w:bCs/>
          <w:color w:val="auto"/>
          <w:sz w:val="24"/>
          <w:szCs w:val="24"/>
          <w:highlight w:val="none"/>
          <w:lang w:val="en-US" w:eastAsia="zh-CN"/>
        </w:rPr>
      </w:pPr>
      <w:r>
        <w:rPr>
          <w:color w:val="auto"/>
          <w:highlight w:val="none"/>
        </w:rPr>
        <w:drawing>
          <wp:inline distT="0" distB="0" distL="114300" distR="114300">
            <wp:extent cx="3095625" cy="2476500"/>
            <wp:effectExtent l="0" t="0" r="9525" b="0"/>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132"/>
                    <a:stretch>
                      <a:fillRect/>
                    </a:stretch>
                  </pic:blipFill>
                  <pic:spPr>
                    <a:xfrm>
                      <a:off x="0" y="0"/>
                      <a:ext cx="3095625" cy="2476500"/>
                    </a:xfrm>
                    <a:prstGeom prst="rect">
                      <a:avLst/>
                    </a:prstGeom>
                    <a:noFill/>
                    <a:ln>
                      <a:noFill/>
                    </a:ln>
                  </pic:spPr>
                </pic:pic>
              </a:graphicData>
            </a:graphic>
          </wp:inline>
        </w:drawing>
      </w:r>
      <w:r>
        <w:rPr>
          <w:rFonts w:hint="eastAsia" w:ascii="Times New Roman" w:hAnsi="Times New Roman" w:cs="Times New Roman"/>
          <w:b/>
          <w:bCs/>
          <w:color w:val="auto"/>
          <w:sz w:val="24"/>
          <w:szCs w:val="24"/>
          <w:highlight w:val="none"/>
          <w:lang w:val="en-US" w:eastAsia="zh-CN"/>
        </w:rPr>
        <w:t>经计算：L值为7.38米。</w:t>
      </w:r>
    </w:p>
    <w:p w14:paraId="78A2C12B">
      <w:pPr>
        <w:numPr>
          <w:ilvl w:val="0"/>
          <w:numId w:val="0"/>
        </w:numPr>
        <w:spacing w:line="360" w:lineRule="auto"/>
        <w:jc w:val="center"/>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rPr>
        <w:drawing>
          <wp:inline distT="0" distB="0" distL="114300" distR="114300">
            <wp:extent cx="5332095" cy="4091305"/>
            <wp:effectExtent l="0" t="0" r="1905" b="444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33"/>
                    <a:stretch>
                      <a:fillRect/>
                    </a:stretch>
                  </pic:blipFill>
                  <pic:spPr>
                    <a:xfrm>
                      <a:off x="0" y="0"/>
                      <a:ext cx="5332095" cy="4091305"/>
                    </a:xfrm>
                    <a:prstGeom prst="rect">
                      <a:avLst/>
                    </a:prstGeom>
                    <a:noFill/>
                    <a:ln>
                      <a:noFill/>
                    </a:ln>
                  </pic:spPr>
                </pic:pic>
              </a:graphicData>
            </a:graphic>
          </wp:inline>
        </w:drawing>
      </w:r>
    </w:p>
    <w:p w14:paraId="3F4DC0BC">
      <w:pPr>
        <w:pStyle w:val="2"/>
        <w:rPr>
          <w:rFonts w:cs="Times New Roman"/>
          <w:color w:val="auto"/>
          <w:sz w:val="24"/>
          <w:szCs w:val="24"/>
          <w:highlight w:val="none"/>
        </w:rPr>
      </w:pPr>
    </w:p>
    <w:p w14:paraId="0CDA389B">
      <w:pPr>
        <w:rPr>
          <w:rFonts w:cs="Times New Roman"/>
          <w:color w:val="auto"/>
          <w:sz w:val="24"/>
          <w:szCs w:val="24"/>
          <w:highlight w:val="none"/>
        </w:rPr>
      </w:pPr>
    </w:p>
    <w:p w14:paraId="052BF658">
      <w:pPr>
        <w:rPr>
          <w:rFonts w:cs="Times New Roman"/>
          <w:color w:val="auto"/>
          <w:sz w:val="24"/>
          <w:szCs w:val="24"/>
          <w:highlight w:val="none"/>
        </w:rPr>
      </w:pPr>
    </w:p>
    <w:p w14:paraId="5EC1B246">
      <w:pPr>
        <w:rPr>
          <w:rFonts w:cs="Times New Roman"/>
          <w:color w:val="auto"/>
          <w:sz w:val="24"/>
          <w:szCs w:val="24"/>
          <w:highlight w:val="none"/>
        </w:rPr>
      </w:pPr>
    </w:p>
    <w:p w14:paraId="5E22174E">
      <w:pPr>
        <w:rPr>
          <w:rFonts w:cs="Times New Roman"/>
          <w:color w:val="auto"/>
          <w:sz w:val="24"/>
          <w:szCs w:val="24"/>
          <w:highlight w:val="none"/>
        </w:rPr>
      </w:pPr>
    </w:p>
    <w:p w14:paraId="281F7FFD">
      <w:pPr>
        <w:rPr>
          <w:rFonts w:cs="Times New Roman"/>
          <w:color w:val="auto"/>
          <w:sz w:val="24"/>
          <w:szCs w:val="24"/>
          <w:highlight w:val="none"/>
        </w:rPr>
      </w:pPr>
    </w:p>
    <w:p w14:paraId="43116184">
      <w:pPr>
        <w:rPr>
          <w:rFonts w:cs="Times New Roman"/>
          <w:color w:val="auto"/>
          <w:sz w:val="24"/>
          <w:szCs w:val="24"/>
          <w:highlight w:val="none"/>
        </w:rPr>
      </w:pPr>
    </w:p>
    <w:p w14:paraId="6A9552D8">
      <w:pPr>
        <w:rPr>
          <w:rFonts w:cs="Times New Roman"/>
          <w:color w:val="auto"/>
          <w:sz w:val="24"/>
          <w:szCs w:val="24"/>
          <w:highlight w:val="none"/>
        </w:rPr>
      </w:pPr>
    </w:p>
    <w:p w14:paraId="4F934903">
      <w:pPr>
        <w:rPr>
          <w:rFonts w:cs="Times New Roman"/>
          <w:color w:val="auto"/>
          <w:sz w:val="24"/>
          <w:szCs w:val="24"/>
          <w:highlight w:val="none"/>
        </w:rPr>
      </w:pPr>
    </w:p>
    <w:p w14:paraId="2C3F2ED6">
      <w:pPr>
        <w:rPr>
          <w:rFonts w:cs="Times New Roman"/>
          <w:color w:val="auto"/>
          <w:sz w:val="24"/>
          <w:szCs w:val="24"/>
          <w:highlight w:val="none"/>
        </w:rPr>
      </w:pPr>
    </w:p>
    <w:p w14:paraId="367EE8A2">
      <w:pPr>
        <w:rPr>
          <w:rFonts w:cs="Times New Roman"/>
          <w:color w:val="auto"/>
          <w:sz w:val="24"/>
          <w:szCs w:val="24"/>
          <w:highlight w:val="none"/>
        </w:rPr>
      </w:pPr>
    </w:p>
    <w:p w14:paraId="2C69A2B6">
      <w:pPr>
        <w:rPr>
          <w:rFonts w:cs="Times New Roman"/>
          <w:color w:val="auto"/>
          <w:sz w:val="24"/>
          <w:szCs w:val="24"/>
          <w:highlight w:val="none"/>
        </w:rPr>
      </w:pPr>
    </w:p>
    <w:p w14:paraId="139D0658">
      <w:pPr>
        <w:rPr>
          <w:rFonts w:cs="Times New Roman"/>
          <w:color w:val="auto"/>
          <w:sz w:val="24"/>
          <w:szCs w:val="24"/>
          <w:highlight w:val="none"/>
        </w:rPr>
      </w:pPr>
    </w:p>
    <w:p w14:paraId="20C66112">
      <w:pPr>
        <w:rPr>
          <w:rFonts w:cs="Times New Roman"/>
          <w:color w:val="auto"/>
          <w:sz w:val="24"/>
          <w:szCs w:val="24"/>
          <w:highlight w:val="none"/>
        </w:rPr>
      </w:pPr>
    </w:p>
    <w:p w14:paraId="0A92A901">
      <w:pPr>
        <w:pStyle w:val="2"/>
        <w:rPr>
          <w:rFonts w:cs="Times New Roman"/>
          <w:color w:val="auto"/>
          <w:sz w:val="24"/>
          <w:szCs w:val="24"/>
          <w:highlight w:val="none"/>
        </w:rPr>
      </w:pPr>
      <w:bookmarkStart w:id="505" w:name="_Toc11043"/>
      <w:r>
        <w:rPr>
          <w:rFonts w:cs="Times New Roman"/>
          <w:color w:val="auto"/>
          <w:sz w:val="24"/>
          <w:szCs w:val="24"/>
          <w:highlight w:val="none"/>
        </w:rPr>
        <w:t>附表1  建设项目大气环境影响评价自查表</w:t>
      </w:r>
      <w:bookmarkEnd w:id="504"/>
      <w:bookmarkEnd w:id="505"/>
    </w:p>
    <w:p w14:paraId="3F050658">
      <w:pPr>
        <w:spacing w:line="500" w:lineRule="exact"/>
        <w:ind w:firstLine="0" w:firstLineChars="0"/>
        <w:jc w:val="center"/>
        <w:rPr>
          <w:rFonts w:cs="Times New Roman"/>
          <w:b/>
          <w:bCs/>
          <w:snapToGrid w:val="0"/>
          <w:color w:val="auto"/>
          <w:szCs w:val="24"/>
          <w:highlight w:val="none"/>
          <w:lang w:val="zh-CN"/>
        </w:rPr>
      </w:pPr>
      <w:bookmarkStart w:id="506" w:name="_Hlk1725722"/>
      <w:r>
        <w:rPr>
          <w:rFonts w:cs="Times New Roman"/>
          <w:b/>
          <w:bCs/>
          <w:snapToGrid w:val="0"/>
          <w:color w:val="auto"/>
          <w:szCs w:val="24"/>
          <w:highlight w:val="none"/>
          <w:lang w:val="zh-CN"/>
        </w:rPr>
        <w:t>建设项目大气环境影响评价自查表</w:t>
      </w:r>
    </w:p>
    <w:tbl>
      <w:tblPr>
        <w:tblStyle w:val="47"/>
        <w:tblW w:w="5827"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819"/>
        <w:gridCol w:w="1156"/>
        <w:gridCol w:w="1484"/>
        <w:gridCol w:w="914"/>
        <w:gridCol w:w="753"/>
        <w:gridCol w:w="777"/>
        <w:gridCol w:w="34"/>
        <w:gridCol w:w="447"/>
        <w:gridCol w:w="1013"/>
        <w:gridCol w:w="703"/>
        <w:gridCol w:w="503"/>
        <w:gridCol w:w="642"/>
        <w:gridCol w:w="687"/>
      </w:tblGrid>
      <w:tr w14:paraId="60B841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92" w:hRule="atLeast"/>
          <w:jc w:val="center"/>
        </w:trPr>
        <w:tc>
          <w:tcPr>
            <w:tcW w:w="995" w:type="pct"/>
            <w:gridSpan w:val="2"/>
            <w:shd w:val="clear" w:color="auto" w:fill="auto"/>
            <w:vAlign w:val="center"/>
          </w:tcPr>
          <w:p w14:paraId="42485D10">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工作内容</w:t>
            </w:r>
          </w:p>
        </w:tc>
        <w:tc>
          <w:tcPr>
            <w:tcW w:w="4004" w:type="pct"/>
            <w:gridSpan w:val="11"/>
            <w:shd w:val="clear" w:color="auto" w:fill="auto"/>
            <w:vAlign w:val="center"/>
          </w:tcPr>
          <w:p w14:paraId="2C6DFF1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自查项目</w:t>
            </w:r>
          </w:p>
        </w:tc>
      </w:tr>
      <w:tr w14:paraId="627FE5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0" w:hRule="atLeast"/>
          <w:jc w:val="center"/>
        </w:trPr>
        <w:tc>
          <w:tcPr>
            <w:tcW w:w="413" w:type="pct"/>
            <w:vMerge w:val="restart"/>
            <w:shd w:val="clear" w:color="auto" w:fill="auto"/>
            <w:vAlign w:val="center"/>
          </w:tcPr>
          <w:p w14:paraId="3CFBDE5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评价等级与范围</w:t>
            </w:r>
          </w:p>
        </w:tc>
        <w:tc>
          <w:tcPr>
            <w:tcW w:w="581" w:type="pct"/>
            <w:shd w:val="clear" w:color="auto" w:fill="auto"/>
            <w:vAlign w:val="center"/>
          </w:tcPr>
          <w:p w14:paraId="29B520C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评价等级</w:t>
            </w:r>
          </w:p>
        </w:tc>
        <w:tc>
          <w:tcPr>
            <w:tcW w:w="1207" w:type="pct"/>
            <w:gridSpan w:val="2"/>
            <w:shd w:val="clear" w:color="auto" w:fill="auto"/>
            <w:vAlign w:val="center"/>
          </w:tcPr>
          <w:p w14:paraId="30FE850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一级</w:t>
            </w:r>
            <w:r>
              <w:rPr>
                <w:rFonts w:hint="eastAsia" w:eastAsia="仿宋" w:cs="Times New Roman"/>
                <w:color w:val="auto"/>
                <w:sz w:val="21"/>
                <w:szCs w:val="21"/>
                <w:highlight w:val="none"/>
                <w:lang w:val="zh-CN"/>
              </w:rPr>
              <w:t>□</w:t>
            </w:r>
          </w:p>
        </w:tc>
        <w:tc>
          <w:tcPr>
            <w:tcW w:w="2129" w:type="pct"/>
            <w:gridSpan w:val="7"/>
            <w:shd w:val="clear" w:color="auto" w:fill="auto"/>
            <w:vAlign w:val="center"/>
          </w:tcPr>
          <w:p w14:paraId="2FDB88E5">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二级</w:t>
            </w:r>
            <w:r>
              <w:rPr>
                <w:rFonts w:hint="eastAsia" w:eastAsia="仿宋" w:cs="Times New Roman"/>
                <w:color w:val="auto"/>
                <w:sz w:val="21"/>
                <w:szCs w:val="21"/>
                <w:highlight w:val="none"/>
                <w:lang w:val="zh-CN"/>
              </w:rPr>
              <w:t>☑</w:t>
            </w:r>
          </w:p>
        </w:tc>
        <w:tc>
          <w:tcPr>
            <w:tcW w:w="668" w:type="pct"/>
            <w:gridSpan w:val="2"/>
            <w:shd w:val="clear" w:color="auto" w:fill="auto"/>
            <w:vAlign w:val="center"/>
          </w:tcPr>
          <w:p w14:paraId="44E3F0F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三级</w:t>
            </w:r>
            <w:r>
              <w:rPr>
                <w:rFonts w:hint="eastAsia" w:eastAsia="仿宋" w:cs="Times New Roman"/>
                <w:color w:val="auto"/>
                <w:sz w:val="21"/>
                <w:szCs w:val="21"/>
                <w:highlight w:val="none"/>
                <w:lang w:val="zh-CN"/>
              </w:rPr>
              <w:t>□</w:t>
            </w:r>
          </w:p>
        </w:tc>
      </w:tr>
      <w:tr w14:paraId="3AFB54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161" w:hRule="atLeast"/>
          <w:jc w:val="center"/>
        </w:trPr>
        <w:tc>
          <w:tcPr>
            <w:tcW w:w="413" w:type="pct"/>
            <w:vMerge w:val="continue"/>
            <w:shd w:val="clear" w:color="auto" w:fill="auto"/>
            <w:vAlign w:val="center"/>
          </w:tcPr>
          <w:p w14:paraId="73517B05">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4E3ADF5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评价范围</w:t>
            </w:r>
          </w:p>
        </w:tc>
        <w:tc>
          <w:tcPr>
            <w:tcW w:w="1207" w:type="pct"/>
            <w:gridSpan w:val="2"/>
            <w:shd w:val="clear" w:color="auto" w:fill="auto"/>
            <w:vAlign w:val="center"/>
          </w:tcPr>
          <w:p w14:paraId="2D3A3E2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边长=50km</w:t>
            </w:r>
            <w:r>
              <w:rPr>
                <w:rFonts w:eastAsia="仿宋" w:cs="Times New Roman"/>
                <w:color w:val="auto"/>
                <w:sz w:val="21"/>
                <w:szCs w:val="21"/>
                <w:highlight w:val="none"/>
                <w:lang w:val="zh-CN"/>
              </w:rPr>
              <w:t>□</w:t>
            </w:r>
          </w:p>
        </w:tc>
        <w:tc>
          <w:tcPr>
            <w:tcW w:w="2129" w:type="pct"/>
            <w:gridSpan w:val="7"/>
            <w:shd w:val="clear" w:color="auto" w:fill="auto"/>
            <w:vAlign w:val="center"/>
          </w:tcPr>
          <w:p w14:paraId="01B4849B">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边长5～50km</w:t>
            </w:r>
            <w:r>
              <w:rPr>
                <w:rFonts w:hint="eastAsia" w:eastAsia="仿宋" w:cs="Times New Roman"/>
                <w:color w:val="auto"/>
                <w:sz w:val="21"/>
                <w:szCs w:val="21"/>
                <w:highlight w:val="none"/>
                <w:lang w:val="zh-CN"/>
              </w:rPr>
              <w:t>☑</w:t>
            </w:r>
          </w:p>
        </w:tc>
        <w:tc>
          <w:tcPr>
            <w:tcW w:w="668" w:type="pct"/>
            <w:gridSpan w:val="2"/>
            <w:shd w:val="clear" w:color="auto" w:fill="auto"/>
            <w:vAlign w:val="center"/>
          </w:tcPr>
          <w:p w14:paraId="58CE8CAC">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边长=5km</w:t>
            </w:r>
            <w:r>
              <w:rPr>
                <w:rFonts w:hint="eastAsia" w:eastAsia="仿宋" w:cs="Times New Roman"/>
                <w:color w:val="auto"/>
                <w:sz w:val="21"/>
                <w:szCs w:val="21"/>
                <w:highlight w:val="none"/>
                <w:lang w:val="zh-CN"/>
              </w:rPr>
              <w:t>□</w:t>
            </w:r>
          </w:p>
        </w:tc>
      </w:tr>
      <w:tr w14:paraId="6DA1F6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3" w:hRule="atLeast"/>
          <w:jc w:val="center"/>
        </w:trPr>
        <w:tc>
          <w:tcPr>
            <w:tcW w:w="413" w:type="pct"/>
            <w:vMerge w:val="restart"/>
            <w:shd w:val="clear" w:color="auto" w:fill="auto"/>
            <w:vAlign w:val="center"/>
          </w:tcPr>
          <w:p w14:paraId="0E6C267D">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评价因子</w:t>
            </w:r>
          </w:p>
        </w:tc>
        <w:tc>
          <w:tcPr>
            <w:tcW w:w="581" w:type="pct"/>
            <w:shd w:val="clear" w:color="auto" w:fill="auto"/>
            <w:vAlign w:val="center"/>
          </w:tcPr>
          <w:p w14:paraId="3B0B99FF">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SO</w:t>
            </w:r>
            <w:r>
              <w:rPr>
                <w:rFonts w:cs="Times New Roman"/>
                <w:color w:val="auto"/>
                <w:sz w:val="21"/>
                <w:szCs w:val="21"/>
                <w:highlight w:val="none"/>
                <w:vertAlign w:val="subscript"/>
                <w:lang w:val="zh-CN"/>
              </w:rPr>
              <w:t xml:space="preserve">2 </w:t>
            </w:r>
            <w:r>
              <w:rPr>
                <w:rFonts w:cs="Times New Roman"/>
                <w:color w:val="auto"/>
                <w:sz w:val="21"/>
                <w:szCs w:val="21"/>
                <w:highlight w:val="none"/>
                <w:lang w:val="zh-CN"/>
              </w:rPr>
              <w:t>+NO</w:t>
            </w:r>
            <w:r>
              <w:rPr>
                <w:rFonts w:cs="Times New Roman"/>
                <w:i/>
                <w:color w:val="auto"/>
                <w:sz w:val="21"/>
                <w:szCs w:val="21"/>
                <w:highlight w:val="none"/>
                <w:vertAlign w:val="subscript"/>
                <w:lang w:val="zh-CN"/>
              </w:rPr>
              <w:t>x</w:t>
            </w:r>
            <w:r>
              <w:rPr>
                <w:rFonts w:cs="Times New Roman"/>
                <w:color w:val="auto"/>
                <w:sz w:val="21"/>
                <w:szCs w:val="21"/>
                <w:highlight w:val="none"/>
                <w:lang w:val="zh-CN"/>
              </w:rPr>
              <w:t>排放量</w:t>
            </w:r>
          </w:p>
        </w:tc>
        <w:tc>
          <w:tcPr>
            <w:tcW w:w="1207" w:type="pct"/>
            <w:gridSpan w:val="2"/>
            <w:shd w:val="clear" w:color="auto" w:fill="auto"/>
            <w:vAlign w:val="center"/>
          </w:tcPr>
          <w:p w14:paraId="659E7899">
            <w:pPr>
              <w:spacing w:line="360" w:lineRule="exact"/>
              <w:ind w:firstLine="0" w:firstLineChars="0"/>
              <w:jc w:val="center"/>
              <w:rPr>
                <w:rFonts w:cs="Times New Roman"/>
                <w:color w:val="auto"/>
                <w:sz w:val="21"/>
                <w:szCs w:val="21"/>
                <w:highlight w:val="none"/>
                <w:lang w:val="zh-CN"/>
              </w:rPr>
            </w:pPr>
            <w:r>
              <w:rPr>
                <w:rFonts w:eastAsia="仿宋" w:cs="Times New Roman"/>
                <w:color w:val="auto"/>
                <w:sz w:val="21"/>
                <w:szCs w:val="21"/>
                <w:highlight w:val="none"/>
                <w:lang w:val="zh-CN"/>
              </w:rPr>
              <w:t>≥</w:t>
            </w:r>
            <w:r>
              <w:rPr>
                <w:rFonts w:cs="Times New Roman"/>
                <w:color w:val="auto"/>
                <w:sz w:val="21"/>
                <w:szCs w:val="21"/>
                <w:highlight w:val="none"/>
                <w:lang w:val="zh-CN"/>
              </w:rPr>
              <w:t xml:space="preserve"> 2000t/a</w:t>
            </w:r>
            <w:r>
              <w:rPr>
                <w:rFonts w:eastAsia="仿宋" w:cs="Times New Roman"/>
                <w:color w:val="auto"/>
                <w:sz w:val="21"/>
                <w:szCs w:val="21"/>
                <w:highlight w:val="none"/>
                <w:lang w:val="zh-CN"/>
              </w:rPr>
              <w:t>□</w:t>
            </w:r>
          </w:p>
        </w:tc>
        <w:tc>
          <w:tcPr>
            <w:tcW w:w="2129" w:type="pct"/>
            <w:gridSpan w:val="7"/>
            <w:shd w:val="clear" w:color="auto" w:fill="auto"/>
            <w:vAlign w:val="center"/>
          </w:tcPr>
          <w:p w14:paraId="029DB2F7">
            <w:pPr>
              <w:spacing w:line="360" w:lineRule="exact"/>
              <w:ind w:firstLine="0" w:firstLineChars="0"/>
              <w:jc w:val="center"/>
              <w:rPr>
                <w:rFonts w:cs="Times New Roman"/>
                <w:color w:val="auto"/>
                <w:sz w:val="21"/>
                <w:szCs w:val="21"/>
                <w:highlight w:val="none"/>
                <w:lang w:val="zh-CN"/>
              </w:rPr>
            </w:pPr>
            <w:r>
              <w:rPr>
                <w:rFonts w:eastAsia="仿宋" w:cs="Times New Roman"/>
                <w:color w:val="auto"/>
                <w:sz w:val="21"/>
                <w:szCs w:val="21"/>
                <w:highlight w:val="none"/>
                <w:lang w:val="zh-CN"/>
              </w:rPr>
              <w:t xml:space="preserve">500 ~ </w:t>
            </w:r>
            <w:r>
              <w:rPr>
                <w:rFonts w:cs="Times New Roman"/>
                <w:color w:val="auto"/>
                <w:sz w:val="21"/>
                <w:szCs w:val="21"/>
                <w:highlight w:val="none"/>
                <w:lang w:val="zh-CN"/>
              </w:rPr>
              <w:t>2000t/a</w:t>
            </w:r>
            <w:r>
              <w:rPr>
                <w:rFonts w:hint="eastAsia" w:eastAsia="仿宋" w:cs="Times New Roman"/>
                <w:color w:val="auto"/>
                <w:sz w:val="21"/>
                <w:szCs w:val="21"/>
                <w:highlight w:val="none"/>
                <w:lang w:val="zh-CN"/>
              </w:rPr>
              <w:t>☑</w:t>
            </w:r>
          </w:p>
        </w:tc>
        <w:tc>
          <w:tcPr>
            <w:tcW w:w="668" w:type="pct"/>
            <w:gridSpan w:val="2"/>
            <w:shd w:val="clear" w:color="auto" w:fill="auto"/>
            <w:vAlign w:val="center"/>
          </w:tcPr>
          <w:p w14:paraId="424FFFB9">
            <w:pPr>
              <w:spacing w:line="360" w:lineRule="exact"/>
              <w:ind w:firstLine="0" w:firstLineChars="0"/>
              <w:jc w:val="center"/>
              <w:rPr>
                <w:rFonts w:cs="Times New Roman"/>
                <w:color w:val="auto"/>
                <w:sz w:val="21"/>
                <w:szCs w:val="21"/>
                <w:highlight w:val="none"/>
                <w:lang w:val="zh-CN"/>
              </w:rPr>
            </w:pPr>
            <w:r>
              <w:rPr>
                <w:rFonts w:eastAsia="仿宋" w:cs="Times New Roman"/>
                <w:color w:val="auto"/>
                <w:sz w:val="21"/>
                <w:szCs w:val="21"/>
                <w:highlight w:val="none"/>
                <w:lang w:val="zh-CN"/>
              </w:rPr>
              <w:t>＜</w:t>
            </w:r>
            <w:r>
              <w:rPr>
                <w:rFonts w:cs="Times New Roman"/>
                <w:color w:val="auto"/>
                <w:sz w:val="21"/>
                <w:szCs w:val="21"/>
                <w:highlight w:val="none"/>
                <w:lang w:val="zh-CN"/>
              </w:rPr>
              <w:t>500 t/a</w:t>
            </w:r>
            <w:r>
              <w:rPr>
                <w:rFonts w:hint="eastAsia" w:eastAsia="仿宋" w:cs="Times New Roman"/>
                <w:color w:val="auto"/>
                <w:sz w:val="21"/>
                <w:szCs w:val="21"/>
                <w:highlight w:val="none"/>
                <w:lang w:val="zh-CN"/>
              </w:rPr>
              <w:t>□</w:t>
            </w:r>
          </w:p>
        </w:tc>
      </w:tr>
      <w:tr w14:paraId="43462CB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75" w:hRule="atLeast"/>
          <w:jc w:val="center"/>
        </w:trPr>
        <w:tc>
          <w:tcPr>
            <w:tcW w:w="413" w:type="pct"/>
            <w:vMerge w:val="continue"/>
            <w:shd w:val="clear" w:color="auto" w:fill="auto"/>
            <w:vAlign w:val="center"/>
          </w:tcPr>
          <w:p w14:paraId="429906E9">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14A19416">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评价因子</w:t>
            </w:r>
          </w:p>
        </w:tc>
        <w:tc>
          <w:tcPr>
            <w:tcW w:w="2219" w:type="pct"/>
            <w:gridSpan w:val="6"/>
            <w:shd w:val="clear" w:color="auto" w:fill="auto"/>
            <w:vAlign w:val="center"/>
          </w:tcPr>
          <w:p w14:paraId="11380E36">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基本污染物 (CO、O</w:t>
            </w:r>
            <w:r>
              <w:rPr>
                <w:rFonts w:cs="Times New Roman"/>
                <w:color w:val="auto"/>
                <w:sz w:val="21"/>
                <w:szCs w:val="21"/>
                <w:highlight w:val="none"/>
                <w:vertAlign w:val="subscript"/>
                <w:lang w:val="zh-CN"/>
              </w:rPr>
              <w:t>3</w:t>
            </w:r>
            <w:r>
              <w:rPr>
                <w:rFonts w:cs="Times New Roman"/>
                <w:color w:val="auto"/>
                <w:sz w:val="21"/>
                <w:szCs w:val="21"/>
                <w:highlight w:val="none"/>
                <w:lang w:val="zh-CN"/>
              </w:rPr>
              <w:t>、NO</w:t>
            </w:r>
            <w:r>
              <w:rPr>
                <w:rFonts w:cs="Times New Roman"/>
                <w:color w:val="auto"/>
                <w:sz w:val="21"/>
                <w:szCs w:val="21"/>
                <w:highlight w:val="none"/>
                <w:vertAlign w:val="subscript"/>
                <w:lang w:val="zh-CN"/>
              </w:rPr>
              <w:t>2</w:t>
            </w:r>
            <w:r>
              <w:rPr>
                <w:rFonts w:cs="Times New Roman"/>
                <w:color w:val="auto"/>
                <w:sz w:val="21"/>
                <w:szCs w:val="21"/>
                <w:highlight w:val="none"/>
                <w:lang w:val="zh-CN"/>
              </w:rPr>
              <w:t>、SO</w:t>
            </w:r>
            <w:r>
              <w:rPr>
                <w:rFonts w:cs="Times New Roman"/>
                <w:color w:val="auto"/>
                <w:sz w:val="21"/>
                <w:szCs w:val="21"/>
                <w:highlight w:val="none"/>
                <w:vertAlign w:val="subscript"/>
                <w:lang w:val="zh-CN"/>
              </w:rPr>
              <w:t>2</w:t>
            </w:r>
            <w:r>
              <w:rPr>
                <w:rFonts w:cs="Times New Roman"/>
                <w:color w:val="auto"/>
                <w:sz w:val="21"/>
                <w:szCs w:val="21"/>
                <w:highlight w:val="none"/>
                <w:lang w:val="zh-CN"/>
              </w:rPr>
              <w:t>、PM</w:t>
            </w:r>
            <w:r>
              <w:rPr>
                <w:rFonts w:cs="Times New Roman"/>
                <w:color w:val="auto"/>
                <w:sz w:val="21"/>
                <w:szCs w:val="21"/>
                <w:highlight w:val="none"/>
                <w:vertAlign w:val="subscript"/>
                <w:lang w:val="zh-CN"/>
              </w:rPr>
              <w:t>10</w:t>
            </w:r>
            <w:r>
              <w:rPr>
                <w:rFonts w:cs="Times New Roman"/>
                <w:color w:val="auto"/>
                <w:sz w:val="21"/>
                <w:szCs w:val="21"/>
                <w:highlight w:val="none"/>
                <w:lang w:val="zh-CN"/>
              </w:rPr>
              <w:t>、PM</w:t>
            </w:r>
            <w:r>
              <w:rPr>
                <w:rFonts w:cs="Times New Roman"/>
                <w:color w:val="auto"/>
                <w:sz w:val="21"/>
                <w:szCs w:val="21"/>
                <w:highlight w:val="none"/>
                <w:vertAlign w:val="subscript"/>
                <w:lang w:val="zh-CN"/>
              </w:rPr>
              <w:t>2.5</w:t>
            </w:r>
            <w:r>
              <w:rPr>
                <w:rFonts w:cs="Times New Roman"/>
                <w:color w:val="auto"/>
                <w:sz w:val="21"/>
                <w:szCs w:val="21"/>
                <w:highlight w:val="none"/>
                <w:lang w:val="zh-CN"/>
              </w:rPr>
              <w:t>)</w:t>
            </w:r>
          </w:p>
          <w:p w14:paraId="1C1EAAC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lang w:val="zh-CN"/>
              </w:rPr>
              <w:t>其他污染物</w:t>
            </w:r>
            <w:r>
              <w:rPr>
                <w:rFonts w:cs="Times New Roman"/>
                <w:color w:val="auto"/>
                <w:sz w:val="21"/>
                <w:szCs w:val="21"/>
                <w:highlight w:val="none"/>
              </w:rPr>
              <w:t xml:space="preserve"> (NH</w:t>
            </w:r>
            <w:r>
              <w:rPr>
                <w:rFonts w:cs="Times New Roman"/>
                <w:color w:val="auto"/>
                <w:sz w:val="21"/>
                <w:szCs w:val="21"/>
                <w:highlight w:val="none"/>
                <w:vertAlign w:val="subscript"/>
              </w:rPr>
              <w:t>3</w:t>
            </w:r>
            <w:r>
              <w:rPr>
                <w:rFonts w:cs="Times New Roman"/>
                <w:color w:val="auto"/>
                <w:sz w:val="21"/>
                <w:szCs w:val="21"/>
                <w:highlight w:val="none"/>
                <w:lang w:val="zh-CN"/>
              </w:rPr>
              <w:t>、</w:t>
            </w:r>
            <w:r>
              <w:rPr>
                <w:rFonts w:cs="Times New Roman"/>
                <w:color w:val="auto"/>
                <w:sz w:val="21"/>
                <w:szCs w:val="21"/>
                <w:highlight w:val="none"/>
              </w:rPr>
              <w:t>H</w:t>
            </w:r>
            <w:r>
              <w:rPr>
                <w:rFonts w:cs="Times New Roman"/>
                <w:color w:val="auto"/>
                <w:sz w:val="21"/>
                <w:szCs w:val="21"/>
                <w:highlight w:val="none"/>
                <w:vertAlign w:val="subscript"/>
              </w:rPr>
              <w:t>2</w:t>
            </w:r>
            <w:r>
              <w:rPr>
                <w:rFonts w:cs="Times New Roman"/>
                <w:color w:val="auto"/>
                <w:sz w:val="21"/>
                <w:szCs w:val="21"/>
                <w:highlight w:val="none"/>
              </w:rPr>
              <w:t>S)</w:t>
            </w:r>
          </w:p>
        </w:tc>
        <w:tc>
          <w:tcPr>
            <w:tcW w:w="1785" w:type="pct"/>
            <w:gridSpan w:val="5"/>
            <w:shd w:val="clear" w:color="auto" w:fill="auto"/>
            <w:vAlign w:val="center"/>
          </w:tcPr>
          <w:p w14:paraId="0DD4599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lang w:val="zh-CN"/>
              </w:rPr>
              <w:t>包括二次</w:t>
            </w:r>
            <w:r>
              <w:rPr>
                <w:rFonts w:cs="Times New Roman"/>
                <w:color w:val="auto"/>
                <w:sz w:val="21"/>
                <w:szCs w:val="21"/>
                <w:highlight w:val="none"/>
              </w:rPr>
              <w:t>PM</w:t>
            </w:r>
            <w:r>
              <w:rPr>
                <w:rFonts w:cs="Times New Roman"/>
                <w:color w:val="auto"/>
                <w:sz w:val="21"/>
                <w:szCs w:val="21"/>
                <w:highlight w:val="none"/>
                <w:vertAlign w:val="subscript"/>
              </w:rPr>
              <w:t>2.5</w:t>
            </w:r>
            <w:r>
              <w:rPr>
                <w:rFonts w:eastAsia="仿宋" w:cs="Times New Roman"/>
                <w:color w:val="auto"/>
                <w:sz w:val="21"/>
                <w:szCs w:val="21"/>
                <w:highlight w:val="none"/>
              </w:rPr>
              <w:t>□</w:t>
            </w:r>
          </w:p>
          <w:p w14:paraId="0D1F5DD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lang w:val="zh-CN"/>
              </w:rPr>
              <w:t>不包括二次</w:t>
            </w:r>
            <w:r>
              <w:rPr>
                <w:rFonts w:cs="Times New Roman"/>
                <w:color w:val="auto"/>
                <w:sz w:val="21"/>
                <w:szCs w:val="21"/>
                <w:highlight w:val="none"/>
              </w:rPr>
              <w:t>PM</w:t>
            </w:r>
            <w:r>
              <w:rPr>
                <w:rFonts w:cs="Times New Roman"/>
                <w:color w:val="auto"/>
                <w:sz w:val="21"/>
                <w:szCs w:val="21"/>
                <w:highlight w:val="none"/>
                <w:vertAlign w:val="subscript"/>
              </w:rPr>
              <w:t>2.5</w:t>
            </w:r>
            <w:r>
              <w:rPr>
                <w:rFonts w:eastAsia="仿宋" w:cs="Times New Roman"/>
                <w:color w:val="auto"/>
                <w:sz w:val="21"/>
                <w:szCs w:val="21"/>
                <w:highlight w:val="none"/>
              </w:rPr>
              <w:t>√</w:t>
            </w:r>
          </w:p>
        </w:tc>
      </w:tr>
      <w:tr w14:paraId="4E4D60C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97" w:hRule="atLeast"/>
          <w:jc w:val="center"/>
        </w:trPr>
        <w:tc>
          <w:tcPr>
            <w:tcW w:w="413" w:type="pct"/>
            <w:shd w:val="clear" w:color="auto" w:fill="auto"/>
            <w:vAlign w:val="center"/>
          </w:tcPr>
          <w:p w14:paraId="407720C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评价标准</w:t>
            </w:r>
          </w:p>
        </w:tc>
        <w:tc>
          <w:tcPr>
            <w:tcW w:w="581" w:type="pct"/>
            <w:shd w:val="clear" w:color="auto" w:fill="auto"/>
            <w:vAlign w:val="center"/>
          </w:tcPr>
          <w:p w14:paraId="778EDC45">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评价标准</w:t>
            </w:r>
          </w:p>
        </w:tc>
        <w:tc>
          <w:tcPr>
            <w:tcW w:w="1207" w:type="pct"/>
            <w:gridSpan w:val="2"/>
            <w:shd w:val="clear" w:color="auto" w:fill="auto"/>
            <w:vAlign w:val="center"/>
          </w:tcPr>
          <w:p w14:paraId="54907E8B">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国家标准</w:t>
            </w:r>
            <w:r>
              <w:rPr>
                <w:rFonts w:eastAsia="仿宋" w:cs="Times New Roman"/>
                <w:color w:val="auto"/>
                <w:sz w:val="21"/>
                <w:szCs w:val="21"/>
                <w:highlight w:val="none"/>
                <w:lang w:val="zh-CN"/>
              </w:rPr>
              <w:t>√</w:t>
            </w:r>
          </w:p>
        </w:tc>
        <w:tc>
          <w:tcPr>
            <w:tcW w:w="1012" w:type="pct"/>
            <w:gridSpan w:val="4"/>
            <w:shd w:val="clear" w:color="auto" w:fill="auto"/>
            <w:vAlign w:val="center"/>
          </w:tcPr>
          <w:p w14:paraId="5B486D4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地方标准 </w:t>
            </w:r>
            <w:r>
              <w:rPr>
                <w:rFonts w:eastAsia="仿宋" w:cs="Times New Roman"/>
                <w:color w:val="auto"/>
                <w:sz w:val="21"/>
                <w:szCs w:val="21"/>
                <w:highlight w:val="none"/>
                <w:lang w:val="zh-CN"/>
              </w:rPr>
              <w:t>□</w:t>
            </w:r>
          </w:p>
        </w:tc>
        <w:tc>
          <w:tcPr>
            <w:tcW w:w="1117" w:type="pct"/>
            <w:gridSpan w:val="3"/>
            <w:shd w:val="clear" w:color="auto" w:fill="auto"/>
            <w:vAlign w:val="center"/>
          </w:tcPr>
          <w:p w14:paraId="1453A3B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附录D </w:t>
            </w:r>
            <w:r>
              <w:rPr>
                <w:rFonts w:eastAsia="仿宋" w:cs="Times New Roman"/>
                <w:color w:val="auto"/>
                <w:sz w:val="21"/>
                <w:szCs w:val="21"/>
                <w:highlight w:val="none"/>
                <w:lang w:val="zh-CN"/>
              </w:rPr>
              <w:t>√</w:t>
            </w:r>
          </w:p>
        </w:tc>
        <w:tc>
          <w:tcPr>
            <w:tcW w:w="668" w:type="pct"/>
            <w:gridSpan w:val="2"/>
            <w:shd w:val="clear" w:color="auto" w:fill="auto"/>
            <w:vAlign w:val="center"/>
          </w:tcPr>
          <w:p w14:paraId="41C02DEB">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其他标准 </w:t>
            </w:r>
            <w:r>
              <w:rPr>
                <w:rFonts w:eastAsia="仿宋" w:cs="Times New Roman"/>
                <w:color w:val="auto"/>
                <w:sz w:val="21"/>
                <w:szCs w:val="21"/>
                <w:highlight w:val="none"/>
                <w:lang w:val="zh-CN"/>
              </w:rPr>
              <w:t>□</w:t>
            </w:r>
          </w:p>
        </w:tc>
      </w:tr>
      <w:tr w14:paraId="54A385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3" w:hRule="atLeast"/>
          <w:jc w:val="center"/>
        </w:trPr>
        <w:tc>
          <w:tcPr>
            <w:tcW w:w="413" w:type="pct"/>
            <w:vMerge w:val="restart"/>
            <w:shd w:val="clear" w:color="auto" w:fill="auto"/>
            <w:vAlign w:val="center"/>
          </w:tcPr>
          <w:p w14:paraId="02892F71">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现状评价</w:t>
            </w:r>
          </w:p>
        </w:tc>
        <w:tc>
          <w:tcPr>
            <w:tcW w:w="581" w:type="pct"/>
            <w:shd w:val="clear" w:color="auto" w:fill="auto"/>
            <w:vAlign w:val="center"/>
          </w:tcPr>
          <w:p w14:paraId="0ABE8A64">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环境功能区</w:t>
            </w:r>
          </w:p>
        </w:tc>
        <w:tc>
          <w:tcPr>
            <w:tcW w:w="1207" w:type="pct"/>
            <w:gridSpan w:val="2"/>
            <w:shd w:val="clear" w:color="auto" w:fill="auto"/>
            <w:vAlign w:val="center"/>
          </w:tcPr>
          <w:p w14:paraId="2FF411FC">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一类区</w:t>
            </w:r>
            <w:r>
              <w:rPr>
                <w:rFonts w:eastAsia="仿宋" w:cs="Times New Roman"/>
                <w:color w:val="auto"/>
                <w:sz w:val="21"/>
                <w:szCs w:val="21"/>
                <w:highlight w:val="none"/>
                <w:lang w:val="zh-CN"/>
              </w:rPr>
              <w:t>□</w:t>
            </w:r>
          </w:p>
        </w:tc>
        <w:tc>
          <w:tcPr>
            <w:tcW w:w="1012" w:type="pct"/>
            <w:gridSpan w:val="4"/>
            <w:shd w:val="clear" w:color="auto" w:fill="auto"/>
            <w:vAlign w:val="center"/>
          </w:tcPr>
          <w:p w14:paraId="75EA1691">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二类区</w:t>
            </w:r>
            <w:r>
              <w:rPr>
                <w:rFonts w:eastAsia="仿宋" w:cs="Times New Roman"/>
                <w:color w:val="auto"/>
                <w:sz w:val="21"/>
                <w:szCs w:val="21"/>
                <w:highlight w:val="none"/>
                <w:lang w:val="zh-CN"/>
              </w:rPr>
              <w:t>√</w:t>
            </w:r>
          </w:p>
        </w:tc>
        <w:tc>
          <w:tcPr>
            <w:tcW w:w="1785" w:type="pct"/>
            <w:gridSpan w:val="5"/>
            <w:shd w:val="clear" w:color="auto" w:fill="auto"/>
            <w:vAlign w:val="center"/>
          </w:tcPr>
          <w:p w14:paraId="1A3A8CE6">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一类区和二类区</w:t>
            </w:r>
            <w:r>
              <w:rPr>
                <w:rFonts w:eastAsia="仿宋" w:cs="Times New Roman"/>
                <w:color w:val="auto"/>
                <w:sz w:val="21"/>
                <w:szCs w:val="21"/>
                <w:highlight w:val="none"/>
                <w:lang w:val="zh-CN"/>
              </w:rPr>
              <w:t>□</w:t>
            </w:r>
          </w:p>
        </w:tc>
      </w:tr>
      <w:tr w14:paraId="1A9B12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3" w:hRule="atLeast"/>
          <w:jc w:val="center"/>
        </w:trPr>
        <w:tc>
          <w:tcPr>
            <w:tcW w:w="413" w:type="pct"/>
            <w:vMerge w:val="continue"/>
            <w:shd w:val="clear" w:color="auto" w:fill="auto"/>
            <w:vAlign w:val="center"/>
          </w:tcPr>
          <w:p w14:paraId="6DBA9DED">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2DF8C9E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评价基准年</w:t>
            </w:r>
          </w:p>
        </w:tc>
        <w:tc>
          <w:tcPr>
            <w:tcW w:w="4004" w:type="pct"/>
            <w:gridSpan w:val="11"/>
            <w:shd w:val="clear" w:color="auto" w:fill="auto"/>
            <w:vAlign w:val="center"/>
          </w:tcPr>
          <w:p w14:paraId="2E7BC545">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（20</w:t>
            </w:r>
            <w:r>
              <w:rPr>
                <w:rFonts w:cs="Times New Roman"/>
                <w:color w:val="auto"/>
                <w:sz w:val="21"/>
                <w:szCs w:val="21"/>
                <w:highlight w:val="none"/>
              </w:rPr>
              <w:t>2</w:t>
            </w:r>
            <w:r>
              <w:rPr>
                <w:rFonts w:hint="eastAsia" w:cs="Times New Roman"/>
                <w:color w:val="auto"/>
                <w:sz w:val="21"/>
                <w:szCs w:val="21"/>
                <w:highlight w:val="none"/>
                <w:lang w:val="en-US" w:eastAsia="zh-CN"/>
              </w:rPr>
              <w:t>4</w:t>
            </w:r>
            <w:r>
              <w:rPr>
                <w:rFonts w:cs="Times New Roman"/>
                <w:color w:val="auto"/>
                <w:sz w:val="21"/>
                <w:szCs w:val="21"/>
                <w:highlight w:val="none"/>
                <w:lang w:val="zh-CN"/>
              </w:rPr>
              <w:t>）年</w:t>
            </w:r>
          </w:p>
        </w:tc>
      </w:tr>
      <w:tr w14:paraId="41C0C0F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97" w:hRule="atLeast"/>
          <w:jc w:val="center"/>
        </w:trPr>
        <w:tc>
          <w:tcPr>
            <w:tcW w:w="413" w:type="pct"/>
            <w:vMerge w:val="continue"/>
            <w:shd w:val="clear" w:color="auto" w:fill="auto"/>
            <w:vAlign w:val="center"/>
          </w:tcPr>
          <w:p w14:paraId="26AA8EE0">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346F7983">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环境空气质量</w:t>
            </w:r>
            <w:r>
              <w:rPr>
                <w:rFonts w:cs="Times New Roman"/>
                <w:color w:val="auto"/>
                <w:sz w:val="21"/>
                <w:szCs w:val="21"/>
                <w:highlight w:val="none"/>
                <w:lang w:val="zh-CN"/>
              </w:rPr>
              <w:br w:type="textWrapping"/>
            </w:r>
            <w:r>
              <w:rPr>
                <w:rFonts w:cs="Times New Roman"/>
                <w:color w:val="auto"/>
                <w:sz w:val="21"/>
                <w:szCs w:val="21"/>
                <w:highlight w:val="none"/>
                <w:lang w:val="zh-CN"/>
              </w:rPr>
              <w:t>现状调查数据来源</w:t>
            </w:r>
          </w:p>
        </w:tc>
        <w:tc>
          <w:tcPr>
            <w:tcW w:w="1207" w:type="pct"/>
            <w:gridSpan w:val="2"/>
            <w:shd w:val="clear" w:color="auto" w:fill="auto"/>
            <w:vAlign w:val="center"/>
          </w:tcPr>
          <w:p w14:paraId="55014D70">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长期例行监测数据</w:t>
            </w:r>
            <w:r>
              <w:rPr>
                <w:rFonts w:eastAsia="仿宋" w:cs="Times New Roman"/>
                <w:color w:val="auto"/>
                <w:sz w:val="21"/>
                <w:szCs w:val="21"/>
                <w:highlight w:val="none"/>
                <w:lang w:val="zh-CN"/>
              </w:rPr>
              <w:t>□</w:t>
            </w:r>
          </w:p>
        </w:tc>
        <w:tc>
          <w:tcPr>
            <w:tcW w:w="2129" w:type="pct"/>
            <w:gridSpan w:val="7"/>
            <w:shd w:val="clear" w:color="auto" w:fill="auto"/>
            <w:vAlign w:val="center"/>
          </w:tcPr>
          <w:p w14:paraId="32C3640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主管部门发布的数据</w:t>
            </w:r>
            <w:r>
              <w:rPr>
                <w:rFonts w:eastAsia="仿宋" w:cs="Times New Roman"/>
                <w:color w:val="auto"/>
                <w:sz w:val="21"/>
                <w:szCs w:val="21"/>
                <w:highlight w:val="none"/>
                <w:lang w:val="zh-CN"/>
              </w:rPr>
              <w:t>√</w:t>
            </w:r>
          </w:p>
        </w:tc>
        <w:tc>
          <w:tcPr>
            <w:tcW w:w="668" w:type="pct"/>
            <w:gridSpan w:val="2"/>
            <w:shd w:val="clear" w:color="auto" w:fill="auto"/>
            <w:vAlign w:val="center"/>
          </w:tcPr>
          <w:p w14:paraId="3005039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现状补充监测</w:t>
            </w:r>
            <w:r>
              <w:rPr>
                <w:rFonts w:eastAsia="仿宋" w:cs="Times New Roman"/>
                <w:color w:val="auto"/>
                <w:sz w:val="21"/>
                <w:szCs w:val="21"/>
                <w:highlight w:val="none"/>
                <w:lang w:val="zh-CN"/>
              </w:rPr>
              <w:t>√</w:t>
            </w:r>
          </w:p>
        </w:tc>
      </w:tr>
      <w:tr w14:paraId="0E5226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37" w:hRule="atLeast"/>
          <w:jc w:val="center"/>
        </w:trPr>
        <w:tc>
          <w:tcPr>
            <w:tcW w:w="413" w:type="pct"/>
            <w:vMerge w:val="continue"/>
            <w:shd w:val="clear" w:color="auto" w:fill="auto"/>
            <w:vAlign w:val="center"/>
          </w:tcPr>
          <w:p w14:paraId="7BAAB883">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1175B8EE">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现状评价</w:t>
            </w:r>
          </w:p>
        </w:tc>
        <w:tc>
          <w:tcPr>
            <w:tcW w:w="2219" w:type="pct"/>
            <w:gridSpan w:val="6"/>
            <w:shd w:val="clear" w:color="auto" w:fill="auto"/>
            <w:vAlign w:val="center"/>
          </w:tcPr>
          <w:p w14:paraId="2A0EF0E5">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达标区</w:t>
            </w:r>
            <w:r>
              <w:rPr>
                <w:rFonts w:eastAsia="仿宋" w:cs="Times New Roman"/>
                <w:color w:val="auto"/>
                <w:sz w:val="21"/>
                <w:szCs w:val="21"/>
                <w:highlight w:val="none"/>
                <w:lang w:val="zh-CN"/>
              </w:rPr>
              <w:sym w:font="Wingdings 2" w:char="0052"/>
            </w:r>
          </w:p>
        </w:tc>
        <w:tc>
          <w:tcPr>
            <w:tcW w:w="1785" w:type="pct"/>
            <w:gridSpan w:val="5"/>
            <w:shd w:val="clear" w:color="auto" w:fill="auto"/>
            <w:vAlign w:val="center"/>
          </w:tcPr>
          <w:p w14:paraId="7696CFA3">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不达标区</w:t>
            </w:r>
            <w:r>
              <w:rPr>
                <w:rFonts w:eastAsia="仿宋" w:cs="Times New Roman"/>
                <w:color w:val="auto"/>
                <w:sz w:val="21"/>
                <w:szCs w:val="21"/>
                <w:highlight w:val="none"/>
                <w:lang w:val="zh-CN"/>
              </w:rPr>
              <w:sym w:font="Wingdings 2" w:char="00A3"/>
            </w:r>
          </w:p>
        </w:tc>
      </w:tr>
      <w:tr w14:paraId="1D9F65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119" w:hRule="atLeast"/>
          <w:jc w:val="center"/>
        </w:trPr>
        <w:tc>
          <w:tcPr>
            <w:tcW w:w="413" w:type="pct"/>
            <w:shd w:val="clear" w:color="auto" w:fill="auto"/>
            <w:vAlign w:val="center"/>
          </w:tcPr>
          <w:p w14:paraId="01223E01">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污染源</w:t>
            </w:r>
            <w:r>
              <w:rPr>
                <w:rFonts w:cs="Times New Roman"/>
                <w:color w:val="auto"/>
                <w:sz w:val="21"/>
                <w:szCs w:val="21"/>
                <w:highlight w:val="none"/>
                <w:lang w:val="zh-CN"/>
              </w:rPr>
              <w:br w:type="textWrapping"/>
            </w:r>
            <w:r>
              <w:rPr>
                <w:rFonts w:cs="Times New Roman"/>
                <w:color w:val="auto"/>
                <w:sz w:val="21"/>
                <w:szCs w:val="21"/>
                <w:highlight w:val="none"/>
                <w:lang w:val="zh-CN"/>
              </w:rPr>
              <w:t>调查</w:t>
            </w:r>
          </w:p>
        </w:tc>
        <w:tc>
          <w:tcPr>
            <w:tcW w:w="581" w:type="pct"/>
            <w:shd w:val="clear" w:color="auto" w:fill="auto"/>
            <w:vAlign w:val="center"/>
          </w:tcPr>
          <w:p w14:paraId="2B61D00D">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调查内容</w:t>
            </w:r>
          </w:p>
        </w:tc>
        <w:tc>
          <w:tcPr>
            <w:tcW w:w="1207" w:type="pct"/>
            <w:gridSpan w:val="2"/>
            <w:shd w:val="clear" w:color="auto" w:fill="auto"/>
            <w:vAlign w:val="center"/>
          </w:tcPr>
          <w:p w14:paraId="53E4C4B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本项目正常排放源 </w:t>
            </w:r>
            <w:r>
              <w:rPr>
                <w:rFonts w:eastAsia="仿宋" w:cs="Times New Roman"/>
                <w:color w:val="auto"/>
                <w:sz w:val="21"/>
                <w:szCs w:val="21"/>
                <w:highlight w:val="none"/>
                <w:lang w:val="zh-CN"/>
              </w:rPr>
              <w:t>√</w:t>
            </w:r>
          </w:p>
          <w:p w14:paraId="246C9AF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本项目非正常排放源 </w:t>
            </w:r>
            <w:r>
              <w:rPr>
                <w:rFonts w:eastAsia="仿宋" w:cs="Times New Roman"/>
                <w:color w:val="auto"/>
                <w:sz w:val="21"/>
                <w:szCs w:val="21"/>
                <w:highlight w:val="none"/>
                <w:lang w:val="zh-CN"/>
              </w:rPr>
              <w:t>√</w:t>
            </w:r>
          </w:p>
          <w:p w14:paraId="158A0F75">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现有污染源 </w:t>
            </w:r>
            <w:r>
              <w:rPr>
                <w:rFonts w:eastAsia="仿宋" w:cs="Times New Roman"/>
                <w:color w:val="auto"/>
                <w:sz w:val="21"/>
                <w:szCs w:val="21"/>
                <w:highlight w:val="none"/>
                <w:lang w:val="zh-CN"/>
              </w:rPr>
              <w:t>□</w:t>
            </w:r>
          </w:p>
        </w:tc>
        <w:tc>
          <w:tcPr>
            <w:tcW w:w="1012" w:type="pct"/>
            <w:gridSpan w:val="4"/>
            <w:shd w:val="clear" w:color="auto" w:fill="auto"/>
            <w:vAlign w:val="center"/>
          </w:tcPr>
          <w:p w14:paraId="34C886D6">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拟替代的污染源</w:t>
            </w:r>
            <w:r>
              <w:rPr>
                <w:rFonts w:eastAsia="仿宋" w:cs="Times New Roman"/>
                <w:color w:val="auto"/>
                <w:sz w:val="21"/>
                <w:szCs w:val="21"/>
                <w:highlight w:val="none"/>
                <w:lang w:val="zh-CN"/>
              </w:rPr>
              <w:t>□</w:t>
            </w:r>
          </w:p>
        </w:tc>
        <w:tc>
          <w:tcPr>
            <w:tcW w:w="1117" w:type="pct"/>
            <w:gridSpan w:val="3"/>
            <w:shd w:val="clear" w:color="auto" w:fill="auto"/>
            <w:vAlign w:val="center"/>
          </w:tcPr>
          <w:p w14:paraId="0E637852">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其他在建、拟建项目污染源</w:t>
            </w:r>
            <w:r>
              <w:rPr>
                <w:rFonts w:eastAsia="仿宋" w:cs="Times New Roman"/>
                <w:color w:val="auto"/>
                <w:sz w:val="21"/>
                <w:szCs w:val="21"/>
                <w:highlight w:val="none"/>
                <w:lang w:val="zh-CN"/>
              </w:rPr>
              <w:t>□</w:t>
            </w:r>
          </w:p>
        </w:tc>
        <w:tc>
          <w:tcPr>
            <w:tcW w:w="668" w:type="pct"/>
            <w:gridSpan w:val="2"/>
            <w:shd w:val="clear" w:color="auto" w:fill="auto"/>
            <w:vAlign w:val="center"/>
          </w:tcPr>
          <w:p w14:paraId="41952BD1">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区域污染源</w:t>
            </w:r>
            <w:r>
              <w:rPr>
                <w:rFonts w:eastAsia="仿宋" w:cs="Times New Roman"/>
                <w:color w:val="auto"/>
                <w:sz w:val="21"/>
                <w:szCs w:val="21"/>
                <w:highlight w:val="none"/>
                <w:lang w:val="zh-CN"/>
              </w:rPr>
              <w:t>□</w:t>
            </w:r>
          </w:p>
        </w:tc>
      </w:tr>
      <w:tr w14:paraId="352D5E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119" w:hRule="atLeast"/>
          <w:jc w:val="center"/>
        </w:trPr>
        <w:tc>
          <w:tcPr>
            <w:tcW w:w="413" w:type="pct"/>
            <w:vMerge w:val="restart"/>
            <w:shd w:val="clear" w:color="auto" w:fill="auto"/>
            <w:vAlign w:val="center"/>
          </w:tcPr>
          <w:p w14:paraId="3DF5541F">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大气环境影响预测与</w:t>
            </w:r>
            <w:r>
              <w:rPr>
                <w:rFonts w:cs="Times New Roman"/>
                <w:color w:val="auto"/>
                <w:sz w:val="21"/>
                <w:szCs w:val="21"/>
                <w:highlight w:val="none"/>
                <w:lang w:val="zh-CN"/>
              </w:rPr>
              <w:br w:type="textWrapping"/>
            </w:r>
            <w:r>
              <w:rPr>
                <w:rFonts w:cs="Times New Roman"/>
                <w:color w:val="auto"/>
                <w:sz w:val="21"/>
                <w:szCs w:val="21"/>
                <w:highlight w:val="none"/>
                <w:lang w:val="zh-CN"/>
              </w:rPr>
              <w:t>评价</w:t>
            </w:r>
          </w:p>
        </w:tc>
        <w:tc>
          <w:tcPr>
            <w:tcW w:w="581" w:type="pct"/>
            <w:shd w:val="clear" w:color="auto" w:fill="auto"/>
            <w:vAlign w:val="center"/>
          </w:tcPr>
          <w:p w14:paraId="617F3622">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预测模型</w:t>
            </w:r>
          </w:p>
        </w:tc>
        <w:tc>
          <w:tcPr>
            <w:tcW w:w="747" w:type="pct"/>
            <w:shd w:val="clear" w:color="auto" w:fill="auto"/>
            <w:vAlign w:val="center"/>
          </w:tcPr>
          <w:p w14:paraId="2C2359D2">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AERMOD</w:t>
            </w:r>
            <w:r>
              <w:rPr>
                <w:rFonts w:cs="Times New Roman"/>
                <w:color w:val="auto"/>
                <w:sz w:val="21"/>
                <w:szCs w:val="21"/>
                <w:highlight w:val="none"/>
                <w:lang w:val="zh-CN"/>
              </w:rPr>
              <w:br w:type="textWrapping"/>
            </w:r>
            <w:r>
              <w:rPr>
                <w:rFonts w:eastAsia="仿宋" w:cs="Times New Roman"/>
                <w:color w:val="auto"/>
                <w:sz w:val="21"/>
                <w:szCs w:val="21"/>
                <w:highlight w:val="none"/>
                <w:lang w:val="zh-CN"/>
              </w:rPr>
              <w:sym w:font="Wingdings 2" w:char="0052"/>
            </w:r>
          </w:p>
        </w:tc>
        <w:tc>
          <w:tcPr>
            <w:tcW w:w="460" w:type="pct"/>
            <w:shd w:val="clear" w:color="auto" w:fill="auto"/>
            <w:vAlign w:val="center"/>
          </w:tcPr>
          <w:p w14:paraId="78E2379F">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ADMS</w:t>
            </w:r>
            <w:r>
              <w:rPr>
                <w:rFonts w:cs="Times New Roman"/>
                <w:color w:val="auto"/>
                <w:sz w:val="21"/>
                <w:szCs w:val="21"/>
                <w:highlight w:val="none"/>
                <w:lang w:val="zh-CN"/>
              </w:rPr>
              <w:br w:type="textWrapping"/>
            </w:r>
            <w:r>
              <w:rPr>
                <w:rFonts w:eastAsia="仿宋" w:cs="Times New Roman"/>
                <w:color w:val="auto"/>
                <w:sz w:val="21"/>
                <w:szCs w:val="21"/>
                <w:highlight w:val="none"/>
                <w:lang w:val="zh-CN"/>
              </w:rPr>
              <w:t>□</w:t>
            </w:r>
          </w:p>
        </w:tc>
        <w:tc>
          <w:tcPr>
            <w:tcW w:w="770" w:type="pct"/>
            <w:gridSpan w:val="2"/>
            <w:shd w:val="clear" w:color="auto" w:fill="auto"/>
            <w:vAlign w:val="center"/>
          </w:tcPr>
          <w:p w14:paraId="61BB8FB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AUSTAL2000</w:t>
            </w:r>
            <w:r>
              <w:rPr>
                <w:rFonts w:cs="Times New Roman"/>
                <w:color w:val="auto"/>
                <w:sz w:val="21"/>
                <w:szCs w:val="21"/>
                <w:highlight w:val="none"/>
                <w:lang w:val="zh-CN"/>
              </w:rPr>
              <w:br w:type="textWrapping"/>
            </w:r>
            <w:r>
              <w:rPr>
                <w:rFonts w:eastAsia="仿宋" w:cs="Times New Roman"/>
                <w:color w:val="auto"/>
                <w:sz w:val="21"/>
                <w:szCs w:val="21"/>
                <w:highlight w:val="none"/>
                <w:lang w:val="zh-CN"/>
              </w:rPr>
              <w:t>□</w:t>
            </w:r>
          </w:p>
        </w:tc>
        <w:tc>
          <w:tcPr>
            <w:tcW w:w="752" w:type="pct"/>
            <w:gridSpan w:val="3"/>
            <w:shd w:val="clear" w:color="auto" w:fill="auto"/>
            <w:vAlign w:val="center"/>
          </w:tcPr>
          <w:p w14:paraId="167DCF8D">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EDMS/AEDT</w:t>
            </w:r>
            <w:r>
              <w:rPr>
                <w:rFonts w:cs="Times New Roman"/>
                <w:color w:val="auto"/>
                <w:sz w:val="21"/>
                <w:szCs w:val="21"/>
                <w:highlight w:val="none"/>
                <w:lang w:val="zh-CN"/>
              </w:rPr>
              <w:br w:type="textWrapping"/>
            </w:r>
            <w:r>
              <w:rPr>
                <w:rFonts w:eastAsia="仿宋" w:cs="Times New Roman"/>
                <w:color w:val="auto"/>
                <w:sz w:val="21"/>
                <w:szCs w:val="21"/>
                <w:highlight w:val="none"/>
                <w:lang w:val="zh-CN"/>
              </w:rPr>
              <w:t>□</w:t>
            </w:r>
          </w:p>
        </w:tc>
        <w:tc>
          <w:tcPr>
            <w:tcW w:w="607" w:type="pct"/>
            <w:gridSpan w:val="2"/>
            <w:shd w:val="clear" w:color="auto" w:fill="auto"/>
            <w:vAlign w:val="center"/>
          </w:tcPr>
          <w:p w14:paraId="790BDFE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CALPUFF</w:t>
            </w:r>
            <w:r>
              <w:rPr>
                <w:rFonts w:cs="Times New Roman"/>
                <w:color w:val="auto"/>
                <w:sz w:val="21"/>
                <w:szCs w:val="21"/>
                <w:highlight w:val="none"/>
                <w:lang w:val="zh-CN"/>
              </w:rPr>
              <w:br w:type="textWrapping"/>
            </w:r>
            <w:r>
              <w:rPr>
                <w:rFonts w:eastAsia="仿宋" w:cs="Times New Roman"/>
                <w:color w:val="auto"/>
                <w:sz w:val="21"/>
                <w:szCs w:val="21"/>
                <w:highlight w:val="none"/>
                <w:lang w:val="zh-CN"/>
              </w:rPr>
              <w:t>□</w:t>
            </w:r>
          </w:p>
        </w:tc>
        <w:tc>
          <w:tcPr>
            <w:tcW w:w="323" w:type="pct"/>
            <w:shd w:val="clear" w:color="auto" w:fill="auto"/>
            <w:vAlign w:val="center"/>
          </w:tcPr>
          <w:p w14:paraId="66A262A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网格模型</w:t>
            </w:r>
            <w:r>
              <w:rPr>
                <w:rFonts w:cs="Times New Roman"/>
                <w:color w:val="auto"/>
                <w:sz w:val="21"/>
                <w:szCs w:val="21"/>
                <w:highlight w:val="none"/>
                <w:lang w:val="zh-CN"/>
              </w:rPr>
              <w:br w:type="textWrapping"/>
            </w:r>
            <w:r>
              <w:rPr>
                <w:rFonts w:eastAsia="仿宋" w:cs="Times New Roman"/>
                <w:color w:val="auto"/>
                <w:sz w:val="21"/>
                <w:szCs w:val="21"/>
                <w:highlight w:val="none"/>
                <w:lang w:val="zh-CN"/>
              </w:rPr>
              <w:t>□</w:t>
            </w:r>
          </w:p>
        </w:tc>
        <w:tc>
          <w:tcPr>
            <w:tcW w:w="344" w:type="pct"/>
            <w:shd w:val="clear" w:color="auto" w:fill="auto"/>
            <w:vAlign w:val="center"/>
          </w:tcPr>
          <w:p w14:paraId="1AAF21B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其他</w:t>
            </w:r>
            <w:r>
              <w:rPr>
                <w:rFonts w:cs="Times New Roman"/>
                <w:color w:val="auto"/>
                <w:sz w:val="21"/>
                <w:szCs w:val="21"/>
                <w:highlight w:val="none"/>
                <w:lang w:val="zh-CN"/>
              </w:rPr>
              <w:br w:type="textWrapping"/>
            </w:r>
            <w:r>
              <w:rPr>
                <w:rFonts w:eastAsia="仿宋" w:cs="Times New Roman"/>
                <w:color w:val="auto"/>
                <w:sz w:val="21"/>
                <w:szCs w:val="21"/>
                <w:highlight w:val="none"/>
                <w:lang w:val="zh-CN"/>
              </w:rPr>
              <w:t>□</w:t>
            </w:r>
          </w:p>
        </w:tc>
      </w:tr>
      <w:tr w14:paraId="69800F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4" w:hRule="atLeast"/>
          <w:jc w:val="center"/>
        </w:trPr>
        <w:tc>
          <w:tcPr>
            <w:tcW w:w="413" w:type="pct"/>
            <w:vMerge w:val="continue"/>
            <w:shd w:val="clear" w:color="auto" w:fill="auto"/>
            <w:vAlign w:val="center"/>
          </w:tcPr>
          <w:p w14:paraId="72B14448">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219DE550">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预测范围</w:t>
            </w:r>
          </w:p>
        </w:tc>
        <w:tc>
          <w:tcPr>
            <w:tcW w:w="1207" w:type="pct"/>
            <w:gridSpan w:val="2"/>
            <w:shd w:val="clear" w:color="auto" w:fill="auto"/>
            <w:vAlign w:val="center"/>
          </w:tcPr>
          <w:p w14:paraId="119F0074">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边长</w:t>
            </w:r>
            <w:r>
              <w:rPr>
                <w:rFonts w:eastAsia="仿宋" w:cs="Times New Roman"/>
                <w:color w:val="auto"/>
                <w:sz w:val="21"/>
                <w:szCs w:val="21"/>
                <w:highlight w:val="none"/>
                <w:lang w:val="zh-CN"/>
              </w:rPr>
              <w:t>≥</w:t>
            </w:r>
            <w:r>
              <w:rPr>
                <w:rFonts w:cs="Times New Roman"/>
                <w:color w:val="auto"/>
                <w:sz w:val="21"/>
                <w:szCs w:val="21"/>
                <w:highlight w:val="none"/>
                <w:lang w:val="zh-CN"/>
              </w:rPr>
              <w:t xml:space="preserve"> 50km</w:t>
            </w:r>
            <w:r>
              <w:rPr>
                <w:rFonts w:eastAsia="仿宋" w:cs="Times New Roman"/>
                <w:color w:val="auto"/>
                <w:sz w:val="21"/>
                <w:szCs w:val="21"/>
                <w:highlight w:val="none"/>
                <w:lang w:val="zh-CN"/>
              </w:rPr>
              <w:t>□</w:t>
            </w:r>
          </w:p>
        </w:tc>
        <w:tc>
          <w:tcPr>
            <w:tcW w:w="2129" w:type="pct"/>
            <w:gridSpan w:val="7"/>
            <w:shd w:val="clear" w:color="auto" w:fill="auto"/>
            <w:vAlign w:val="center"/>
          </w:tcPr>
          <w:p w14:paraId="3350739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边长5～50km </w:t>
            </w:r>
            <w:r>
              <w:rPr>
                <w:rFonts w:eastAsia="仿宋" w:cs="Times New Roman"/>
                <w:color w:val="auto"/>
                <w:sz w:val="21"/>
                <w:szCs w:val="21"/>
                <w:highlight w:val="none"/>
                <w:lang w:val="zh-CN"/>
              </w:rPr>
              <w:t>□</w:t>
            </w:r>
          </w:p>
        </w:tc>
        <w:tc>
          <w:tcPr>
            <w:tcW w:w="668" w:type="pct"/>
            <w:gridSpan w:val="2"/>
            <w:shd w:val="clear" w:color="auto" w:fill="auto"/>
            <w:vAlign w:val="center"/>
          </w:tcPr>
          <w:p w14:paraId="66E92A7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边长 = 5 km </w:t>
            </w:r>
            <w:r>
              <w:rPr>
                <w:rFonts w:eastAsia="仿宋" w:cs="Times New Roman"/>
                <w:color w:val="auto"/>
                <w:sz w:val="21"/>
                <w:szCs w:val="21"/>
                <w:highlight w:val="none"/>
                <w:lang w:val="zh-CN"/>
              </w:rPr>
              <w:sym w:font="Wingdings 2" w:char="0052"/>
            </w:r>
          </w:p>
        </w:tc>
      </w:tr>
      <w:tr w14:paraId="273E89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34" w:hRule="atLeast"/>
          <w:jc w:val="center"/>
        </w:trPr>
        <w:tc>
          <w:tcPr>
            <w:tcW w:w="413" w:type="pct"/>
            <w:vMerge w:val="continue"/>
            <w:shd w:val="clear" w:color="auto" w:fill="auto"/>
            <w:vAlign w:val="center"/>
          </w:tcPr>
          <w:p w14:paraId="648BEB9E">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46C9B150">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预测因子</w:t>
            </w:r>
          </w:p>
        </w:tc>
        <w:tc>
          <w:tcPr>
            <w:tcW w:w="2219" w:type="pct"/>
            <w:gridSpan w:val="6"/>
            <w:shd w:val="clear" w:color="auto" w:fill="auto"/>
            <w:vAlign w:val="center"/>
          </w:tcPr>
          <w:p w14:paraId="174418F4">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预测因子( NH</w:t>
            </w:r>
            <w:r>
              <w:rPr>
                <w:rFonts w:cs="Times New Roman"/>
                <w:color w:val="auto"/>
                <w:sz w:val="21"/>
                <w:szCs w:val="21"/>
                <w:highlight w:val="none"/>
                <w:vertAlign w:val="subscript"/>
                <w:lang w:val="zh-CN"/>
              </w:rPr>
              <w:t>3</w:t>
            </w:r>
            <w:r>
              <w:rPr>
                <w:rFonts w:cs="Times New Roman"/>
                <w:color w:val="auto"/>
                <w:sz w:val="21"/>
                <w:szCs w:val="21"/>
                <w:highlight w:val="none"/>
                <w:lang w:val="zh-CN"/>
              </w:rPr>
              <w:t>、H</w:t>
            </w:r>
            <w:r>
              <w:rPr>
                <w:rFonts w:cs="Times New Roman"/>
                <w:color w:val="auto"/>
                <w:sz w:val="21"/>
                <w:szCs w:val="21"/>
                <w:highlight w:val="none"/>
                <w:vertAlign w:val="subscript"/>
                <w:lang w:val="zh-CN"/>
              </w:rPr>
              <w:t>2</w:t>
            </w:r>
            <w:r>
              <w:rPr>
                <w:rFonts w:cs="Times New Roman"/>
                <w:color w:val="auto"/>
                <w:sz w:val="21"/>
                <w:szCs w:val="21"/>
                <w:highlight w:val="none"/>
                <w:lang w:val="zh-CN"/>
              </w:rPr>
              <w:t>S )</w:t>
            </w:r>
          </w:p>
        </w:tc>
        <w:tc>
          <w:tcPr>
            <w:tcW w:w="1785" w:type="pct"/>
            <w:gridSpan w:val="5"/>
            <w:shd w:val="clear" w:color="auto" w:fill="auto"/>
            <w:vAlign w:val="center"/>
          </w:tcPr>
          <w:p w14:paraId="25B06C3C">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包括二次PM</w:t>
            </w:r>
            <w:r>
              <w:rPr>
                <w:rFonts w:cs="Times New Roman"/>
                <w:color w:val="auto"/>
                <w:sz w:val="21"/>
                <w:szCs w:val="21"/>
                <w:highlight w:val="none"/>
                <w:vertAlign w:val="subscript"/>
                <w:lang w:val="zh-CN"/>
              </w:rPr>
              <w:t>2.5</w:t>
            </w:r>
            <w:r>
              <w:rPr>
                <w:rFonts w:cs="Times New Roman"/>
                <w:color w:val="auto"/>
                <w:sz w:val="21"/>
                <w:szCs w:val="21"/>
                <w:highlight w:val="none"/>
                <w:lang w:val="zh-CN"/>
              </w:rPr>
              <w:t xml:space="preserve"> </w:t>
            </w:r>
            <w:r>
              <w:rPr>
                <w:rFonts w:eastAsia="仿宋" w:cs="Times New Roman"/>
                <w:color w:val="auto"/>
                <w:sz w:val="21"/>
                <w:szCs w:val="21"/>
                <w:highlight w:val="none"/>
                <w:lang w:val="zh-CN"/>
              </w:rPr>
              <w:t>□</w:t>
            </w:r>
          </w:p>
          <w:p w14:paraId="285E284D">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不包括二次PM</w:t>
            </w:r>
            <w:r>
              <w:rPr>
                <w:rFonts w:cs="Times New Roman"/>
                <w:color w:val="auto"/>
                <w:sz w:val="21"/>
                <w:szCs w:val="21"/>
                <w:highlight w:val="none"/>
                <w:vertAlign w:val="subscript"/>
                <w:lang w:val="zh-CN"/>
              </w:rPr>
              <w:t>2.5</w:t>
            </w:r>
            <w:r>
              <w:rPr>
                <w:rFonts w:cs="Times New Roman"/>
                <w:color w:val="auto"/>
                <w:sz w:val="21"/>
                <w:szCs w:val="21"/>
                <w:highlight w:val="none"/>
                <w:lang w:val="zh-CN"/>
              </w:rPr>
              <w:t xml:space="preserve"> </w:t>
            </w:r>
            <w:r>
              <w:rPr>
                <w:rFonts w:eastAsia="仿宋" w:cs="Times New Roman"/>
                <w:color w:val="auto"/>
                <w:sz w:val="21"/>
                <w:szCs w:val="21"/>
                <w:highlight w:val="none"/>
                <w:lang w:val="zh-CN"/>
              </w:rPr>
              <w:sym w:font="Wingdings 2" w:char="0052"/>
            </w:r>
          </w:p>
        </w:tc>
      </w:tr>
      <w:tr w14:paraId="73C7D5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75" w:hRule="atLeast"/>
          <w:jc w:val="center"/>
        </w:trPr>
        <w:tc>
          <w:tcPr>
            <w:tcW w:w="413" w:type="pct"/>
            <w:vMerge w:val="continue"/>
            <w:shd w:val="clear" w:color="auto" w:fill="auto"/>
            <w:vAlign w:val="center"/>
          </w:tcPr>
          <w:p w14:paraId="2112F322">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77E45CCE">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正常排放短期浓度</w:t>
            </w:r>
            <w:r>
              <w:rPr>
                <w:rFonts w:cs="Times New Roman"/>
                <w:color w:val="auto"/>
                <w:sz w:val="21"/>
                <w:szCs w:val="21"/>
                <w:highlight w:val="none"/>
                <w:lang w:val="zh-CN"/>
              </w:rPr>
              <w:br w:type="textWrapping"/>
            </w:r>
            <w:r>
              <w:rPr>
                <w:rFonts w:cs="Times New Roman"/>
                <w:color w:val="auto"/>
                <w:sz w:val="21"/>
                <w:szCs w:val="21"/>
                <w:highlight w:val="none"/>
                <w:lang w:val="zh-CN"/>
              </w:rPr>
              <w:t>贡献值</w:t>
            </w:r>
          </w:p>
        </w:tc>
        <w:tc>
          <w:tcPr>
            <w:tcW w:w="2219" w:type="pct"/>
            <w:gridSpan w:val="6"/>
            <w:shd w:val="clear" w:color="auto" w:fill="auto"/>
            <w:vAlign w:val="center"/>
          </w:tcPr>
          <w:p w14:paraId="78728AB1">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本项目</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最大占标率</w:t>
            </w:r>
            <w:r>
              <w:rPr>
                <w:rFonts w:eastAsia="仿宋" w:cs="Times New Roman"/>
                <w:color w:val="auto"/>
                <w:sz w:val="21"/>
                <w:szCs w:val="21"/>
                <w:highlight w:val="none"/>
                <w:lang w:val="zh-CN"/>
              </w:rPr>
              <w:t>≤</w:t>
            </w:r>
            <w:r>
              <w:rPr>
                <w:rFonts w:cs="Times New Roman"/>
                <w:color w:val="auto"/>
                <w:sz w:val="21"/>
                <w:szCs w:val="21"/>
                <w:highlight w:val="none"/>
                <w:lang w:val="zh-CN"/>
              </w:rPr>
              <w:t>100%</w:t>
            </w:r>
            <w:r>
              <w:rPr>
                <w:rFonts w:eastAsia="仿宋" w:cs="Times New Roman"/>
                <w:color w:val="auto"/>
                <w:sz w:val="21"/>
                <w:szCs w:val="21"/>
                <w:highlight w:val="none"/>
                <w:lang w:val="zh-CN"/>
              </w:rPr>
              <w:sym w:font="Wingdings 2" w:char="0052"/>
            </w:r>
          </w:p>
        </w:tc>
        <w:tc>
          <w:tcPr>
            <w:tcW w:w="1785" w:type="pct"/>
            <w:gridSpan w:val="5"/>
            <w:shd w:val="clear" w:color="auto" w:fill="auto"/>
            <w:vAlign w:val="center"/>
          </w:tcPr>
          <w:p w14:paraId="3623AC07">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本项目</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最大占标率</w:t>
            </w:r>
            <w:r>
              <w:rPr>
                <w:rFonts w:eastAsia="仿宋" w:cs="Times New Roman"/>
                <w:color w:val="auto"/>
                <w:sz w:val="21"/>
                <w:szCs w:val="21"/>
                <w:highlight w:val="none"/>
                <w:lang w:val="zh-CN"/>
              </w:rPr>
              <w:t>＞</w:t>
            </w:r>
            <w:r>
              <w:rPr>
                <w:rFonts w:cs="Times New Roman"/>
                <w:color w:val="auto"/>
                <w:sz w:val="21"/>
                <w:szCs w:val="21"/>
                <w:highlight w:val="none"/>
                <w:lang w:val="zh-CN"/>
              </w:rPr>
              <w:t xml:space="preserve">100% </w:t>
            </w:r>
            <w:r>
              <w:rPr>
                <w:rFonts w:eastAsia="仿宋" w:cs="Times New Roman"/>
                <w:color w:val="auto"/>
                <w:sz w:val="21"/>
                <w:szCs w:val="21"/>
                <w:highlight w:val="none"/>
                <w:lang w:val="zh-CN"/>
              </w:rPr>
              <w:t>□</w:t>
            </w:r>
          </w:p>
        </w:tc>
      </w:tr>
      <w:tr w14:paraId="30983B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34" w:hRule="atLeast"/>
          <w:jc w:val="center"/>
        </w:trPr>
        <w:tc>
          <w:tcPr>
            <w:tcW w:w="413" w:type="pct"/>
            <w:vMerge w:val="continue"/>
            <w:shd w:val="clear" w:color="auto" w:fill="auto"/>
            <w:vAlign w:val="center"/>
          </w:tcPr>
          <w:p w14:paraId="3EB1BA40">
            <w:pPr>
              <w:spacing w:line="360" w:lineRule="exact"/>
              <w:ind w:firstLine="0" w:firstLineChars="0"/>
              <w:jc w:val="center"/>
              <w:rPr>
                <w:rFonts w:cs="Times New Roman"/>
                <w:color w:val="auto"/>
                <w:sz w:val="21"/>
                <w:szCs w:val="21"/>
                <w:highlight w:val="none"/>
                <w:lang w:val="zh-CN"/>
              </w:rPr>
            </w:pPr>
          </w:p>
        </w:tc>
        <w:tc>
          <w:tcPr>
            <w:tcW w:w="581" w:type="pct"/>
            <w:vMerge w:val="restart"/>
            <w:shd w:val="clear" w:color="auto" w:fill="auto"/>
            <w:vAlign w:val="center"/>
          </w:tcPr>
          <w:p w14:paraId="266EEE62">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正常排放年均浓度</w:t>
            </w:r>
            <w:r>
              <w:rPr>
                <w:rFonts w:cs="Times New Roman"/>
                <w:color w:val="auto"/>
                <w:sz w:val="21"/>
                <w:szCs w:val="21"/>
                <w:highlight w:val="none"/>
                <w:lang w:val="zh-CN"/>
              </w:rPr>
              <w:br w:type="textWrapping"/>
            </w:r>
            <w:r>
              <w:rPr>
                <w:rFonts w:cs="Times New Roman"/>
                <w:color w:val="auto"/>
                <w:sz w:val="21"/>
                <w:szCs w:val="21"/>
                <w:highlight w:val="none"/>
                <w:lang w:val="zh-CN"/>
              </w:rPr>
              <w:t>贡献值</w:t>
            </w:r>
          </w:p>
        </w:tc>
        <w:tc>
          <w:tcPr>
            <w:tcW w:w="747" w:type="pct"/>
            <w:shd w:val="clear" w:color="auto" w:fill="auto"/>
            <w:vAlign w:val="center"/>
          </w:tcPr>
          <w:p w14:paraId="259ACA4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一类区</w:t>
            </w:r>
          </w:p>
        </w:tc>
        <w:tc>
          <w:tcPr>
            <w:tcW w:w="1472" w:type="pct"/>
            <w:gridSpan w:val="5"/>
            <w:shd w:val="clear" w:color="auto" w:fill="auto"/>
            <w:vAlign w:val="center"/>
          </w:tcPr>
          <w:p w14:paraId="0562752D">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本项目</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最大占标率</w:t>
            </w:r>
            <w:bookmarkStart w:id="507" w:name="OLE_LINK5"/>
            <w:bookmarkStart w:id="508" w:name="OLE_LINK7"/>
            <w:r>
              <w:rPr>
                <w:rFonts w:eastAsia="仿宋" w:cs="Times New Roman"/>
                <w:color w:val="auto"/>
                <w:sz w:val="21"/>
                <w:szCs w:val="21"/>
                <w:highlight w:val="none"/>
                <w:lang w:val="zh-CN"/>
              </w:rPr>
              <w:t>≤</w:t>
            </w:r>
            <w:bookmarkEnd w:id="507"/>
            <w:bookmarkEnd w:id="508"/>
            <w:r>
              <w:rPr>
                <w:rFonts w:cs="Times New Roman"/>
                <w:color w:val="auto"/>
                <w:sz w:val="21"/>
                <w:szCs w:val="21"/>
                <w:highlight w:val="none"/>
                <w:lang w:val="zh-CN"/>
              </w:rPr>
              <w:t>10%</w:t>
            </w:r>
            <w:r>
              <w:rPr>
                <w:rFonts w:eastAsia="仿宋" w:cs="Times New Roman"/>
                <w:color w:val="auto"/>
                <w:sz w:val="21"/>
                <w:szCs w:val="21"/>
                <w:highlight w:val="none"/>
                <w:lang w:val="zh-CN"/>
              </w:rPr>
              <w:t>□</w:t>
            </w:r>
          </w:p>
        </w:tc>
        <w:tc>
          <w:tcPr>
            <w:tcW w:w="1785" w:type="pct"/>
            <w:gridSpan w:val="5"/>
            <w:shd w:val="clear" w:color="auto" w:fill="auto"/>
            <w:vAlign w:val="center"/>
          </w:tcPr>
          <w:p w14:paraId="15A49F8E">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本项目</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最大标率</w:t>
            </w:r>
            <w:r>
              <w:rPr>
                <w:rFonts w:eastAsia="仿宋" w:cs="Times New Roman"/>
                <w:color w:val="auto"/>
                <w:sz w:val="21"/>
                <w:szCs w:val="21"/>
                <w:highlight w:val="none"/>
                <w:lang w:val="zh-CN"/>
              </w:rPr>
              <w:t>＞</w:t>
            </w:r>
            <w:r>
              <w:rPr>
                <w:rFonts w:cs="Times New Roman"/>
                <w:color w:val="auto"/>
                <w:sz w:val="21"/>
                <w:szCs w:val="21"/>
                <w:highlight w:val="none"/>
                <w:lang w:val="zh-CN"/>
              </w:rPr>
              <w:t xml:space="preserve">10% </w:t>
            </w:r>
            <w:r>
              <w:rPr>
                <w:rFonts w:eastAsia="仿宋" w:cs="Times New Roman"/>
                <w:color w:val="auto"/>
                <w:sz w:val="21"/>
                <w:szCs w:val="21"/>
                <w:highlight w:val="none"/>
                <w:lang w:val="zh-CN"/>
              </w:rPr>
              <w:t>□</w:t>
            </w:r>
          </w:p>
        </w:tc>
      </w:tr>
      <w:tr w14:paraId="510EF6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34" w:hRule="atLeast"/>
          <w:jc w:val="center"/>
        </w:trPr>
        <w:tc>
          <w:tcPr>
            <w:tcW w:w="413" w:type="pct"/>
            <w:vMerge w:val="continue"/>
            <w:shd w:val="clear" w:color="auto" w:fill="auto"/>
            <w:vAlign w:val="center"/>
          </w:tcPr>
          <w:p w14:paraId="7245B25D">
            <w:pPr>
              <w:spacing w:line="360" w:lineRule="exact"/>
              <w:ind w:firstLine="0" w:firstLineChars="0"/>
              <w:jc w:val="center"/>
              <w:rPr>
                <w:rFonts w:cs="Times New Roman"/>
                <w:color w:val="auto"/>
                <w:sz w:val="21"/>
                <w:szCs w:val="21"/>
                <w:highlight w:val="none"/>
                <w:lang w:val="zh-CN"/>
              </w:rPr>
            </w:pPr>
          </w:p>
        </w:tc>
        <w:tc>
          <w:tcPr>
            <w:tcW w:w="581" w:type="pct"/>
            <w:vMerge w:val="continue"/>
            <w:shd w:val="clear" w:color="auto" w:fill="auto"/>
            <w:vAlign w:val="center"/>
          </w:tcPr>
          <w:p w14:paraId="4C0BFE8A">
            <w:pPr>
              <w:spacing w:line="360" w:lineRule="exact"/>
              <w:ind w:firstLine="0" w:firstLineChars="0"/>
              <w:jc w:val="center"/>
              <w:rPr>
                <w:rFonts w:cs="Times New Roman"/>
                <w:color w:val="auto"/>
                <w:sz w:val="21"/>
                <w:szCs w:val="21"/>
                <w:highlight w:val="none"/>
                <w:lang w:val="zh-CN"/>
              </w:rPr>
            </w:pPr>
          </w:p>
        </w:tc>
        <w:tc>
          <w:tcPr>
            <w:tcW w:w="747" w:type="pct"/>
            <w:shd w:val="clear" w:color="auto" w:fill="auto"/>
            <w:vAlign w:val="center"/>
          </w:tcPr>
          <w:p w14:paraId="45158274">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二类区</w:t>
            </w:r>
          </w:p>
        </w:tc>
        <w:tc>
          <w:tcPr>
            <w:tcW w:w="1472" w:type="pct"/>
            <w:gridSpan w:val="5"/>
            <w:shd w:val="clear" w:color="auto" w:fill="auto"/>
            <w:vAlign w:val="center"/>
          </w:tcPr>
          <w:p w14:paraId="2549D988">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本项目</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最大占标率</w:t>
            </w:r>
            <w:r>
              <w:rPr>
                <w:rFonts w:eastAsia="仿宋" w:cs="Times New Roman"/>
                <w:color w:val="auto"/>
                <w:sz w:val="21"/>
                <w:szCs w:val="21"/>
                <w:highlight w:val="none"/>
                <w:lang w:val="zh-CN"/>
              </w:rPr>
              <w:t>≤</w:t>
            </w:r>
            <w:r>
              <w:rPr>
                <w:rFonts w:cs="Times New Roman"/>
                <w:color w:val="auto"/>
                <w:sz w:val="21"/>
                <w:szCs w:val="21"/>
                <w:highlight w:val="none"/>
                <w:lang w:val="zh-CN"/>
              </w:rPr>
              <w:t>30%</w:t>
            </w:r>
            <w:r>
              <w:rPr>
                <w:rFonts w:eastAsia="仿宋" w:cs="Times New Roman"/>
                <w:color w:val="auto"/>
                <w:sz w:val="21"/>
                <w:szCs w:val="21"/>
                <w:highlight w:val="none"/>
                <w:lang w:val="zh-CN"/>
              </w:rPr>
              <w:sym w:font="Wingdings 2" w:char="0052"/>
            </w:r>
          </w:p>
        </w:tc>
        <w:tc>
          <w:tcPr>
            <w:tcW w:w="1785" w:type="pct"/>
            <w:gridSpan w:val="5"/>
            <w:shd w:val="clear" w:color="auto" w:fill="auto"/>
            <w:vAlign w:val="center"/>
          </w:tcPr>
          <w:p w14:paraId="1A7B7451">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本项目</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最大标率</w:t>
            </w:r>
            <w:r>
              <w:rPr>
                <w:rFonts w:eastAsia="仿宋" w:cs="Times New Roman"/>
                <w:color w:val="auto"/>
                <w:sz w:val="21"/>
                <w:szCs w:val="21"/>
                <w:highlight w:val="none"/>
                <w:lang w:val="zh-CN"/>
              </w:rPr>
              <w:t>＞</w:t>
            </w:r>
            <w:r>
              <w:rPr>
                <w:rFonts w:cs="Times New Roman"/>
                <w:color w:val="auto"/>
                <w:sz w:val="21"/>
                <w:szCs w:val="21"/>
                <w:highlight w:val="none"/>
                <w:lang w:val="zh-CN"/>
              </w:rPr>
              <w:t xml:space="preserve">30% </w:t>
            </w:r>
            <w:r>
              <w:rPr>
                <w:rFonts w:eastAsia="仿宋" w:cs="Times New Roman"/>
                <w:color w:val="auto"/>
                <w:sz w:val="21"/>
                <w:szCs w:val="21"/>
                <w:highlight w:val="none"/>
                <w:lang w:val="zh-CN"/>
              </w:rPr>
              <w:t>□</w:t>
            </w:r>
          </w:p>
        </w:tc>
      </w:tr>
      <w:tr w14:paraId="7CD419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97" w:hRule="atLeast"/>
          <w:jc w:val="center"/>
        </w:trPr>
        <w:tc>
          <w:tcPr>
            <w:tcW w:w="413" w:type="pct"/>
            <w:vMerge w:val="continue"/>
            <w:shd w:val="clear" w:color="auto" w:fill="auto"/>
            <w:vAlign w:val="center"/>
          </w:tcPr>
          <w:p w14:paraId="0D021BFE">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707D20C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非正常排放1h浓度</w:t>
            </w:r>
            <w:r>
              <w:rPr>
                <w:rFonts w:cs="Times New Roman"/>
                <w:color w:val="auto"/>
                <w:sz w:val="21"/>
                <w:szCs w:val="21"/>
                <w:highlight w:val="none"/>
                <w:lang w:val="zh-CN"/>
              </w:rPr>
              <w:br w:type="textWrapping"/>
            </w:r>
            <w:r>
              <w:rPr>
                <w:rFonts w:cs="Times New Roman"/>
                <w:color w:val="auto"/>
                <w:sz w:val="21"/>
                <w:szCs w:val="21"/>
                <w:highlight w:val="none"/>
                <w:lang w:val="zh-CN"/>
              </w:rPr>
              <w:t>贡献值</w:t>
            </w:r>
          </w:p>
        </w:tc>
        <w:tc>
          <w:tcPr>
            <w:tcW w:w="747" w:type="pct"/>
            <w:shd w:val="clear" w:color="auto" w:fill="auto"/>
            <w:vAlign w:val="center"/>
          </w:tcPr>
          <w:p w14:paraId="6E0DA46C">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非正常持续时长</w:t>
            </w:r>
            <w:r>
              <w:rPr>
                <w:rFonts w:cs="Times New Roman"/>
                <w:color w:val="auto"/>
                <w:sz w:val="21"/>
                <w:szCs w:val="21"/>
                <w:highlight w:val="none"/>
                <w:lang w:val="zh-CN"/>
              </w:rPr>
              <w:br w:type="textWrapping"/>
            </w:r>
            <w:r>
              <w:rPr>
                <w:rFonts w:cs="Times New Roman"/>
                <w:color w:val="auto"/>
                <w:sz w:val="21"/>
                <w:szCs w:val="21"/>
                <w:highlight w:val="none"/>
                <w:lang w:val="zh-CN"/>
              </w:rPr>
              <w:t xml:space="preserve">（ </w:t>
            </w:r>
            <w:r>
              <w:rPr>
                <w:rFonts w:cs="Times New Roman"/>
                <w:color w:val="auto"/>
                <w:sz w:val="21"/>
                <w:szCs w:val="21"/>
                <w:highlight w:val="none"/>
              </w:rPr>
              <w:t>0.5</w:t>
            </w:r>
            <w:r>
              <w:rPr>
                <w:rFonts w:cs="Times New Roman"/>
                <w:color w:val="auto"/>
                <w:sz w:val="21"/>
                <w:szCs w:val="21"/>
                <w:highlight w:val="none"/>
                <w:lang w:val="zh-CN"/>
              </w:rPr>
              <w:t xml:space="preserve"> ）h</w:t>
            </w:r>
          </w:p>
        </w:tc>
        <w:tc>
          <w:tcPr>
            <w:tcW w:w="1472" w:type="pct"/>
            <w:gridSpan w:val="5"/>
            <w:shd w:val="clear" w:color="auto" w:fill="auto"/>
            <w:vAlign w:val="center"/>
          </w:tcPr>
          <w:p w14:paraId="6A1EEA6A">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非正常</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占标率</w:t>
            </w:r>
            <w:r>
              <w:rPr>
                <w:rFonts w:eastAsia="仿宋" w:cs="Times New Roman"/>
                <w:color w:val="auto"/>
                <w:sz w:val="21"/>
                <w:szCs w:val="21"/>
                <w:highlight w:val="none"/>
                <w:lang w:val="zh-CN"/>
              </w:rPr>
              <w:t>≤</w:t>
            </w:r>
            <w:r>
              <w:rPr>
                <w:rFonts w:cs="Times New Roman"/>
                <w:color w:val="auto"/>
                <w:sz w:val="21"/>
                <w:szCs w:val="21"/>
                <w:highlight w:val="none"/>
                <w:lang w:val="zh-CN"/>
              </w:rPr>
              <w:t xml:space="preserve">100% </w:t>
            </w:r>
            <w:r>
              <w:rPr>
                <w:rFonts w:eastAsia="仿宋" w:cs="Times New Roman"/>
                <w:color w:val="auto"/>
                <w:sz w:val="21"/>
                <w:szCs w:val="21"/>
                <w:highlight w:val="none"/>
                <w:lang w:val="zh-CN"/>
              </w:rPr>
              <w:t>□</w:t>
            </w:r>
          </w:p>
        </w:tc>
        <w:tc>
          <w:tcPr>
            <w:tcW w:w="1785" w:type="pct"/>
            <w:gridSpan w:val="5"/>
            <w:shd w:val="clear" w:color="auto" w:fill="auto"/>
            <w:vAlign w:val="center"/>
          </w:tcPr>
          <w:p w14:paraId="0DF1D997">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非正常</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占标率</w:t>
            </w:r>
            <w:r>
              <w:rPr>
                <w:rFonts w:eastAsia="仿宋" w:cs="Times New Roman"/>
                <w:color w:val="auto"/>
                <w:sz w:val="21"/>
                <w:szCs w:val="21"/>
                <w:highlight w:val="none"/>
                <w:lang w:val="zh-CN"/>
              </w:rPr>
              <w:t>＞</w:t>
            </w:r>
            <w:r>
              <w:rPr>
                <w:rFonts w:cs="Times New Roman"/>
                <w:color w:val="auto"/>
                <w:sz w:val="21"/>
                <w:szCs w:val="21"/>
                <w:highlight w:val="none"/>
                <w:lang w:val="zh-CN"/>
              </w:rPr>
              <w:t>100%</w:t>
            </w:r>
            <w:r>
              <w:rPr>
                <w:rFonts w:eastAsia="仿宋" w:cs="Times New Roman"/>
                <w:color w:val="auto"/>
                <w:sz w:val="21"/>
                <w:szCs w:val="21"/>
                <w:highlight w:val="none"/>
                <w:lang w:val="zh-CN"/>
              </w:rPr>
              <w:t>□</w:t>
            </w:r>
          </w:p>
        </w:tc>
      </w:tr>
      <w:tr w14:paraId="438497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119" w:hRule="atLeast"/>
          <w:jc w:val="center"/>
        </w:trPr>
        <w:tc>
          <w:tcPr>
            <w:tcW w:w="413" w:type="pct"/>
            <w:vMerge w:val="continue"/>
            <w:shd w:val="clear" w:color="auto" w:fill="auto"/>
            <w:vAlign w:val="center"/>
          </w:tcPr>
          <w:p w14:paraId="262C4A9D">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0D1744A0">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保证率日平均浓度和年平均浓度叠加值</w:t>
            </w:r>
          </w:p>
        </w:tc>
        <w:tc>
          <w:tcPr>
            <w:tcW w:w="2219" w:type="pct"/>
            <w:gridSpan w:val="6"/>
            <w:shd w:val="clear" w:color="auto" w:fill="auto"/>
            <w:vAlign w:val="center"/>
          </w:tcPr>
          <w:p w14:paraId="0A50C07A">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叠加</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 xml:space="preserve">达标 </w:t>
            </w:r>
            <w:r>
              <w:rPr>
                <w:rFonts w:eastAsia="仿宋" w:cs="Times New Roman"/>
                <w:color w:val="auto"/>
                <w:sz w:val="21"/>
                <w:szCs w:val="21"/>
                <w:highlight w:val="none"/>
                <w:lang w:val="zh-CN"/>
              </w:rPr>
              <w:t>□</w:t>
            </w:r>
          </w:p>
        </w:tc>
        <w:tc>
          <w:tcPr>
            <w:tcW w:w="1785" w:type="pct"/>
            <w:gridSpan w:val="5"/>
            <w:shd w:val="clear" w:color="auto" w:fill="auto"/>
            <w:vAlign w:val="center"/>
          </w:tcPr>
          <w:p w14:paraId="45A975FD">
            <w:pPr>
              <w:spacing w:line="360" w:lineRule="exact"/>
              <w:ind w:firstLine="0" w:firstLineChars="0"/>
              <w:jc w:val="center"/>
              <w:rPr>
                <w:rFonts w:cs="Times New Roman"/>
                <w:color w:val="auto"/>
                <w:sz w:val="21"/>
                <w:szCs w:val="21"/>
                <w:highlight w:val="none"/>
                <w:lang w:val="zh-CN"/>
              </w:rPr>
            </w:pPr>
            <m:oMath>
              <m:sSub>
                <m:sSubPr>
                  <m:ctrlPr>
                    <w:rPr>
                      <w:rFonts w:ascii="Cambria Math" w:hAnsi="Cambria Math" w:cs="Times New Roman"/>
                      <w:i/>
                      <w:color w:val="auto"/>
                      <w:sz w:val="21"/>
                      <w:szCs w:val="21"/>
                      <w:highlight w:val="none"/>
                    </w:rPr>
                  </m:ctrlPr>
                </m:sSubPr>
                <m:e>
                  <m:r>
                    <m:rPr/>
                    <w:rPr>
                      <w:rFonts w:ascii="Cambria Math" w:hAnsi="Cambria Math" w:cs="Times New Roman"/>
                      <w:color w:val="auto"/>
                      <w:sz w:val="21"/>
                      <w:szCs w:val="21"/>
                      <w:highlight w:val="none"/>
                    </w:rPr>
                    <m:t>C</m:t>
                  </m:r>
                  <m:ctrlPr>
                    <w:rPr>
                      <w:rFonts w:ascii="Cambria Math" w:hAnsi="Cambria Math" w:cs="Times New Roman"/>
                      <w:i/>
                      <w:color w:val="auto"/>
                      <w:sz w:val="21"/>
                      <w:szCs w:val="21"/>
                      <w:highlight w:val="none"/>
                    </w:rPr>
                  </m:ctrlPr>
                </m:e>
                <m:sub>
                  <m:r>
                    <m:rPr>
                      <m:sty m:val="p"/>
                    </m:rPr>
                    <w:rPr>
                      <w:rFonts w:ascii="Cambria Math" w:hAnsi="Cambria Math" w:cs="Times New Roman"/>
                      <w:color w:val="auto"/>
                      <w:sz w:val="21"/>
                      <w:szCs w:val="21"/>
                      <w:highlight w:val="none"/>
                    </w:rPr>
                    <m:t>叠加</m:t>
                  </m:r>
                  <m:ctrlPr>
                    <w:rPr>
                      <w:rFonts w:ascii="Cambria Math" w:hAnsi="Cambria Math" w:cs="Times New Roman"/>
                      <w:i/>
                      <w:color w:val="auto"/>
                      <w:sz w:val="21"/>
                      <w:szCs w:val="21"/>
                      <w:highlight w:val="none"/>
                    </w:rPr>
                  </m:ctrlPr>
                </m:sub>
              </m:sSub>
            </m:oMath>
            <w:r>
              <w:rPr>
                <w:rFonts w:cs="Times New Roman"/>
                <w:color w:val="auto"/>
                <w:sz w:val="21"/>
                <w:szCs w:val="21"/>
                <w:highlight w:val="none"/>
                <w:lang w:val="zh-CN"/>
              </w:rPr>
              <w:t xml:space="preserve">不达标 </w:t>
            </w:r>
            <w:r>
              <w:rPr>
                <w:rFonts w:eastAsia="仿宋" w:cs="Times New Roman"/>
                <w:color w:val="auto"/>
                <w:sz w:val="21"/>
                <w:szCs w:val="21"/>
                <w:highlight w:val="none"/>
                <w:lang w:val="zh-CN"/>
              </w:rPr>
              <w:t>□</w:t>
            </w:r>
          </w:p>
        </w:tc>
      </w:tr>
      <w:tr w14:paraId="463070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97" w:hRule="atLeast"/>
          <w:jc w:val="center"/>
        </w:trPr>
        <w:tc>
          <w:tcPr>
            <w:tcW w:w="413" w:type="pct"/>
            <w:vMerge w:val="continue"/>
            <w:shd w:val="clear" w:color="auto" w:fill="auto"/>
            <w:vAlign w:val="center"/>
          </w:tcPr>
          <w:p w14:paraId="3C644982">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52A9DF6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区域环境质量的整体变化情况</w:t>
            </w:r>
          </w:p>
        </w:tc>
        <w:tc>
          <w:tcPr>
            <w:tcW w:w="2219" w:type="pct"/>
            <w:gridSpan w:val="6"/>
            <w:shd w:val="clear" w:color="auto" w:fill="auto"/>
            <w:vAlign w:val="center"/>
          </w:tcPr>
          <w:p w14:paraId="488ADCDB">
            <w:pPr>
              <w:spacing w:line="360" w:lineRule="exact"/>
              <w:ind w:firstLine="0" w:firstLineChars="0"/>
              <w:jc w:val="center"/>
              <w:rPr>
                <w:rFonts w:cs="Times New Roman"/>
                <w:color w:val="auto"/>
                <w:sz w:val="21"/>
                <w:szCs w:val="21"/>
                <w:highlight w:val="none"/>
                <w:lang w:val="zh-CN"/>
              </w:rPr>
            </w:pPr>
            <w:r>
              <w:rPr>
                <w:rFonts w:cs="Times New Roman"/>
                <w:i/>
                <w:color w:val="auto"/>
                <w:sz w:val="21"/>
                <w:szCs w:val="21"/>
                <w:highlight w:val="none"/>
                <w:lang w:val="zh-CN"/>
              </w:rPr>
              <w:t xml:space="preserve">k </w:t>
            </w:r>
            <w:r>
              <w:rPr>
                <w:rFonts w:eastAsia="仿宋" w:cs="Times New Roman"/>
                <w:color w:val="auto"/>
                <w:sz w:val="21"/>
                <w:szCs w:val="21"/>
                <w:highlight w:val="none"/>
                <w:lang w:val="zh-CN"/>
              </w:rPr>
              <w:t>≤</w:t>
            </w:r>
            <w:r>
              <w:rPr>
                <w:rFonts w:cs="Times New Roman"/>
                <w:color w:val="auto"/>
                <w:sz w:val="21"/>
                <w:szCs w:val="21"/>
                <w:highlight w:val="none"/>
                <w:lang w:val="zh-CN"/>
              </w:rPr>
              <w:t xml:space="preserve">-20% </w:t>
            </w:r>
            <w:r>
              <w:rPr>
                <w:rFonts w:eastAsia="仿宋" w:cs="Times New Roman"/>
                <w:color w:val="auto"/>
                <w:sz w:val="21"/>
                <w:szCs w:val="21"/>
                <w:highlight w:val="none"/>
                <w:lang w:val="zh-CN"/>
              </w:rPr>
              <w:t>□</w:t>
            </w:r>
          </w:p>
        </w:tc>
        <w:tc>
          <w:tcPr>
            <w:tcW w:w="1785" w:type="pct"/>
            <w:gridSpan w:val="5"/>
            <w:shd w:val="clear" w:color="auto" w:fill="auto"/>
            <w:vAlign w:val="center"/>
          </w:tcPr>
          <w:p w14:paraId="0D915F21">
            <w:pPr>
              <w:spacing w:line="360" w:lineRule="exact"/>
              <w:ind w:firstLine="0" w:firstLineChars="0"/>
              <w:jc w:val="center"/>
              <w:rPr>
                <w:rFonts w:cs="Times New Roman"/>
                <w:color w:val="auto"/>
                <w:sz w:val="21"/>
                <w:szCs w:val="21"/>
                <w:highlight w:val="none"/>
                <w:lang w:val="zh-CN"/>
              </w:rPr>
            </w:pPr>
            <w:r>
              <w:rPr>
                <w:rFonts w:cs="Times New Roman"/>
                <w:i/>
                <w:color w:val="auto"/>
                <w:sz w:val="21"/>
                <w:szCs w:val="21"/>
                <w:highlight w:val="none"/>
                <w:lang w:val="zh-CN"/>
              </w:rPr>
              <w:t>k</w:t>
            </w:r>
            <w:r>
              <w:rPr>
                <w:rFonts w:cs="Times New Roman"/>
                <w:color w:val="auto"/>
                <w:sz w:val="21"/>
                <w:szCs w:val="21"/>
                <w:highlight w:val="none"/>
                <w:lang w:val="zh-CN"/>
              </w:rPr>
              <w:t xml:space="preserve"> </w:t>
            </w:r>
            <w:r>
              <w:rPr>
                <w:rFonts w:eastAsia="仿宋" w:cs="Times New Roman"/>
                <w:color w:val="auto"/>
                <w:sz w:val="21"/>
                <w:szCs w:val="21"/>
                <w:highlight w:val="none"/>
                <w:lang w:val="zh-CN"/>
              </w:rPr>
              <w:t>＞</w:t>
            </w:r>
            <w:r>
              <w:rPr>
                <w:rFonts w:cs="Times New Roman"/>
                <w:color w:val="auto"/>
                <w:sz w:val="21"/>
                <w:szCs w:val="21"/>
                <w:highlight w:val="none"/>
                <w:lang w:val="zh-CN"/>
              </w:rPr>
              <w:t xml:space="preserve">-20% </w:t>
            </w:r>
            <w:r>
              <w:rPr>
                <w:rFonts w:eastAsia="仿宋" w:cs="Times New Roman"/>
                <w:color w:val="auto"/>
                <w:sz w:val="21"/>
                <w:szCs w:val="21"/>
                <w:highlight w:val="none"/>
                <w:lang w:val="zh-CN"/>
              </w:rPr>
              <w:t>□</w:t>
            </w:r>
          </w:p>
        </w:tc>
      </w:tr>
      <w:tr w14:paraId="10D43A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75" w:hRule="atLeast"/>
          <w:jc w:val="center"/>
        </w:trPr>
        <w:tc>
          <w:tcPr>
            <w:tcW w:w="413" w:type="pct"/>
            <w:vMerge w:val="restart"/>
            <w:shd w:val="clear" w:color="auto" w:fill="auto"/>
            <w:vAlign w:val="center"/>
          </w:tcPr>
          <w:p w14:paraId="5CD757DE">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环境监测</w:t>
            </w:r>
            <w:r>
              <w:rPr>
                <w:rFonts w:cs="Times New Roman"/>
                <w:color w:val="auto"/>
                <w:sz w:val="21"/>
                <w:szCs w:val="21"/>
                <w:highlight w:val="none"/>
                <w:lang w:val="zh-CN"/>
              </w:rPr>
              <w:br w:type="textWrapping"/>
            </w:r>
            <w:r>
              <w:rPr>
                <w:rFonts w:cs="Times New Roman"/>
                <w:color w:val="auto"/>
                <w:sz w:val="21"/>
                <w:szCs w:val="21"/>
                <w:highlight w:val="none"/>
                <w:lang w:val="zh-CN"/>
              </w:rPr>
              <w:t>计划</w:t>
            </w:r>
          </w:p>
        </w:tc>
        <w:tc>
          <w:tcPr>
            <w:tcW w:w="581" w:type="pct"/>
            <w:shd w:val="clear" w:color="auto" w:fill="auto"/>
            <w:vAlign w:val="center"/>
          </w:tcPr>
          <w:p w14:paraId="51D59D33">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污染源监测</w:t>
            </w:r>
          </w:p>
        </w:tc>
        <w:tc>
          <w:tcPr>
            <w:tcW w:w="1586" w:type="pct"/>
            <w:gridSpan w:val="3"/>
            <w:shd w:val="clear" w:color="auto" w:fill="auto"/>
            <w:vAlign w:val="center"/>
          </w:tcPr>
          <w:p w14:paraId="72EF49D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监测因子：（H</w:t>
            </w:r>
            <w:r>
              <w:rPr>
                <w:rFonts w:cs="Times New Roman"/>
                <w:color w:val="auto"/>
                <w:sz w:val="21"/>
                <w:szCs w:val="21"/>
                <w:highlight w:val="none"/>
                <w:vertAlign w:val="subscript"/>
                <w:lang w:val="zh-CN"/>
              </w:rPr>
              <w:t>2</w:t>
            </w:r>
            <w:r>
              <w:rPr>
                <w:rFonts w:cs="Times New Roman"/>
                <w:color w:val="auto"/>
                <w:sz w:val="21"/>
                <w:szCs w:val="21"/>
                <w:highlight w:val="none"/>
                <w:lang w:val="zh-CN"/>
              </w:rPr>
              <w:t>S、NH</w:t>
            </w:r>
            <w:r>
              <w:rPr>
                <w:rFonts w:cs="Times New Roman"/>
                <w:color w:val="auto"/>
                <w:sz w:val="21"/>
                <w:szCs w:val="21"/>
                <w:highlight w:val="none"/>
                <w:vertAlign w:val="subscript"/>
                <w:lang w:val="zh-CN"/>
              </w:rPr>
              <w:t>3</w:t>
            </w:r>
            <w:r>
              <w:rPr>
                <w:rFonts w:cs="Times New Roman"/>
                <w:color w:val="auto"/>
                <w:sz w:val="21"/>
                <w:szCs w:val="21"/>
                <w:highlight w:val="none"/>
                <w:lang w:val="zh-CN"/>
              </w:rPr>
              <w:t>、臭气浓度、颗粒物）</w:t>
            </w:r>
          </w:p>
        </w:tc>
        <w:tc>
          <w:tcPr>
            <w:tcW w:w="1750" w:type="pct"/>
            <w:gridSpan w:val="6"/>
            <w:shd w:val="clear" w:color="auto" w:fill="auto"/>
            <w:vAlign w:val="center"/>
          </w:tcPr>
          <w:p w14:paraId="5962456B">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有组织废气监测 </w:t>
            </w:r>
            <w:r>
              <w:rPr>
                <w:rFonts w:eastAsia="仿宋" w:cs="Times New Roman"/>
                <w:color w:val="auto"/>
                <w:sz w:val="21"/>
                <w:szCs w:val="21"/>
                <w:highlight w:val="none"/>
                <w:lang w:val="zh-CN"/>
              </w:rPr>
              <w:t>√</w:t>
            </w:r>
            <w:r>
              <w:rPr>
                <w:rFonts w:cs="Times New Roman"/>
                <w:color w:val="auto"/>
                <w:sz w:val="21"/>
                <w:szCs w:val="21"/>
                <w:highlight w:val="none"/>
                <w:lang w:val="zh-CN"/>
              </w:rPr>
              <w:t xml:space="preserve">    </w:t>
            </w:r>
          </w:p>
          <w:p w14:paraId="582B5F3F">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无组织废气监测 </w:t>
            </w:r>
            <w:r>
              <w:rPr>
                <w:rFonts w:eastAsia="仿宋" w:cs="Times New Roman"/>
                <w:color w:val="auto"/>
                <w:sz w:val="21"/>
                <w:szCs w:val="21"/>
                <w:highlight w:val="none"/>
                <w:lang w:val="zh-CN"/>
              </w:rPr>
              <w:t>√</w:t>
            </w:r>
          </w:p>
        </w:tc>
        <w:tc>
          <w:tcPr>
            <w:tcW w:w="668" w:type="pct"/>
            <w:gridSpan w:val="2"/>
            <w:shd w:val="clear" w:color="auto" w:fill="auto"/>
            <w:vAlign w:val="center"/>
          </w:tcPr>
          <w:p w14:paraId="420A8775">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无监测</w:t>
            </w:r>
            <w:r>
              <w:rPr>
                <w:rFonts w:eastAsia="仿宋" w:cs="Times New Roman"/>
                <w:color w:val="auto"/>
                <w:sz w:val="21"/>
                <w:szCs w:val="21"/>
                <w:highlight w:val="none"/>
                <w:lang w:val="zh-CN"/>
              </w:rPr>
              <w:t>□</w:t>
            </w:r>
          </w:p>
        </w:tc>
      </w:tr>
      <w:tr w14:paraId="0ED7AA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66" w:hRule="atLeast"/>
          <w:jc w:val="center"/>
        </w:trPr>
        <w:tc>
          <w:tcPr>
            <w:tcW w:w="413" w:type="pct"/>
            <w:vMerge w:val="continue"/>
            <w:shd w:val="clear" w:color="auto" w:fill="auto"/>
            <w:vAlign w:val="center"/>
          </w:tcPr>
          <w:p w14:paraId="11A768D9">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00B2FE03">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环境质量监测</w:t>
            </w:r>
          </w:p>
        </w:tc>
        <w:tc>
          <w:tcPr>
            <w:tcW w:w="1586" w:type="pct"/>
            <w:gridSpan w:val="3"/>
            <w:shd w:val="clear" w:color="auto" w:fill="auto"/>
            <w:vAlign w:val="center"/>
          </w:tcPr>
          <w:p w14:paraId="3DFF56B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监测因子：（</w:t>
            </w:r>
            <w:r>
              <w:rPr>
                <w:rFonts w:hint="eastAsia" w:ascii="Times New Roman" w:hAnsi="Times New Roman" w:eastAsia="宋体" w:cs="Times New Roman"/>
                <w:color w:val="auto"/>
                <w:kern w:val="2"/>
                <w:sz w:val="21"/>
                <w:szCs w:val="21"/>
                <w:highlight w:val="none"/>
                <w:lang w:val="en-US" w:eastAsia="zh-CN" w:bidi="ar-SA"/>
              </w:rPr>
              <w:t>氨、硫化氢</w:t>
            </w:r>
            <w:r>
              <w:rPr>
                <w:rFonts w:cs="Times New Roman"/>
                <w:color w:val="auto"/>
                <w:sz w:val="21"/>
                <w:szCs w:val="21"/>
                <w:highlight w:val="none"/>
                <w:lang w:val="zh-CN"/>
              </w:rPr>
              <w:t>）</w:t>
            </w:r>
          </w:p>
        </w:tc>
        <w:tc>
          <w:tcPr>
            <w:tcW w:w="1750" w:type="pct"/>
            <w:gridSpan w:val="6"/>
            <w:shd w:val="clear" w:color="auto" w:fill="auto"/>
            <w:vAlign w:val="center"/>
          </w:tcPr>
          <w:p w14:paraId="78D1BE80">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监测点位数（ </w:t>
            </w:r>
            <w:r>
              <w:rPr>
                <w:rFonts w:hint="eastAsia" w:cs="Times New Roman"/>
                <w:color w:val="auto"/>
                <w:sz w:val="21"/>
                <w:szCs w:val="21"/>
                <w:highlight w:val="none"/>
                <w:lang w:val="en-US" w:eastAsia="zh-CN"/>
              </w:rPr>
              <w:t>1</w:t>
            </w:r>
            <w:r>
              <w:rPr>
                <w:rFonts w:cs="Times New Roman"/>
                <w:color w:val="auto"/>
                <w:sz w:val="21"/>
                <w:szCs w:val="21"/>
                <w:highlight w:val="none"/>
                <w:lang w:val="zh-CN"/>
              </w:rPr>
              <w:t xml:space="preserve"> ）</w:t>
            </w:r>
          </w:p>
        </w:tc>
        <w:tc>
          <w:tcPr>
            <w:tcW w:w="668" w:type="pct"/>
            <w:gridSpan w:val="2"/>
            <w:shd w:val="clear" w:color="auto" w:fill="auto"/>
            <w:vAlign w:val="center"/>
          </w:tcPr>
          <w:p w14:paraId="6D4AF82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无监测</w:t>
            </w:r>
            <w:r>
              <w:rPr>
                <w:rFonts w:eastAsia="仿宋" w:cs="Times New Roman"/>
                <w:color w:val="auto"/>
                <w:sz w:val="21"/>
                <w:szCs w:val="21"/>
                <w:highlight w:val="none"/>
                <w:lang w:val="zh-CN"/>
              </w:rPr>
              <w:t>□</w:t>
            </w:r>
          </w:p>
        </w:tc>
      </w:tr>
      <w:tr w14:paraId="042B84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32" w:hRule="atLeast"/>
          <w:jc w:val="center"/>
        </w:trPr>
        <w:tc>
          <w:tcPr>
            <w:tcW w:w="413" w:type="pct"/>
            <w:vMerge w:val="restart"/>
            <w:shd w:val="clear" w:color="auto" w:fill="auto"/>
            <w:vAlign w:val="center"/>
          </w:tcPr>
          <w:p w14:paraId="32C3D97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评价结论</w:t>
            </w:r>
          </w:p>
        </w:tc>
        <w:tc>
          <w:tcPr>
            <w:tcW w:w="581" w:type="pct"/>
            <w:shd w:val="clear" w:color="auto" w:fill="auto"/>
            <w:vAlign w:val="center"/>
          </w:tcPr>
          <w:p w14:paraId="73158016">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环境影响</w:t>
            </w:r>
          </w:p>
        </w:tc>
        <w:tc>
          <w:tcPr>
            <w:tcW w:w="4004" w:type="pct"/>
            <w:gridSpan w:val="11"/>
            <w:shd w:val="clear" w:color="auto" w:fill="auto"/>
            <w:vAlign w:val="center"/>
          </w:tcPr>
          <w:p w14:paraId="6F4633F7">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可以接受 </w:t>
            </w:r>
            <w:r>
              <w:rPr>
                <w:rFonts w:eastAsia="仿宋" w:cs="Times New Roman"/>
                <w:color w:val="auto"/>
                <w:sz w:val="21"/>
                <w:szCs w:val="21"/>
                <w:highlight w:val="none"/>
                <w:lang w:val="zh-CN"/>
              </w:rPr>
              <w:t>√</w:t>
            </w:r>
            <w:r>
              <w:rPr>
                <w:rFonts w:cs="Times New Roman"/>
                <w:color w:val="auto"/>
                <w:sz w:val="21"/>
                <w:szCs w:val="21"/>
                <w:highlight w:val="none"/>
                <w:lang w:val="zh-CN"/>
              </w:rPr>
              <w:t xml:space="preserve">       不可以接受 </w:t>
            </w:r>
            <w:r>
              <w:rPr>
                <w:rFonts w:eastAsia="仿宋" w:cs="Times New Roman"/>
                <w:color w:val="auto"/>
                <w:sz w:val="21"/>
                <w:szCs w:val="21"/>
                <w:highlight w:val="none"/>
                <w:lang w:val="zh-CN"/>
              </w:rPr>
              <w:t>□</w:t>
            </w:r>
          </w:p>
        </w:tc>
      </w:tr>
      <w:tr w14:paraId="665D1D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3" w:hRule="atLeast"/>
          <w:jc w:val="center"/>
        </w:trPr>
        <w:tc>
          <w:tcPr>
            <w:tcW w:w="413" w:type="pct"/>
            <w:vMerge w:val="continue"/>
            <w:shd w:val="clear" w:color="auto" w:fill="auto"/>
            <w:vAlign w:val="center"/>
          </w:tcPr>
          <w:p w14:paraId="631DED8B">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0BDBC5BA">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大气环境防护距离</w:t>
            </w:r>
          </w:p>
        </w:tc>
        <w:tc>
          <w:tcPr>
            <w:tcW w:w="4004" w:type="pct"/>
            <w:gridSpan w:val="11"/>
            <w:shd w:val="clear" w:color="auto" w:fill="auto"/>
            <w:vAlign w:val="center"/>
          </w:tcPr>
          <w:p w14:paraId="247F3593">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 xml:space="preserve">距（ </w:t>
            </w:r>
            <w:r>
              <w:rPr>
                <w:rFonts w:cs="Times New Roman"/>
                <w:color w:val="auto"/>
                <w:sz w:val="21"/>
                <w:szCs w:val="21"/>
                <w:highlight w:val="none"/>
              </w:rPr>
              <w:t>/</w:t>
            </w:r>
            <w:r>
              <w:rPr>
                <w:rFonts w:cs="Times New Roman"/>
                <w:color w:val="auto"/>
                <w:sz w:val="21"/>
                <w:szCs w:val="21"/>
                <w:highlight w:val="none"/>
                <w:lang w:val="zh-CN"/>
              </w:rPr>
              <w:t xml:space="preserve">  ）厂界最远（</w:t>
            </w:r>
            <w:r>
              <w:rPr>
                <w:rFonts w:hint="eastAsia" w:cs="Times New Roman"/>
                <w:color w:val="auto"/>
                <w:sz w:val="21"/>
                <w:szCs w:val="21"/>
                <w:highlight w:val="none"/>
                <w:lang w:val="en-US" w:eastAsia="zh-CN"/>
              </w:rPr>
              <w:t xml:space="preserve"> / </w:t>
            </w:r>
            <w:r>
              <w:rPr>
                <w:rFonts w:cs="Times New Roman"/>
                <w:color w:val="auto"/>
                <w:sz w:val="21"/>
                <w:szCs w:val="21"/>
                <w:highlight w:val="none"/>
                <w:lang w:val="zh-CN"/>
              </w:rPr>
              <w:t>）m</w:t>
            </w:r>
          </w:p>
        </w:tc>
      </w:tr>
      <w:tr w14:paraId="29E40A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3" w:hRule="atLeast"/>
          <w:jc w:val="center"/>
        </w:trPr>
        <w:tc>
          <w:tcPr>
            <w:tcW w:w="413" w:type="pct"/>
            <w:vMerge w:val="continue"/>
            <w:shd w:val="clear" w:color="auto" w:fill="auto"/>
            <w:vAlign w:val="center"/>
          </w:tcPr>
          <w:p w14:paraId="037F58C2">
            <w:pPr>
              <w:spacing w:line="360" w:lineRule="exact"/>
              <w:ind w:firstLine="0" w:firstLineChars="0"/>
              <w:jc w:val="center"/>
              <w:rPr>
                <w:rFonts w:cs="Times New Roman"/>
                <w:color w:val="auto"/>
                <w:sz w:val="21"/>
                <w:szCs w:val="21"/>
                <w:highlight w:val="none"/>
                <w:lang w:val="zh-CN"/>
              </w:rPr>
            </w:pPr>
          </w:p>
        </w:tc>
        <w:tc>
          <w:tcPr>
            <w:tcW w:w="581" w:type="pct"/>
            <w:shd w:val="clear" w:color="auto" w:fill="auto"/>
            <w:vAlign w:val="center"/>
          </w:tcPr>
          <w:p w14:paraId="07D7A9A9">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污染源年排放量</w:t>
            </w:r>
          </w:p>
        </w:tc>
        <w:tc>
          <w:tcPr>
            <w:tcW w:w="747" w:type="pct"/>
            <w:shd w:val="clear" w:color="auto" w:fill="auto"/>
            <w:vAlign w:val="center"/>
          </w:tcPr>
          <w:p w14:paraId="58064EA8">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SO</w:t>
            </w:r>
            <w:r>
              <w:rPr>
                <w:rFonts w:cs="Times New Roman"/>
                <w:color w:val="auto"/>
                <w:sz w:val="21"/>
                <w:szCs w:val="21"/>
                <w:highlight w:val="none"/>
                <w:vertAlign w:val="subscript"/>
                <w:lang w:val="zh-CN"/>
              </w:rPr>
              <w:t>2</w:t>
            </w:r>
            <w:r>
              <w:rPr>
                <w:rFonts w:cs="Times New Roman"/>
                <w:color w:val="auto"/>
                <w:sz w:val="21"/>
                <w:szCs w:val="21"/>
                <w:highlight w:val="none"/>
                <w:lang w:val="zh-CN"/>
              </w:rPr>
              <w:t>:（</w:t>
            </w:r>
            <w:r>
              <w:rPr>
                <w:rFonts w:hint="eastAsia" w:cs="Times New Roman"/>
                <w:color w:val="auto"/>
                <w:sz w:val="21"/>
                <w:szCs w:val="21"/>
                <w:highlight w:val="none"/>
                <w:lang w:val="en-US" w:eastAsia="zh-CN"/>
              </w:rPr>
              <w:t xml:space="preserve"> </w:t>
            </w:r>
            <w:r>
              <w:rPr>
                <w:rFonts w:cs="Times New Roman"/>
                <w:color w:val="auto"/>
                <w:sz w:val="21"/>
                <w:szCs w:val="21"/>
                <w:highlight w:val="none"/>
                <w:lang w:val="zh-CN"/>
              </w:rPr>
              <w:t>）t/a</w:t>
            </w:r>
          </w:p>
        </w:tc>
        <w:tc>
          <w:tcPr>
            <w:tcW w:w="1247" w:type="pct"/>
            <w:gridSpan w:val="4"/>
            <w:shd w:val="clear" w:color="auto" w:fill="auto"/>
            <w:vAlign w:val="center"/>
          </w:tcPr>
          <w:p w14:paraId="73571E1D">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NO</w:t>
            </w:r>
            <w:r>
              <w:rPr>
                <w:rFonts w:cs="Times New Roman"/>
                <w:color w:val="auto"/>
                <w:sz w:val="21"/>
                <w:szCs w:val="21"/>
                <w:highlight w:val="none"/>
                <w:vertAlign w:val="subscript"/>
                <w:lang w:val="zh-CN"/>
              </w:rPr>
              <w:t>x</w:t>
            </w:r>
            <w:r>
              <w:rPr>
                <w:rFonts w:cs="Times New Roman"/>
                <w:color w:val="auto"/>
                <w:sz w:val="21"/>
                <w:szCs w:val="21"/>
                <w:highlight w:val="none"/>
                <w:lang w:val="zh-CN"/>
              </w:rPr>
              <w:t>:（</w:t>
            </w:r>
            <w:r>
              <w:rPr>
                <w:rFonts w:hint="eastAsia" w:cs="Times New Roman"/>
                <w:color w:val="auto"/>
                <w:sz w:val="21"/>
                <w:szCs w:val="21"/>
                <w:highlight w:val="none"/>
                <w:lang w:val="en-US" w:eastAsia="zh-CN"/>
              </w:rPr>
              <w:t xml:space="preserve"> </w:t>
            </w:r>
            <w:r>
              <w:rPr>
                <w:rFonts w:cs="Times New Roman"/>
                <w:color w:val="auto"/>
                <w:sz w:val="21"/>
                <w:szCs w:val="21"/>
                <w:highlight w:val="none"/>
                <w:lang w:val="zh-CN"/>
              </w:rPr>
              <w:t>）t/a</w:t>
            </w:r>
          </w:p>
        </w:tc>
        <w:tc>
          <w:tcPr>
            <w:tcW w:w="1089" w:type="pct"/>
            <w:gridSpan w:val="3"/>
            <w:shd w:val="clear" w:color="auto" w:fill="auto"/>
            <w:vAlign w:val="center"/>
          </w:tcPr>
          <w:p w14:paraId="0863FC7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lang w:val="zh-CN"/>
              </w:rPr>
              <w:t>颗粒物:（</w:t>
            </w:r>
            <w:r>
              <w:rPr>
                <w:rFonts w:hint="eastAsia" w:cs="Times New Roman"/>
                <w:color w:val="auto"/>
                <w:sz w:val="21"/>
                <w:szCs w:val="21"/>
                <w:highlight w:val="none"/>
                <w:lang w:val="en-US" w:eastAsia="zh-CN"/>
              </w:rPr>
              <w:t xml:space="preserve"> </w:t>
            </w:r>
            <w:r>
              <w:rPr>
                <w:rFonts w:cs="Times New Roman"/>
                <w:color w:val="auto"/>
                <w:sz w:val="21"/>
                <w:szCs w:val="21"/>
                <w:highlight w:val="none"/>
              </w:rPr>
              <w:t>）</w:t>
            </w:r>
            <w:r>
              <w:rPr>
                <w:rFonts w:cs="Times New Roman"/>
                <w:color w:val="auto"/>
                <w:sz w:val="21"/>
                <w:szCs w:val="21"/>
                <w:highlight w:val="none"/>
                <w:lang w:val="zh-CN"/>
              </w:rPr>
              <w:t>t/a</w:t>
            </w:r>
          </w:p>
        </w:tc>
        <w:tc>
          <w:tcPr>
            <w:tcW w:w="920" w:type="pct"/>
            <w:gridSpan w:val="3"/>
            <w:shd w:val="clear" w:color="auto" w:fill="auto"/>
            <w:vAlign w:val="center"/>
          </w:tcPr>
          <w:p w14:paraId="0B3EC68B">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VOC</w:t>
            </w:r>
            <w:r>
              <w:rPr>
                <w:rFonts w:cs="Times New Roman"/>
                <w:color w:val="auto"/>
                <w:sz w:val="21"/>
                <w:szCs w:val="21"/>
                <w:highlight w:val="none"/>
                <w:vertAlign w:val="subscript"/>
                <w:lang w:val="zh-CN"/>
              </w:rPr>
              <w:t>s</w:t>
            </w:r>
            <w:r>
              <w:rPr>
                <w:rFonts w:cs="Times New Roman"/>
                <w:color w:val="auto"/>
                <w:sz w:val="21"/>
                <w:szCs w:val="21"/>
                <w:highlight w:val="none"/>
                <w:lang w:val="zh-CN"/>
              </w:rPr>
              <w:t>:（   ）t/a</w:t>
            </w:r>
          </w:p>
        </w:tc>
      </w:tr>
      <w:tr w14:paraId="1582EB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8" w:hRule="atLeast"/>
          <w:jc w:val="center"/>
        </w:trPr>
        <w:tc>
          <w:tcPr>
            <w:tcW w:w="5000" w:type="pct"/>
            <w:gridSpan w:val="13"/>
            <w:shd w:val="clear" w:color="auto" w:fill="auto"/>
            <w:vAlign w:val="center"/>
          </w:tcPr>
          <w:p w14:paraId="2881D1F4">
            <w:pPr>
              <w:spacing w:line="360" w:lineRule="exact"/>
              <w:ind w:firstLine="0" w:firstLineChars="0"/>
              <w:jc w:val="center"/>
              <w:rPr>
                <w:rFonts w:cs="Times New Roman"/>
                <w:color w:val="auto"/>
                <w:sz w:val="21"/>
                <w:szCs w:val="21"/>
                <w:highlight w:val="none"/>
                <w:lang w:val="zh-CN"/>
              </w:rPr>
            </w:pPr>
            <w:r>
              <w:rPr>
                <w:rFonts w:cs="Times New Roman"/>
                <w:color w:val="auto"/>
                <w:sz w:val="21"/>
                <w:szCs w:val="21"/>
                <w:highlight w:val="none"/>
                <w:lang w:val="zh-CN"/>
              </w:rPr>
              <w:t>注：“</w:t>
            </w:r>
            <w:r>
              <w:rPr>
                <w:rFonts w:eastAsia="仿宋" w:cs="Times New Roman"/>
                <w:color w:val="auto"/>
                <w:sz w:val="21"/>
                <w:szCs w:val="21"/>
                <w:highlight w:val="none"/>
                <w:lang w:val="zh-CN"/>
              </w:rPr>
              <w:t>□</w:t>
            </w:r>
            <w:r>
              <w:rPr>
                <w:rFonts w:cs="Times New Roman"/>
                <w:color w:val="auto"/>
                <w:sz w:val="21"/>
                <w:szCs w:val="21"/>
                <w:highlight w:val="none"/>
                <w:lang w:val="zh-CN"/>
              </w:rPr>
              <w:t>” 为勾选项 ，填“√” ；“（   ）” 为内容填写项</w:t>
            </w:r>
          </w:p>
        </w:tc>
      </w:tr>
      <w:bookmarkEnd w:id="506"/>
    </w:tbl>
    <w:p w14:paraId="5D9A43D8">
      <w:pPr>
        <w:adjustRightInd/>
        <w:snapToGrid/>
        <w:spacing w:line="240" w:lineRule="auto"/>
        <w:ind w:firstLine="0" w:firstLineChars="0"/>
        <w:rPr>
          <w:rFonts w:cs="Times New Roman"/>
          <w:color w:val="auto"/>
          <w:kern w:val="0"/>
          <w:szCs w:val="24"/>
          <w:highlight w:val="none"/>
        </w:rPr>
      </w:pPr>
    </w:p>
    <w:p w14:paraId="72E9A0F6">
      <w:pPr>
        <w:adjustRightInd/>
        <w:snapToGrid/>
        <w:spacing w:line="240" w:lineRule="auto"/>
        <w:ind w:firstLine="0" w:firstLineChars="0"/>
        <w:rPr>
          <w:rFonts w:cs="Times New Roman"/>
          <w:color w:val="auto"/>
          <w:kern w:val="0"/>
          <w:szCs w:val="24"/>
          <w:highlight w:val="none"/>
        </w:rPr>
      </w:pPr>
    </w:p>
    <w:p w14:paraId="393959B6">
      <w:pPr>
        <w:adjustRightInd/>
        <w:snapToGrid/>
        <w:spacing w:line="240" w:lineRule="auto"/>
        <w:ind w:firstLine="0" w:firstLineChars="0"/>
        <w:rPr>
          <w:rFonts w:cs="Times New Roman"/>
          <w:color w:val="auto"/>
          <w:kern w:val="0"/>
          <w:szCs w:val="24"/>
          <w:highlight w:val="none"/>
        </w:rPr>
        <w:sectPr>
          <w:headerReference r:id="rId13" w:type="default"/>
          <w:footerReference r:id="rId14"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0BCE4EDC">
      <w:pPr>
        <w:pStyle w:val="2"/>
        <w:rPr>
          <w:rFonts w:cs="Times New Roman"/>
          <w:color w:val="auto"/>
          <w:sz w:val="24"/>
          <w:szCs w:val="24"/>
          <w:highlight w:val="none"/>
        </w:rPr>
      </w:pPr>
      <w:bookmarkStart w:id="509" w:name="_Toc7630"/>
      <w:bookmarkStart w:id="510" w:name="_Toc276"/>
      <w:r>
        <w:rPr>
          <w:rFonts w:cs="Times New Roman"/>
          <w:color w:val="auto"/>
          <w:sz w:val="24"/>
          <w:szCs w:val="24"/>
          <w:highlight w:val="none"/>
        </w:rPr>
        <w:t>附表2  建设项目地表水环境影响评价自查表</w:t>
      </w:r>
      <w:bookmarkEnd w:id="509"/>
      <w:bookmarkEnd w:id="510"/>
    </w:p>
    <w:p w14:paraId="3E7691E6">
      <w:pPr>
        <w:spacing w:line="500" w:lineRule="exact"/>
        <w:ind w:firstLine="0" w:firstLineChars="0"/>
        <w:jc w:val="center"/>
        <w:rPr>
          <w:rFonts w:cs="Times New Roman"/>
          <w:b/>
          <w:bCs/>
          <w:snapToGrid w:val="0"/>
          <w:color w:val="auto"/>
          <w:szCs w:val="24"/>
          <w:highlight w:val="none"/>
          <w:lang w:val="zh-CN"/>
        </w:rPr>
      </w:pPr>
      <w:r>
        <w:rPr>
          <w:rFonts w:cs="Times New Roman"/>
          <w:b/>
          <w:bCs/>
          <w:snapToGrid w:val="0"/>
          <w:color w:val="auto"/>
          <w:szCs w:val="24"/>
          <w:highlight w:val="none"/>
          <w:lang w:val="zh-CN"/>
        </w:rPr>
        <w:t>建设项目地表水环境影响评价自查表</w:t>
      </w:r>
    </w:p>
    <w:tbl>
      <w:tblPr>
        <w:tblStyle w:val="47"/>
        <w:tblW w:w="13619"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626"/>
        <w:gridCol w:w="2751"/>
        <w:gridCol w:w="2048"/>
        <w:gridCol w:w="512"/>
        <w:gridCol w:w="415"/>
        <w:gridCol w:w="439"/>
        <w:gridCol w:w="682"/>
        <w:gridCol w:w="1025"/>
        <w:gridCol w:w="1024"/>
        <w:gridCol w:w="256"/>
        <w:gridCol w:w="427"/>
        <w:gridCol w:w="1365"/>
        <w:gridCol w:w="51"/>
        <w:gridCol w:w="565"/>
        <w:gridCol w:w="1433"/>
      </w:tblGrid>
      <w:tr w14:paraId="3672C6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86" w:hRule="atLeast"/>
        </w:trPr>
        <w:tc>
          <w:tcPr>
            <w:tcW w:w="3377" w:type="dxa"/>
            <w:gridSpan w:val="2"/>
            <w:shd w:val="clear" w:color="auto" w:fill="auto"/>
            <w:noWrap/>
            <w:vAlign w:val="center"/>
          </w:tcPr>
          <w:p w14:paraId="3872AE68">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工作内容</w:t>
            </w:r>
          </w:p>
        </w:tc>
        <w:tc>
          <w:tcPr>
            <w:tcW w:w="10242" w:type="dxa"/>
            <w:gridSpan w:val="13"/>
            <w:shd w:val="clear" w:color="auto" w:fill="auto"/>
            <w:noWrap/>
            <w:vAlign w:val="center"/>
          </w:tcPr>
          <w:p w14:paraId="06CDAFDA">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自查项目</w:t>
            </w:r>
          </w:p>
        </w:tc>
      </w:tr>
      <w:tr w14:paraId="061B4E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7" w:hRule="atLeast"/>
        </w:trPr>
        <w:tc>
          <w:tcPr>
            <w:tcW w:w="626" w:type="dxa"/>
            <w:vMerge w:val="restart"/>
            <w:shd w:val="clear" w:color="auto" w:fill="auto"/>
            <w:noWrap/>
            <w:textDirection w:val="tbRlV"/>
            <w:vAlign w:val="center"/>
          </w:tcPr>
          <w:p w14:paraId="66D2C39E">
            <w:pPr>
              <w:spacing w:line="40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影响识别</w:t>
            </w:r>
          </w:p>
        </w:tc>
        <w:tc>
          <w:tcPr>
            <w:tcW w:w="2751" w:type="dxa"/>
            <w:shd w:val="clear" w:color="auto" w:fill="auto"/>
            <w:vAlign w:val="center"/>
          </w:tcPr>
          <w:p w14:paraId="6BF5431C">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影响类型</w:t>
            </w:r>
          </w:p>
        </w:tc>
        <w:tc>
          <w:tcPr>
            <w:tcW w:w="10242" w:type="dxa"/>
            <w:gridSpan w:val="13"/>
            <w:shd w:val="clear" w:color="auto" w:fill="auto"/>
            <w:noWrap/>
            <w:vAlign w:val="center"/>
          </w:tcPr>
          <w:p w14:paraId="6599FD30">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水污染影响型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；水文要素影响型 □</w:t>
            </w:r>
          </w:p>
        </w:tc>
      </w:tr>
      <w:tr w14:paraId="6D5EF5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01595332">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4C675625">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水环境保护目标</w:t>
            </w:r>
          </w:p>
        </w:tc>
        <w:tc>
          <w:tcPr>
            <w:tcW w:w="10242" w:type="dxa"/>
            <w:gridSpan w:val="13"/>
            <w:shd w:val="clear" w:color="auto" w:fill="auto"/>
            <w:vAlign w:val="center"/>
          </w:tcPr>
          <w:p w14:paraId="2AD6869C">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饮用水水源保护区 □；饮用水取水口 □；涉水的自然保护区 □；重要湿地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 xml:space="preserve">重点保护与珍稀水生生物的栖息地 □；重要水生生物的自然产卵场及索饵场、越冬场和洄游通道、天然渔场等渔业水体 □；涉水的风景名胜区 □；其他 </w:t>
            </w:r>
            <w:r>
              <w:rPr>
                <w:rFonts w:cs="Times New Roman"/>
                <w:snapToGrid w:val="0"/>
                <w:color w:val="auto"/>
                <w:kern w:val="0"/>
                <w:sz w:val="18"/>
                <w:szCs w:val="18"/>
                <w:highlight w:val="none"/>
              </w:rPr>
              <w:sym w:font="Wingdings 2" w:char="0052"/>
            </w:r>
          </w:p>
        </w:tc>
      </w:tr>
      <w:tr w14:paraId="358D59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258F5A7A">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3669193E">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影响途径</w:t>
            </w:r>
          </w:p>
        </w:tc>
        <w:tc>
          <w:tcPr>
            <w:tcW w:w="5121" w:type="dxa"/>
            <w:gridSpan w:val="6"/>
            <w:shd w:val="clear" w:color="auto" w:fill="auto"/>
            <w:vAlign w:val="center"/>
          </w:tcPr>
          <w:p w14:paraId="06EA669B">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水污染影响型</w:t>
            </w:r>
          </w:p>
        </w:tc>
        <w:tc>
          <w:tcPr>
            <w:tcW w:w="5121" w:type="dxa"/>
            <w:gridSpan w:val="7"/>
            <w:shd w:val="clear" w:color="auto" w:fill="auto"/>
            <w:vAlign w:val="center"/>
          </w:tcPr>
          <w:p w14:paraId="66F4CBBA">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水文要素影响型</w:t>
            </w:r>
          </w:p>
        </w:tc>
      </w:tr>
      <w:tr w14:paraId="7EC4163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7EF8E367">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305BEE9C">
            <w:pPr>
              <w:spacing w:line="280" w:lineRule="exact"/>
              <w:ind w:firstLine="0" w:firstLineChars="0"/>
              <w:jc w:val="center"/>
              <w:rPr>
                <w:rFonts w:cs="Times New Roman"/>
                <w:snapToGrid w:val="0"/>
                <w:color w:val="auto"/>
                <w:kern w:val="0"/>
                <w:sz w:val="18"/>
                <w:szCs w:val="18"/>
                <w:highlight w:val="none"/>
              </w:rPr>
            </w:pPr>
          </w:p>
        </w:tc>
        <w:tc>
          <w:tcPr>
            <w:tcW w:w="5121" w:type="dxa"/>
            <w:gridSpan w:val="6"/>
            <w:shd w:val="clear" w:color="auto" w:fill="auto"/>
            <w:vAlign w:val="center"/>
          </w:tcPr>
          <w:p w14:paraId="6A0DFAAD">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直接排放 □；间接排放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；其他 □</w:t>
            </w:r>
          </w:p>
        </w:tc>
        <w:tc>
          <w:tcPr>
            <w:tcW w:w="5121" w:type="dxa"/>
            <w:gridSpan w:val="7"/>
            <w:shd w:val="clear" w:color="auto" w:fill="auto"/>
            <w:vAlign w:val="center"/>
          </w:tcPr>
          <w:p w14:paraId="74E3370F">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水温 □；径流 □；水域面积 □</w:t>
            </w:r>
          </w:p>
        </w:tc>
      </w:tr>
      <w:tr w14:paraId="4898FF2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5627F1E2">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0E5EA69E">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影响因子</w:t>
            </w:r>
          </w:p>
        </w:tc>
        <w:tc>
          <w:tcPr>
            <w:tcW w:w="5121" w:type="dxa"/>
            <w:gridSpan w:val="6"/>
            <w:shd w:val="clear" w:color="auto" w:fill="auto"/>
            <w:vAlign w:val="center"/>
          </w:tcPr>
          <w:p w14:paraId="7FDCB730">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持久性污染物 □；有毒有害污染物 □；非持久性污染物 </w:t>
            </w:r>
            <w:r>
              <w:rPr>
                <w:rFonts w:cs="Times New Roman"/>
                <w:snapToGrid w:val="0"/>
                <w:color w:val="auto"/>
                <w:kern w:val="0"/>
                <w:sz w:val="18"/>
                <w:szCs w:val="18"/>
                <w:highlight w:val="none"/>
              </w:rPr>
              <w:sym w:font="Wingdings 2" w:char="0052"/>
            </w:r>
            <w:r>
              <w:rPr>
                <w:rFonts w:cs="Times New Roman"/>
                <w:snapToGrid w:val="0"/>
                <w:color w:val="auto"/>
                <w:kern w:val="0"/>
                <w:sz w:val="18"/>
                <w:szCs w:val="18"/>
                <w:highlight w:val="none"/>
              </w:rPr>
              <w:t xml:space="preserve">；pH值 □；热污染 □；富营养化 </w:t>
            </w:r>
            <w:r>
              <w:rPr>
                <w:rFonts w:cs="Times New Roman"/>
                <w:snapToGrid w:val="0"/>
                <w:color w:val="auto"/>
                <w:kern w:val="0"/>
                <w:sz w:val="18"/>
                <w:szCs w:val="18"/>
                <w:highlight w:val="none"/>
              </w:rPr>
              <w:sym w:font="Wingdings 2" w:char="0052"/>
            </w:r>
            <w:r>
              <w:rPr>
                <w:rFonts w:cs="Times New Roman"/>
                <w:snapToGrid w:val="0"/>
                <w:color w:val="auto"/>
                <w:kern w:val="0"/>
                <w:sz w:val="18"/>
                <w:szCs w:val="18"/>
                <w:highlight w:val="none"/>
              </w:rPr>
              <w:t>；其他 □</w:t>
            </w:r>
          </w:p>
        </w:tc>
        <w:tc>
          <w:tcPr>
            <w:tcW w:w="5121" w:type="dxa"/>
            <w:gridSpan w:val="7"/>
            <w:shd w:val="clear" w:color="auto" w:fill="auto"/>
            <w:vAlign w:val="center"/>
          </w:tcPr>
          <w:p w14:paraId="4D139CBB">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水温 □；水位（水深） □；流速 □；流量 □；其他 □</w:t>
            </w:r>
          </w:p>
        </w:tc>
      </w:tr>
      <w:tr w14:paraId="4E1D2F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3377" w:type="dxa"/>
            <w:gridSpan w:val="2"/>
            <w:vMerge w:val="restart"/>
            <w:shd w:val="clear" w:color="auto" w:fill="auto"/>
            <w:noWrap/>
            <w:vAlign w:val="center"/>
          </w:tcPr>
          <w:p w14:paraId="676C2922">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评价等级</w:t>
            </w:r>
          </w:p>
        </w:tc>
        <w:tc>
          <w:tcPr>
            <w:tcW w:w="5121" w:type="dxa"/>
            <w:gridSpan w:val="6"/>
            <w:shd w:val="clear" w:color="auto" w:fill="auto"/>
            <w:noWrap/>
            <w:vAlign w:val="center"/>
          </w:tcPr>
          <w:p w14:paraId="4EB4A2D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水污染影响型</w:t>
            </w:r>
          </w:p>
        </w:tc>
        <w:tc>
          <w:tcPr>
            <w:tcW w:w="5121" w:type="dxa"/>
            <w:gridSpan w:val="7"/>
            <w:shd w:val="clear" w:color="auto" w:fill="auto"/>
            <w:vAlign w:val="center"/>
          </w:tcPr>
          <w:p w14:paraId="7972A0C2">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水文要素影响型</w:t>
            </w:r>
          </w:p>
        </w:tc>
      </w:tr>
      <w:tr w14:paraId="3901A7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3377" w:type="dxa"/>
            <w:gridSpan w:val="2"/>
            <w:vMerge w:val="continue"/>
            <w:shd w:val="clear" w:color="auto" w:fill="auto"/>
            <w:noWrap/>
            <w:vAlign w:val="center"/>
          </w:tcPr>
          <w:p w14:paraId="4017F473">
            <w:pPr>
              <w:spacing w:line="280" w:lineRule="exact"/>
              <w:ind w:firstLine="0" w:firstLineChars="0"/>
              <w:jc w:val="center"/>
              <w:rPr>
                <w:rFonts w:cs="Times New Roman"/>
                <w:snapToGrid w:val="0"/>
                <w:color w:val="auto"/>
                <w:kern w:val="0"/>
                <w:sz w:val="18"/>
                <w:szCs w:val="18"/>
                <w:highlight w:val="none"/>
              </w:rPr>
            </w:pPr>
          </w:p>
        </w:tc>
        <w:tc>
          <w:tcPr>
            <w:tcW w:w="5121" w:type="dxa"/>
            <w:gridSpan w:val="6"/>
            <w:shd w:val="clear" w:color="auto" w:fill="auto"/>
            <w:noWrap/>
            <w:vAlign w:val="center"/>
          </w:tcPr>
          <w:p w14:paraId="267AA9FD">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一级 □；二级 □；三级A □；三级B </w:t>
            </w:r>
            <w:r>
              <w:rPr>
                <w:rFonts w:eastAsia="仿宋" w:cs="Times New Roman"/>
                <w:snapToGrid w:val="0"/>
                <w:color w:val="auto"/>
                <w:kern w:val="0"/>
                <w:sz w:val="18"/>
                <w:szCs w:val="20"/>
                <w:highlight w:val="none"/>
              </w:rPr>
              <w:t>√</w:t>
            </w:r>
          </w:p>
        </w:tc>
        <w:tc>
          <w:tcPr>
            <w:tcW w:w="5121" w:type="dxa"/>
            <w:gridSpan w:val="7"/>
            <w:shd w:val="clear" w:color="auto" w:fill="auto"/>
            <w:vAlign w:val="center"/>
          </w:tcPr>
          <w:p w14:paraId="337CB29B">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一级 □；二级 □；三级 □</w:t>
            </w:r>
          </w:p>
        </w:tc>
      </w:tr>
      <w:tr w14:paraId="25A9AF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restart"/>
            <w:shd w:val="clear" w:color="auto" w:fill="auto"/>
            <w:noWrap/>
            <w:textDirection w:val="tbRlV"/>
            <w:vAlign w:val="center"/>
          </w:tcPr>
          <w:p w14:paraId="16998350">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现状调查</w:t>
            </w:r>
          </w:p>
        </w:tc>
        <w:tc>
          <w:tcPr>
            <w:tcW w:w="2751" w:type="dxa"/>
            <w:vMerge w:val="restart"/>
            <w:shd w:val="clear" w:color="auto" w:fill="auto"/>
            <w:vAlign w:val="center"/>
          </w:tcPr>
          <w:p w14:paraId="76997405">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区域污染源</w:t>
            </w:r>
          </w:p>
        </w:tc>
        <w:tc>
          <w:tcPr>
            <w:tcW w:w="5121" w:type="dxa"/>
            <w:gridSpan w:val="6"/>
            <w:shd w:val="clear" w:color="auto" w:fill="auto"/>
            <w:noWrap/>
            <w:vAlign w:val="center"/>
          </w:tcPr>
          <w:p w14:paraId="208E2A81">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调查项目</w:t>
            </w:r>
          </w:p>
        </w:tc>
        <w:tc>
          <w:tcPr>
            <w:tcW w:w="5121" w:type="dxa"/>
            <w:gridSpan w:val="7"/>
            <w:shd w:val="clear" w:color="auto" w:fill="auto"/>
            <w:noWrap/>
            <w:vAlign w:val="center"/>
          </w:tcPr>
          <w:p w14:paraId="5F000E6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数据来源</w:t>
            </w:r>
          </w:p>
        </w:tc>
      </w:tr>
      <w:tr w14:paraId="283037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4" w:hRule="atLeast"/>
        </w:trPr>
        <w:tc>
          <w:tcPr>
            <w:tcW w:w="626" w:type="dxa"/>
            <w:vMerge w:val="continue"/>
            <w:shd w:val="clear" w:color="auto" w:fill="auto"/>
            <w:vAlign w:val="center"/>
          </w:tcPr>
          <w:p w14:paraId="7E7109EF">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04AEF8E3">
            <w:pPr>
              <w:spacing w:line="280" w:lineRule="exact"/>
              <w:ind w:firstLine="0" w:firstLineChars="0"/>
              <w:jc w:val="left"/>
              <w:rPr>
                <w:rFonts w:cs="Times New Roman"/>
                <w:snapToGrid w:val="0"/>
                <w:color w:val="auto"/>
                <w:kern w:val="0"/>
                <w:sz w:val="18"/>
                <w:szCs w:val="18"/>
                <w:highlight w:val="none"/>
              </w:rPr>
            </w:pPr>
          </w:p>
        </w:tc>
        <w:tc>
          <w:tcPr>
            <w:tcW w:w="2975" w:type="dxa"/>
            <w:gridSpan w:val="3"/>
            <w:shd w:val="clear" w:color="auto" w:fill="auto"/>
            <w:vAlign w:val="center"/>
          </w:tcPr>
          <w:p w14:paraId="7ED5AB8C">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已建 □；在建 □；拟建 □；其他 </w:t>
            </w:r>
            <w:r>
              <w:rPr>
                <w:rFonts w:eastAsia="仿宋" w:cs="Times New Roman"/>
                <w:snapToGrid w:val="0"/>
                <w:color w:val="auto"/>
                <w:kern w:val="0"/>
                <w:sz w:val="18"/>
                <w:szCs w:val="20"/>
                <w:highlight w:val="none"/>
              </w:rPr>
              <w:t>√</w:t>
            </w:r>
          </w:p>
        </w:tc>
        <w:tc>
          <w:tcPr>
            <w:tcW w:w="2146" w:type="dxa"/>
            <w:gridSpan w:val="3"/>
            <w:shd w:val="clear" w:color="auto" w:fill="auto"/>
            <w:vAlign w:val="center"/>
          </w:tcPr>
          <w:p w14:paraId="1A64561E">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拟替代的污染源 □</w:t>
            </w:r>
          </w:p>
        </w:tc>
        <w:tc>
          <w:tcPr>
            <w:tcW w:w="5121" w:type="dxa"/>
            <w:gridSpan w:val="7"/>
            <w:shd w:val="clear" w:color="auto" w:fill="auto"/>
            <w:vAlign w:val="center"/>
          </w:tcPr>
          <w:p w14:paraId="2354651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排污许可证 □；环评 □；环保验收 □；既有实测 □；现场监测 □；入河排放口数据 □；其他 </w:t>
            </w:r>
            <w:r>
              <w:rPr>
                <w:rFonts w:eastAsia="仿宋" w:cs="Times New Roman"/>
                <w:snapToGrid w:val="0"/>
                <w:color w:val="auto"/>
                <w:kern w:val="0"/>
                <w:sz w:val="18"/>
                <w:szCs w:val="20"/>
                <w:highlight w:val="none"/>
              </w:rPr>
              <w:t>√</w:t>
            </w:r>
          </w:p>
        </w:tc>
      </w:tr>
      <w:tr w14:paraId="1AE724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465F6176">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4AD77B5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受影响水体水环境质量　</w:t>
            </w:r>
          </w:p>
        </w:tc>
        <w:tc>
          <w:tcPr>
            <w:tcW w:w="5121" w:type="dxa"/>
            <w:gridSpan w:val="6"/>
            <w:shd w:val="clear" w:color="auto" w:fill="auto"/>
            <w:noWrap/>
            <w:vAlign w:val="center"/>
          </w:tcPr>
          <w:p w14:paraId="6A520FFE">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调查时期</w:t>
            </w:r>
          </w:p>
        </w:tc>
        <w:tc>
          <w:tcPr>
            <w:tcW w:w="5121" w:type="dxa"/>
            <w:gridSpan w:val="7"/>
            <w:shd w:val="clear" w:color="auto" w:fill="auto"/>
            <w:noWrap/>
            <w:vAlign w:val="center"/>
          </w:tcPr>
          <w:p w14:paraId="796F731F">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数据来源</w:t>
            </w:r>
          </w:p>
        </w:tc>
      </w:tr>
      <w:tr w14:paraId="1D62741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81" w:hRule="atLeast"/>
        </w:trPr>
        <w:tc>
          <w:tcPr>
            <w:tcW w:w="626" w:type="dxa"/>
            <w:vMerge w:val="continue"/>
            <w:shd w:val="clear" w:color="auto" w:fill="auto"/>
            <w:vAlign w:val="center"/>
          </w:tcPr>
          <w:p w14:paraId="74F58CCF">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5345CB08">
            <w:pPr>
              <w:spacing w:line="280" w:lineRule="exact"/>
              <w:ind w:firstLine="0" w:firstLineChars="0"/>
              <w:jc w:val="center"/>
              <w:rPr>
                <w:rFonts w:cs="Times New Roman"/>
                <w:snapToGrid w:val="0"/>
                <w:color w:val="auto"/>
                <w:kern w:val="0"/>
                <w:sz w:val="18"/>
                <w:szCs w:val="18"/>
                <w:highlight w:val="none"/>
              </w:rPr>
            </w:pPr>
          </w:p>
        </w:tc>
        <w:tc>
          <w:tcPr>
            <w:tcW w:w="5121" w:type="dxa"/>
            <w:gridSpan w:val="6"/>
            <w:shd w:val="clear" w:color="auto" w:fill="auto"/>
            <w:vAlign w:val="center"/>
          </w:tcPr>
          <w:p w14:paraId="3B33ECD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丰水期 □；平水期 </w:t>
            </w:r>
            <w:r>
              <w:rPr>
                <w:rFonts w:cs="Times New Roman"/>
                <w:snapToGrid w:val="0"/>
                <w:color w:val="auto"/>
                <w:kern w:val="0"/>
                <w:sz w:val="18"/>
                <w:szCs w:val="18"/>
                <w:highlight w:val="none"/>
              </w:rPr>
              <w:sym w:font="Wingdings 2" w:char="0052"/>
            </w:r>
            <w:r>
              <w:rPr>
                <w:rFonts w:cs="Times New Roman"/>
                <w:snapToGrid w:val="0"/>
                <w:color w:val="auto"/>
                <w:kern w:val="0"/>
                <w:sz w:val="18"/>
                <w:szCs w:val="18"/>
                <w:highlight w:val="none"/>
              </w:rPr>
              <w:t>；枯水期 □；冰封期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 xml:space="preserve">春季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 xml:space="preserve">；夏季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 xml:space="preserve">；秋季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 xml:space="preserve">；冬季 </w:t>
            </w:r>
            <w:r>
              <w:rPr>
                <w:rFonts w:eastAsia="仿宋" w:cs="Times New Roman"/>
                <w:snapToGrid w:val="0"/>
                <w:color w:val="auto"/>
                <w:kern w:val="0"/>
                <w:sz w:val="18"/>
                <w:szCs w:val="20"/>
                <w:highlight w:val="none"/>
              </w:rPr>
              <w:t>√</w:t>
            </w:r>
          </w:p>
        </w:tc>
        <w:tc>
          <w:tcPr>
            <w:tcW w:w="5121" w:type="dxa"/>
            <w:gridSpan w:val="7"/>
            <w:shd w:val="clear" w:color="auto" w:fill="auto"/>
            <w:noWrap/>
            <w:vAlign w:val="center"/>
          </w:tcPr>
          <w:p w14:paraId="7731F4A4">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生态环境保护主管部门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；补充监测 □；其他 □</w:t>
            </w:r>
          </w:p>
        </w:tc>
      </w:tr>
      <w:tr w14:paraId="768DF5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3D4CCC97">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20F7D1F6">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区域水资源开发利用状况</w:t>
            </w:r>
          </w:p>
        </w:tc>
        <w:tc>
          <w:tcPr>
            <w:tcW w:w="10242" w:type="dxa"/>
            <w:gridSpan w:val="13"/>
            <w:shd w:val="clear" w:color="auto" w:fill="auto"/>
            <w:noWrap/>
            <w:vAlign w:val="center"/>
          </w:tcPr>
          <w:p w14:paraId="173ABFDC">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未开发 □；开发量40%以下 □；开发量40%以上 □</w:t>
            </w:r>
          </w:p>
        </w:tc>
      </w:tr>
      <w:tr w14:paraId="7354706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58BC0BB7">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4088E759">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水文情势调查　</w:t>
            </w:r>
          </w:p>
        </w:tc>
        <w:tc>
          <w:tcPr>
            <w:tcW w:w="5121" w:type="dxa"/>
            <w:gridSpan w:val="6"/>
            <w:shd w:val="clear" w:color="auto" w:fill="auto"/>
            <w:noWrap/>
            <w:vAlign w:val="center"/>
          </w:tcPr>
          <w:p w14:paraId="34085DB2">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调查时期</w:t>
            </w:r>
          </w:p>
        </w:tc>
        <w:tc>
          <w:tcPr>
            <w:tcW w:w="5121" w:type="dxa"/>
            <w:gridSpan w:val="7"/>
            <w:shd w:val="clear" w:color="auto" w:fill="auto"/>
            <w:noWrap/>
            <w:vAlign w:val="center"/>
          </w:tcPr>
          <w:p w14:paraId="2204BE0E">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数据来源</w:t>
            </w:r>
          </w:p>
        </w:tc>
      </w:tr>
      <w:tr w14:paraId="24DF6F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02" w:hRule="atLeast"/>
        </w:trPr>
        <w:tc>
          <w:tcPr>
            <w:tcW w:w="626" w:type="dxa"/>
            <w:vMerge w:val="continue"/>
            <w:shd w:val="clear" w:color="auto" w:fill="auto"/>
            <w:vAlign w:val="center"/>
          </w:tcPr>
          <w:p w14:paraId="57EE5D39">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3137D39A">
            <w:pPr>
              <w:spacing w:line="280" w:lineRule="exact"/>
              <w:ind w:firstLine="0" w:firstLineChars="0"/>
              <w:jc w:val="center"/>
              <w:rPr>
                <w:rFonts w:cs="Times New Roman"/>
                <w:snapToGrid w:val="0"/>
                <w:color w:val="auto"/>
                <w:kern w:val="0"/>
                <w:sz w:val="18"/>
                <w:szCs w:val="18"/>
                <w:highlight w:val="none"/>
              </w:rPr>
            </w:pPr>
          </w:p>
        </w:tc>
        <w:tc>
          <w:tcPr>
            <w:tcW w:w="5121" w:type="dxa"/>
            <w:gridSpan w:val="6"/>
            <w:shd w:val="clear" w:color="auto" w:fill="auto"/>
            <w:vAlign w:val="center"/>
          </w:tcPr>
          <w:p w14:paraId="506F6800">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丰水期 □；平水期 □；枯水期 □；冰封期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春季 □；夏季 □；秋季 □；冬季 □</w:t>
            </w:r>
          </w:p>
        </w:tc>
        <w:tc>
          <w:tcPr>
            <w:tcW w:w="5121" w:type="dxa"/>
            <w:gridSpan w:val="7"/>
            <w:shd w:val="clear" w:color="auto" w:fill="auto"/>
            <w:noWrap/>
            <w:vAlign w:val="center"/>
          </w:tcPr>
          <w:p w14:paraId="7FC1065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水行政主管部门 □；补充监测 □；其他 □</w:t>
            </w:r>
          </w:p>
        </w:tc>
      </w:tr>
      <w:tr w14:paraId="1239E4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629A7F46">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221E47C6">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补充监测　</w:t>
            </w:r>
          </w:p>
        </w:tc>
        <w:tc>
          <w:tcPr>
            <w:tcW w:w="5121" w:type="dxa"/>
            <w:gridSpan w:val="6"/>
            <w:shd w:val="clear" w:color="auto" w:fill="auto"/>
            <w:vAlign w:val="center"/>
          </w:tcPr>
          <w:p w14:paraId="3E48831D">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监测时期</w:t>
            </w:r>
          </w:p>
        </w:tc>
        <w:tc>
          <w:tcPr>
            <w:tcW w:w="3123" w:type="dxa"/>
            <w:gridSpan w:val="5"/>
            <w:shd w:val="clear" w:color="auto" w:fill="auto"/>
            <w:noWrap/>
            <w:vAlign w:val="center"/>
          </w:tcPr>
          <w:p w14:paraId="79C997FA">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监测因子</w:t>
            </w:r>
          </w:p>
        </w:tc>
        <w:tc>
          <w:tcPr>
            <w:tcW w:w="1998" w:type="dxa"/>
            <w:gridSpan w:val="2"/>
            <w:shd w:val="clear" w:color="auto" w:fill="auto"/>
            <w:noWrap/>
            <w:vAlign w:val="center"/>
          </w:tcPr>
          <w:p w14:paraId="4B96A72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监测断面或点位</w:t>
            </w:r>
          </w:p>
        </w:tc>
      </w:tr>
      <w:tr w14:paraId="0CB80D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02" w:hRule="atLeast"/>
        </w:trPr>
        <w:tc>
          <w:tcPr>
            <w:tcW w:w="626" w:type="dxa"/>
            <w:vMerge w:val="continue"/>
            <w:shd w:val="clear" w:color="auto" w:fill="auto"/>
            <w:vAlign w:val="center"/>
          </w:tcPr>
          <w:p w14:paraId="05A14DBE">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492D275B">
            <w:pPr>
              <w:spacing w:line="280" w:lineRule="exact"/>
              <w:ind w:firstLine="0" w:firstLineChars="0"/>
              <w:jc w:val="center"/>
              <w:rPr>
                <w:rFonts w:cs="Times New Roman"/>
                <w:snapToGrid w:val="0"/>
                <w:color w:val="auto"/>
                <w:kern w:val="0"/>
                <w:sz w:val="18"/>
                <w:szCs w:val="18"/>
                <w:highlight w:val="none"/>
              </w:rPr>
            </w:pPr>
          </w:p>
        </w:tc>
        <w:tc>
          <w:tcPr>
            <w:tcW w:w="5121" w:type="dxa"/>
            <w:gridSpan w:val="6"/>
            <w:shd w:val="clear" w:color="auto" w:fill="auto"/>
            <w:vAlign w:val="center"/>
          </w:tcPr>
          <w:p w14:paraId="6B7B0DB5">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丰水期 □；平水期 </w:t>
            </w:r>
            <w:r>
              <w:rPr>
                <w:rFonts w:cs="Times New Roman"/>
                <w:snapToGrid w:val="0"/>
                <w:color w:val="auto"/>
                <w:kern w:val="0"/>
                <w:sz w:val="18"/>
                <w:szCs w:val="18"/>
                <w:highlight w:val="none"/>
              </w:rPr>
              <w:sym w:font="Wingdings 2" w:char="00A3"/>
            </w:r>
            <w:r>
              <w:rPr>
                <w:rFonts w:cs="Times New Roman"/>
                <w:snapToGrid w:val="0"/>
                <w:color w:val="auto"/>
                <w:kern w:val="0"/>
                <w:sz w:val="18"/>
                <w:szCs w:val="18"/>
                <w:highlight w:val="none"/>
              </w:rPr>
              <w:t>；枯水期 □；冰封期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春季 □；夏季 □；秋季 □；冬季 □</w:t>
            </w:r>
          </w:p>
        </w:tc>
        <w:tc>
          <w:tcPr>
            <w:tcW w:w="3123" w:type="dxa"/>
            <w:gridSpan w:val="5"/>
            <w:shd w:val="clear" w:color="auto" w:fill="auto"/>
            <w:noWrap/>
            <w:vAlign w:val="center"/>
          </w:tcPr>
          <w:p w14:paraId="449AC72F">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1998" w:type="dxa"/>
            <w:gridSpan w:val="2"/>
            <w:shd w:val="clear" w:color="auto" w:fill="auto"/>
            <w:noWrap/>
            <w:vAlign w:val="center"/>
          </w:tcPr>
          <w:p w14:paraId="2A1B7C5B">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监测断面或点位个数（   ）个</w:t>
            </w:r>
          </w:p>
        </w:tc>
      </w:tr>
      <w:tr w14:paraId="6B2F78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restart"/>
            <w:shd w:val="clear" w:color="auto" w:fill="auto"/>
            <w:noWrap/>
            <w:textDirection w:val="tbRlV"/>
            <w:vAlign w:val="center"/>
          </w:tcPr>
          <w:p w14:paraId="46D7A961">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现状评价</w:t>
            </w:r>
          </w:p>
        </w:tc>
        <w:tc>
          <w:tcPr>
            <w:tcW w:w="2751" w:type="dxa"/>
            <w:shd w:val="clear" w:color="auto" w:fill="auto"/>
            <w:vAlign w:val="center"/>
          </w:tcPr>
          <w:p w14:paraId="0280F439">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评价范围</w:t>
            </w:r>
          </w:p>
        </w:tc>
        <w:tc>
          <w:tcPr>
            <w:tcW w:w="10242" w:type="dxa"/>
            <w:gridSpan w:val="13"/>
            <w:shd w:val="clear" w:color="auto" w:fill="auto"/>
            <w:noWrap/>
            <w:vAlign w:val="center"/>
          </w:tcPr>
          <w:p w14:paraId="1D80825D">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河流：长度（   ）km；湖库、河口及近岸海域：面积（   ）km</w:t>
            </w:r>
            <w:r>
              <w:rPr>
                <w:rFonts w:cs="Times New Roman"/>
                <w:snapToGrid w:val="0"/>
                <w:color w:val="auto"/>
                <w:kern w:val="0"/>
                <w:sz w:val="18"/>
                <w:szCs w:val="18"/>
                <w:highlight w:val="none"/>
                <w:vertAlign w:val="superscript"/>
              </w:rPr>
              <w:t>2</w:t>
            </w:r>
          </w:p>
        </w:tc>
      </w:tr>
      <w:tr w14:paraId="6A6A6F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062286F5">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36DE36C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评价因子</w:t>
            </w:r>
          </w:p>
        </w:tc>
        <w:tc>
          <w:tcPr>
            <w:tcW w:w="10242" w:type="dxa"/>
            <w:gridSpan w:val="13"/>
            <w:shd w:val="clear" w:color="auto" w:fill="auto"/>
            <w:noWrap/>
            <w:vAlign w:val="center"/>
          </w:tcPr>
          <w:p w14:paraId="687F26D5">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（pH、COD、五日生化需氧量、高锰酸盐指数、氨氮、总氮、总磷）</w:t>
            </w:r>
          </w:p>
        </w:tc>
      </w:tr>
      <w:tr w14:paraId="09BBC7C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79D330EC">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22871D06">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评价标准</w:t>
            </w:r>
          </w:p>
        </w:tc>
        <w:tc>
          <w:tcPr>
            <w:tcW w:w="10242" w:type="dxa"/>
            <w:gridSpan w:val="13"/>
            <w:shd w:val="clear" w:color="auto" w:fill="auto"/>
            <w:noWrap/>
            <w:vAlign w:val="center"/>
          </w:tcPr>
          <w:p w14:paraId="1590CE0D">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河流、湖库、河口：</w:t>
            </w:r>
            <w:r>
              <w:rPr>
                <w:rFonts w:eastAsia="微软雅黑" w:cs="Times New Roman"/>
                <w:snapToGrid w:val="0"/>
                <w:color w:val="auto"/>
                <w:kern w:val="0"/>
                <w:sz w:val="18"/>
                <w:szCs w:val="18"/>
                <w:highlight w:val="none"/>
              </w:rPr>
              <w:t>Ⅰ</w:t>
            </w:r>
            <w:r>
              <w:rPr>
                <w:rFonts w:cs="Times New Roman"/>
                <w:snapToGrid w:val="0"/>
                <w:color w:val="auto"/>
                <w:kern w:val="0"/>
                <w:sz w:val="18"/>
                <w:szCs w:val="18"/>
                <w:highlight w:val="none"/>
              </w:rPr>
              <w:t>类 □；</w:t>
            </w:r>
            <w:r>
              <w:rPr>
                <w:rFonts w:eastAsia="微软雅黑" w:cs="Times New Roman"/>
                <w:snapToGrid w:val="0"/>
                <w:color w:val="auto"/>
                <w:kern w:val="0"/>
                <w:sz w:val="18"/>
                <w:szCs w:val="18"/>
                <w:highlight w:val="none"/>
              </w:rPr>
              <w:t>Ⅱ</w:t>
            </w:r>
            <w:r>
              <w:rPr>
                <w:rFonts w:cs="Times New Roman"/>
                <w:snapToGrid w:val="0"/>
                <w:color w:val="auto"/>
                <w:kern w:val="0"/>
                <w:sz w:val="18"/>
                <w:szCs w:val="18"/>
                <w:highlight w:val="none"/>
              </w:rPr>
              <w:t xml:space="preserve">类 </w:t>
            </w:r>
            <w:r>
              <w:rPr>
                <w:rFonts w:cs="Times New Roman"/>
                <w:snapToGrid w:val="0"/>
                <w:color w:val="auto"/>
                <w:kern w:val="0"/>
                <w:sz w:val="18"/>
                <w:szCs w:val="18"/>
                <w:highlight w:val="none"/>
              </w:rPr>
              <w:sym w:font="Wingdings 2" w:char="00A3"/>
            </w:r>
            <w:r>
              <w:rPr>
                <w:rFonts w:cs="Times New Roman"/>
                <w:snapToGrid w:val="0"/>
                <w:color w:val="auto"/>
                <w:kern w:val="0"/>
                <w:sz w:val="18"/>
                <w:szCs w:val="18"/>
                <w:highlight w:val="none"/>
              </w:rPr>
              <w:t>；</w:t>
            </w:r>
            <w:r>
              <w:rPr>
                <w:rFonts w:eastAsia="微软雅黑" w:cs="Times New Roman"/>
                <w:snapToGrid w:val="0"/>
                <w:color w:val="auto"/>
                <w:kern w:val="0"/>
                <w:sz w:val="18"/>
                <w:szCs w:val="18"/>
                <w:highlight w:val="none"/>
              </w:rPr>
              <w:t>Ⅲ</w:t>
            </w:r>
            <w:r>
              <w:rPr>
                <w:rFonts w:cs="Times New Roman"/>
                <w:snapToGrid w:val="0"/>
                <w:color w:val="auto"/>
                <w:kern w:val="0"/>
                <w:sz w:val="18"/>
                <w:szCs w:val="18"/>
                <w:highlight w:val="none"/>
              </w:rPr>
              <w:t xml:space="preserve">类 </w:t>
            </w:r>
            <w:r>
              <w:rPr>
                <w:rFonts w:cs="Times New Roman"/>
                <w:snapToGrid w:val="0"/>
                <w:color w:val="auto"/>
                <w:kern w:val="0"/>
                <w:sz w:val="18"/>
                <w:szCs w:val="18"/>
                <w:highlight w:val="none"/>
              </w:rPr>
              <w:sym w:font="Wingdings 2" w:char="0052"/>
            </w:r>
            <w:r>
              <w:rPr>
                <w:rFonts w:cs="Times New Roman"/>
                <w:snapToGrid w:val="0"/>
                <w:color w:val="auto"/>
                <w:kern w:val="0"/>
                <w:sz w:val="18"/>
                <w:szCs w:val="18"/>
                <w:highlight w:val="none"/>
              </w:rPr>
              <w:t>；</w:t>
            </w:r>
            <w:r>
              <w:rPr>
                <w:rFonts w:eastAsia="微软雅黑" w:cs="Times New Roman"/>
                <w:snapToGrid w:val="0"/>
                <w:color w:val="auto"/>
                <w:kern w:val="0"/>
                <w:sz w:val="18"/>
                <w:szCs w:val="18"/>
                <w:highlight w:val="none"/>
              </w:rPr>
              <w:t>Ⅳ</w:t>
            </w:r>
            <w:r>
              <w:rPr>
                <w:rFonts w:cs="Times New Roman"/>
                <w:snapToGrid w:val="0"/>
                <w:color w:val="auto"/>
                <w:kern w:val="0"/>
                <w:sz w:val="18"/>
                <w:szCs w:val="18"/>
                <w:highlight w:val="none"/>
              </w:rPr>
              <w:t xml:space="preserve">类 </w:t>
            </w:r>
            <w:r>
              <w:rPr>
                <w:rFonts w:cs="Times New Roman"/>
                <w:snapToGrid w:val="0"/>
                <w:color w:val="auto"/>
                <w:kern w:val="0"/>
                <w:sz w:val="18"/>
                <w:szCs w:val="18"/>
                <w:highlight w:val="none"/>
              </w:rPr>
              <w:sym w:font="Wingdings 2" w:char="00A3"/>
            </w:r>
            <w:r>
              <w:rPr>
                <w:rFonts w:cs="Times New Roman"/>
                <w:snapToGrid w:val="0"/>
                <w:color w:val="auto"/>
                <w:kern w:val="0"/>
                <w:sz w:val="18"/>
                <w:szCs w:val="18"/>
                <w:highlight w:val="none"/>
              </w:rPr>
              <w:t>；</w:t>
            </w:r>
            <w:r>
              <w:rPr>
                <w:rFonts w:eastAsia="微软雅黑" w:cs="Times New Roman"/>
                <w:snapToGrid w:val="0"/>
                <w:color w:val="auto"/>
                <w:kern w:val="0"/>
                <w:sz w:val="18"/>
                <w:szCs w:val="18"/>
                <w:highlight w:val="none"/>
              </w:rPr>
              <w:t>Ⅴ</w:t>
            </w:r>
            <w:r>
              <w:rPr>
                <w:rFonts w:cs="Times New Roman"/>
                <w:snapToGrid w:val="0"/>
                <w:color w:val="auto"/>
                <w:kern w:val="0"/>
                <w:sz w:val="18"/>
                <w:szCs w:val="18"/>
                <w:highlight w:val="none"/>
              </w:rPr>
              <w:t xml:space="preserve">类 </w:t>
            </w:r>
            <w:r>
              <w:rPr>
                <w:rFonts w:cs="Times New Roman"/>
                <w:snapToGrid w:val="0"/>
                <w:color w:val="auto"/>
                <w:kern w:val="0"/>
                <w:sz w:val="18"/>
                <w:szCs w:val="18"/>
                <w:highlight w:val="none"/>
              </w:rPr>
              <w:sym w:font="Wingdings 2" w:char="00A3"/>
            </w:r>
          </w:p>
          <w:p w14:paraId="1A6435CB">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近岸海域：第一类 □；第二类 </w:t>
            </w:r>
            <w:r>
              <w:rPr>
                <w:rFonts w:cs="Times New Roman"/>
                <w:snapToGrid w:val="0"/>
                <w:color w:val="auto"/>
                <w:kern w:val="0"/>
                <w:sz w:val="18"/>
                <w:szCs w:val="18"/>
                <w:highlight w:val="none"/>
              </w:rPr>
              <w:sym w:font="Wingdings 2" w:char="0052"/>
            </w:r>
            <w:r>
              <w:rPr>
                <w:rFonts w:cs="Times New Roman"/>
                <w:snapToGrid w:val="0"/>
                <w:color w:val="auto"/>
                <w:kern w:val="0"/>
                <w:sz w:val="18"/>
                <w:szCs w:val="18"/>
                <w:highlight w:val="none"/>
              </w:rPr>
              <w:t>；第三类 □；第四类 □</w:t>
            </w:r>
          </w:p>
          <w:p w14:paraId="07B51142">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规划年评价标准（</w:t>
            </w:r>
            <w:r>
              <w:rPr>
                <w:rFonts w:eastAsia="微软雅黑" w:cs="Times New Roman"/>
                <w:snapToGrid w:val="0"/>
                <w:color w:val="auto"/>
                <w:kern w:val="0"/>
                <w:sz w:val="18"/>
                <w:szCs w:val="18"/>
                <w:highlight w:val="none"/>
              </w:rPr>
              <w:t xml:space="preserve">  </w:t>
            </w:r>
            <w:r>
              <w:rPr>
                <w:rFonts w:cs="Times New Roman"/>
                <w:snapToGrid w:val="0"/>
                <w:color w:val="auto"/>
                <w:kern w:val="0"/>
                <w:sz w:val="18"/>
                <w:szCs w:val="18"/>
                <w:highlight w:val="none"/>
              </w:rPr>
              <w:t>）</w:t>
            </w:r>
          </w:p>
        </w:tc>
      </w:tr>
      <w:tr w14:paraId="1ABF7B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2BAAA786">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6F136748">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评价时期</w:t>
            </w:r>
          </w:p>
        </w:tc>
        <w:tc>
          <w:tcPr>
            <w:tcW w:w="10242" w:type="dxa"/>
            <w:gridSpan w:val="13"/>
            <w:shd w:val="clear" w:color="auto" w:fill="auto"/>
            <w:vAlign w:val="center"/>
          </w:tcPr>
          <w:p w14:paraId="792506F5">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丰水期 □；平水期 □；枯水期 □；冰封期□</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春季 □；夏季 □；秋季 □；冬季 □</w:t>
            </w:r>
          </w:p>
        </w:tc>
      </w:tr>
      <w:tr w14:paraId="08FD4A2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604" w:hRule="atLeast"/>
        </w:trPr>
        <w:tc>
          <w:tcPr>
            <w:tcW w:w="626" w:type="dxa"/>
            <w:vMerge w:val="continue"/>
            <w:shd w:val="clear" w:color="auto" w:fill="auto"/>
            <w:vAlign w:val="center"/>
          </w:tcPr>
          <w:p w14:paraId="0E3F9BB8">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23FD6A50">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评价结论</w:t>
            </w:r>
          </w:p>
        </w:tc>
        <w:tc>
          <w:tcPr>
            <w:tcW w:w="8809" w:type="dxa"/>
            <w:gridSpan w:val="12"/>
            <w:shd w:val="clear" w:color="auto" w:fill="auto"/>
            <w:vAlign w:val="center"/>
          </w:tcPr>
          <w:p w14:paraId="58B8A36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水环境功能区或水功能区、近岸海域环境功能区水质达标状况 □：达标 □；不达标 </w:t>
            </w:r>
            <w:r>
              <w:rPr>
                <w:rFonts w:cs="Times New Roman"/>
                <w:snapToGrid w:val="0"/>
                <w:color w:val="auto"/>
                <w:kern w:val="0"/>
                <w:sz w:val="18"/>
                <w:szCs w:val="18"/>
                <w:highlight w:val="none"/>
              </w:rPr>
              <w:sym w:font="Wingdings 2" w:char="0052"/>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水环境控制单元或断面水质达标状况 □：达标 □；不达标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水环境保护目标质量状况 □：达标 □；不达标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对照断面、控制断面等代表性断面的水质状况 □：达标 □；不达标 □</w:t>
            </w:r>
          </w:p>
          <w:p w14:paraId="211A316A">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底泥污染评价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水资源与开发利用程度及其水文情势评价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水环境质量回顾评价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流域（区域）水资源（包括水能资源）与开发利用总体状况、生态流量管理要求与现状满足程度、建设项目占用水域空间的水流状况与河湖演变状况 □</w:t>
            </w:r>
          </w:p>
        </w:tc>
        <w:tc>
          <w:tcPr>
            <w:tcW w:w="1433" w:type="dxa"/>
            <w:shd w:val="clear" w:color="auto" w:fill="auto"/>
            <w:vAlign w:val="center"/>
          </w:tcPr>
          <w:p w14:paraId="3F447BD5">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达标区 □</w:t>
            </w:r>
          </w:p>
          <w:p w14:paraId="6CEABC9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不达标区 </w:t>
            </w:r>
            <w:r>
              <w:rPr>
                <w:rFonts w:cs="Times New Roman"/>
                <w:snapToGrid w:val="0"/>
                <w:color w:val="auto"/>
                <w:kern w:val="0"/>
                <w:sz w:val="18"/>
                <w:szCs w:val="18"/>
                <w:highlight w:val="none"/>
              </w:rPr>
              <w:sym w:font="Wingdings 2" w:char="00A3"/>
            </w:r>
          </w:p>
        </w:tc>
      </w:tr>
      <w:tr w14:paraId="68AE797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restart"/>
            <w:shd w:val="clear" w:color="auto" w:fill="auto"/>
            <w:noWrap/>
            <w:textDirection w:val="tbRlV"/>
            <w:vAlign w:val="center"/>
          </w:tcPr>
          <w:p w14:paraId="1A9D9492">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影响预测</w:t>
            </w:r>
          </w:p>
        </w:tc>
        <w:tc>
          <w:tcPr>
            <w:tcW w:w="2751" w:type="dxa"/>
            <w:shd w:val="clear" w:color="auto" w:fill="auto"/>
            <w:vAlign w:val="center"/>
          </w:tcPr>
          <w:p w14:paraId="19764F24">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预测范围</w:t>
            </w:r>
          </w:p>
        </w:tc>
        <w:tc>
          <w:tcPr>
            <w:tcW w:w="10242" w:type="dxa"/>
            <w:gridSpan w:val="13"/>
            <w:shd w:val="clear" w:color="auto" w:fill="auto"/>
            <w:noWrap/>
            <w:vAlign w:val="center"/>
          </w:tcPr>
          <w:p w14:paraId="0E640BFF">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河流：长度（   ）km；湖库、河口及近岸海域：面积（   ）km</w:t>
            </w:r>
            <w:r>
              <w:rPr>
                <w:rFonts w:cs="Times New Roman"/>
                <w:snapToGrid w:val="0"/>
                <w:color w:val="auto"/>
                <w:kern w:val="0"/>
                <w:sz w:val="18"/>
                <w:szCs w:val="18"/>
                <w:highlight w:val="none"/>
                <w:vertAlign w:val="superscript"/>
              </w:rPr>
              <w:t>2</w:t>
            </w:r>
          </w:p>
        </w:tc>
      </w:tr>
      <w:tr w14:paraId="17A2F7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7818D2D5">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3E2FC622">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预测因子</w:t>
            </w:r>
          </w:p>
        </w:tc>
        <w:tc>
          <w:tcPr>
            <w:tcW w:w="10242" w:type="dxa"/>
            <w:gridSpan w:val="13"/>
            <w:shd w:val="clear" w:color="auto" w:fill="auto"/>
            <w:noWrap/>
            <w:vAlign w:val="center"/>
          </w:tcPr>
          <w:p w14:paraId="62E7980E">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r>
      <w:tr w14:paraId="642569D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713A52CA">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4A7862A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预测时期</w:t>
            </w:r>
          </w:p>
        </w:tc>
        <w:tc>
          <w:tcPr>
            <w:tcW w:w="10242" w:type="dxa"/>
            <w:gridSpan w:val="13"/>
            <w:shd w:val="clear" w:color="auto" w:fill="auto"/>
            <w:vAlign w:val="center"/>
          </w:tcPr>
          <w:p w14:paraId="3DBC0F38">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丰水期 □；平水期 □；枯水期 □；冰封期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春季 □；夏季 □；秋季 □；冬季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设计水文条件 □</w:t>
            </w:r>
          </w:p>
        </w:tc>
      </w:tr>
      <w:tr w14:paraId="135CFC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21135B0E">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41807AD5">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预测情景</w:t>
            </w:r>
          </w:p>
        </w:tc>
        <w:tc>
          <w:tcPr>
            <w:tcW w:w="10242" w:type="dxa"/>
            <w:gridSpan w:val="13"/>
            <w:shd w:val="clear" w:color="auto" w:fill="auto"/>
            <w:vAlign w:val="center"/>
          </w:tcPr>
          <w:p w14:paraId="5E092A64">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建设期 □；生产运行期 □；服务期满后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正常工况 □；非正常工况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污染控制和减缓措施方案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区（流）域环境质量改善目标要求情景 □</w:t>
            </w:r>
          </w:p>
        </w:tc>
      </w:tr>
      <w:tr w14:paraId="3911F1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6EFF003F">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38AB4E3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预测方法</w:t>
            </w:r>
          </w:p>
        </w:tc>
        <w:tc>
          <w:tcPr>
            <w:tcW w:w="10242" w:type="dxa"/>
            <w:gridSpan w:val="13"/>
            <w:shd w:val="clear" w:color="auto" w:fill="auto"/>
            <w:noWrap/>
            <w:vAlign w:val="center"/>
          </w:tcPr>
          <w:p w14:paraId="0DC2679C">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数值解 □：解析解 □；其他 □</w:t>
            </w:r>
          </w:p>
          <w:p w14:paraId="6F8D5A14">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导则推荐模式 □：其他 □</w:t>
            </w:r>
          </w:p>
        </w:tc>
      </w:tr>
      <w:tr w14:paraId="08D5F7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4" w:hRule="atLeast"/>
        </w:trPr>
        <w:tc>
          <w:tcPr>
            <w:tcW w:w="626" w:type="dxa"/>
            <w:vMerge w:val="restart"/>
            <w:shd w:val="clear" w:color="auto" w:fill="auto"/>
            <w:noWrap/>
            <w:textDirection w:val="tbRlV"/>
            <w:vAlign w:val="center"/>
          </w:tcPr>
          <w:p w14:paraId="67C1F1FF">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影响评价</w:t>
            </w:r>
          </w:p>
        </w:tc>
        <w:tc>
          <w:tcPr>
            <w:tcW w:w="2751" w:type="dxa"/>
            <w:shd w:val="clear" w:color="auto" w:fill="auto"/>
            <w:vAlign w:val="center"/>
          </w:tcPr>
          <w:p w14:paraId="38979DD6">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水污染控制和水环境影响减缓措施有效性评价</w:t>
            </w:r>
          </w:p>
        </w:tc>
        <w:tc>
          <w:tcPr>
            <w:tcW w:w="10242" w:type="dxa"/>
            <w:gridSpan w:val="13"/>
            <w:shd w:val="clear" w:color="auto" w:fill="auto"/>
            <w:noWrap/>
            <w:vAlign w:val="center"/>
          </w:tcPr>
          <w:p w14:paraId="37288CCE">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区（流）域水环境质量改善目标 □；替代削减源 □</w:t>
            </w:r>
          </w:p>
        </w:tc>
      </w:tr>
      <w:tr w14:paraId="733F88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0" w:hRule="atLeast"/>
        </w:trPr>
        <w:tc>
          <w:tcPr>
            <w:tcW w:w="626" w:type="dxa"/>
            <w:vMerge w:val="continue"/>
            <w:shd w:val="clear" w:color="auto" w:fill="auto"/>
            <w:vAlign w:val="center"/>
          </w:tcPr>
          <w:p w14:paraId="299E4AE9">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555A285D">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水环境影响评价</w:t>
            </w:r>
          </w:p>
        </w:tc>
        <w:tc>
          <w:tcPr>
            <w:tcW w:w="10242" w:type="dxa"/>
            <w:gridSpan w:val="13"/>
            <w:shd w:val="clear" w:color="auto" w:fill="auto"/>
            <w:vAlign w:val="center"/>
          </w:tcPr>
          <w:p w14:paraId="272C1CFF">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排放口混合区外满足水环境管理要求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水环境功能区或水功能区、近岸海域环境功能区水质达标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满足水环境保护目标水域水环境质量要求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水环境控制单元或断面水质达标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满足重点水污染物排放总量控制指标要求，重点行业建设项目， 主要污染物排放满足等量或减量替代要求 □</w:t>
            </w:r>
          </w:p>
          <w:p w14:paraId="170B70E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满足区（流）域水环境质量改善目标要求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水文要素影响型建设项目同时应包括水文情势变化评价、主要水文特征值影响评价、生态流量符合性评价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对于新设或调整入河（湖库、近岸海域）排放口的建设项目，应包括排放口设置的环境合理性评价 □</w:t>
            </w:r>
            <w:r>
              <w:rPr>
                <w:rFonts w:cs="Times New Roman"/>
                <w:snapToGrid w:val="0"/>
                <w:color w:val="auto"/>
                <w:kern w:val="0"/>
                <w:sz w:val="18"/>
                <w:szCs w:val="18"/>
                <w:highlight w:val="none"/>
              </w:rPr>
              <w:br w:type="textWrapping"/>
            </w:r>
            <w:r>
              <w:rPr>
                <w:rFonts w:cs="Times New Roman"/>
                <w:snapToGrid w:val="0"/>
                <w:color w:val="auto"/>
                <w:kern w:val="0"/>
                <w:sz w:val="18"/>
                <w:szCs w:val="18"/>
                <w:highlight w:val="none"/>
              </w:rPr>
              <w:t>满足生态保护红线、水环境质量底线、资源利用上线和环境准入清单管理要求 □</w:t>
            </w:r>
          </w:p>
        </w:tc>
      </w:tr>
      <w:tr w14:paraId="1B3C97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06B61C12">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2DECBEA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污染源排放量核算</w:t>
            </w:r>
          </w:p>
        </w:tc>
        <w:tc>
          <w:tcPr>
            <w:tcW w:w="3414" w:type="dxa"/>
            <w:gridSpan w:val="4"/>
            <w:shd w:val="clear" w:color="auto" w:fill="auto"/>
            <w:noWrap/>
            <w:vAlign w:val="center"/>
          </w:tcPr>
          <w:p w14:paraId="59D06182">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污染物名称</w:t>
            </w:r>
          </w:p>
        </w:tc>
        <w:tc>
          <w:tcPr>
            <w:tcW w:w="3414" w:type="dxa"/>
            <w:gridSpan w:val="5"/>
            <w:shd w:val="clear" w:color="auto" w:fill="auto"/>
            <w:vAlign w:val="center"/>
          </w:tcPr>
          <w:p w14:paraId="3F0D32CF">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排放量/（t/a）</w:t>
            </w:r>
          </w:p>
        </w:tc>
        <w:tc>
          <w:tcPr>
            <w:tcW w:w="3414" w:type="dxa"/>
            <w:gridSpan w:val="4"/>
            <w:shd w:val="clear" w:color="auto" w:fill="auto"/>
            <w:vAlign w:val="center"/>
          </w:tcPr>
          <w:p w14:paraId="2AC5CD34">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排放浓度/（mg/L）</w:t>
            </w:r>
          </w:p>
        </w:tc>
      </w:tr>
      <w:tr w14:paraId="301E637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6D9039DE">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7685FE3F">
            <w:pPr>
              <w:spacing w:line="280" w:lineRule="exact"/>
              <w:ind w:firstLine="0" w:firstLineChars="0"/>
              <w:jc w:val="center"/>
              <w:rPr>
                <w:rFonts w:cs="Times New Roman"/>
                <w:snapToGrid w:val="0"/>
                <w:color w:val="auto"/>
                <w:kern w:val="0"/>
                <w:sz w:val="18"/>
                <w:szCs w:val="18"/>
                <w:highlight w:val="none"/>
              </w:rPr>
            </w:pPr>
          </w:p>
        </w:tc>
        <w:tc>
          <w:tcPr>
            <w:tcW w:w="3414" w:type="dxa"/>
            <w:gridSpan w:val="4"/>
            <w:shd w:val="clear" w:color="auto" w:fill="auto"/>
            <w:noWrap/>
            <w:vAlign w:val="center"/>
          </w:tcPr>
          <w:p w14:paraId="1D00E988">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（COD、</w:t>
            </w:r>
            <w:r>
              <w:rPr>
                <w:rFonts w:cs="Times New Roman"/>
                <w:snapToGrid w:val="0"/>
                <w:color w:val="auto"/>
                <w:kern w:val="0"/>
                <w:sz w:val="20"/>
                <w:szCs w:val="21"/>
                <w:highlight w:val="none"/>
              </w:rPr>
              <w:t>氨氮</w:t>
            </w:r>
            <w:r>
              <w:rPr>
                <w:rFonts w:cs="Times New Roman"/>
                <w:snapToGrid w:val="0"/>
                <w:color w:val="auto"/>
                <w:kern w:val="0"/>
                <w:sz w:val="18"/>
                <w:szCs w:val="18"/>
                <w:highlight w:val="none"/>
              </w:rPr>
              <w:t>）</w:t>
            </w:r>
          </w:p>
        </w:tc>
        <w:tc>
          <w:tcPr>
            <w:tcW w:w="3414" w:type="dxa"/>
            <w:gridSpan w:val="5"/>
            <w:shd w:val="clear" w:color="auto" w:fill="auto"/>
            <w:vAlign w:val="center"/>
          </w:tcPr>
          <w:p w14:paraId="4B8EAE3B">
            <w:pPr>
              <w:spacing w:line="28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w:t>
            </w:r>
            <w:r>
              <w:rPr>
                <w:rFonts w:hint="eastAsia" w:cs="Times New Roman"/>
                <w:color w:val="auto"/>
                <w:sz w:val="21"/>
                <w:szCs w:val="21"/>
                <w:highlight w:val="none"/>
                <w:lang w:val="en-US" w:eastAsia="zh-CN"/>
              </w:rPr>
              <w:t>19.1</w:t>
            </w:r>
            <w:r>
              <w:rPr>
                <w:rFonts w:cs="Times New Roman"/>
                <w:snapToGrid w:val="0"/>
                <w:color w:val="auto"/>
                <w:kern w:val="0"/>
                <w:sz w:val="21"/>
                <w:szCs w:val="21"/>
                <w:highlight w:val="none"/>
              </w:rPr>
              <w:t>、</w:t>
            </w:r>
            <w:r>
              <w:rPr>
                <w:rFonts w:hint="eastAsia" w:cs="Times New Roman"/>
                <w:color w:val="auto"/>
                <w:sz w:val="21"/>
                <w:szCs w:val="21"/>
                <w:highlight w:val="none"/>
                <w:lang w:val="en-US" w:eastAsia="zh-CN"/>
              </w:rPr>
              <w:t>2.41</w:t>
            </w:r>
            <w:r>
              <w:rPr>
                <w:rFonts w:cs="Times New Roman"/>
                <w:snapToGrid w:val="0"/>
                <w:color w:val="auto"/>
                <w:kern w:val="0"/>
                <w:sz w:val="21"/>
                <w:szCs w:val="21"/>
                <w:highlight w:val="none"/>
              </w:rPr>
              <w:t>）</w:t>
            </w:r>
          </w:p>
        </w:tc>
        <w:tc>
          <w:tcPr>
            <w:tcW w:w="3414" w:type="dxa"/>
            <w:gridSpan w:val="4"/>
            <w:shd w:val="clear" w:color="auto" w:fill="auto"/>
            <w:vAlign w:val="center"/>
          </w:tcPr>
          <w:p w14:paraId="73E009EA">
            <w:pPr>
              <w:spacing w:line="28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w:t>
            </w:r>
            <w:r>
              <w:rPr>
                <w:rFonts w:hint="eastAsia" w:cs="Times New Roman"/>
                <w:color w:val="auto"/>
                <w:sz w:val="21"/>
                <w:szCs w:val="21"/>
                <w:highlight w:val="none"/>
                <w:lang w:val="en-US" w:eastAsia="zh-CN"/>
              </w:rPr>
              <w:t>196</w:t>
            </w:r>
            <w:r>
              <w:rPr>
                <w:rFonts w:cs="Times New Roman"/>
                <w:snapToGrid w:val="0"/>
                <w:color w:val="auto"/>
                <w:kern w:val="0"/>
                <w:sz w:val="21"/>
                <w:szCs w:val="21"/>
                <w:highlight w:val="none"/>
              </w:rPr>
              <w:t>、</w:t>
            </w:r>
            <w:r>
              <w:rPr>
                <w:rFonts w:hint="eastAsia" w:cs="Times New Roman"/>
                <w:color w:val="auto"/>
                <w:sz w:val="21"/>
                <w:szCs w:val="21"/>
                <w:highlight w:val="none"/>
                <w:lang w:val="en-US" w:eastAsia="zh-CN"/>
              </w:rPr>
              <w:t>28</w:t>
            </w:r>
            <w:r>
              <w:rPr>
                <w:rFonts w:cs="Times New Roman"/>
                <w:snapToGrid w:val="0"/>
                <w:color w:val="auto"/>
                <w:kern w:val="0"/>
                <w:sz w:val="21"/>
                <w:szCs w:val="21"/>
                <w:highlight w:val="none"/>
              </w:rPr>
              <w:t xml:space="preserve"> ）</w:t>
            </w:r>
          </w:p>
        </w:tc>
      </w:tr>
      <w:tr w14:paraId="62B385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5E4BA7BA">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572F8DA9">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替代源排放情况</w:t>
            </w:r>
          </w:p>
        </w:tc>
        <w:tc>
          <w:tcPr>
            <w:tcW w:w="2048" w:type="dxa"/>
            <w:shd w:val="clear" w:color="auto" w:fill="auto"/>
            <w:noWrap/>
            <w:vAlign w:val="center"/>
          </w:tcPr>
          <w:p w14:paraId="3BC8487C">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污染源名称</w:t>
            </w:r>
          </w:p>
        </w:tc>
        <w:tc>
          <w:tcPr>
            <w:tcW w:w="2048" w:type="dxa"/>
            <w:gridSpan w:val="4"/>
            <w:shd w:val="clear" w:color="auto" w:fill="auto"/>
            <w:vAlign w:val="center"/>
          </w:tcPr>
          <w:p w14:paraId="147ACFD7">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排污许可证编号</w:t>
            </w:r>
          </w:p>
        </w:tc>
        <w:tc>
          <w:tcPr>
            <w:tcW w:w="2049" w:type="dxa"/>
            <w:gridSpan w:val="2"/>
            <w:shd w:val="clear" w:color="auto" w:fill="auto"/>
            <w:vAlign w:val="center"/>
          </w:tcPr>
          <w:p w14:paraId="74BCBE57">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污染物名称</w:t>
            </w:r>
          </w:p>
        </w:tc>
        <w:tc>
          <w:tcPr>
            <w:tcW w:w="2048" w:type="dxa"/>
            <w:gridSpan w:val="3"/>
            <w:shd w:val="clear" w:color="auto" w:fill="auto"/>
            <w:vAlign w:val="center"/>
          </w:tcPr>
          <w:p w14:paraId="7E279046">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排放量/（t/a）</w:t>
            </w:r>
          </w:p>
        </w:tc>
        <w:tc>
          <w:tcPr>
            <w:tcW w:w="2049" w:type="dxa"/>
            <w:gridSpan w:val="3"/>
            <w:shd w:val="clear" w:color="auto" w:fill="auto"/>
            <w:vAlign w:val="center"/>
          </w:tcPr>
          <w:p w14:paraId="7C2A964F">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排放浓度/（mg/L）</w:t>
            </w:r>
          </w:p>
        </w:tc>
      </w:tr>
      <w:tr w14:paraId="26EDC3F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0CA95FB7">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6D1904FD">
            <w:pPr>
              <w:spacing w:line="280" w:lineRule="exact"/>
              <w:ind w:firstLine="0" w:firstLineChars="0"/>
              <w:jc w:val="center"/>
              <w:rPr>
                <w:rFonts w:cs="Times New Roman"/>
                <w:snapToGrid w:val="0"/>
                <w:color w:val="auto"/>
                <w:kern w:val="0"/>
                <w:sz w:val="18"/>
                <w:szCs w:val="18"/>
                <w:highlight w:val="none"/>
              </w:rPr>
            </w:pPr>
          </w:p>
        </w:tc>
        <w:tc>
          <w:tcPr>
            <w:tcW w:w="2048" w:type="dxa"/>
            <w:shd w:val="clear" w:color="auto" w:fill="auto"/>
            <w:noWrap/>
            <w:vAlign w:val="center"/>
          </w:tcPr>
          <w:p w14:paraId="16811925">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2048" w:type="dxa"/>
            <w:gridSpan w:val="4"/>
            <w:shd w:val="clear" w:color="auto" w:fill="auto"/>
            <w:vAlign w:val="center"/>
          </w:tcPr>
          <w:p w14:paraId="564C74AA">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2049" w:type="dxa"/>
            <w:gridSpan w:val="2"/>
            <w:shd w:val="clear" w:color="auto" w:fill="auto"/>
            <w:vAlign w:val="center"/>
          </w:tcPr>
          <w:p w14:paraId="71E96AF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2048" w:type="dxa"/>
            <w:gridSpan w:val="3"/>
            <w:shd w:val="clear" w:color="auto" w:fill="auto"/>
            <w:vAlign w:val="center"/>
          </w:tcPr>
          <w:p w14:paraId="16D80EC9">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2049" w:type="dxa"/>
            <w:gridSpan w:val="3"/>
            <w:shd w:val="clear" w:color="auto" w:fill="auto"/>
            <w:vAlign w:val="center"/>
          </w:tcPr>
          <w:p w14:paraId="754A2758">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r>
      <w:tr w14:paraId="13EDAE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269C4418">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286697D9">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生态流量确定</w:t>
            </w:r>
          </w:p>
        </w:tc>
        <w:tc>
          <w:tcPr>
            <w:tcW w:w="10242" w:type="dxa"/>
            <w:gridSpan w:val="13"/>
            <w:shd w:val="clear" w:color="auto" w:fill="auto"/>
            <w:noWrap/>
            <w:vAlign w:val="center"/>
          </w:tcPr>
          <w:p w14:paraId="5F63AAC8">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生态流量：一般水期（   ）m</w:t>
            </w:r>
            <w:r>
              <w:rPr>
                <w:rFonts w:cs="Times New Roman"/>
                <w:snapToGrid w:val="0"/>
                <w:color w:val="auto"/>
                <w:kern w:val="0"/>
                <w:sz w:val="18"/>
                <w:szCs w:val="18"/>
                <w:highlight w:val="none"/>
                <w:vertAlign w:val="superscript"/>
              </w:rPr>
              <w:t>3</w:t>
            </w:r>
            <w:r>
              <w:rPr>
                <w:rFonts w:cs="Times New Roman"/>
                <w:snapToGrid w:val="0"/>
                <w:color w:val="auto"/>
                <w:kern w:val="0"/>
                <w:sz w:val="18"/>
                <w:szCs w:val="18"/>
                <w:highlight w:val="none"/>
              </w:rPr>
              <w:t>/s；鱼类繁殖期（   ）m</w:t>
            </w:r>
            <w:r>
              <w:rPr>
                <w:rFonts w:cs="Times New Roman"/>
                <w:snapToGrid w:val="0"/>
                <w:color w:val="auto"/>
                <w:kern w:val="0"/>
                <w:sz w:val="18"/>
                <w:szCs w:val="18"/>
                <w:highlight w:val="none"/>
                <w:vertAlign w:val="superscript"/>
              </w:rPr>
              <w:t>3</w:t>
            </w:r>
            <w:r>
              <w:rPr>
                <w:rFonts w:cs="Times New Roman"/>
                <w:snapToGrid w:val="0"/>
                <w:color w:val="auto"/>
                <w:kern w:val="0"/>
                <w:sz w:val="18"/>
                <w:szCs w:val="18"/>
                <w:highlight w:val="none"/>
              </w:rPr>
              <w:t>/s；其他（   ）m</w:t>
            </w:r>
            <w:r>
              <w:rPr>
                <w:rFonts w:cs="Times New Roman"/>
                <w:snapToGrid w:val="0"/>
                <w:color w:val="auto"/>
                <w:kern w:val="0"/>
                <w:sz w:val="18"/>
                <w:szCs w:val="18"/>
                <w:highlight w:val="none"/>
                <w:vertAlign w:val="superscript"/>
              </w:rPr>
              <w:t>3</w:t>
            </w:r>
            <w:r>
              <w:rPr>
                <w:rFonts w:cs="Times New Roman"/>
                <w:snapToGrid w:val="0"/>
                <w:color w:val="auto"/>
                <w:kern w:val="0"/>
                <w:sz w:val="18"/>
                <w:szCs w:val="18"/>
                <w:highlight w:val="none"/>
              </w:rPr>
              <w:t>/s</w:t>
            </w:r>
          </w:p>
          <w:p w14:paraId="558FB1C1">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生态水位：一般水期（   ）m；鱼类繁殖期（   ）m；其他（   ）m</w:t>
            </w:r>
          </w:p>
        </w:tc>
      </w:tr>
      <w:tr w14:paraId="012379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restart"/>
            <w:shd w:val="clear" w:color="auto" w:fill="auto"/>
            <w:noWrap/>
            <w:textDirection w:val="tbRlV"/>
            <w:vAlign w:val="center"/>
          </w:tcPr>
          <w:p w14:paraId="3B9C947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防治措施</w:t>
            </w:r>
          </w:p>
        </w:tc>
        <w:tc>
          <w:tcPr>
            <w:tcW w:w="2751" w:type="dxa"/>
            <w:shd w:val="clear" w:color="auto" w:fill="auto"/>
            <w:vAlign w:val="center"/>
          </w:tcPr>
          <w:p w14:paraId="23375ACB">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环保措施</w:t>
            </w:r>
          </w:p>
        </w:tc>
        <w:tc>
          <w:tcPr>
            <w:tcW w:w="10242" w:type="dxa"/>
            <w:gridSpan w:val="13"/>
            <w:shd w:val="clear" w:color="auto" w:fill="auto"/>
            <w:noWrap/>
            <w:vAlign w:val="center"/>
          </w:tcPr>
          <w:p w14:paraId="70B7D27B">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污水处理站 □；水文减缓设施 □；生态流量保障设施 □；区域削减 □；依托其他工程措施 □；其他 </w:t>
            </w:r>
            <w:r>
              <w:rPr>
                <w:rFonts w:eastAsia="仿宋" w:cs="Times New Roman"/>
                <w:snapToGrid w:val="0"/>
                <w:color w:val="auto"/>
                <w:kern w:val="0"/>
                <w:sz w:val="18"/>
                <w:szCs w:val="20"/>
                <w:highlight w:val="none"/>
              </w:rPr>
              <w:t>√</w:t>
            </w:r>
          </w:p>
        </w:tc>
      </w:tr>
      <w:tr w14:paraId="2B1990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21" w:hRule="atLeast"/>
        </w:trPr>
        <w:tc>
          <w:tcPr>
            <w:tcW w:w="626" w:type="dxa"/>
            <w:vMerge w:val="continue"/>
            <w:shd w:val="clear" w:color="auto" w:fill="auto"/>
            <w:vAlign w:val="center"/>
          </w:tcPr>
          <w:p w14:paraId="5655B6F2">
            <w:pPr>
              <w:spacing w:line="280" w:lineRule="exact"/>
              <w:ind w:firstLine="0" w:firstLineChars="0"/>
              <w:jc w:val="left"/>
              <w:rPr>
                <w:rFonts w:cs="Times New Roman"/>
                <w:snapToGrid w:val="0"/>
                <w:color w:val="auto"/>
                <w:kern w:val="0"/>
                <w:sz w:val="18"/>
                <w:szCs w:val="18"/>
                <w:highlight w:val="none"/>
              </w:rPr>
            </w:pPr>
          </w:p>
        </w:tc>
        <w:tc>
          <w:tcPr>
            <w:tcW w:w="2751" w:type="dxa"/>
            <w:vMerge w:val="restart"/>
            <w:shd w:val="clear" w:color="auto" w:fill="auto"/>
            <w:vAlign w:val="center"/>
          </w:tcPr>
          <w:p w14:paraId="05D4822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监测计划</w:t>
            </w:r>
          </w:p>
        </w:tc>
        <w:tc>
          <w:tcPr>
            <w:tcW w:w="2560" w:type="dxa"/>
            <w:gridSpan w:val="2"/>
            <w:shd w:val="clear" w:color="auto" w:fill="auto"/>
            <w:noWrap/>
            <w:vAlign w:val="center"/>
          </w:tcPr>
          <w:p w14:paraId="6BD18E45">
            <w:pPr>
              <w:spacing w:line="280" w:lineRule="exact"/>
              <w:ind w:firstLine="0" w:firstLineChars="0"/>
              <w:jc w:val="center"/>
              <w:rPr>
                <w:rFonts w:cs="Times New Roman"/>
                <w:snapToGrid w:val="0"/>
                <w:color w:val="auto"/>
                <w:kern w:val="0"/>
                <w:sz w:val="18"/>
                <w:szCs w:val="18"/>
                <w:highlight w:val="none"/>
              </w:rPr>
            </w:pPr>
          </w:p>
        </w:tc>
        <w:tc>
          <w:tcPr>
            <w:tcW w:w="3841" w:type="dxa"/>
            <w:gridSpan w:val="6"/>
            <w:shd w:val="clear" w:color="auto" w:fill="auto"/>
            <w:vAlign w:val="center"/>
          </w:tcPr>
          <w:p w14:paraId="142BB640">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环境质量</w:t>
            </w:r>
          </w:p>
        </w:tc>
        <w:tc>
          <w:tcPr>
            <w:tcW w:w="3841" w:type="dxa"/>
            <w:gridSpan w:val="5"/>
            <w:shd w:val="clear" w:color="auto" w:fill="auto"/>
            <w:vAlign w:val="center"/>
          </w:tcPr>
          <w:p w14:paraId="707AD0D0">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污染源</w:t>
            </w:r>
          </w:p>
        </w:tc>
      </w:tr>
      <w:tr w14:paraId="1C45C0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21" w:hRule="atLeast"/>
        </w:trPr>
        <w:tc>
          <w:tcPr>
            <w:tcW w:w="626" w:type="dxa"/>
            <w:vMerge w:val="continue"/>
            <w:shd w:val="clear" w:color="auto" w:fill="auto"/>
            <w:vAlign w:val="center"/>
          </w:tcPr>
          <w:p w14:paraId="0275E17A">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562087EB">
            <w:pPr>
              <w:spacing w:line="280" w:lineRule="exact"/>
              <w:ind w:firstLine="0" w:firstLineChars="0"/>
              <w:jc w:val="center"/>
              <w:rPr>
                <w:rFonts w:cs="Times New Roman"/>
                <w:snapToGrid w:val="0"/>
                <w:color w:val="auto"/>
                <w:kern w:val="0"/>
                <w:sz w:val="18"/>
                <w:szCs w:val="18"/>
                <w:highlight w:val="none"/>
              </w:rPr>
            </w:pPr>
          </w:p>
        </w:tc>
        <w:tc>
          <w:tcPr>
            <w:tcW w:w="2560" w:type="dxa"/>
            <w:gridSpan w:val="2"/>
            <w:shd w:val="clear" w:color="auto" w:fill="auto"/>
            <w:noWrap/>
            <w:vAlign w:val="center"/>
          </w:tcPr>
          <w:p w14:paraId="53C5189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监测方式</w:t>
            </w:r>
          </w:p>
        </w:tc>
        <w:tc>
          <w:tcPr>
            <w:tcW w:w="3841" w:type="dxa"/>
            <w:gridSpan w:val="6"/>
            <w:shd w:val="clear" w:color="auto" w:fill="auto"/>
            <w:vAlign w:val="center"/>
          </w:tcPr>
          <w:p w14:paraId="1B872AEB">
            <w:pPr>
              <w:spacing w:line="280" w:lineRule="exact"/>
              <w:ind w:firstLine="0" w:firstLineChars="0"/>
              <w:jc w:val="center"/>
              <w:rPr>
                <w:rFonts w:cs="Times New Roman"/>
                <w:b/>
                <w:snapToGrid w:val="0"/>
                <w:color w:val="auto"/>
                <w:kern w:val="0"/>
                <w:sz w:val="18"/>
                <w:szCs w:val="18"/>
                <w:highlight w:val="none"/>
              </w:rPr>
            </w:pPr>
            <w:r>
              <w:rPr>
                <w:rFonts w:cs="Times New Roman"/>
                <w:snapToGrid w:val="0"/>
                <w:color w:val="auto"/>
                <w:kern w:val="0"/>
                <w:sz w:val="18"/>
                <w:szCs w:val="18"/>
                <w:highlight w:val="none"/>
              </w:rPr>
              <w:t>手动 □；自动 □；无监测 □</w:t>
            </w:r>
          </w:p>
        </w:tc>
        <w:tc>
          <w:tcPr>
            <w:tcW w:w="3841" w:type="dxa"/>
            <w:gridSpan w:val="5"/>
            <w:shd w:val="clear" w:color="auto" w:fill="auto"/>
            <w:vAlign w:val="center"/>
          </w:tcPr>
          <w:p w14:paraId="5D79676C">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手动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 xml:space="preserve">；自动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；无监测 □</w:t>
            </w:r>
          </w:p>
        </w:tc>
      </w:tr>
      <w:tr w14:paraId="7DDA2B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21" w:hRule="atLeast"/>
        </w:trPr>
        <w:tc>
          <w:tcPr>
            <w:tcW w:w="626" w:type="dxa"/>
            <w:vMerge w:val="continue"/>
            <w:shd w:val="clear" w:color="auto" w:fill="auto"/>
            <w:vAlign w:val="center"/>
          </w:tcPr>
          <w:p w14:paraId="5ACC39CA">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07F6AD5B">
            <w:pPr>
              <w:spacing w:line="280" w:lineRule="exact"/>
              <w:ind w:firstLine="0" w:firstLineChars="0"/>
              <w:jc w:val="center"/>
              <w:rPr>
                <w:rFonts w:cs="Times New Roman"/>
                <w:snapToGrid w:val="0"/>
                <w:color w:val="auto"/>
                <w:kern w:val="0"/>
                <w:sz w:val="18"/>
                <w:szCs w:val="18"/>
                <w:highlight w:val="none"/>
              </w:rPr>
            </w:pPr>
          </w:p>
        </w:tc>
        <w:tc>
          <w:tcPr>
            <w:tcW w:w="2560" w:type="dxa"/>
            <w:gridSpan w:val="2"/>
            <w:shd w:val="clear" w:color="auto" w:fill="auto"/>
            <w:noWrap/>
            <w:vAlign w:val="center"/>
          </w:tcPr>
          <w:p w14:paraId="115E1C0F">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监测点位</w:t>
            </w:r>
          </w:p>
        </w:tc>
        <w:tc>
          <w:tcPr>
            <w:tcW w:w="3841" w:type="dxa"/>
            <w:gridSpan w:val="6"/>
            <w:shd w:val="clear" w:color="auto" w:fill="auto"/>
            <w:vAlign w:val="center"/>
          </w:tcPr>
          <w:p w14:paraId="5AE6B001">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3841" w:type="dxa"/>
            <w:gridSpan w:val="5"/>
            <w:shd w:val="clear" w:color="auto" w:fill="auto"/>
            <w:vAlign w:val="center"/>
          </w:tcPr>
          <w:p w14:paraId="4CB82A4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（废水总排口）</w:t>
            </w:r>
          </w:p>
        </w:tc>
      </w:tr>
      <w:tr w14:paraId="4906ED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21" w:hRule="atLeast"/>
        </w:trPr>
        <w:tc>
          <w:tcPr>
            <w:tcW w:w="626" w:type="dxa"/>
            <w:vMerge w:val="continue"/>
            <w:shd w:val="clear" w:color="auto" w:fill="auto"/>
            <w:vAlign w:val="center"/>
          </w:tcPr>
          <w:p w14:paraId="47D2CD03">
            <w:pPr>
              <w:spacing w:line="280" w:lineRule="exact"/>
              <w:ind w:firstLine="0" w:firstLineChars="0"/>
              <w:jc w:val="left"/>
              <w:rPr>
                <w:rFonts w:cs="Times New Roman"/>
                <w:snapToGrid w:val="0"/>
                <w:color w:val="auto"/>
                <w:kern w:val="0"/>
                <w:sz w:val="18"/>
                <w:szCs w:val="18"/>
                <w:highlight w:val="none"/>
              </w:rPr>
            </w:pPr>
          </w:p>
        </w:tc>
        <w:tc>
          <w:tcPr>
            <w:tcW w:w="2751" w:type="dxa"/>
            <w:vMerge w:val="continue"/>
            <w:shd w:val="clear" w:color="auto" w:fill="auto"/>
            <w:vAlign w:val="center"/>
          </w:tcPr>
          <w:p w14:paraId="63B23396">
            <w:pPr>
              <w:spacing w:line="280" w:lineRule="exact"/>
              <w:ind w:firstLine="0" w:firstLineChars="0"/>
              <w:jc w:val="center"/>
              <w:rPr>
                <w:rFonts w:cs="Times New Roman"/>
                <w:snapToGrid w:val="0"/>
                <w:color w:val="auto"/>
                <w:kern w:val="0"/>
                <w:sz w:val="18"/>
                <w:szCs w:val="18"/>
                <w:highlight w:val="none"/>
              </w:rPr>
            </w:pPr>
          </w:p>
        </w:tc>
        <w:tc>
          <w:tcPr>
            <w:tcW w:w="2560" w:type="dxa"/>
            <w:gridSpan w:val="2"/>
            <w:shd w:val="clear" w:color="auto" w:fill="auto"/>
            <w:noWrap/>
            <w:vAlign w:val="center"/>
          </w:tcPr>
          <w:p w14:paraId="70C9B380">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监测因子</w:t>
            </w:r>
          </w:p>
        </w:tc>
        <w:tc>
          <w:tcPr>
            <w:tcW w:w="3841" w:type="dxa"/>
            <w:gridSpan w:val="6"/>
            <w:shd w:val="clear" w:color="auto" w:fill="auto"/>
            <w:vAlign w:val="center"/>
          </w:tcPr>
          <w:p w14:paraId="23FDE193">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   ）</w:t>
            </w:r>
          </w:p>
        </w:tc>
        <w:tc>
          <w:tcPr>
            <w:tcW w:w="3841" w:type="dxa"/>
            <w:gridSpan w:val="5"/>
            <w:shd w:val="clear" w:color="auto" w:fill="auto"/>
            <w:vAlign w:val="center"/>
          </w:tcPr>
          <w:p w14:paraId="715E718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w:t>
            </w:r>
            <w:r>
              <w:rPr>
                <w:rFonts w:cs="Times New Roman"/>
                <w:color w:val="auto"/>
                <w:sz w:val="18"/>
                <w:szCs w:val="18"/>
                <w:highlight w:val="none"/>
              </w:rPr>
              <w:t>pH</w:t>
            </w:r>
            <w:r>
              <w:rPr>
                <w:rFonts w:cs="Times New Roman"/>
                <w:snapToGrid w:val="0"/>
                <w:color w:val="auto"/>
                <w:kern w:val="0"/>
                <w:sz w:val="18"/>
                <w:szCs w:val="18"/>
                <w:highlight w:val="none"/>
              </w:rPr>
              <w:t>值、流量、化学需氧量、氨氮、总氮、总磷、五日生化需氧量、悬浮物、动植物油、大肠菌群数、）</w:t>
            </w:r>
          </w:p>
        </w:tc>
      </w:tr>
      <w:tr w14:paraId="1F5FA8C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626" w:type="dxa"/>
            <w:vMerge w:val="continue"/>
            <w:shd w:val="clear" w:color="auto" w:fill="auto"/>
            <w:vAlign w:val="center"/>
          </w:tcPr>
          <w:p w14:paraId="2446D414">
            <w:pPr>
              <w:spacing w:line="280" w:lineRule="exact"/>
              <w:ind w:firstLine="0" w:firstLineChars="0"/>
              <w:jc w:val="left"/>
              <w:rPr>
                <w:rFonts w:cs="Times New Roman"/>
                <w:snapToGrid w:val="0"/>
                <w:color w:val="auto"/>
                <w:kern w:val="0"/>
                <w:sz w:val="18"/>
                <w:szCs w:val="18"/>
                <w:highlight w:val="none"/>
              </w:rPr>
            </w:pPr>
          </w:p>
        </w:tc>
        <w:tc>
          <w:tcPr>
            <w:tcW w:w="2751" w:type="dxa"/>
            <w:shd w:val="clear" w:color="auto" w:fill="auto"/>
            <w:vAlign w:val="center"/>
          </w:tcPr>
          <w:p w14:paraId="53FFB087">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污染物排放清单</w:t>
            </w:r>
          </w:p>
        </w:tc>
        <w:tc>
          <w:tcPr>
            <w:tcW w:w="10242" w:type="dxa"/>
            <w:gridSpan w:val="13"/>
            <w:shd w:val="clear" w:color="auto" w:fill="auto"/>
            <w:noWrap/>
            <w:vAlign w:val="center"/>
          </w:tcPr>
          <w:p w14:paraId="0B7DAC82">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w:t>
            </w:r>
          </w:p>
        </w:tc>
      </w:tr>
      <w:tr w14:paraId="793112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 w:hRule="atLeast"/>
        </w:trPr>
        <w:tc>
          <w:tcPr>
            <w:tcW w:w="3377" w:type="dxa"/>
            <w:gridSpan w:val="2"/>
            <w:shd w:val="clear" w:color="auto" w:fill="auto"/>
            <w:noWrap/>
            <w:vAlign w:val="center"/>
          </w:tcPr>
          <w:p w14:paraId="4EC2F46B">
            <w:pPr>
              <w:spacing w:line="280" w:lineRule="exact"/>
              <w:ind w:firstLine="0" w:firstLineChars="0"/>
              <w:jc w:val="center"/>
              <w:rPr>
                <w:rFonts w:cs="Times New Roman"/>
                <w:snapToGrid w:val="0"/>
                <w:color w:val="auto"/>
                <w:kern w:val="0"/>
                <w:sz w:val="18"/>
                <w:szCs w:val="18"/>
                <w:highlight w:val="none"/>
              </w:rPr>
            </w:pPr>
            <w:r>
              <w:rPr>
                <w:rFonts w:cs="Times New Roman"/>
                <w:snapToGrid w:val="0"/>
                <w:color w:val="auto"/>
                <w:kern w:val="0"/>
                <w:sz w:val="18"/>
                <w:szCs w:val="18"/>
                <w:highlight w:val="none"/>
              </w:rPr>
              <w:t>评价结论</w:t>
            </w:r>
          </w:p>
        </w:tc>
        <w:tc>
          <w:tcPr>
            <w:tcW w:w="10242" w:type="dxa"/>
            <w:gridSpan w:val="13"/>
            <w:shd w:val="clear" w:color="auto" w:fill="auto"/>
            <w:noWrap/>
            <w:vAlign w:val="center"/>
          </w:tcPr>
          <w:p w14:paraId="2BC26B8C">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 xml:space="preserve">可以接受 </w:t>
            </w:r>
            <w:r>
              <w:rPr>
                <w:rFonts w:eastAsia="仿宋" w:cs="Times New Roman"/>
                <w:snapToGrid w:val="0"/>
                <w:color w:val="auto"/>
                <w:kern w:val="0"/>
                <w:sz w:val="18"/>
                <w:szCs w:val="20"/>
                <w:highlight w:val="none"/>
              </w:rPr>
              <w:t>√</w:t>
            </w:r>
            <w:r>
              <w:rPr>
                <w:rFonts w:cs="Times New Roman"/>
                <w:snapToGrid w:val="0"/>
                <w:color w:val="auto"/>
                <w:kern w:val="0"/>
                <w:sz w:val="18"/>
                <w:szCs w:val="18"/>
                <w:highlight w:val="none"/>
              </w:rPr>
              <w:t>；不可以接受 □</w:t>
            </w:r>
          </w:p>
        </w:tc>
      </w:tr>
      <w:tr w14:paraId="6CD8F1A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trPr>
        <w:tc>
          <w:tcPr>
            <w:tcW w:w="13619" w:type="dxa"/>
            <w:gridSpan w:val="15"/>
            <w:shd w:val="clear" w:color="auto" w:fill="auto"/>
            <w:noWrap/>
            <w:vAlign w:val="center"/>
          </w:tcPr>
          <w:p w14:paraId="07D4D507">
            <w:pPr>
              <w:spacing w:line="280" w:lineRule="exact"/>
              <w:ind w:firstLine="0" w:firstLineChars="0"/>
              <w:jc w:val="left"/>
              <w:rPr>
                <w:rFonts w:cs="Times New Roman"/>
                <w:snapToGrid w:val="0"/>
                <w:color w:val="auto"/>
                <w:kern w:val="0"/>
                <w:sz w:val="18"/>
                <w:szCs w:val="18"/>
                <w:highlight w:val="none"/>
              </w:rPr>
            </w:pPr>
            <w:r>
              <w:rPr>
                <w:rFonts w:cs="Times New Roman"/>
                <w:snapToGrid w:val="0"/>
                <w:color w:val="auto"/>
                <w:kern w:val="0"/>
                <w:sz w:val="18"/>
                <w:szCs w:val="18"/>
                <w:highlight w:val="none"/>
              </w:rPr>
              <w:t>注：“□”为勾选项，可√；“（   ）”为内容填写项；“备注”为其他补充内容。</w:t>
            </w:r>
          </w:p>
        </w:tc>
      </w:tr>
    </w:tbl>
    <w:p w14:paraId="7D06DAEF">
      <w:pPr>
        <w:adjustRightInd/>
        <w:snapToGrid/>
        <w:spacing w:line="240" w:lineRule="auto"/>
        <w:ind w:firstLine="0" w:firstLineChars="0"/>
        <w:rPr>
          <w:rFonts w:cs="Times New Roman"/>
          <w:color w:val="auto"/>
          <w:highlight w:val="none"/>
        </w:rPr>
        <w:sectPr>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26" w:charSpace="0"/>
        </w:sectPr>
      </w:pPr>
    </w:p>
    <w:p w14:paraId="7720502A">
      <w:pPr>
        <w:pStyle w:val="2"/>
        <w:rPr>
          <w:rFonts w:cs="Times New Roman"/>
          <w:color w:val="auto"/>
          <w:sz w:val="24"/>
          <w:szCs w:val="24"/>
          <w:highlight w:val="none"/>
        </w:rPr>
      </w:pPr>
      <w:bookmarkStart w:id="511" w:name="_Toc1685"/>
      <w:bookmarkStart w:id="512" w:name="_Toc7720"/>
      <w:r>
        <w:rPr>
          <w:rFonts w:cs="Times New Roman"/>
          <w:color w:val="auto"/>
          <w:sz w:val="24"/>
          <w:szCs w:val="24"/>
          <w:highlight w:val="none"/>
        </w:rPr>
        <w:t>附表3  声环境影响评价自查表</w:t>
      </w:r>
      <w:bookmarkEnd w:id="511"/>
    </w:p>
    <w:p w14:paraId="43ADD4BD">
      <w:pPr>
        <w:spacing w:before="163" w:beforeLines="50" w:line="240" w:lineRule="auto"/>
        <w:ind w:firstLine="482"/>
        <w:jc w:val="center"/>
        <w:rPr>
          <w:rFonts w:cs="Times New Roman"/>
          <w:color w:val="auto"/>
          <w:highlight w:val="none"/>
        </w:rPr>
      </w:pPr>
      <w:r>
        <w:rPr>
          <w:rFonts w:cs="Times New Roman"/>
          <w:b/>
          <w:bCs/>
          <w:color w:val="auto"/>
          <w:highlight w:val="none"/>
        </w:rPr>
        <w:t>声环境影响评价自查表</w:t>
      </w:r>
    </w:p>
    <w:tbl>
      <w:tblPr>
        <w:tblStyle w:val="4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9"/>
        <w:gridCol w:w="1060"/>
        <w:gridCol w:w="1062"/>
        <w:gridCol w:w="536"/>
        <w:gridCol w:w="527"/>
        <w:gridCol w:w="1064"/>
        <w:gridCol w:w="1063"/>
        <w:gridCol w:w="535"/>
        <w:gridCol w:w="528"/>
        <w:gridCol w:w="1065"/>
      </w:tblGrid>
      <w:tr w14:paraId="0FD07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119" w:type="dxa"/>
            <w:gridSpan w:val="2"/>
            <w:vAlign w:val="center"/>
          </w:tcPr>
          <w:p w14:paraId="51186C8F">
            <w:pPr>
              <w:widowControl/>
              <w:spacing w:line="360" w:lineRule="exact"/>
              <w:ind w:firstLine="0" w:firstLineChars="0"/>
              <w:jc w:val="center"/>
              <w:rPr>
                <w:rFonts w:cs="Times New Roman"/>
                <w:color w:val="auto"/>
                <w:sz w:val="21"/>
                <w:szCs w:val="21"/>
                <w:highlight w:val="none"/>
              </w:rPr>
            </w:pPr>
            <w:r>
              <w:rPr>
                <w:rFonts w:cs="Times New Roman"/>
                <w:color w:val="auto"/>
                <w:kern w:val="0"/>
                <w:sz w:val="21"/>
                <w:szCs w:val="21"/>
                <w:highlight w:val="none"/>
                <w:lang w:bidi="ar"/>
              </w:rPr>
              <w:t>工作内容</w:t>
            </w:r>
          </w:p>
        </w:tc>
        <w:tc>
          <w:tcPr>
            <w:tcW w:w="6380" w:type="dxa"/>
            <w:gridSpan w:val="8"/>
            <w:vAlign w:val="center"/>
          </w:tcPr>
          <w:p w14:paraId="19350C95">
            <w:pPr>
              <w:widowControl/>
              <w:spacing w:line="360" w:lineRule="exact"/>
              <w:ind w:firstLine="0" w:firstLineChars="0"/>
              <w:jc w:val="center"/>
              <w:rPr>
                <w:rFonts w:cs="Times New Roman"/>
                <w:color w:val="auto"/>
                <w:sz w:val="21"/>
                <w:szCs w:val="21"/>
                <w:highlight w:val="none"/>
              </w:rPr>
            </w:pPr>
            <w:r>
              <w:rPr>
                <w:rFonts w:cs="Times New Roman"/>
                <w:color w:val="auto"/>
                <w:kern w:val="0"/>
                <w:sz w:val="21"/>
                <w:szCs w:val="21"/>
                <w:highlight w:val="none"/>
                <w:lang w:bidi="ar"/>
              </w:rPr>
              <w:t>自查项目</w:t>
            </w:r>
          </w:p>
        </w:tc>
      </w:tr>
      <w:tr w14:paraId="0600B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Merge w:val="restart"/>
            <w:vAlign w:val="center"/>
          </w:tcPr>
          <w:p w14:paraId="0CF6EA3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评价等级与范围</w:t>
            </w:r>
          </w:p>
        </w:tc>
        <w:tc>
          <w:tcPr>
            <w:tcW w:w="1060" w:type="dxa"/>
            <w:vAlign w:val="center"/>
          </w:tcPr>
          <w:p w14:paraId="5069C5F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评价等级</w:t>
            </w:r>
          </w:p>
        </w:tc>
        <w:tc>
          <w:tcPr>
            <w:tcW w:w="6380" w:type="dxa"/>
            <w:gridSpan w:val="8"/>
            <w:vAlign w:val="center"/>
          </w:tcPr>
          <w:p w14:paraId="3E86E8F1">
            <w:pPr>
              <w:spacing w:line="360" w:lineRule="exact"/>
              <w:ind w:firstLine="0" w:firstLineChars="0"/>
              <w:jc w:val="center"/>
              <w:rPr>
                <w:rFonts w:cs="Times New Roman"/>
                <w:color w:val="auto"/>
                <w:sz w:val="21"/>
                <w:szCs w:val="21"/>
                <w:highlight w:val="none"/>
              </w:rPr>
            </w:pPr>
            <w:r>
              <w:rPr>
                <w:rFonts w:cs="Times New Roman"/>
                <w:bCs/>
                <w:color w:val="auto"/>
                <w:kern w:val="0"/>
                <w:sz w:val="21"/>
                <w:szCs w:val="21"/>
                <w:highlight w:val="none"/>
              </w:rPr>
              <w:t>一级</w:t>
            </w:r>
            <w:r>
              <w:rPr>
                <w:rFonts w:cs="Times New Roman"/>
                <w:color w:val="auto"/>
                <w:sz w:val="21"/>
                <w:szCs w:val="21"/>
                <w:highlight w:val="none"/>
              </w:rPr>
              <w:sym w:font="Wingdings 2" w:char="00A3"/>
            </w:r>
            <w:r>
              <w:rPr>
                <w:rFonts w:cs="Times New Roman"/>
                <w:bCs/>
                <w:color w:val="auto"/>
                <w:kern w:val="0"/>
                <w:sz w:val="21"/>
                <w:szCs w:val="21"/>
                <w:highlight w:val="none"/>
              </w:rPr>
              <w:t>；                 二级</w:t>
            </w:r>
            <w:r>
              <w:rPr>
                <w:rFonts w:cs="Times New Roman"/>
                <w:bCs/>
                <w:color w:val="auto"/>
                <w:kern w:val="0"/>
                <w:sz w:val="21"/>
                <w:szCs w:val="21"/>
                <w:highlight w:val="none"/>
              </w:rPr>
              <w:sym w:font="Wingdings 2" w:char="0052"/>
            </w:r>
            <w:r>
              <w:rPr>
                <w:rFonts w:cs="Times New Roman"/>
                <w:bCs/>
                <w:color w:val="auto"/>
                <w:kern w:val="0"/>
                <w:sz w:val="21"/>
                <w:szCs w:val="21"/>
                <w:highlight w:val="none"/>
              </w:rPr>
              <w:t>；                 三级</w:t>
            </w:r>
            <w:r>
              <w:rPr>
                <w:rFonts w:cs="Times New Roman"/>
                <w:color w:val="auto"/>
                <w:sz w:val="21"/>
                <w:szCs w:val="21"/>
                <w:highlight w:val="none"/>
              </w:rPr>
              <w:sym w:font="Wingdings 2" w:char="00A3"/>
            </w:r>
          </w:p>
        </w:tc>
      </w:tr>
      <w:tr w14:paraId="4A690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Merge w:val="continue"/>
            <w:vAlign w:val="center"/>
          </w:tcPr>
          <w:p w14:paraId="7828229E">
            <w:pPr>
              <w:spacing w:line="360" w:lineRule="exact"/>
              <w:ind w:firstLine="0" w:firstLineChars="0"/>
              <w:jc w:val="center"/>
              <w:rPr>
                <w:rFonts w:cs="Times New Roman"/>
                <w:color w:val="auto"/>
                <w:sz w:val="21"/>
                <w:szCs w:val="21"/>
                <w:highlight w:val="none"/>
              </w:rPr>
            </w:pPr>
          </w:p>
        </w:tc>
        <w:tc>
          <w:tcPr>
            <w:tcW w:w="1060" w:type="dxa"/>
            <w:vAlign w:val="center"/>
          </w:tcPr>
          <w:p w14:paraId="775E03C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评价范围</w:t>
            </w:r>
          </w:p>
        </w:tc>
        <w:tc>
          <w:tcPr>
            <w:tcW w:w="6380" w:type="dxa"/>
            <w:gridSpan w:val="8"/>
            <w:vAlign w:val="center"/>
          </w:tcPr>
          <w:p w14:paraId="588C30FC">
            <w:pPr>
              <w:spacing w:line="360" w:lineRule="exact"/>
              <w:ind w:firstLine="0" w:firstLineChars="0"/>
              <w:jc w:val="center"/>
              <w:rPr>
                <w:rFonts w:cs="Times New Roman"/>
                <w:color w:val="auto"/>
                <w:sz w:val="21"/>
                <w:szCs w:val="21"/>
                <w:highlight w:val="none"/>
              </w:rPr>
            </w:pPr>
            <w:r>
              <w:rPr>
                <w:rFonts w:cs="Times New Roman"/>
                <w:bCs/>
                <w:color w:val="auto"/>
                <w:kern w:val="0"/>
                <w:sz w:val="21"/>
                <w:szCs w:val="21"/>
                <w:highlight w:val="none"/>
              </w:rPr>
              <w:t>200m</w:t>
            </w:r>
            <w:r>
              <w:rPr>
                <w:rFonts w:cs="Times New Roman"/>
                <w:color w:val="auto"/>
                <w:sz w:val="21"/>
                <w:szCs w:val="21"/>
                <w:highlight w:val="none"/>
              </w:rPr>
              <w:sym w:font="Wingdings 2" w:char="0052"/>
            </w:r>
            <w:r>
              <w:rPr>
                <w:rFonts w:cs="Times New Roman"/>
                <w:bCs/>
                <w:color w:val="auto"/>
                <w:kern w:val="0"/>
                <w:sz w:val="21"/>
                <w:szCs w:val="21"/>
                <w:highlight w:val="none"/>
              </w:rPr>
              <w:t>；             大于200m</w:t>
            </w:r>
            <w:r>
              <w:rPr>
                <w:rFonts w:cs="Times New Roman"/>
                <w:bCs/>
                <w:color w:val="auto"/>
                <w:kern w:val="0"/>
                <w:sz w:val="21"/>
                <w:szCs w:val="21"/>
                <w:highlight w:val="none"/>
              </w:rPr>
              <w:sym w:font="Wingdings 2" w:char="00A3"/>
            </w:r>
            <w:r>
              <w:rPr>
                <w:rFonts w:cs="Times New Roman"/>
                <w:bCs/>
                <w:color w:val="auto"/>
                <w:kern w:val="0"/>
                <w:sz w:val="21"/>
                <w:szCs w:val="21"/>
                <w:highlight w:val="none"/>
              </w:rPr>
              <w:t>；             小于200m</w:t>
            </w:r>
            <w:r>
              <w:rPr>
                <w:rFonts w:cs="Times New Roman"/>
                <w:color w:val="auto"/>
                <w:sz w:val="21"/>
                <w:szCs w:val="21"/>
                <w:highlight w:val="none"/>
              </w:rPr>
              <w:sym w:font="Wingdings 2" w:char="00A3"/>
            </w:r>
          </w:p>
        </w:tc>
      </w:tr>
      <w:tr w14:paraId="7D720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Align w:val="center"/>
          </w:tcPr>
          <w:p w14:paraId="6D02001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评价因子</w:t>
            </w:r>
          </w:p>
        </w:tc>
        <w:tc>
          <w:tcPr>
            <w:tcW w:w="1060" w:type="dxa"/>
            <w:vAlign w:val="center"/>
          </w:tcPr>
          <w:p w14:paraId="7CEC5F4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评价因子</w:t>
            </w:r>
          </w:p>
        </w:tc>
        <w:tc>
          <w:tcPr>
            <w:tcW w:w="6380" w:type="dxa"/>
            <w:gridSpan w:val="8"/>
            <w:vAlign w:val="center"/>
          </w:tcPr>
          <w:p w14:paraId="5D22D7E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等效连续A声级</w:t>
            </w:r>
            <w:r>
              <w:rPr>
                <w:rFonts w:cs="Times New Roman"/>
                <w:color w:val="auto"/>
                <w:sz w:val="21"/>
                <w:szCs w:val="21"/>
                <w:highlight w:val="none"/>
              </w:rPr>
              <w:sym w:font="Wingdings 2" w:char="0052"/>
            </w:r>
            <w:r>
              <w:rPr>
                <w:rFonts w:cs="Times New Roman"/>
                <w:color w:val="auto"/>
                <w:sz w:val="21"/>
                <w:szCs w:val="21"/>
                <w:highlight w:val="none"/>
              </w:rPr>
              <w:t>；   最大A声级</w:t>
            </w:r>
            <w:r>
              <w:rPr>
                <w:rFonts w:cs="Times New Roman"/>
                <w:color w:val="auto"/>
                <w:sz w:val="21"/>
                <w:szCs w:val="21"/>
                <w:highlight w:val="none"/>
              </w:rPr>
              <w:sym w:font="Wingdings 2" w:char="00A3"/>
            </w:r>
            <w:r>
              <w:rPr>
                <w:rFonts w:cs="Times New Roman"/>
                <w:color w:val="auto"/>
                <w:sz w:val="21"/>
                <w:szCs w:val="21"/>
                <w:highlight w:val="none"/>
              </w:rPr>
              <w:t>；   计权等效连续感觉噪声级</w:t>
            </w:r>
            <w:r>
              <w:rPr>
                <w:rFonts w:cs="Times New Roman"/>
                <w:color w:val="auto"/>
                <w:sz w:val="21"/>
                <w:szCs w:val="21"/>
                <w:highlight w:val="none"/>
              </w:rPr>
              <w:sym w:font="Wingdings 2" w:char="00A3"/>
            </w:r>
          </w:p>
        </w:tc>
      </w:tr>
      <w:tr w14:paraId="663DC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Align w:val="center"/>
          </w:tcPr>
          <w:p w14:paraId="66041CF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评价标准</w:t>
            </w:r>
          </w:p>
        </w:tc>
        <w:tc>
          <w:tcPr>
            <w:tcW w:w="1060" w:type="dxa"/>
            <w:vAlign w:val="center"/>
          </w:tcPr>
          <w:p w14:paraId="561D85F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评价标准</w:t>
            </w:r>
          </w:p>
        </w:tc>
        <w:tc>
          <w:tcPr>
            <w:tcW w:w="6380" w:type="dxa"/>
            <w:gridSpan w:val="8"/>
            <w:vAlign w:val="center"/>
          </w:tcPr>
          <w:p w14:paraId="2254B0F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国家标准</w:t>
            </w:r>
            <w:r>
              <w:rPr>
                <w:rFonts w:cs="Times New Roman"/>
                <w:color w:val="auto"/>
                <w:sz w:val="21"/>
                <w:szCs w:val="21"/>
                <w:highlight w:val="none"/>
              </w:rPr>
              <w:sym w:font="Wingdings 2" w:char="0052"/>
            </w:r>
            <w:r>
              <w:rPr>
                <w:rFonts w:cs="Times New Roman"/>
                <w:color w:val="auto"/>
                <w:sz w:val="21"/>
                <w:szCs w:val="21"/>
                <w:highlight w:val="none"/>
              </w:rPr>
              <w:t>；      地方标准</w:t>
            </w:r>
            <w:r>
              <w:rPr>
                <w:rFonts w:cs="Times New Roman"/>
                <w:color w:val="auto"/>
                <w:sz w:val="21"/>
                <w:szCs w:val="21"/>
                <w:highlight w:val="none"/>
              </w:rPr>
              <w:sym w:font="Wingdings 2" w:char="00A3"/>
            </w:r>
            <w:r>
              <w:rPr>
                <w:rFonts w:cs="Times New Roman"/>
                <w:color w:val="auto"/>
                <w:sz w:val="21"/>
                <w:szCs w:val="21"/>
                <w:highlight w:val="none"/>
              </w:rPr>
              <w:t>；       国外标准</w:t>
            </w:r>
            <w:r>
              <w:rPr>
                <w:rFonts w:cs="Times New Roman"/>
                <w:color w:val="auto"/>
                <w:sz w:val="21"/>
                <w:szCs w:val="21"/>
                <w:highlight w:val="none"/>
              </w:rPr>
              <w:sym w:font="Wingdings 2" w:char="00A3"/>
            </w:r>
          </w:p>
        </w:tc>
      </w:tr>
      <w:tr w14:paraId="20869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Merge w:val="restart"/>
            <w:vAlign w:val="center"/>
          </w:tcPr>
          <w:p w14:paraId="5728D70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现状评级</w:t>
            </w:r>
          </w:p>
        </w:tc>
        <w:tc>
          <w:tcPr>
            <w:tcW w:w="1060" w:type="dxa"/>
            <w:vAlign w:val="center"/>
          </w:tcPr>
          <w:p w14:paraId="120F3C8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环境功能区</w:t>
            </w:r>
          </w:p>
        </w:tc>
        <w:tc>
          <w:tcPr>
            <w:tcW w:w="1062" w:type="dxa"/>
            <w:vAlign w:val="center"/>
          </w:tcPr>
          <w:p w14:paraId="3D9CAF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0类区</w:t>
            </w:r>
            <w:r>
              <w:rPr>
                <w:rFonts w:cs="Times New Roman"/>
                <w:color w:val="auto"/>
                <w:sz w:val="21"/>
                <w:szCs w:val="21"/>
                <w:highlight w:val="none"/>
              </w:rPr>
              <w:sym w:font="Wingdings 2" w:char="00A3"/>
            </w:r>
          </w:p>
        </w:tc>
        <w:tc>
          <w:tcPr>
            <w:tcW w:w="1063" w:type="dxa"/>
            <w:gridSpan w:val="2"/>
            <w:vAlign w:val="center"/>
          </w:tcPr>
          <w:p w14:paraId="00F8B0D3">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1类区</w:t>
            </w:r>
            <w:r>
              <w:rPr>
                <w:rFonts w:cs="Times New Roman"/>
                <w:color w:val="auto"/>
                <w:sz w:val="21"/>
                <w:szCs w:val="21"/>
                <w:highlight w:val="none"/>
              </w:rPr>
              <w:sym w:font="Wingdings 2" w:char="00A3"/>
            </w:r>
          </w:p>
        </w:tc>
        <w:tc>
          <w:tcPr>
            <w:tcW w:w="1064" w:type="dxa"/>
            <w:vAlign w:val="center"/>
          </w:tcPr>
          <w:p w14:paraId="7A9ED64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2类区</w:t>
            </w:r>
            <w:r>
              <w:rPr>
                <w:rFonts w:cs="Times New Roman"/>
                <w:color w:val="auto"/>
                <w:sz w:val="21"/>
                <w:szCs w:val="21"/>
                <w:highlight w:val="none"/>
              </w:rPr>
              <w:sym w:font="Wingdings 2" w:char="0052"/>
            </w:r>
          </w:p>
        </w:tc>
        <w:tc>
          <w:tcPr>
            <w:tcW w:w="1063" w:type="dxa"/>
            <w:vAlign w:val="center"/>
          </w:tcPr>
          <w:p w14:paraId="69F2899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3类区</w:t>
            </w:r>
            <w:r>
              <w:rPr>
                <w:rFonts w:cs="Times New Roman"/>
                <w:color w:val="auto"/>
                <w:sz w:val="21"/>
                <w:szCs w:val="21"/>
                <w:highlight w:val="none"/>
              </w:rPr>
              <w:sym w:font="Wingdings 2" w:char="00A3"/>
            </w:r>
          </w:p>
        </w:tc>
        <w:tc>
          <w:tcPr>
            <w:tcW w:w="1063" w:type="dxa"/>
            <w:gridSpan w:val="2"/>
            <w:vAlign w:val="center"/>
          </w:tcPr>
          <w:p w14:paraId="00682B1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4a类区</w:t>
            </w:r>
            <w:r>
              <w:rPr>
                <w:rFonts w:cs="Times New Roman"/>
                <w:color w:val="auto"/>
                <w:sz w:val="21"/>
                <w:szCs w:val="21"/>
                <w:highlight w:val="none"/>
              </w:rPr>
              <w:sym w:font="Wingdings 2" w:char="00A3"/>
            </w:r>
          </w:p>
        </w:tc>
        <w:tc>
          <w:tcPr>
            <w:tcW w:w="1065" w:type="dxa"/>
            <w:vAlign w:val="center"/>
          </w:tcPr>
          <w:p w14:paraId="4E5EF11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4b类区</w:t>
            </w:r>
            <w:r>
              <w:rPr>
                <w:rFonts w:cs="Times New Roman"/>
                <w:color w:val="auto"/>
                <w:sz w:val="21"/>
                <w:szCs w:val="21"/>
                <w:highlight w:val="none"/>
              </w:rPr>
              <w:sym w:font="Wingdings 2" w:char="00A3"/>
            </w:r>
          </w:p>
        </w:tc>
      </w:tr>
      <w:tr w14:paraId="34B29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Merge w:val="continue"/>
            <w:vAlign w:val="center"/>
          </w:tcPr>
          <w:p w14:paraId="261A6BDB">
            <w:pPr>
              <w:spacing w:line="360" w:lineRule="exact"/>
              <w:ind w:firstLine="0" w:firstLineChars="0"/>
              <w:jc w:val="center"/>
              <w:rPr>
                <w:rFonts w:cs="Times New Roman"/>
                <w:color w:val="auto"/>
                <w:sz w:val="21"/>
                <w:szCs w:val="21"/>
                <w:highlight w:val="none"/>
              </w:rPr>
            </w:pPr>
          </w:p>
        </w:tc>
        <w:tc>
          <w:tcPr>
            <w:tcW w:w="1060" w:type="dxa"/>
            <w:vAlign w:val="center"/>
          </w:tcPr>
          <w:p w14:paraId="2FB03636">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评价年度</w:t>
            </w:r>
          </w:p>
        </w:tc>
        <w:tc>
          <w:tcPr>
            <w:tcW w:w="1598" w:type="dxa"/>
            <w:gridSpan w:val="2"/>
            <w:vAlign w:val="center"/>
          </w:tcPr>
          <w:p w14:paraId="77DE5AE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初期</w:t>
            </w:r>
            <w:r>
              <w:rPr>
                <w:rFonts w:cs="Times New Roman"/>
                <w:color w:val="auto"/>
                <w:sz w:val="21"/>
                <w:szCs w:val="21"/>
                <w:highlight w:val="none"/>
              </w:rPr>
              <w:sym w:font="Wingdings 2" w:char="0052"/>
            </w:r>
          </w:p>
        </w:tc>
        <w:tc>
          <w:tcPr>
            <w:tcW w:w="1591" w:type="dxa"/>
            <w:gridSpan w:val="2"/>
            <w:vAlign w:val="center"/>
          </w:tcPr>
          <w:p w14:paraId="2D74C30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近期</w:t>
            </w:r>
            <w:r>
              <w:rPr>
                <w:rFonts w:cs="Times New Roman"/>
                <w:color w:val="auto"/>
                <w:sz w:val="21"/>
                <w:szCs w:val="21"/>
                <w:highlight w:val="none"/>
              </w:rPr>
              <w:sym w:font="Wingdings 2" w:char="00A3"/>
            </w:r>
          </w:p>
        </w:tc>
        <w:tc>
          <w:tcPr>
            <w:tcW w:w="1598" w:type="dxa"/>
            <w:gridSpan w:val="2"/>
            <w:vAlign w:val="center"/>
          </w:tcPr>
          <w:p w14:paraId="1E5E004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中期</w:t>
            </w:r>
            <w:r>
              <w:rPr>
                <w:rFonts w:cs="Times New Roman"/>
                <w:color w:val="auto"/>
                <w:sz w:val="21"/>
                <w:szCs w:val="21"/>
                <w:highlight w:val="none"/>
              </w:rPr>
              <w:sym w:font="Wingdings 2" w:char="00A3"/>
            </w:r>
          </w:p>
        </w:tc>
        <w:tc>
          <w:tcPr>
            <w:tcW w:w="1593" w:type="dxa"/>
            <w:gridSpan w:val="2"/>
            <w:vAlign w:val="center"/>
          </w:tcPr>
          <w:p w14:paraId="27A5883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远期</w:t>
            </w:r>
            <w:r>
              <w:rPr>
                <w:rFonts w:cs="Times New Roman"/>
                <w:color w:val="auto"/>
                <w:sz w:val="21"/>
                <w:szCs w:val="21"/>
                <w:highlight w:val="none"/>
              </w:rPr>
              <w:sym w:font="Wingdings 2" w:char="00A3"/>
            </w:r>
          </w:p>
        </w:tc>
      </w:tr>
      <w:tr w14:paraId="74274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Merge w:val="continue"/>
            <w:vAlign w:val="center"/>
          </w:tcPr>
          <w:p w14:paraId="66318709">
            <w:pPr>
              <w:spacing w:line="360" w:lineRule="exact"/>
              <w:ind w:firstLine="0" w:firstLineChars="0"/>
              <w:jc w:val="center"/>
              <w:rPr>
                <w:rFonts w:cs="Times New Roman"/>
                <w:color w:val="auto"/>
                <w:sz w:val="21"/>
                <w:szCs w:val="21"/>
                <w:highlight w:val="none"/>
              </w:rPr>
            </w:pPr>
          </w:p>
        </w:tc>
        <w:tc>
          <w:tcPr>
            <w:tcW w:w="1060" w:type="dxa"/>
            <w:vAlign w:val="center"/>
          </w:tcPr>
          <w:p w14:paraId="7690152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现状调查方法</w:t>
            </w:r>
          </w:p>
        </w:tc>
        <w:tc>
          <w:tcPr>
            <w:tcW w:w="6380" w:type="dxa"/>
            <w:gridSpan w:val="8"/>
            <w:vAlign w:val="center"/>
          </w:tcPr>
          <w:p w14:paraId="777E6C5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现场实测法</w:t>
            </w:r>
            <w:r>
              <w:rPr>
                <w:rFonts w:cs="Times New Roman"/>
                <w:color w:val="auto"/>
                <w:sz w:val="21"/>
                <w:szCs w:val="21"/>
                <w:highlight w:val="none"/>
              </w:rPr>
              <w:sym w:font="Wingdings 2" w:char="0052"/>
            </w:r>
            <w:r>
              <w:rPr>
                <w:rFonts w:cs="Times New Roman"/>
                <w:color w:val="auto"/>
                <w:sz w:val="21"/>
                <w:szCs w:val="21"/>
                <w:highlight w:val="none"/>
              </w:rPr>
              <w:t xml:space="preserve">        现场实测加模型计算法</w:t>
            </w:r>
            <w:r>
              <w:rPr>
                <w:rFonts w:cs="Times New Roman"/>
                <w:color w:val="auto"/>
                <w:sz w:val="21"/>
                <w:szCs w:val="21"/>
                <w:highlight w:val="none"/>
              </w:rPr>
              <w:sym w:font="Wingdings 2" w:char="00A3"/>
            </w:r>
            <w:r>
              <w:rPr>
                <w:rFonts w:cs="Times New Roman"/>
                <w:color w:val="auto"/>
                <w:sz w:val="21"/>
                <w:szCs w:val="21"/>
                <w:highlight w:val="none"/>
              </w:rPr>
              <w:t xml:space="preserve">         收集资料</w:t>
            </w:r>
            <w:r>
              <w:rPr>
                <w:rFonts w:cs="Times New Roman"/>
                <w:color w:val="auto"/>
                <w:sz w:val="21"/>
                <w:szCs w:val="21"/>
                <w:highlight w:val="none"/>
              </w:rPr>
              <w:sym w:font="Wingdings 2" w:char="00A3"/>
            </w:r>
          </w:p>
        </w:tc>
      </w:tr>
      <w:tr w14:paraId="3AD71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Merge w:val="continue"/>
            <w:vAlign w:val="center"/>
          </w:tcPr>
          <w:p w14:paraId="5431D939">
            <w:pPr>
              <w:spacing w:line="360" w:lineRule="exact"/>
              <w:ind w:firstLine="0" w:firstLineChars="0"/>
              <w:jc w:val="center"/>
              <w:rPr>
                <w:rFonts w:cs="Times New Roman"/>
                <w:color w:val="auto"/>
                <w:sz w:val="21"/>
                <w:szCs w:val="21"/>
                <w:highlight w:val="none"/>
              </w:rPr>
            </w:pPr>
          </w:p>
        </w:tc>
        <w:tc>
          <w:tcPr>
            <w:tcW w:w="1060" w:type="dxa"/>
            <w:vAlign w:val="center"/>
          </w:tcPr>
          <w:p w14:paraId="36BAA91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现状评价</w:t>
            </w:r>
          </w:p>
        </w:tc>
        <w:tc>
          <w:tcPr>
            <w:tcW w:w="3189" w:type="dxa"/>
            <w:gridSpan w:val="4"/>
            <w:vAlign w:val="center"/>
          </w:tcPr>
          <w:p w14:paraId="1E57F5D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达标百分比</w:t>
            </w:r>
          </w:p>
        </w:tc>
        <w:tc>
          <w:tcPr>
            <w:tcW w:w="3191" w:type="dxa"/>
            <w:gridSpan w:val="4"/>
            <w:vAlign w:val="center"/>
          </w:tcPr>
          <w:p w14:paraId="09669F8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100%</w:t>
            </w:r>
          </w:p>
        </w:tc>
      </w:tr>
      <w:tr w14:paraId="50913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Align w:val="center"/>
          </w:tcPr>
          <w:p w14:paraId="16B5A93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噪声源调查</w:t>
            </w:r>
          </w:p>
        </w:tc>
        <w:tc>
          <w:tcPr>
            <w:tcW w:w="1060" w:type="dxa"/>
            <w:vAlign w:val="center"/>
          </w:tcPr>
          <w:p w14:paraId="2D80279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噪声源调查方法</w:t>
            </w:r>
          </w:p>
        </w:tc>
        <w:tc>
          <w:tcPr>
            <w:tcW w:w="6380" w:type="dxa"/>
            <w:gridSpan w:val="8"/>
            <w:vAlign w:val="center"/>
          </w:tcPr>
          <w:p w14:paraId="0FAC0D7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现场实测</w:t>
            </w:r>
            <w:r>
              <w:rPr>
                <w:rFonts w:cs="Times New Roman"/>
                <w:color w:val="auto"/>
                <w:sz w:val="21"/>
                <w:szCs w:val="21"/>
                <w:highlight w:val="none"/>
              </w:rPr>
              <w:sym w:font="Wingdings 2" w:char="0052"/>
            </w:r>
            <w:r>
              <w:rPr>
                <w:rFonts w:cs="Times New Roman"/>
                <w:color w:val="auto"/>
                <w:sz w:val="21"/>
                <w:szCs w:val="21"/>
                <w:highlight w:val="none"/>
              </w:rPr>
              <w:t xml:space="preserve">           已有资料</w:t>
            </w:r>
            <w:r>
              <w:rPr>
                <w:rFonts w:cs="Times New Roman"/>
                <w:color w:val="auto"/>
                <w:sz w:val="21"/>
                <w:szCs w:val="21"/>
                <w:highlight w:val="none"/>
              </w:rPr>
              <w:sym w:font="Wingdings 2" w:char="0052"/>
            </w:r>
            <w:r>
              <w:rPr>
                <w:rFonts w:cs="Times New Roman"/>
                <w:color w:val="auto"/>
                <w:sz w:val="21"/>
                <w:szCs w:val="21"/>
                <w:highlight w:val="none"/>
              </w:rPr>
              <w:t xml:space="preserve">           研究成果</w:t>
            </w:r>
            <w:r>
              <w:rPr>
                <w:rFonts w:cs="Times New Roman"/>
                <w:color w:val="auto"/>
                <w:sz w:val="21"/>
                <w:szCs w:val="21"/>
                <w:highlight w:val="none"/>
              </w:rPr>
              <w:sym w:font="Wingdings 2" w:char="00A3"/>
            </w:r>
          </w:p>
        </w:tc>
      </w:tr>
      <w:tr w14:paraId="65F50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Merge w:val="restart"/>
            <w:vAlign w:val="center"/>
          </w:tcPr>
          <w:p w14:paraId="66EDF1C2">
            <w:pPr>
              <w:spacing w:line="360" w:lineRule="exact"/>
              <w:ind w:firstLine="0" w:firstLineChars="0"/>
              <w:rPr>
                <w:rFonts w:cs="Times New Roman"/>
                <w:color w:val="auto"/>
                <w:sz w:val="21"/>
                <w:szCs w:val="21"/>
                <w:highlight w:val="none"/>
              </w:rPr>
            </w:pPr>
            <w:r>
              <w:rPr>
                <w:rFonts w:cs="Times New Roman"/>
                <w:color w:val="auto"/>
                <w:sz w:val="21"/>
                <w:szCs w:val="21"/>
                <w:highlight w:val="none"/>
              </w:rPr>
              <w:t>声环境影响预测与评价</w:t>
            </w:r>
          </w:p>
        </w:tc>
        <w:tc>
          <w:tcPr>
            <w:tcW w:w="1060" w:type="dxa"/>
            <w:vAlign w:val="center"/>
          </w:tcPr>
          <w:p w14:paraId="267F73F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预测模型</w:t>
            </w:r>
          </w:p>
        </w:tc>
        <w:tc>
          <w:tcPr>
            <w:tcW w:w="6380" w:type="dxa"/>
            <w:gridSpan w:val="8"/>
            <w:vAlign w:val="center"/>
          </w:tcPr>
          <w:p w14:paraId="3007F49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导则推荐模型</w:t>
            </w:r>
            <w:r>
              <w:rPr>
                <w:rFonts w:cs="Times New Roman"/>
                <w:color w:val="auto"/>
                <w:sz w:val="21"/>
                <w:szCs w:val="21"/>
                <w:highlight w:val="none"/>
              </w:rPr>
              <w:sym w:font="Wingdings 2" w:char="0052"/>
            </w:r>
            <w:r>
              <w:rPr>
                <w:rFonts w:cs="Times New Roman"/>
                <w:color w:val="auto"/>
                <w:sz w:val="21"/>
                <w:szCs w:val="21"/>
                <w:highlight w:val="none"/>
              </w:rPr>
              <w:t xml:space="preserve">       其他</w:t>
            </w:r>
            <w:r>
              <w:rPr>
                <w:rFonts w:cs="Times New Roman"/>
                <w:color w:val="auto"/>
                <w:sz w:val="21"/>
                <w:szCs w:val="21"/>
                <w:highlight w:val="none"/>
              </w:rPr>
              <w:sym w:font="Wingdings 2" w:char="00A3"/>
            </w:r>
            <w:r>
              <w:rPr>
                <w:rFonts w:cs="Times New Roman"/>
                <w:color w:val="auto"/>
                <w:sz w:val="21"/>
                <w:szCs w:val="21"/>
                <w:highlight w:val="none"/>
                <w:u w:val="single"/>
              </w:rPr>
              <w:t xml:space="preserve">           </w:t>
            </w:r>
          </w:p>
        </w:tc>
      </w:tr>
      <w:tr w14:paraId="76F26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Merge w:val="continue"/>
            <w:vAlign w:val="center"/>
          </w:tcPr>
          <w:p w14:paraId="6A7D9865">
            <w:pPr>
              <w:spacing w:line="360" w:lineRule="exact"/>
              <w:ind w:firstLine="0" w:firstLineChars="0"/>
              <w:jc w:val="center"/>
              <w:rPr>
                <w:rFonts w:cs="Times New Roman"/>
                <w:color w:val="auto"/>
                <w:sz w:val="21"/>
                <w:szCs w:val="21"/>
                <w:highlight w:val="none"/>
              </w:rPr>
            </w:pPr>
          </w:p>
        </w:tc>
        <w:tc>
          <w:tcPr>
            <w:tcW w:w="1060" w:type="dxa"/>
            <w:vAlign w:val="center"/>
          </w:tcPr>
          <w:p w14:paraId="6E5856D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预测范围</w:t>
            </w:r>
          </w:p>
        </w:tc>
        <w:tc>
          <w:tcPr>
            <w:tcW w:w="6380" w:type="dxa"/>
            <w:gridSpan w:val="8"/>
            <w:vAlign w:val="center"/>
          </w:tcPr>
          <w:p w14:paraId="32052CAD">
            <w:pPr>
              <w:spacing w:line="360" w:lineRule="exact"/>
              <w:ind w:firstLine="0" w:firstLineChars="0"/>
              <w:jc w:val="center"/>
              <w:rPr>
                <w:rFonts w:cs="Times New Roman"/>
                <w:color w:val="auto"/>
                <w:sz w:val="21"/>
                <w:szCs w:val="21"/>
                <w:highlight w:val="none"/>
              </w:rPr>
            </w:pPr>
            <w:r>
              <w:rPr>
                <w:rFonts w:cs="Times New Roman"/>
                <w:bCs/>
                <w:color w:val="auto"/>
                <w:kern w:val="0"/>
                <w:sz w:val="21"/>
                <w:szCs w:val="21"/>
                <w:highlight w:val="none"/>
              </w:rPr>
              <w:t>200m</w:t>
            </w:r>
            <w:r>
              <w:rPr>
                <w:rFonts w:cs="Times New Roman"/>
                <w:color w:val="auto"/>
                <w:sz w:val="21"/>
                <w:szCs w:val="21"/>
                <w:highlight w:val="none"/>
              </w:rPr>
              <w:sym w:font="Wingdings 2" w:char="0052"/>
            </w:r>
            <w:r>
              <w:rPr>
                <w:rFonts w:cs="Times New Roman"/>
                <w:bCs/>
                <w:color w:val="auto"/>
                <w:kern w:val="0"/>
                <w:sz w:val="21"/>
                <w:szCs w:val="21"/>
                <w:highlight w:val="none"/>
              </w:rPr>
              <w:t>；             大于200m</w:t>
            </w:r>
            <w:r>
              <w:rPr>
                <w:rFonts w:cs="Times New Roman"/>
                <w:bCs/>
                <w:color w:val="auto"/>
                <w:kern w:val="0"/>
                <w:sz w:val="21"/>
                <w:szCs w:val="21"/>
                <w:highlight w:val="none"/>
              </w:rPr>
              <w:sym w:font="Wingdings 2" w:char="00A3"/>
            </w:r>
            <w:r>
              <w:rPr>
                <w:rFonts w:cs="Times New Roman"/>
                <w:bCs/>
                <w:color w:val="auto"/>
                <w:kern w:val="0"/>
                <w:sz w:val="21"/>
                <w:szCs w:val="21"/>
                <w:highlight w:val="none"/>
              </w:rPr>
              <w:t>；             小于200m</w:t>
            </w:r>
            <w:r>
              <w:rPr>
                <w:rFonts w:cs="Times New Roman"/>
                <w:color w:val="auto"/>
                <w:sz w:val="21"/>
                <w:szCs w:val="21"/>
                <w:highlight w:val="none"/>
              </w:rPr>
              <w:sym w:font="Wingdings 2" w:char="00A3"/>
            </w:r>
          </w:p>
        </w:tc>
      </w:tr>
      <w:tr w14:paraId="08712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Merge w:val="continue"/>
            <w:vAlign w:val="center"/>
          </w:tcPr>
          <w:p w14:paraId="0178DCCE">
            <w:pPr>
              <w:spacing w:line="360" w:lineRule="exact"/>
              <w:ind w:firstLine="0" w:firstLineChars="0"/>
              <w:jc w:val="center"/>
              <w:rPr>
                <w:rFonts w:cs="Times New Roman"/>
                <w:color w:val="auto"/>
                <w:sz w:val="21"/>
                <w:szCs w:val="21"/>
                <w:highlight w:val="none"/>
              </w:rPr>
            </w:pPr>
          </w:p>
        </w:tc>
        <w:tc>
          <w:tcPr>
            <w:tcW w:w="1060" w:type="dxa"/>
            <w:vAlign w:val="center"/>
          </w:tcPr>
          <w:p w14:paraId="3997F1D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预测因子</w:t>
            </w:r>
          </w:p>
        </w:tc>
        <w:tc>
          <w:tcPr>
            <w:tcW w:w="6380" w:type="dxa"/>
            <w:gridSpan w:val="8"/>
            <w:vAlign w:val="center"/>
          </w:tcPr>
          <w:p w14:paraId="1A02E80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等效连续A声级</w:t>
            </w:r>
            <w:r>
              <w:rPr>
                <w:rFonts w:cs="Times New Roman"/>
                <w:color w:val="auto"/>
                <w:sz w:val="21"/>
                <w:szCs w:val="21"/>
                <w:highlight w:val="none"/>
              </w:rPr>
              <w:sym w:font="Wingdings 2" w:char="0052"/>
            </w:r>
            <w:r>
              <w:rPr>
                <w:rFonts w:cs="Times New Roman"/>
                <w:color w:val="auto"/>
                <w:sz w:val="21"/>
                <w:szCs w:val="21"/>
                <w:highlight w:val="none"/>
              </w:rPr>
              <w:t>；   最大A声级</w:t>
            </w:r>
            <w:r>
              <w:rPr>
                <w:rFonts w:cs="Times New Roman"/>
                <w:color w:val="auto"/>
                <w:sz w:val="21"/>
                <w:szCs w:val="21"/>
                <w:highlight w:val="none"/>
              </w:rPr>
              <w:sym w:font="Wingdings 2" w:char="00A3"/>
            </w:r>
            <w:r>
              <w:rPr>
                <w:rFonts w:cs="Times New Roman"/>
                <w:color w:val="auto"/>
                <w:sz w:val="21"/>
                <w:szCs w:val="21"/>
                <w:highlight w:val="none"/>
              </w:rPr>
              <w:t>；    计权等效连续感觉噪声级</w:t>
            </w:r>
            <w:r>
              <w:rPr>
                <w:rFonts w:cs="Times New Roman"/>
                <w:color w:val="auto"/>
                <w:sz w:val="21"/>
                <w:szCs w:val="21"/>
                <w:highlight w:val="none"/>
              </w:rPr>
              <w:sym w:font="Wingdings 2" w:char="00A3"/>
            </w:r>
          </w:p>
        </w:tc>
      </w:tr>
      <w:tr w14:paraId="15B11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Merge w:val="continue"/>
            <w:vAlign w:val="center"/>
          </w:tcPr>
          <w:p w14:paraId="1641090A">
            <w:pPr>
              <w:spacing w:line="360" w:lineRule="exact"/>
              <w:ind w:firstLine="0" w:firstLineChars="0"/>
              <w:jc w:val="center"/>
              <w:rPr>
                <w:rFonts w:cs="Times New Roman"/>
                <w:color w:val="auto"/>
                <w:sz w:val="21"/>
                <w:szCs w:val="21"/>
                <w:highlight w:val="none"/>
              </w:rPr>
            </w:pPr>
          </w:p>
        </w:tc>
        <w:tc>
          <w:tcPr>
            <w:tcW w:w="1060" w:type="dxa"/>
            <w:vAlign w:val="center"/>
          </w:tcPr>
          <w:p w14:paraId="48B371B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厂界噪声贡献值</w:t>
            </w:r>
          </w:p>
        </w:tc>
        <w:tc>
          <w:tcPr>
            <w:tcW w:w="6380" w:type="dxa"/>
            <w:gridSpan w:val="8"/>
            <w:vAlign w:val="center"/>
          </w:tcPr>
          <w:p w14:paraId="7536668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r>
              <w:rPr>
                <w:rFonts w:cs="Times New Roman"/>
                <w:color w:val="auto"/>
                <w:sz w:val="21"/>
                <w:szCs w:val="21"/>
                <w:highlight w:val="none"/>
              </w:rPr>
              <w:sym w:font="Wingdings 2" w:char="0052"/>
            </w:r>
            <w:r>
              <w:rPr>
                <w:rFonts w:cs="Times New Roman"/>
                <w:color w:val="auto"/>
                <w:sz w:val="21"/>
                <w:szCs w:val="21"/>
                <w:highlight w:val="none"/>
              </w:rPr>
              <w:t xml:space="preserve">         不达标</w:t>
            </w:r>
            <w:r>
              <w:rPr>
                <w:rFonts w:cs="Times New Roman"/>
                <w:color w:val="auto"/>
                <w:sz w:val="21"/>
                <w:szCs w:val="21"/>
                <w:highlight w:val="none"/>
              </w:rPr>
              <w:sym w:font="Wingdings 2" w:char="00A3"/>
            </w:r>
          </w:p>
        </w:tc>
      </w:tr>
      <w:tr w14:paraId="219E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 w:hRule="atLeast"/>
          <w:jc w:val="center"/>
        </w:trPr>
        <w:tc>
          <w:tcPr>
            <w:tcW w:w="1059" w:type="dxa"/>
            <w:vMerge w:val="continue"/>
            <w:vAlign w:val="center"/>
          </w:tcPr>
          <w:p w14:paraId="49D51B20">
            <w:pPr>
              <w:spacing w:line="360" w:lineRule="exact"/>
              <w:ind w:firstLine="0" w:firstLineChars="0"/>
              <w:jc w:val="center"/>
              <w:rPr>
                <w:rFonts w:cs="Times New Roman"/>
                <w:color w:val="auto"/>
                <w:sz w:val="21"/>
                <w:szCs w:val="21"/>
                <w:highlight w:val="none"/>
              </w:rPr>
            </w:pPr>
          </w:p>
        </w:tc>
        <w:tc>
          <w:tcPr>
            <w:tcW w:w="1060" w:type="dxa"/>
            <w:vAlign w:val="center"/>
          </w:tcPr>
          <w:p w14:paraId="3477CA4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声环境保护目标处噪声值</w:t>
            </w:r>
          </w:p>
        </w:tc>
        <w:tc>
          <w:tcPr>
            <w:tcW w:w="6380" w:type="dxa"/>
            <w:gridSpan w:val="8"/>
            <w:vAlign w:val="center"/>
          </w:tcPr>
          <w:p w14:paraId="5B1E734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达标</w:t>
            </w:r>
            <w:r>
              <w:rPr>
                <w:rFonts w:cs="Times New Roman"/>
                <w:color w:val="auto"/>
                <w:sz w:val="21"/>
                <w:szCs w:val="21"/>
                <w:highlight w:val="none"/>
              </w:rPr>
              <w:sym w:font="Wingdings 2" w:char="0052"/>
            </w:r>
            <w:r>
              <w:rPr>
                <w:rFonts w:cs="Times New Roman"/>
                <w:color w:val="auto"/>
                <w:sz w:val="21"/>
                <w:szCs w:val="21"/>
                <w:highlight w:val="none"/>
              </w:rPr>
              <w:t xml:space="preserve">         不达标</w:t>
            </w:r>
            <w:r>
              <w:rPr>
                <w:rFonts w:cs="Times New Roman"/>
                <w:color w:val="auto"/>
                <w:sz w:val="21"/>
                <w:szCs w:val="21"/>
                <w:highlight w:val="none"/>
              </w:rPr>
              <w:sym w:font="Wingdings 2" w:char="00A3"/>
            </w:r>
          </w:p>
        </w:tc>
      </w:tr>
      <w:tr w14:paraId="1F015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059" w:type="dxa"/>
            <w:vMerge w:val="restart"/>
            <w:vAlign w:val="center"/>
          </w:tcPr>
          <w:p w14:paraId="0927ABA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环境监测计划</w:t>
            </w:r>
          </w:p>
        </w:tc>
        <w:tc>
          <w:tcPr>
            <w:tcW w:w="1060" w:type="dxa"/>
            <w:vAlign w:val="center"/>
          </w:tcPr>
          <w:p w14:paraId="462AB1FA">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排放监测</w:t>
            </w:r>
          </w:p>
        </w:tc>
        <w:tc>
          <w:tcPr>
            <w:tcW w:w="6380" w:type="dxa"/>
            <w:gridSpan w:val="8"/>
            <w:vAlign w:val="center"/>
          </w:tcPr>
          <w:p w14:paraId="4D482C1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厂界监测</w:t>
            </w:r>
            <w:r>
              <w:rPr>
                <w:rFonts w:cs="Times New Roman"/>
                <w:color w:val="auto"/>
                <w:sz w:val="21"/>
                <w:szCs w:val="21"/>
                <w:highlight w:val="none"/>
              </w:rPr>
              <w:sym w:font="Wingdings 2" w:char="0052"/>
            </w:r>
            <w:r>
              <w:rPr>
                <w:rFonts w:cs="Times New Roman"/>
                <w:color w:val="auto"/>
                <w:sz w:val="21"/>
                <w:szCs w:val="21"/>
                <w:highlight w:val="none"/>
              </w:rPr>
              <w:t xml:space="preserve">   固定位置监测</w:t>
            </w:r>
            <w:r>
              <w:rPr>
                <w:rFonts w:cs="Times New Roman"/>
                <w:color w:val="auto"/>
                <w:sz w:val="21"/>
                <w:szCs w:val="21"/>
                <w:highlight w:val="none"/>
              </w:rPr>
              <w:sym w:font="Wingdings 2" w:char="00A3"/>
            </w:r>
            <w:r>
              <w:rPr>
                <w:rFonts w:cs="Times New Roman"/>
                <w:color w:val="auto"/>
                <w:sz w:val="21"/>
                <w:szCs w:val="21"/>
                <w:highlight w:val="none"/>
              </w:rPr>
              <w:t xml:space="preserve">   自动监测</w:t>
            </w:r>
            <w:r>
              <w:rPr>
                <w:rFonts w:cs="Times New Roman"/>
                <w:color w:val="auto"/>
                <w:sz w:val="21"/>
                <w:szCs w:val="21"/>
                <w:highlight w:val="none"/>
              </w:rPr>
              <w:sym w:font="Wingdings 2" w:char="00A3"/>
            </w:r>
            <w:r>
              <w:rPr>
                <w:rFonts w:cs="Times New Roman"/>
                <w:color w:val="auto"/>
                <w:sz w:val="21"/>
                <w:szCs w:val="21"/>
                <w:highlight w:val="none"/>
              </w:rPr>
              <w:t xml:space="preserve">   手动监测</w:t>
            </w:r>
            <w:r>
              <w:rPr>
                <w:rFonts w:cs="Times New Roman"/>
                <w:color w:val="auto"/>
                <w:sz w:val="21"/>
                <w:szCs w:val="21"/>
                <w:highlight w:val="none"/>
              </w:rPr>
              <w:sym w:font="Wingdings 2" w:char="00A3"/>
            </w:r>
            <w:r>
              <w:rPr>
                <w:rFonts w:cs="Times New Roman"/>
                <w:color w:val="auto"/>
                <w:sz w:val="21"/>
                <w:szCs w:val="21"/>
                <w:highlight w:val="none"/>
              </w:rPr>
              <w:t xml:space="preserve">   无监测</w:t>
            </w:r>
            <w:r>
              <w:rPr>
                <w:rFonts w:cs="Times New Roman"/>
                <w:color w:val="auto"/>
                <w:sz w:val="21"/>
                <w:szCs w:val="21"/>
                <w:highlight w:val="none"/>
              </w:rPr>
              <w:sym w:font="Wingdings 2" w:char="00A3"/>
            </w:r>
          </w:p>
        </w:tc>
      </w:tr>
      <w:tr w14:paraId="490A0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 w:hRule="atLeast"/>
          <w:jc w:val="center"/>
        </w:trPr>
        <w:tc>
          <w:tcPr>
            <w:tcW w:w="1059" w:type="dxa"/>
            <w:vMerge w:val="continue"/>
            <w:vAlign w:val="center"/>
          </w:tcPr>
          <w:p w14:paraId="3AC58D64">
            <w:pPr>
              <w:spacing w:line="360" w:lineRule="exact"/>
              <w:ind w:firstLine="0" w:firstLineChars="0"/>
              <w:jc w:val="center"/>
              <w:rPr>
                <w:rFonts w:cs="Times New Roman"/>
                <w:color w:val="auto"/>
                <w:sz w:val="21"/>
                <w:szCs w:val="21"/>
                <w:highlight w:val="none"/>
              </w:rPr>
            </w:pPr>
          </w:p>
        </w:tc>
        <w:tc>
          <w:tcPr>
            <w:tcW w:w="1060" w:type="dxa"/>
            <w:vAlign w:val="center"/>
          </w:tcPr>
          <w:p w14:paraId="5537696F">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声环境保护目标处噪声监测</w:t>
            </w:r>
          </w:p>
        </w:tc>
        <w:tc>
          <w:tcPr>
            <w:tcW w:w="2125" w:type="dxa"/>
            <w:gridSpan w:val="3"/>
            <w:vAlign w:val="center"/>
          </w:tcPr>
          <w:p w14:paraId="581A869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监测因子：（等效连续A声级）</w:t>
            </w:r>
          </w:p>
        </w:tc>
        <w:tc>
          <w:tcPr>
            <w:tcW w:w="2127" w:type="dxa"/>
            <w:gridSpan w:val="2"/>
            <w:vAlign w:val="center"/>
          </w:tcPr>
          <w:p w14:paraId="0657924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监测点位数（</w:t>
            </w:r>
            <w:r>
              <w:rPr>
                <w:rFonts w:hint="eastAsia" w:cs="Times New Roman"/>
                <w:color w:val="auto"/>
                <w:sz w:val="21"/>
                <w:szCs w:val="21"/>
                <w:highlight w:val="none"/>
                <w:lang w:val="en-US" w:eastAsia="zh-CN"/>
              </w:rPr>
              <w:t>1</w:t>
            </w:r>
            <w:r>
              <w:rPr>
                <w:rFonts w:cs="Times New Roman"/>
                <w:color w:val="auto"/>
                <w:sz w:val="21"/>
                <w:szCs w:val="21"/>
                <w:highlight w:val="none"/>
              </w:rPr>
              <w:t>）</w:t>
            </w:r>
          </w:p>
        </w:tc>
        <w:tc>
          <w:tcPr>
            <w:tcW w:w="2128" w:type="dxa"/>
            <w:gridSpan w:val="3"/>
            <w:vAlign w:val="center"/>
          </w:tcPr>
          <w:p w14:paraId="4CE0D66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无监测</w:t>
            </w:r>
            <w:r>
              <w:rPr>
                <w:rFonts w:cs="Times New Roman"/>
                <w:color w:val="auto"/>
                <w:sz w:val="21"/>
                <w:szCs w:val="21"/>
                <w:highlight w:val="none"/>
              </w:rPr>
              <w:sym w:font="Wingdings 2" w:char="00A3"/>
            </w:r>
          </w:p>
        </w:tc>
      </w:tr>
      <w:tr w14:paraId="44C8C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1059" w:type="dxa"/>
            <w:vAlign w:val="center"/>
          </w:tcPr>
          <w:p w14:paraId="430923C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评价结论</w:t>
            </w:r>
          </w:p>
        </w:tc>
        <w:tc>
          <w:tcPr>
            <w:tcW w:w="1060" w:type="dxa"/>
            <w:vAlign w:val="center"/>
          </w:tcPr>
          <w:p w14:paraId="47A88BD8">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环境影响</w:t>
            </w:r>
          </w:p>
        </w:tc>
        <w:tc>
          <w:tcPr>
            <w:tcW w:w="6380" w:type="dxa"/>
            <w:gridSpan w:val="8"/>
            <w:vAlign w:val="center"/>
          </w:tcPr>
          <w:p w14:paraId="3A7E1AC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可行</w:t>
            </w:r>
            <w:r>
              <w:rPr>
                <w:rFonts w:cs="Times New Roman"/>
                <w:color w:val="auto"/>
                <w:sz w:val="21"/>
                <w:szCs w:val="21"/>
                <w:highlight w:val="none"/>
              </w:rPr>
              <w:sym w:font="Wingdings 2" w:char="0052"/>
            </w:r>
            <w:r>
              <w:rPr>
                <w:rFonts w:cs="Times New Roman"/>
                <w:color w:val="auto"/>
                <w:sz w:val="21"/>
                <w:szCs w:val="21"/>
                <w:highlight w:val="none"/>
              </w:rPr>
              <w:t xml:space="preserve">    不可行</w:t>
            </w:r>
            <w:r>
              <w:rPr>
                <w:rFonts w:cs="Times New Roman"/>
                <w:color w:val="auto"/>
                <w:sz w:val="21"/>
                <w:szCs w:val="21"/>
                <w:highlight w:val="none"/>
              </w:rPr>
              <w:sym w:font="Wingdings 2" w:char="00A3"/>
            </w:r>
          </w:p>
        </w:tc>
      </w:tr>
      <w:tr w14:paraId="116DA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8499" w:type="dxa"/>
            <w:gridSpan w:val="10"/>
            <w:vAlign w:val="center"/>
          </w:tcPr>
          <w:p w14:paraId="588ADA18">
            <w:pPr>
              <w:spacing w:line="360" w:lineRule="exact"/>
              <w:ind w:firstLine="0" w:firstLineChars="0"/>
              <w:rPr>
                <w:rFonts w:cs="Times New Roman"/>
                <w:color w:val="auto"/>
                <w:sz w:val="21"/>
                <w:szCs w:val="21"/>
                <w:highlight w:val="none"/>
              </w:rPr>
            </w:pPr>
            <w:r>
              <w:rPr>
                <w:rFonts w:cs="Times New Roman"/>
                <w:color w:val="auto"/>
                <w:sz w:val="21"/>
                <w:szCs w:val="21"/>
                <w:highlight w:val="none"/>
              </w:rPr>
              <w:t>注：“</w:t>
            </w:r>
            <w:r>
              <w:rPr>
                <w:rFonts w:cs="Times New Roman"/>
                <w:color w:val="auto"/>
                <w:sz w:val="21"/>
                <w:szCs w:val="21"/>
                <w:highlight w:val="none"/>
              </w:rPr>
              <w:sym w:font="Wingdings 2" w:char="00A3"/>
            </w:r>
            <w:r>
              <w:rPr>
                <w:rFonts w:cs="Times New Roman"/>
                <w:color w:val="auto"/>
                <w:sz w:val="21"/>
                <w:szCs w:val="21"/>
                <w:highlight w:val="none"/>
              </w:rPr>
              <w:t>”为勾选项，可√：“（）”为内容填写项</w:t>
            </w:r>
          </w:p>
        </w:tc>
      </w:tr>
    </w:tbl>
    <w:p w14:paraId="13961161">
      <w:pPr>
        <w:pStyle w:val="2"/>
        <w:rPr>
          <w:rFonts w:cs="Times New Roman"/>
          <w:color w:val="auto"/>
          <w:sz w:val="24"/>
          <w:szCs w:val="24"/>
          <w:highlight w:val="none"/>
        </w:rPr>
        <w:sectPr>
          <w:headerReference r:id="rId15" w:type="default"/>
          <w:headerReference r:id="rId16"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761B5F9B">
      <w:pPr>
        <w:pStyle w:val="2"/>
        <w:rPr>
          <w:rFonts w:cs="Times New Roman"/>
          <w:color w:val="auto"/>
          <w:sz w:val="24"/>
          <w:szCs w:val="24"/>
          <w:highlight w:val="none"/>
        </w:rPr>
      </w:pPr>
      <w:bookmarkStart w:id="513" w:name="_Toc319"/>
      <w:r>
        <w:rPr>
          <w:rFonts w:cs="Times New Roman"/>
          <w:color w:val="auto"/>
          <w:sz w:val="24"/>
          <w:szCs w:val="24"/>
          <w:highlight w:val="none"/>
        </w:rPr>
        <w:t>附表4  环境风险自查表</w:t>
      </w:r>
      <w:bookmarkEnd w:id="512"/>
      <w:bookmarkEnd w:id="513"/>
    </w:p>
    <w:p w14:paraId="5AC04313">
      <w:pPr>
        <w:spacing w:before="163" w:beforeLines="50" w:line="240" w:lineRule="auto"/>
        <w:ind w:firstLine="482"/>
        <w:jc w:val="center"/>
        <w:rPr>
          <w:rFonts w:cs="Times New Roman"/>
          <w:b/>
          <w:bCs/>
          <w:color w:val="auto"/>
          <w:highlight w:val="none"/>
        </w:rPr>
      </w:pPr>
      <w:r>
        <w:rPr>
          <w:rFonts w:cs="Times New Roman"/>
          <w:b/>
          <w:bCs/>
          <w:color w:val="auto"/>
          <w:highlight w:val="none"/>
        </w:rPr>
        <w:t>环境风险自查表</w:t>
      </w:r>
    </w:p>
    <w:tbl>
      <w:tblPr>
        <w:tblStyle w:val="47"/>
        <w:tblW w:w="5383"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850"/>
        <w:gridCol w:w="1119"/>
        <w:gridCol w:w="1279"/>
        <w:gridCol w:w="890"/>
        <w:gridCol w:w="327"/>
        <w:gridCol w:w="1519"/>
        <w:gridCol w:w="861"/>
        <w:gridCol w:w="143"/>
        <w:gridCol w:w="428"/>
        <w:gridCol w:w="297"/>
        <w:gridCol w:w="207"/>
        <w:gridCol w:w="29"/>
        <w:gridCol w:w="534"/>
        <w:gridCol w:w="692"/>
      </w:tblGrid>
      <w:tr w14:paraId="20815D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shd w:val="clear" w:color="auto" w:fill="auto"/>
            <w:vAlign w:val="center"/>
          </w:tcPr>
          <w:p w14:paraId="42328A2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工作内容</w:t>
            </w:r>
          </w:p>
        </w:tc>
        <w:tc>
          <w:tcPr>
            <w:tcW w:w="3926" w:type="pct"/>
            <w:gridSpan w:val="12"/>
            <w:shd w:val="clear" w:color="auto" w:fill="auto"/>
            <w:vAlign w:val="center"/>
          </w:tcPr>
          <w:p w14:paraId="297B90A3">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完成情况</w:t>
            </w:r>
          </w:p>
        </w:tc>
      </w:tr>
      <w:tr w14:paraId="4EC335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restart"/>
            <w:shd w:val="clear" w:color="auto" w:fill="auto"/>
            <w:vAlign w:val="center"/>
          </w:tcPr>
          <w:p w14:paraId="787C219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风</w:t>
            </w:r>
          </w:p>
          <w:p w14:paraId="206F79F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险</w:t>
            </w:r>
          </w:p>
          <w:p w14:paraId="0D080D5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调</w:t>
            </w:r>
          </w:p>
          <w:p w14:paraId="55E4833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查</w:t>
            </w:r>
          </w:p>
        </w:tc>
        <w:tc>
          <w:tcPr>
            <w:tcW w:w="609" w:type="pct"/>
            <w:vMerge w:val="restart"/>
            <w:shd w:val="clear" w:color="auto" w:fill="auto"/>
            <w:vAlign w:val="center"/>
          </w:tcPr>
          <w:p w14:paraId="580C29A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危险物质</w:t>
            </w:r>
          </w:p>
        </w:tc>
        <w:tc>
          <w:tcPr>
            <w:tcW w:w="697" w:type="pct"/>
            <w:shd w:val="clear" w:color="auto" w:fill="auto"/>
            <w:vAlign w:val="center"/>
          </w:tcPr>
          <w:p w14:paraId="363A0FE9">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名称</w:t>
            </w:r>
          </w:p>
        </w:tc>
        <w:tc>
          <w:tcPr>
            <w:tcW w:w="663" w:type="pct"/>
            <w:gridSpan w:val="2"/>
            <w:shd w:val="clear" w:color="auto" w:fill="auto"/>
            <w:vAlign w:val="center"/>
          </w:tcPr>
          <w:p w14:paraId="3CD8DB05">
            <w:pPr>
              <w:spacing w:line="360" w:lineRule="exact"/>
              <w:ind w:firstLine="0" w:firstLineChars="0"/>
              <w:jc w:val="center"/>
              <w:rPr>
                <w:rFonts w:hint="eastAsia" w:eastAsia="宋体" w:cs="Times New Roman"/>
                <w:snapToGrid w:val="0"/>
                <w:color w:val="auto"/>
                <w:kern w:val="0"/>
                <w:sz w:val="21"/>
                <w:szCs w:val="21"/>
                <w:highlight w:val="none"/>
                <w:lang w:val="en-US" w:eastAsia="zh-CN"/>
              </w:rPr>
            </w:pPr>
            <w:r>
              <w:rPr>
                <w:rFonts w:hint="eastAsia" w:cs="Times New Roman"/>
                <w:snapToGrid w:val="0"/>
                <w:color w:val="auto"/>
                <w:kern w:val="0"/>
                <w:sz w:val="21"/>
                <w:szCs w:val="21"/>
                <w:highlight w:val="none"/>
                <w:lang w:val="en-US" w:eastAsia="zh-CN"/>
              </w:rPr>
              <w:t>次氯酸钠</w:t>
            </w:r>
          </w:p>
        </w:tc>
        <w:tc>
          <w:tcPr>
            <w:tcW w:w="827" w:type="pct"/>
            <w:shd w:val="clear" w:color="auto" w:fill="auto"/>
            <w:vAlign w:val="center"/>
          </w:tcPr>
          <w:p w14:paraId="10B27BD9">
            <w:pPr>
              <w:spacing w:line="360" w:lineRule="exact"/>
              <w:ind w:firstLine="0" w:firstLineChars="0"/>
              <w:jc w:val="center"/>
              <w:rPr>
                <w:rFonts w:cs="Times New Roman"/>
                <w:snapToGrid w:val="0"/>
                <w:color w:val="auto"/>
                <w:kern w:val="0"/>
                <w:sz w:val="21"/>
                <w:szCs w:val="21"/>
                <w:highlight w:val="none"/>
              </w:rPr>
            </w:pPr>
          </w:p>
        </w:tc>
        <w:tc>
          <w:tcPr>
            <w:tcW w:w="469" w:type="pct"/>
            <w:shd w:val="clear" w:color="auto" w:fill="auto"/>
            <w:vAlign w:val="center"/>
          </w:tcPr>
          <w:p w14:paraId="4C1F5B16">
            <w:pPr>
              <w:spacing w:line="360" w:lineRule="exact"/>
              <w:ind w:firstLine="0" w:firstLineChars="0"/>
              <w:jc w:val="center"/>
              <w:rPr>
                <w:rFonts w:cs="Times New Roman"/>
                <w:snapToGrid w:val="0"/>
                <w:color w:val="auto"/>
                <w:kern w:val="0"/>
                <w:sz w:val="21"/>
                <w:szCs w:val="21"/>
                <w:highlight w:val="none"/>
              </w:rPr>
            </w:pPr>
          </w:p>
        </w:tc>
        <w:tc>
          <w:tcPr>
            <w:tcW w:w="311" w:type="pct"/>
            <w:gridSpan w:val="2"/>
            <w:shd w:val="clear" w:color="auto" w:fill="auto"/>
            <w:vAlign w:val="center"/>
          </w:tcPr>
          <w:p w14:paraId="2CD47407">
            <w:pPr>
              <w:spacing w:line="360" w:lineRule="exact"/>
              <w:ind w:firstLine="0" w:firstLineChars="0"/>
              <w:jc w:val="center"/>
              <w:rPr>
                <w:rFonts w:cs="Times New Roman"/>
                <w:snapToGrid w:val="0"/>
                <w:color w:val="auto"/>
                <w:kern w:val="0"/>
                <w:sz w:val="21"/>
                <w:szCs w:val="21"/>
                <w:highlight w:val="none"/>
              </w:rPr>
            </w:pPr>
          </w:p>
        </w:tc>
        <w:tc>
          <w:tcPr>
            <w:tcW w:w="274" w:type="pct"/>
            <w:gridSpan w:val="2"/>
            <w:shd w:val="clear" w:color="auto" w:fill="auto"/>
            <w:vAlign w:val="center"/>
          </w:tcPr>
          <w:p w14:paraId="069595F9">
            <w:pPr>
              <w:spacing w:line="360" w:lineRule="exact"/>
              <w:ind w:firstLine="0" w:firstLineChars="0"/>
              <w:jc w:val="center"/>
              <w:rPr>
                <w:rFonts w:cs="Times New Roman"/>
                <w:snapToGrid w:val="0"/>
                <w:color w:val="auto"/>
                <w:kern w:val="0"/>
                <w:sz w:val="21"/>
                <w:szCs w:val="21"/>
                <w:highlight w:val="none"/>
              </w:rPr>
            </w:pPr>
          </w:p>
        </w:tc>
        <w:tc>
          <w:tcPr>
            <w:tcW w:w="307" w:type="pct"/>
            <w:gridSpan w:val="2"/>
            <w:shd w:val="clear" w:color="auto" w:fill="auto"/>
            <w:vAlign w:val="center"/>
          </w:tcPr>
          <w:p w14:paraId="27B083CF">
            <w:pPr>
              <w:spacing w:line="360" w:lineRule="exact"/>
              <w:ind w:firstLine="0" w:firstLineChars="0"/>
              <w:jc w:val="center"/>
              <w:rPr>
                <w:rFonts w:cs="Times New Roman"/>
                <w:snapToGrid w:val="0"/>
                <w:color w:val="auto"/>
                <w:kern w:val="0"/>
                <w:sz w:val="21"/>
                <w:szCs w:val="21"/>
                <w:highlight w:val="none"/>
              </w:rPr>
            </w:pPr>
          </w:p>
        </w:tc>
        <w:tc>
          <w:tcPr>
            <w:tcW w:w="375" w:type="pct"/>
            <w:shd w:val="clear" w:color="auto" w:fill="auto"/>
            <w:vAlign w:val="center"/>
          </w:tcPr>
          <w:p w14:paraId="28A8EAFA">
            <w:pPr>
              <w:spacing w:line="360" w:lineRule="exact"/>
              <w:ind w:firstLine="0" w:firstLineChars="0"/>
              <w:jc w:val="center"/>
              <w:rPr>
                <w:rFonts w:cs="Times New Roman"/>
                <w:snapToGrid w:val="0"/>
                <w:color w:val="auto"/>
                <w:kern w:val="0"/>
                <w:sz w:val="21"/>
                <w:szCs w:val="21"/>
                <w:highlight w:val="none"/>
              </w:rPr>
            </w:pPr>
          </w:p>
        </w:tc>
      </w:tr>
      <w:tr w14:paraId="78EA571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886F32F">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5ABF188E">
            <w:pPr>
              <w:spacing w:line="360" w:lineRule="exact"/>
              <w:ind w:firstLine="0" w:firstLineChars="0"/>
              <w:jc w:val="center"/>
              <w:rPr>
                <w:rFonts w:cs="Times New Roman"/>
                <w:snapToGrid w:val="0"/>
                <w:color w:val="auto"/>
                <w:kern w:val="0"/>
                <w:sz w:val="21"/>
                <w:szCs w:val="21"/>
                <w:highlight w:val="none"/>
              </w:rPr>
            </w:pPr>
          </w:p>
        </w:tc>
        <w:tc>
          <w:tcPr>
            <w:tcW w:w="697" w:type="pct"/>
            <w:shd w:val="clear" w:color="auto" w:fill="auto"/>
            <w:vAlign w:val="center"/>
          </w:tcPr>
          <w:p w14:paraId="64D5ECA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存在总量/t</w:t>
            </w:r>
          </w:p>
        </w:tc>
        <w:tc>
          <w:tcPr>
            <w:tcW w:w="663" w:type="pct"/>
            <w:gridSpan w:val="2"/>
            <w:shd w:val="clear" w:color="auto" w:fill="auto"/>
            <w:vAlign w:val="center"/>
          </w:tcPr>
          <w:p w14:paraId="154C7B52">
            <w:pPr>
              <w:pStyle w:val="73"/>
              <w:rPr>
                <w:rFonts w:hint="eastAsia" w:eastAsia="宋体" w:cs="Times New Roman"/>
                <w:snapToGrid w:val="0"/>
                <w:color w:val="auto"/>
                <w:kern w:val="0"/>
                <w:szCs w:val="21"/>
                <w:highlight w:val="none"/>
                <w:lang w:val="en-US" w:eastAsia="zh-CN"/>
              </w:rPr>
            </w:pPr>
            <w:r>
              <w:rPr>
                <w:rFonts w:hint="eastAsia" w:cs="Times New Roman"/>
                <w:snapToGrid w:val="0"/>
                <w:color w:val="auto"/>
                <w:kern w:val="0"/>
                <w:szCs w:val="21"/>
                <w:highlight w:val="none"/>
                <w:lang w:val="en-US" w:eastAsia="zh-CN"/>
              </w:rPr>
              <w:t>2</w:t>
            </w:r>
          </w:p>
        </w:tc>
        <w:tc>
          <w:tcPr>
            <w:tcW w:w="827" w:type="pct"/>
            <w:shd w:val="clear" w:color="auto" w:fill="auto"/>
            <w:vAlign w:val="center"/>
          </w:tcPr>
          <w:p w14:paraId="22CDC413">
            <w:pPr>
              <w:pStyle w:val="73"/>
              <w:rPr>
                <w:rFonts w:cs="Times New Roman"/>
                <w:snapToGrid w:val="0"/>
                <w:color w:val="auto"/>
                <w:kern w:val="0"/>
                <w:szCs w:val="21"/>
                <w:highlight w:val="none"/>
                <w:lang w:val="en-US"/>
              </w:rPr>
            </w:pPr>
          </w:p>
        </w:tc>
        <w:tc>
          <w:tcPr>
            <w:tcW w:w="469" w:type="pct"/>
            <w:shd w:val="clear" w:color="auto" w:fill="auto"/>
            <w:vAlign w:val="center"/>
          </w:tcPr>
          <w:p w14:paraId="2826339F">
            <w:pPr>
              <w:spacing w:line="360" w:lineRule="exact"/>
              <w:ind w:firstLine="0" w:firstLineChars="0"/>
              <w:jc w:val="center"/>
              <w:rPr>
                <w:rFonts w:cs="Times New Roman"/>
                <w:snapToGrid w:val="0"/>
                <w:color w:val="auto"/>
                <w:kern w:val="0"/>
                <w:sz w:val="21"/>
                <w:szCs w:val="21"/>
                <w:highlight w:val="none"/>
              </w:rPr>
            </w:pPr>
          </w:p>
        </w:tc>
        <w:tc>
          <w:tcPr>
            <w:tcW w:w="311" w:type="pct"/>
            <w:gridSpan w:val="2"/>
            <w:shd w:val="clear" w:color="auto" w:fill="auto"/>
            <w:vAlign w:val="center"/>
          </w:tcPr>
          <w:p w14:paraId="54E2B536">
            <w:pPr>
              <w:spacing w:line="360" w:lineRule="exact"/>
              <w:ind w:firstLine="0" w:firstLineChars="0"/>
              <w:jc w:val="center"/>
              <w:rPr>
                <w:rFonts w:cs="Times New Roman"/>
                <w:snapToGrid w:val="0"/>
                <w:color w:val="auto"/>
                <w:kern w:val="0"/>
                <w:sz w:val="21"/>
                <w:szCs w:val="21"/>
                <w:highlight w:val="none"/>
              </w:rPr>
            </w:pPr>
          </w:p>
        </w:tc>
        <w:tc>
          <w:tcPr>
            <w:tcW w:w="274" w:type="pct"/>
            <w:gridSpan w:val="2"/>
            <w:shd w:val="clear" w:color="auto" w:fill="auto"/>
            <w:vAlign w:val="center"/>
          </w:tcPr>
          <w:p w14:paraId="3367C0BC">
            <w:pPr>
              <w:spacing w:line="360" w:lineRule="exact"/>
              <w:ind w:firstLine="0" w:firstLineChars="0"/>
              <w:jc w:val="center"/>
              <w:rPr>
                <w:rFonts w:cs="Times New Roman"/>
                <w:snapToGrid w:val="0"/>
                <w:color w:val="auto"/>
                <w:kern w:val="0"/>
                <w:sz w:val="21"/>
                <w:szCs w:val="21"/>
                <w:highlight w:val="none"/>
              </w:rPr>
            </w:pPr>
          </w:p>
        </w:tc>
        <w:tc>
          <w:tcPr>
            <w:tcW w:w="307" w:type="pct"/>
            <w:gridSpan w:val="2"/>
            <w:shd w:val="clear" w:color="auto" w:fill="auto"/>
            <w:vAlign w:val="center"/>
          </w:tcPr>
          <w:p w14:paraId="1FF405C2">
            <w:pPr>
              <w:spacing w:line="360" w:lineRule="exact"/>
              <w:ind w:firstLine="0" w:firstLineChars="0"/>
              <w:jc w:val="center"/>
              <w:rPr>
                <w:rFonts w:cs="Times New Roman"/>
                <w:snapToGrid w:val="0"/>
                <w:color w:val="auto"/>
                <w:kern w:val="0"/>
                <w:sz w:val="21"/>
                <w:szCs w:val="21"/>
                <w:highlight w:val="none"/>
              </w:rPr>
            </w:pPr>
          </w:p>
        </w:tc>
        <w:tc>
          <w:tcPr>
            <w:tcW w:w="375" w:type="pct"/>
            <w:shd w:val="clear" w:color="auto" w:fill="auto"/>
            <w:vAlign w:val="center"/>
          </w:tcPr>
          <w:p w14:paraId="3C428F9A">
            <w:pPr>
              <w:spacing w:line="360" w:lineRule="exact"/>
              <w:ind w:firstLine="0" w:firstLineChars="0"/>
              <w:jc w:val="center"/>
              <w:rPr>
                <w:rFonts w:cs="Times New Roman"/>
                <w:snapToGrid w:val="0"/>
                <w:color w:val="auto"/>
                <w:kern w:val="0"/>
                <w:sz w:val="21"/>
                <w:szCs w:val="21"/>
                <w:highlight w:val="none"/>
              </w:rPr>
            </w:pPr>
          </w:p>
        </w:tc>
      </w:tr>
      <w:tr w14:paraId="4AA696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7F5DE574">
            <w:pPr>
              <w:spacing w:line="360" w:lineRule="exact"/>
              <w:ind w:firstLine="0" w:firstLineChars="0"/>
              <w:jc w:val="center"/>
              <w:rPr>
                <w:rFonts w:cs="Times New Roman"/>
                <w:snapToGrid w:val="0"/>
                <w:color w:val="auto"/>
                <w:kern w:val="0"/>
                <w:sz w:val="21"/>
                <w:szCs w:val="21"/>
                <w:highlight w:val="none"/>
              </w:rPr>
            </w:pPr>
          </w:p>
        </w:tc>
        <w:tc>
          <w:tcPr>
            <w:tcW w:w="609" w:type="pct"/>
            <w:vMerge w:val="restart"/>
            <w:shd w:val="clear" w:color="auto" w:fill="auto"/>
            <w:vAlign w:val="center"/>
          </w:tcPr>
          <w:p w14:paraId="2A57BD8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环境敏感性</w:t>
            </w:r>
          </w:p>
        </w:tc>
        <w:tc>
          <w:tcPr>
            <w:tcW w:w="697" w:type="pct"/>
            <w:vMerge w:val="restart"/>
            <w:shd w:val="clear" w:color="auto" w:fill="auto"/>
            <w:vAlign w:val="center"/>
          </w:tcPr>
          <w:p w14:paraId="7C4AF1A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大气</w:t>
            </w:r>
          </w:p>
        </w:tc>
        <w:tc>
          <w:tcPr>
            <w:tcW w:w="1960" w:type="pct"/>
            <w:gridSpan w:val="4"/>
            <w:shd w:val="clear" w:color="auto" w:fill="auto"/>
            <w:vAlign w:val="center"/>
          </w:tcPr>
          <w:p w14:paraId="22915319">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500m范围内人口数</w:t>
            </w:r>
            <w:r>
              <w:rPr>
                <w:rFonts w:cs="Times New Roman"/>
                <w:snapToGrid w:val="0"/>
                <w:color w:val="auto"/>
                <w:kern w:val="0"/>
                <w:sz w:val="21"/>
                <w:szCs w:val="21"/>
                <w:highlight w:val="none"/>
                <w:u w:val="single"/>
              </w:rPr>
              <w:t xml:space="preserve"> / </w:t>
            </w:r>
            <w:r>
              <w:rPr>
                <w:rFonts w:cs="Times New Roman"/>
                <w:snapToGrid w:val="0"/>
                <w:color w:val="auto"/>
                <w:kern w:val="0"/>
                <w:sz w:val="21"/>
                <w:szCs w:val="21"/>
                <w:highlight w:val="none"/>
              </w:rPr>
              <w:t>人</w:t>
            </w:r>
          </w:p>
        </w:tc>
        <w:tc>
          <w:tcPr>
            <w:tcW w:w="1269" w:type="pct"/>
            <w:gridSpan w:val="7"/>
            <w:shd w:val="clear" w:color="auto" w:fill="auto"/>
            <w:vAlign w:val="center"/>
          </w:tcPr>
          <w:p w14:paraId="4E125311">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5km范围内人口数</w:t>
            </w:r>
            <w:r>
              <w:rPr>
                <w:rFonts w:hint="eastAsia" w:cs="Times New Roman"/>
                <w:snapToGrid w:val="0"/>
                <w:color w:val="auto"/>
                <w:kern w:val="0"/>
                <w:sz w:val="21"/>
                <w:szCs w:val="21"/>
                <w:highlight w:val="none"/>
                <w:u w:val="single"/>
                <w:lang w:val="en-US" w:eastAsia="zh-CN"/>
              </w:rPr>
              <w:t>5000</w:t>
            </w:r>
            <w:r>
              <w:rPr>
                <w:rFonts w:cs="Times New Roman"/>
                <w:snapToGrid w:val="0"/>
                <w:color w:val="auto"/>
                <w:kern w:val="0"/>
                <w:sz w:val="21"/>
                <w:szCs w:val="21"/>
                <w:highlight w:val="none"/>
                <w:u w:val="single"/>
              </w:rPr>
              <w:t xml:space="preserve">人   </w:t>
            </w:r>
          </w:p>
        </w:tc>
      </w:tr>
      <w:tr w14:paraId="35734E5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D8F82D0">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494DD2F1">
            <w:pPr>
              <w:spacing w:line="360" w:lineRule="exact"/>
              <w:ind w:firstLine="0" w:firstLineChars="0"/>
              <w:jc w:val="center"/>
              <w:rPr>
                <w:rFonts w:cs="Times New Roman"/>
                <w:snapToGrid w:val="0"/>
                <w:color w:val="auto"/>
                <w:kern w:val="0"/>
                <w:sz w:val="21"/>
                <w:szCs w:val="21"/>
                <w:highlight w:val="none"/>
              </w:rPr>
            </w:pPr>
          </w:p>
        </w:tc>
        <w:tc>
          <w:tcPr>
            <w:tcW w:w="697" w:type="pct"/>
            <w:vMerge w:val="continue"/>
            <w:shd w:val="clear" w:color="auto" w:fill="auto"/>
            <w:vAlign w:val="center"/>
          </w:tcPr>
          <w:p w14:paraId="79D387F9">
            <w:pPr>
              <w:spacing w:line="360" w:lineRule="exact"/>
              <w:ind w:firstLine="0" w:firstLineChars="0"/>
              <w:jc w:val="center"/>
              <w:rPr>
                <w:rFonts w:cs="Times New Roman"/>
                <w:snapToGrid w:val="0"/>
                <w:color w:val="auto"/>
                <w:kern w:val="0"/>
                <w:sz w:val="21"/>
                <w:szCs w:val="21"/>
                <w:highlight w:val="none"/>
              </w:rPr>
            </w:pPr>
          </w:p>
        </w:tc>
        <w:tc>
          <w:tcPr>
            <w:tcW w:w="2546" w:type="pct"/>
            <w:gridSpan w:val="8"/>
            <w:shd w:val="clear" w:color="auto" w:fill="auto"/>
            <w:vAlign w:val="center"/>
          </w:tcPr>
          <w:p w14:paraId="3EFE2C61">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每公里管段周边200m范围内人口数（最大）</w:t>
            </w:r>
          </w:p>
        </w:tc>
        <w:tc>
          <w:tcPr>
            <w:tcW w:w="683" w:type="pct"/>
            <w:gridSpan w:val="3"/>
            <w:shd w:val="clear" w:color="auto" w:fill="auto"/>
            <w:vAlign w:val="center"/>
          </w:tcPr>
          <w:p w14:paraId="2F0F2A9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人</w:t>
            </w:r>
          </w:p>
        </w:tc>
      </w:tr>
      <w:tr w14:paraId="642F68D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23FFEC96">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016D29DB">
            <w:pPr>
              <w:spacing w:line="360" w:lineRule="exact"/>
              <w:ind w:firstLine="0" w:firstLineChars="0"/>
              <w:jc w:val="center"/>
              <w:rPr>
                <w:rFonts w:cs="Times New Roman"/>
                <w:snapToGrid w:val="0"/>
                <w:color w:val="auto"/>
                <w:kern w:val="0"/>
                <w:sz w:val="21"/>
                <w:szCs w:val="21"/>
                <w:highlight w:val="none"/>
              </w:rPr>
            </w:pPr>
          </w:p>
        </w:tc>
        <w:tc>
          <w:tcPr>
            <w:tcW w:w="697" w:type="pct"/>
            <w:vMerge w:val="restart"/>
            <w:shd w:val="clear" w:color="auto" w:fill="auto"/>
            <w:vAlign w:val="center"/>
          </w:tcPr>
          <w:p w14:paraId="3654F29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地表水</w:t>
            </w:r>
          </w:p>
        </w:tc>
        <w:tc>
          <w:tcPr>
            <w:tcW w:w="1491" w:type="pct"/>
            <w:gridSpan w:val="3"/>
            <w:shd w:val="clear" w:color="auto" w:fill="auto"/>
            <w:vAlign w:val="center"/>
          </w:tcPr>
          <w:p w14:paraId="49464AB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地表水功能敏感性</w:t>
            </w:r>
          </w:p>
        </w:tc>
        <w:tc>
          <w:tcPr>
            <w:tcW w:w="469" w:type="pct"/>
            <w:shd w:val="clear" w:color="auto" w:fill="auto"/>
            <w:vAlign w:val="center"/>
          </w:tcPr>
          <w:p w14:paraId="5D57674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F1 □</w:t>
            </w:r>
          </w:p>
        </w:tc>
        <w:tc>
          <w:tcPr>
            <w:tcW w:w="586" w:type="pct"/>
            <w:gridSpan w:val="4"/>
            <w:shd w:val="clear" w:color="auto" w:fill="auto"/>
            <w:vAlign w:val="center"/>
          </w:tcPr>
          <w:p w14:paraId="13B1571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F2 □</w:t>
            </w:r>
          </w:p>
        </w:tc>
        <w:tc>
          <w:tcPr>
            <w:tcW w:w="683" w:type="pct"/>
            <w:gridSpan w:val="3"/>
            <w:shd w:val="clear" w:color="auto" w:fill="auto"/>
            <w:vAlign w:val="center"/>
          </w:tcPr>
          <w:p w14:paraId="0B76F21C">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F3 □</w:t>
            </w:r>
          </w:p>
        </w:tc>
      </w:tr>
      <w:tr w14:paraId="38974D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3BDADC5C">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401B7C88">
            <w:pPr>
              <w:spacing w:line="360" w:lineRule="exact"/>
              <w:ind w:firstLine="0" w:firstLineChars="0"/>
              <w:jc w:val="center"/>
              <w:rPr>
                <w:rFonts w:cs="Times New Roman"/>
                <w:snapToGrid w:val="0"/>
                <w:color w:val="auto"/>
                <w:kern w:val="0"/>
                <w:sz w:val="21"/>
                <w:szCs w:val="21"/>
                <w:highlight w:val="none"/>
              </w:rPr>
            </w:pPr>
          </w:p>
        </w:tc>
        <w:tc>
          <w:tcPr>
            <w:tcW w:w="697" w:type="pct"/>
            <w:vMerge w:val="continue"/>
            <w:shd w:val="clear" w:color="auto" w:fill="auto"/>
            <w:vAlign w:val="center"/>
          </w:tcPr>
          <w:p w14:paraId="1BA0A45B">
            <w:pPr>
              <w:spacing w:line="360" w:lineRule="exact"/>
              <w:ind w:firstLine="0" w:firstLineChars="0"/>
              <w:jc w:val="center"/>
              <w:rPr>
                <w:rFonts w:cs="Times New Roman"/>
                <w:snapToGrid w:val="0"/>
                <w:color w:val="auto"/>
                <w:kern w:val="0"/>
                <w:sz w:val="21"/>
                <w:szCs w:val="21"/>
                <w:highlight w:val="none"/>
              </w:rPr>
            </w:pPr>
          </w:p>
        </w:tc>
        <w:tc>
          <w:tcPr>
            <w:tcW w:w="1491" w:type="pct"/>
            <w:gridSpan w:val="3"/>
            <w:shd w:val="clear" w:color="auto" w:fill="auto"/>
            <w:vAlign w:val="center"/>
          </w:tcPr>
          <w:p w14:paraId="6D92D01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环境敏感目标分级</w:t>
            </w:r>
          </w:p>
        </w:tc>
        <w:tc>
          <w:tcPr>
            <w:tcW w:w="469" w:type="pct"/>
            <w:shd w:val="clear" w:color="auto" w:fill="auto"/>
            <w:vAlign w:val="center"/>
          </w:tcPr>
          <w:p w14:paraId="482299F3">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S1 □</w:t>
            </w:r>
          </w:p>
        </w:tc>
        <w:tc>
          <w:tcPr>
            <w:tcW w:w="586" w:type="pct"/>
            <w:gridSpan w:val="4"/>
            <w:shd w:val="clear" w:color="auto" w:fill="auto"/>
            <w:vAlign w:val="center"/>
          </w:tcPr>
          <w:p w14:paraId="2B5B3A0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S2 □</w:t>
            </w:r>
          </w:p>
        </w:tc>
        <w:tc>
          <w:tcPr>
            <w:tcW w:w="683" w:type="pct"/>
            <w:gridSpan w:val="3"/>
            <w:shd w:val="clear" w:color="auto" w:fill="auto"/>
            <w:vAlign w:val="center"/>
          </w:tcPr>
          <w:p w14:paraId="2AF853B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S3 □</w:t>
            </w:r>
          </w:p>
        </w:tc>
      </w:tr>
      <w:tr w14:paraId="5BB932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A4A796B">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52D84DC8">
            <w:pPr>
              <w:spacing w:line="360" w:lineRule="exact"/>
              <w:ind w:firstLine="0" w:firstLineChars="0"/>
              <w:jc w:val="center"/>
              <w:rPr>
                <w:rFonts w:cs="Times New Roman"/>
                <w:snapToGrid w:val="0"/>
                <w:color w:val="auto"/>
                <w:kern w:val="0"/>
                <w:sz w:val="21"/>
                <w:szCs w:val="21"/>
                <w:highlight w:val="none"/>
              </w:rPr>
            </w:pPr>
          </w:p>
        </w:tc>
        <w:tc>
          <w:tcPr>
            <w:tcW w:w="697" w:type="pct"/>
            <w:vMerge w:val="restart"/>
            <w:shd w:val="clear" w:color="auto" w:fill="auto"/>
            <w:vAlign w:val="center"/>
          </w:tcPr>
          <w:p w14:paraId="0B3AB6B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地下水</w:t>
            </w:r>
          </w:p>
        </w:tc>
        <w:tc>
          <w:tcPr>
            <w:tcW w:w="1491" w:type="pct"/>
            <w:gridSpan w:val="3"/>
            <w:shd w:val="clear" w:color="auto" w:fill="auto"/>
            <w:vAlign w:val="center"/>
          </w:tcPr>
          <w:p w14:paraId="24B362F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地下水功能敏感性</w:t>
            </w:r>
          </w:p>
        </w:tc>
        <w:tc>
          <w:tcPr>
            <w:tcW w:w="469" w:type="pct"/>
            <w:shd w:val="clear" w:color="auto" w:fill="auto"/>
            <w:vAlign w:val="center"/>
          </w:tcPr>
          <w:p w14:paraId="3052CAF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G1 □</w:t>
            </w:r>
          </w:p>
        </w:tc>
        <w:tc>
          <w:tcPr>
            <w:tcW w:w="586" w:type="pct"/>
            <w:gridSpan w:val="4"/>
            <w:shd w:val="clear" w:color="auto" w:fill="auto"/>
            <w:vAlign w:val="center"/>
          </w:tcPr>
          <w:p w14:paraId="54BD6F2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G2 □</w:t>
            </w:r>
          </w:p>
        </w:tc>
        <w:tc>
          <w:tcPr>
            <w:tcW w:w="683" w:type="pct"/>
            <w:gridSpan w:val="3"/>
            <w:shd w:val="clear" w:color="auto" w:fill="auto"/>
            <w:vAlign w:val="center"/>
          </w:tcPr>
          <w:p w14:paraId="7A3147A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G3 □</w:t>
            </w:r>
          </w:p>
        </w:tc>
      </w:tr>
      <w:tr w14:paraId="7E8BA36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14D72F7">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101A46B2">
            <w:pPr>
              <w:spacing w:line="360" w:lineRule="exact"/>
              <w:ind w:firstLine="0" w:firstLineChars="0"/>
              <w:jc w:val="center"/>
              <w:rPr>
                <w:rFonts w:cs="Times New Roman"/>
                <w:snapToGrid w:val="0"/>
                <w:color w:val="auto"/>
                <w:kern w:val="0"/>
                <w:sz w:val="21"/>
                <w:szCs w:val="21"/>
                <w:highlight w:val="none"/>
              </w:rPr>
            </w:pPr>
          </w:p>
        </w:tc>
        <w:tc>
          <w:tcPr>
            <w:tcW w:w="697" w:type="pct"/>
            <w:vMerge w:val="continue"/>
            <w:shd w:val="clear" w:color="auto" w:fill="auto"/>
            <w:vAlign w:val="center"/>
          </w:tcPr>
          <w:p w14:paraId="53642735">
            <w:pPr>
              <w:spacing w:line="360" w:lineRule="exact"/>
              <w:ind w:firstLine="0" w:firstLineChars="0"/>
              <w:jc w:val="center"/>
              <w:rPr>
                <w:rFonts w:cs="Times New Roman"/>
                <w:snapToGrid w:val="0"/>
                <w:color w:val="auto"/>
                <w:kern w:val="0"/>
                <w:sz w:val="21"/>
                <w:szCs w:val="21"/>
                <w:highlight w:val="none"/>
              </w:rPr>
            </w:pPr>
          </w:p>
        </w:tc>
        <w:tc>
          <w:tcPr>
            <w:tcW w:w="1491" w:type="pct"/>
            <w:gridSpan w:val="3"/>
            <w:shd w:val="clear" w:color="auto" w:fill="auto"/>
            <w:vAlign w:val="center"/>
          </w:tcPr>
          <w:p w14:paraId="21A6D4A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包气带防污性能</w:t>
            </w:r>
          </w:p>
        </w:tc>
        <w:tc>
          <w:tcPr>
            <w:tcW w:w="469" w:type="pct"/>
            <w:shd w:val="clear" w:color="auto" w:fill="auto"/>
            <w:vAlign w:val="center"/>
          </w:tcPr>
          <w:p w14:paraId="37FCEF5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D1 □</w:t>
            </w:r>
          </w:p>
        </w:tc>
        <w:tc>
          <w:tcPr>
            <w:tcW w:w="586" w:type="pct"/>
            <w:gridSpan w:val="4"/>
            <w:shd w:val="clear" w:color="auto" w:fill="auto"/>
            <w:vAlign w:val="center"/>
          </w:tcPr>
          <w:p w14:paraId="03AB8DD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D2 □</w:t>
            </w:r>
          </w:p>
        </w:tc>
        <w:tc>
          <w:tcPr>
            <w:tcW w:w="683" w:type="pct"/>
            <w:gridSpan w:val="3"/>
            <w:shd w:val="clear" w:color="auto" w:fill="auto"/>
            <w:vAlign w:val="center"/>
          </w:tcPr>
          <w:p w14:paraId="573FCF4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D3 □</w:t>
            </w:r>
          </w:p>
        </w:tc>
      </w:tr>
      <w:tr w14:paraId="47F943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vMerge w:val="restart"/>
            <w:shd w:val="clear" w:color="auto" w:fill="auto"/>
            <w:vAlign w:val="center"/>
          </w:tcPr>
          <w:p w14:paraId="0CB9A4C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物质及工艺系统</w:t>
            </w:r>
          </w:p>
          <w:p w14:paraId="6B180D13">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危险性</w:t>
            </w:r>
          </w:p>
        </w:tc>
        <w:tc>
          <w:tcPr>
            <w:tcW w:w="697" w:type="pct"/>
            <w:shd w:val="clear" w:color="auto" w:fill="auto"/>
            <w:vAlign w:val="center"/>
          </w:tcPr>
          <w:p w14:paraId="241090E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Q值</w:t>
            </w:r>
          </w:p>
        </w:tc>
        <w:tc>
          <w:tcPr>
            <w:tcW w:w="1491" w:type="pct"/>
            <w:gridSpan w:val="3"/>
            <w:shd w:val="clear" w:color="auto" w:fill="auto"/>
            <w:vAlign w:val="center"/>
          </w:tcPr>
          <w:p w14:paraId="6E1BCC4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Q＜1 </w:t>
            </w:r>
            <w:r>
              <w:rPr>
                <w:rFonts w:eastAsia="仿宋" w:cs="Times New Roman"/>
                <w:snapToGrid w:val="0"/>
                <w:color w:val="auto"/>
                <w:kern w:val="0"/>
                <w:sz w:val="21"/>
                <w:szCs w:val="21"/>
                <w:highlight w:val="none"/>
              </w:rPr>
              <w:t>√</w:t>
            </w:r>
          </w:p>
        </w:tc>
        <w:tc>
          <w:tcPr>
            <w:tcW w:w="469" w:type="pct"/>
            <w:shd w:val="clear" w:color="auto" w:fill="auto"/>
            <w:vAlign w:val="center"/>
          </w:tcPr>
          <w:p w14:paraId="1481825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1≤Q＜10 □</w:t>
            </w:r>
          </w:p>
        </w:tc>
        <w:tc>
          <w:tcPr>
            <w:tcW w:w="586" w:type="pct"/>
            <w:gridSpan w:val="4"/>
            <w:shd w:val="clear" w:color="auto" w:fill="auto"/>
            <w:vAlign w:val="center"/>
          </w:tcPr>
          <w:p w14:paraId="241C34A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10≤Q＜100 □</w:t>
            </w:r>
          </w:p>
        </w:tc>
        <w:tc>
          <w:tcPr>
            <w:tcW w:w="683" w:type="pct"/>
            <w:gridSpan w:val="3"/>
            <w:shd w:val="clear" w:color="auto" w:fill="auto"/>
            <w:vAlign w:val="center"/>
          </w:tcPr>
          <w:p w14:paraId="4941FE5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Q＞100 □</w:t>
            </w:r>
          </w:p>
        </w:tc>
      </w:tr>
      <w:tr w14:paraId="0CBE88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vMerge w:val="continue"/>
            <w:shd w:val="clear" w:color="auto" w:fill="auto"/>
            <w:vAlign w:val="center"/>
          </w:tcPr>
          <w:p w14:paraId="22AC0793">
            <w:pPr>
              <w:spacing w:line="360" w:lineRule="exact"/>
              <w:ind w:firstLine="0" w:firstLineChars="0"/>
              <w:jc w:val="center"/>
              <w:rPr>
                <w:rFonts w:cs="Times New Roman"/>
                <w:snapToGrid w:val="0"/>
                <w:color w:val="auto"/>
                <w:kern w:val="0"/>
                <w:sz w:val="21"/>
                <w:szCs w:val="21"/>
                <w:highlight w:val="none"/>
              </w:rPr>
            </w:pPr>
          </w:p>
        </w:tc>
        <w:tc>
          <w:tcPr>
            <w:tcW w:w="697" w:type="pct"/>
            <w:shd w:val="clear" w:color="auto" w:fill="auto"/>
            <w:vAlign w:val="center"/>
          </w:tcPr>
          <w:p w14:paraId="35568D13">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M值</w:t>
            </w:r>
          </w:p>
        </w:tc>
        <w:tc>
          <w:tcPr>
            <w:tcW w:w="1491" w:type="pct"/>
            <w:gridSpan w:val="3"/>
            <w:shd w:val="clear" w:color="auto" w:fill="auto"/>
            <w:vAlign w:val="center"/>
          </w:tcPr>
          <w:p w14:paraId="64B8348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M1 □</w:t>
            </w:r>
          </w:p>
        </w:tc>
        <w:tc>
          <w:tcPr>
            <w:tcW w:w="469" w:type="pct"/>
            <w:shd w:val="clear" w:color="auto" w:fill="auto"/>
            <w:vAlign w:val="center"/>
          </w:tcPr>
          <w:p w14:paraId="0DE84BB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M2 □</w:t>
            </w:r>
          </w:p>
        </w:tc>
        <w:tc>
          <w:tcPr>
            <w:tcW w:w="586" w:type="pct"/>
            <w:gridSpan w:val="4"/>
            <w:shd w:val="clear" w:color="auto" w:fill="auto"/>
            <w:vAlign w:val="center"/>
          </w:tcPr>
          <w:p w14:paraId="7F1EF2D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M3 □</w:t>
            </w:r>
          </w:p>
        </w:tc>
        <w:tc>
          <w:tcPr>
            <w:tcW w:w="683" w:type="pct"/>
            <w:gridSpan w:val="3"/>
            <w:shd w:val="clear" w:color="auto" w:fill="auto"/>
            <w:vAlign w:val="center"/>
          </w:tcPr>
          <w:p w14:paraId="03E97A5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M4 □</w:t>
            </w:r>
          </w:p>
        </w:tc>
      </w:tr>
      <w:tr w14:paraId="34F375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vMerge w:val="continue"/>
            <w:shd w:val="clear" w:color="auto" w:fill="auto"/>
            <w:vAlign w:val="center"/>
          </w:tcPr>
          <w:p w14:paraId="6C90D520">
            <w:pPr>
              <w:spacing w:line="360" w:lineRule="exact"/>
              <w:ind w:firstLine="0" w:firstLineChars="0"/>
              <w:jc w:val="center"/>
              <w:rPr>
                <w:rFonts w:cs="Times New Roman"/>
                <w:snapToGrid w:val="0"/>
                <w:color w:val="auto"/>
                <w:kern w:val="0"/>
                <w:sz w:val="21"/>
                <w:szCs w:val="21"/>
                <w:highlight w:val="none"/>
              </w:rPr>
            </w:pPr>
          </w:p>
        </w:tc>
        <w:tc>
          <w:tcPr>
            <w:tcW w:w="697" w:type="pct"/>
            <w:shd w:val="clear" w:color="auto" w:fill="auto"/>
            <w:vAlign w:val="center"/>
          </w:tcPr>
          <w:p w14:paraId="51EECB3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P值</w:t>
            </w:r>
          </w:p>
        </w:tc>
        <w:tc>
          <w:tcPr>
            <w:tcW w:w="1491" w:type="pct"/>
            <w:gridSpan w:val="3"/>
            <w:shd w:val="clear" w:color="auto" w:fill="auto"/>
            <w:vAlign w:val="center"/>
          </w:tcPr>
          <w:p w14:paraId="68862101">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P1 □</w:t>
            </w:r>
          </w:p>
        </w:tc>
        <w:tc>
          <w:tcPr>
            <w:tcW w:w="469" w:type="pct"/>
            <w:shd w:val="clear" w:color="auto" w:fill="auto"/>
            <w:vAlign w:val="center"/>
          </w:tcPr>
          <w:p w14:paraId="29A466E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P2 □</w:t>
            </w:r>
          </w:p>
        </w:tc>
        <w:tc>
          <w:tcPr>
            <w:tcW w:w="586" w:type="pct"/>
            <w:gridSpan w:val="4"/>
            <w:shd w:val="clear" w:color="auto" w:fill="auto"/>
            <w:vAlign w:val="center"/>
          </w:tcPr>
          <w:p w14:paraId="5AC75AC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P3 □</w:t>
            </w:r>
          </w:p>
        </w:tc>
        <w:tc>
          <w:tcPr>
            <w:tcW w:w="683" w:type="pct"/>
            <w:gridSpan w:val="3"/>
            <w:shd w:val="clear" w:color="auto" w:fill="auto"/>
            <w:vAlign w:val="center"/>
          </w:tcPr>
          <w:p w14:paraId="3BD6F85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P4 □</w:t>
            </w:r>
          </w:p>
        </w:tc>
      </w:tr>
      <w:tr w14:paraId="08A1111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vMerge w:val="restart"/>
            <w:shd w:val="clear" w:color="auto" w:fill="auto"/>
            <w:vAlign w:val="center"/>
          </w:tcPr>
          <w:p w14:paraId="5600D97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环境敏感程度</w:t>
            </w:r>
          </w:p>
        </w:tc>
        <w:tc>
          <w:tcPr>
            <w:tcW w:w="697" w:type="pct"/>
            <w:shd w:val="clear" w:color="auto" w:fill="auto"/>
            <w:vAlign w:val="center"/>
          </w:tcPr>
          <w:p w14:paraId="1F00298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大气</w:t>
            </w:r>
          </w:p>
        </w:tc>
        <w:tc>
          <w:tcPr>
            <w:tcW w:w="1491" w:type="pct"/>
            <w:gridSpan w:val="3"/>
            <w:shd w:val="clear" w:color="auto" w:fill="auto"/>
            <w:vAlign w:val="center"/>
          </w:tcPr>
          <w:p w14:paraId="4A86C7F9">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E1 □</w:t>
            </w:r>
          </w:p>
        </w:tc>
        <w:tc>
          <w:tcPr>
            <w:tcW w:w="1071" w:type="pct"/>
            <w:gridSpan w:val="6"/>
            <w:shd w:val="clear" w:color="auto" w:fill="auto"/>
            <w:vAlign w:val="center"/>
          </w:tcPr>
          <w:p w14:paraId="0D50E8F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E2 □</w:t>
            </w:r>
          </w:p>
        </w:tc>
        <w:tc>
          <w:tcPr>
            <w:tcW w:w="667" w:type="pct"/>
            <w:gridSpan w:val="2"/>
            <w:shd w:val="clear" w:color="auto" w:fill="auto"/>
            <w:vAlign w:val="center"/>
          </w:tcPr>
          <w:p w14:paraId="3729970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E3 □</w:t>
            </w:r>
          </w:p>
        </w:tc>
      </w:tr>
      <w:tr w14:paraId="43D508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vMerge w:val="continue"/>
            <w:shd w:val="clear" w:color="auto" w:fill="auto"/>
            <w:vAlign w:val="center"/>
          </w:tcPr>
          <w:p w14:paraId="42EBB6B7">
            <w:pPr>
              <w:spacing w:line="360" w:lineRule="exact"/>
              <w:ind w:firstLine="0" w:firstLineChars="0"/>
              <w:jc w:val="center"/>
              <w:rPr>
                <w:rFonts w:cs="Times New Roman"/>
                <w:snapToGrid w:val="0"/>
                <w:color w:val="auto"/>
                <w:kern w:val="0"/>
                <w:sz w:val="21"/>
                <w:szCs w:val="21"/>
                <w:highlight w:val="none"/>
              </w:rPr>
            </w:pPr>
          </w:p>
        </w:tc>
        <w:tc>
          <w:tcPr>
            <w:tcW w:w="697" w:type="pct"/>
            <w:shd w:val="clear" w:color="auto" w:fill="auto"/>
            <w:vAlign w:val="center"/>
          </w:tcPr>
          <w:p w14:paraId="4DBCBDF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地表水</w:t>
            </w:r>
          </w:p>
        </w:tc>
        <w:tc>
          <w:tcPr>
            <w:tcW w:w="1491" w:type="pct"/>
            <w:gridSpan w:val="3"/>
            <w:shd w:val="clear" w:color="auto" w:fill="auto"/>
            <w:vAlign w:val="center"/>
          </w:tcPr>
          <w:p w14:paraId="19A2ED5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E1 □</w:t>
            </w:r>
          </w:p>
        </w:tc>
        <w:tc>
          <w:tcPr>
            <w:tcW w:w="1071" w:type="pct"/>
            <w:gridSpan w:val="6"/>
            <w:shd w:val="clear" w:color="auto" w:fill="auto"/>
            <w:vAlign w:val="center"/>
          </w:tcPr>
          <w:p w14:paraId="103B24F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E2 □</w:t>
            </w:r>
          </w:p>
        </w:tc>
        <w:tc>
          <w:tcPr>
            <w:tcW w:w="667" w:type="pct"/>
            <w:gridSpan w:val="2"/>
            <w:shd w:val="clear" w:color="auto" w:fill="auto"/>
            <w:vAlign w:val="center"/>
          </w:tcPr>
          <w:p w14:paraId="41F64BD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E3 □</w:t>
            </w:r>
          </w:p>
        </w:tc>
      </w:tr>
      <w:tr w14:paraId="33BC95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vMerge w:val="continue"/>
            <w:shd w:val="clear" w:color="auto" w:fill="auto"/>
            <w:vAlign w:val="center"/>
          </w:tcPr>
          <w:p w14:paraId="0021AB21">
            <w:pPr>
              <w:spacing w:line="360" w:lineRule="exact"/>
              <w:ind w:firstLine="0" w:firstLineChars="0"/>
              <w:jc w:val="center"/>
              <w:rPr>
                <w:rFonts w:cs="Times New Roman"/>
                <w:snapToGrid w:val="0"/>
                <w:color w:val="auto"/>
                <w:kern w:val="0"/>
                <w:sz w:val="21"/>
                <w:szCs w:val="21"/>
                <w:highlight w:val="none"/>
              </w:rPr>
            </w:pPr>
          </w:p>
        </w:tc>
        <w:tc>
          <w:tcPr>
            <w:tcW w:w="697" w:type="pct"/>
            <w:shd w:val="clear" w:color="auto" w:fill="auto"/>
            <w:vAlign w:val="center"/>
          </w:tcPr>
          <w:p w14:paraId="3222BBB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地下水</w:t>
            </w:r>
          </w:p>
        </w:tc>
        <w:tc>
          <w:tcPr>
            <w:tcW w:w="1491" w:type="pct"/>
            <w:gridSpan w:val="3"/>
            <w:shd w:val="clear" w:color="auto" w:fill="auto"/>
            <w:vAlign w:val="center"/>
          </w:tcPr>
          <w:p w14:paraId="08EB9B3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E1 □</w:t>
            </w:r>
          </w:p>
        </w:tc>
        <w:tc>
          <w:tcPr>
            <w:tcW w:w="1071" w:type="pct"/>
            <w:gridSpan w:val="6"/>
            <w:shd w:val="clear" w:color="auto" w:fill="auto"/>
            <w:vAlign w:val="center"/>
          </w:tcPr>
          <w:p w14:paraId="3EAED50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E2 □</w:t>
            </w:r>
          </w:p>
        </w:tc>
        <w:tc>
          <w:tcPr>
            <w:tcW w:w="667" w:type="pct"/>
            <w:gridSpan w:val="2"/>
            <w:shd w:val="clear" w:color="auto" w:fill="auto"/>
            <w:vAlign w:val="center"/>
          </w:tcPr>
          <w:p w14:paraId="66E882F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E3 □</w:t>
            </w:r>
          </w:p>
        </w:tc>
      </w:tr>
      <w:tr w14:paraId="5F4F8E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shd w:val="clear" w:color="auto" w:fill="auto"/>
            <w:vAlign w:val="center"/>
          </w:tcPr>
          <w:p w14:paraId="57B36B61">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环境风险潜势</w:t>
            </w:r>
          </w:p>
        </w:tc>
        <w:tc>
          <w:tcPr>
            <w:tcW w:w="1182" w:type="pct"/>
            <w:gridSpan w:val="2"/>
            <w:shd w:val="clear" w:color="auto" w:fill="auto"/>
            <w:vAlign w:val="center"/>
          </w:tcPr>
          <w:p w14:paraId="2FA806B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Ⅳ</w:t>
            </w:r>
            <w:r>
              <w:rPr>
                <w:rFonts w:cs="Times New Roman"/>
                <w:snapToGrid w:val="0"/>
                <w:color w:val="auto"/>
                <w:kern w:val="0"/>
                <w:sz w:val="21"/>
                <w:szCs w:val="21"/>
                <w:highlight w:val="none"/>
                <w:vertAlign w:val="superscript"/>
              </w:rPr>
              <w:t>+</w:t>
            </w:r>
            <w:r>
              <w:rPr>
                <w:rFonts w:cs="Times New Roman"/>
                <w:snapToGrid w:val="0"/>
                <w:color w:val="auto"/>
                <w:kern w:val="0"/>
                <w:sz w:val="21"/>
                <w:szCs w:val="21"/>
                <w:highlight w:val="none"/>
              </w:rPr>
              <w:t xml:space="preserve"> □</w:t>
            </w:r>
          </w:p>
        </w:tc>
        <w:tc>
          <w:tcPr>
            <w:tcW w:w="1005" w:type="pct"/>
            <w:gridSpan w:val="2"/>
            <w:shd w:val="clear" w:color="auto" w:fill="auto"/>
            <w:vAlign w:val="center"/>
          </w:tcPr>
          <w:p w14:paraId="5DC6882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Ⅳ □</w:t>
            </w:r>
          </w:p>
        </w:tc>
        <w:tc>
          <w:tcPr>
            <w:tcW w:w="547" w:type="pct"/>
            <w:gridSpan w:val="2"/>
            <w:shd w:val="clear" w:color="auto" w:fill="auto"/>
            <w:vAlign w:val="center"/>
          </w:tcPr>
          <w:p w14:paraId="19FD9C3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Ⅲ □</w:t>
            </w:r>
          </w:p>
        </w:tc>
        <w:tc>
          <w:tcPr>
            <w:tcW w:w="524" w:type="pct"/>
            <w:gridSpan w:val="4"/>
            <w:shd w:val="clear" w:color="auto" w:fill="auto"/>
            <w:vAlign w:val="center"/>
          </w:tcPr>
          <w:p w14:paraId="7A4A0FE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Ⅱ □</w:t>
            </w:r>
          </w:p>
        </w:tc>
        <w:tc>
          <w:tcPr>
            <w:tcW w:w="667" w:type="pct"/>
            <w:gridSpan w:val="2"/>
            <w:shd w:val="clear" w:color="auto" w:fill="auto"/>
            <w:vAlign w:val="center"/>
          </w:tcPr>
          <w:p w14:paraId="02AE034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I </w:t>
            </w:r>
            <w:r>
              <w:rPr>
                <w:rFonts w:eastAsia="仿宋" w:cs="Times New Roman"/>
                <w:snapToGrid w:val="0"/>
                <w:color w:val="auto"/>
                <w:kern w:val="0"/>
                <w:sz w:val="21"/>
                <w:szCs w:val="21"/>
                <w:highlight w:val="none"/>
              </w:rPr>
              <w:t>√</w:t>
            </w:r>
          </w:p>
        </w:tc>
      </w:tr>
      <w:tr w14:paraId="706E0D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shd w:val="clear" w:color="auto" w:fill="auto"/>
            <w:vAlign w:val="center"/>
          </w:tcPr>
          <w:p w14:paraId="7AE2147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评价等级</w:t>
            </w:r>
          </w:p>
        </w:tc>
        <w:tc>
          <w:tcPr>
            <w:tcW w:w="1182" w:type="pct"/>
            <w:gridSpan w:val="2"/>
            <w:shd w:val="clear" w:color="auto" w:fill="auto"/>
            <w:vAlign w:val="center"/>
          </w:tcPr>
          <w:p w14:paraId="7BEAD149">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一级 □</w:t>
            </w:r>
          </w:p>
        </w:tc>
        <w:tc>
          <w:tcPr>
            <w:tcW w:w="1005" w:type="pct"/>
            <w:gridSpan w:val="2"/>
            <w:shd w:val="clear" w:color="auto" w:fill="auto"/>
            <w:vAlign w:val="center"/>
          </w:tcPr>
          <w:p w14:paraId="5F9E3E0C">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二级 □</w:t>
            </w:r>
          </w:p>
        </w:tc>
        <w:tc>
          <w:tcPr>
            <w:tcW w:w="942" w:type="pct"/>
            <w:gridSpan w:val="4"/>
            <w:shd w:val="clear" w:color="auto" w:fill="auto"/>
            <w:vAlign w:val="center"/>
          </w:tcPr>
          <w:p w14:paraId="4BA8E9E9">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三级 □</w:t>
            </w:r>
          </w:p>
        </w:tc>
        <w:tc>
          <w:tcPr>
            <w:tcW w:w="796" w:type="pct"/>
            <w:gridSpan w:val="4"/>
            <w:shd w:val="clear" w:color="auto" w:fill="auto"/>
            <w:vAlign w:val="center"/>
          </w:tcPr>
          <w:p w14:paraId="11FE17D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简单分析 </w:t>
            </w:r>
            <w:r>
              <w:rPr>
                <w:rFonts w:eastAsia="仿宋" w:cs="Times New Roman"/>
                <w:snapToGrid w:val="0"/>
                <w:color w:val="auto"/>
                <w:kern w:val="0"/>
                <w:sz w:val="21"/>
                <w:szCs w:val="21"/>
                <w:highlight w:val="none"/>
              </w:rPr>
              <w:t>√</w:t>
            </w:r>
          </w:p>
        </w:tc>
      </w:tr>
      <w:tr w14:paraId="1DC017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restart"/>
            <w:shd w:val="clear" w:color="auto" w:fill="auto"/>
            <w:vAlign w:val="center"/>
          </w:tcPr>
          <w:p w14:paraId="6DD6627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风</w:t>
            </w:r>
          </w:p>
          <w:p w14:paraId="0E3459C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险</w:t>
            </w:r>
          </w:p>
          <w:p w14:paraId="54B2749C">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识</w:t>
            </w:r>
          </w:p>
          <w:p w14:paraId="3086169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别</w:t>
            </w:r>
          </w:p>
        </w:tc>
        <w:tc>
          <w:tcPr>
            <w:tcW w:w="609" w:type="pct"/>
            <w:shd w:val="clear" w:color="auto" w:fill="auto"/>
            <w:vAlign w:val="center"/>
          </w:tcPr>
          <w:p w14:paraId="317F2B1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物质危险性</w:t>
            </w:r>
          </w:p>
        </w:tc>
        <w:tc>
          <w:tcPr>
            <w:tcW w:w="2188" w:type="pct"/>
            <w:gridSpan w:val="4"/>
            <w:shd w:val="clear" w:color="auto" w:fill="auto"/>
            <w:vAlign w:val="center"/>
          </w:tcPr>
          <w:p w14:paraId="5C4E81BC">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有毒有害 </w:t>
            </w:r>
            <w:r>
              <w:rPr>
                <w:rFonts w:eastAsia="仿宋" w:cs="Times New Roman"/>
                <w:snapToGrid w:val="0"/>
                <w:color w:val="auto"/>
                <w:kern w:val="0"/>
                <w:sz w:val="21"/>
                <w:szCs w:val="21"/>
                <w:highlight w:val="none"/>
              </w:rPr>
              <w:t>√</w:t>
            </w:r>
          </w:p>
        </w:tc>
        <w:tc>
          <w:tcPr>
            <w:tcW w:w="1738" w:type="pct"/>
            <w:gridSpan w:val="8"/>
            <w:shd w:val="clear" w:color="auto" w:fill="auto"/>
            <w:vAlign w:val="center"/>
          </w:tcPr>
          <w:p w14:paraId="3442953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易燃易爆 </w:t>
            </w:r>
            <w:r>
              <w:rPr>
                <w:rFonts w:cs="Times New Roman"/>
                <w:snapToGrid w:val="0"/>
                <w:color w:val="auto"/>
                <w:kern w:val="0"/>
                <w:sz w:val="21"/>
                <w:szCs w:val="21"/>
                <w:highlight w:val="none"/>
              </w:rPr>
              <w:sym w:font="Wingdings 2" w:char="00A3"/>
            </w:r>
          </w:p>
        </w:tc>
      </w:tr>
      <w:tr w14:paraId="5ECA9F2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7C61392">
            <w:pPr>
              <w:spacing w:line="360" w:lineRule="exact"/>
              <w:ind w:firstLine="0" w:firstLineChars="0"/>
              <w:jc w:val="center"/>
              <w:rPr>
                <w:rFonts w:cs="Times New Roman"/>
                <w:snapToGrid w:val="0"/>
                <w:color w:val="auto"/>
                <w:kern w:val="0"/>
                <w:sz w:val="21"/>
                <w:szCs w:val="21"/>
                <w:highlight w:val="none"/>
              </w:rPr>
            </w:pPr>
          </w:p>
        </w:tc>
        <w:tc>
          <w:tcPr>
            <w:tcW w:w="609" w:type="pct"/>
            <w:shd w:val="clear" w:color="auto" w:fill="auto"/>
            <w:vAlign w:val="center"/>
          </w:tcPr>
          <w:p w14:paraId="0C0F9A5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环境风险</w:t>
            </w:r>
          </w:p>
          <w:p w14:paraId="130045C7">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类型</w:t>
            </w:r>
          </w:p>
        </w:tc>
        <w:tc>
          <w:tcPr>
            <w:tcW w:w="2188" w:type="pct"/>
            <w:gridSpan w:val="4"/>
            <w:shd w:val="clear" w:color="auto" w:fill="auto"/>
            <w:vAlign w:val="center"/>
          </w:tcPr>
          <w:p w14:paraId="637A577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泄漏 </w:t>
            </w:r>
            <w:r>
              <w:rPr>
                <w:rFonts w:eastAsia="仿宋" w:cs="Times New Roman"/>
                <w:snapToGrid w:val="0"/>
                <w:color w:val="auto"/>
                <w:kern w:val="0"/>
                <w:sz w:val="21"/>
                <w:szCs w:val="21"/>
                <w:highlight w:val="none"/>
              </w:rPr>
              <w:t>√</w:t>
            </w:r>
            <w:r>
              <w:rPr>
                <w:rFonts w:cs="Times New Roman"/>
                <w:snapToGrid w:val="0"/>
                <w:color w:val="auto"/>
                <w:kern w:val="0"/>
                <w:sz w:val="21"/>
                <w:szCs w:val="21"/>
                <w:highlight w:val="none"/>
              </w:rPr>
              <w:t xml:space="preserve"> </w:t>
            </w:r>
          </w:p>
        </w:tc>
        <w:tc>
          <w:tcPr>
            <w:tcW w:w="1738" w:type="pct"/>
            <w:gridSpan w:val="8"/>
            <w:shd w:val="clear" w:color="auto" w:fill="auto"/>
            <w:vAlign w:val="center"/>
          </w:tcPr>
          <w:p w14:paraId="4366F30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火灾、爆炸引发伴生/次生污染物排放 □</w:t>
            </w:r>
          </w:p>
        </w:tc>
      </w:tr>
      <w:tr w14:paraId="16D0CB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D821EBE">
            <w:pPr>
              <w:spacing w:line="360" w:lineRule="exact"/>
              <w:ind w:firstLine="0" w:firstLineChars="0"/>
              <w:jc w:val="center"/>
              <w:rPr>
                <w:rFonts w:cs="Times New Roman"/>
                <w:snapToGrid w:val="0"/>
                <w:color w:val="auto"/>
                <w:kern w:val="0"/>
                <w:sz w:val="21"/>
                <w:szCs w:val="21"/>
                <w:highlight w:val="none"/>
              </w:rPr>
            </w:pPr>
          </w:p>
        </w:tc>
        <w:tc>
          <w:tcPr>
            <w:tcW w:w="609" w:type="pct"/>
            <w:shd w:val="clear" w:color="auto" w:fill="auto"/>
            <w:vAlign w:val="center"/>
          </w:tcPr>
          <w:p w14:paraId="2F229F4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影响途径</w:t>
            </w:r>
          </w:p>
        </w:tc>
        <w:tc>
          <w:tcPr>
            <w:tcW w:w="1182" w:type="pct"/>
            <w:gridSpan w:val="2"/>
            <w:shd w:val="clear" w:color="auto" w:fill="auto"/>
            <w:vAlign w:val="center"/>
          </w:tcPr>
          <w:p w14:paraId="4219D14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大气 </w:t>
            </w:r>
            <w:r>
              <w:rPr>
                <w:rFonts w:eastAsia="仿宋" w:cs="Times New Roman"/>
                <w:snapToGrid w:val="0"/>
                <w:color w:val="auto"/>
                <w:kern w:val="0"/>
                <w:sz w:val="21"/>
                <w:szCs w:val="21"/>
                <w:highlight w:val="none"/>
              </w:rPr>
              <w:t>√</w:t>
            </w:r>
          </w:p>
        </w:tc>
        <w:tc>
          <w:tcPr>
            <w:tcW w:w="1005" w:type="pct"/>
            <w:gridSpan w:val="2"/>
            <w:shd w:val="clear" w:color="auto" w:fill="auto"/>
            <w:vAlign w:val="center"/>
          </w:tcPr>
          <w:p w14:paraId="08C9679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地表水</w:t>
            </w:r>
            <w:r>
              <w:rPr>
                <w:rFonts w:eastAsia="仿宋" w:cs="Times New Roman"/>
                <w:snapToGrid w:val="0"/>
                <w:color w:val="auto"/>
                <w:kern w:val="0"/>
                <w:sz w:val="21"/>
                <w:szCs w:val="21"/>
                <w:highlight w:val="none"/>
              </w:rPr>
              <w:t>√</w:t>
            </w:r>
          </w:p>
        </w:tc>
        <w:tc>
          <w:tcPr>
            <w:tcW w:w="1738" w:type="pct"/>
            <w:gridSpan w:val="8"/>
            <w:shd w:val="clear" w:color="auto" w:fill="auto"/>
            <w:vAlign w:val="center"/>
          </w:tcPr>
          <w:p w14:paraId="72D6EB51">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地下水 </w:t>
            </w:r>
            <w:r>
              <w:rPr>
                <w:rFonts w:eastAsia="仿宋" w:cs="Times New Roman"/>
                <w:snapToGrid w:val="0"/>
                <w:color w:val="auto"/>
                <w:kern w:val="0"/>
                <w:sz w:val="21"/>
                <w:szCs w:val="21"/>
                <w:highlight w:val="none"/>
              </w:rPr>
              <w:t>√</w:t>
            </w:r>
          </w:p>
        </w:tc>
      </w:tr>
      <w:tr w14:paraId="135DC9F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shd w:val="clear" w:color="auto" w:fill="auto"/>
            <w:vAlign w:val="center"/>
          </w:tcPr>
          <w:p w14:paraId="16EE6A2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事故情形分析 </w:t>
            </w:r>
          </w:p>
        </w:tc>
        <w:tc>
          <w:tcPr>
            <w:tcW w:w="1182" w:type="pct"/>
            <w:gridSpan w:val="2"/>
            <w:shd w:val="clear" w:color="auto" w:fill="auto"/>
            <w:vAlign w:val="center"/>
          </w:tcPr>
          <w:p w14:paraId="4085696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源强设定方法</w:t>
            </w:r>
          </w:p>
        </w:tc>
        <w:tc>
          <w:tcPr>
            <w:tcW w:w="1005" w:type="pct"/>
            <w:gridSpan w:val="2"/>
            <w:shd w:val="clear" w:color="auto" w:fill="auto"/>
            <w:vAlign w:val="center"/>
          </w:tcPr>
          <w:p w14:paraId="52C0412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 xml:space="preserve">计算法 </w:t>
            </w:r>
            <w:r>
              <w:rPr>
                <w:rFonts w:cs="Times New Roman"/>
                <w:snapToGrid w:val="0"/>
                <w:color w:val="auto"/>
                <w:kern w:val="0"/>
                <w:sz w:val="21"/>
                <w:szCs w:val="21"/>
                <w:highlight w:val="none"/>
              </w:rPr>
              <w:sym w:font="Wingdings 2" w:char="00A3"/>
            </w:r>
          </w:p>
        </w:tc>
        <w:tc>
          <w:tcPr>
            <w:tcW w:w="942" w:type="pct"/>
            <w:gridSpan w:val="4"/>
            <w:shd w:val="clear" w:color="auto" w:fill="auto"/>
            <w:vAlign w:val="center"/>
          </w:tcPr>
          <w:p w14:paraId="33A9B73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经验估算法 □</w:t>
            </w:r>
          </w:p>
        </w:tc>
        <w:tc>
          <w:tcPr>
            <w:tcW w:w="796" w:type="pct"/>
            <w:gridSpan w:val="4"/>
            <w:shd w:val="clear" w:color="auto" w:fill="auto"/>
            <w:vAlign w:val="center"/>
          </w:tcPr>
          <w:p w14:paraId="5DAA0D1B">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其他估算法 □</w:t>
            </w:r>
          </w:p>
        </w:tc>
      </w:tr>
      <w:tr w14:paraId="582F60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restart"/>
            <w:shd w:val="clear" w:color="auto" w:fill="auto"/>
            <w:vAlign w:val="center"/>
          </w:tcPr>
          <w:p w14:paraId="61748D8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风险</w:t>
            </w:r>
          </w:p>
          <w:p w14:paraId="3675742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预测</w:t>
            </w:r>
          </w:p>
          <w:p w14:paraId="585557B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与</w:t>
            </w:r>
          </w:p>
          <w:p w14:paraId="1B41926A">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评价</w:t>
            </w:r>
          </w:p>
        </w:tc>
        <w:tc>
          <w:tcPr>
            <w:tcW w:w="609" w:type="pct"/>
            <w:vMerge w:val="restart"/>
            <w:shd w:val="clear" w:color="auto" w:fill="auto"/>
            <w:vAlign w:val="center"/>
          </w:tcPr>
          <w:p w14:paraId="33DF87DC">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大气</w:t>
            </w:r>
          </w:p>
        </w:tc>
        <w:tc>
          <w:tcPr>
            <w:tcW w:w="1182" w:type="pct"/>
            <w:gridSpan w:val="2"/>
            <w:shd w:val="clear" w:color="auto" w:fill="auto"/>
            <w:vAlign w:val="center"/>
          </w:tcPr>
          <w:p w14:paraId="18AF21D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预测模型</w:t>
            </w:r>
          </w:p>
        </w:tc>
        <w:tc>
          <w:tcPr>
            <w:tcW w:w="1005" w:type="pct"/>
            <w:gridSpan w:val="2"/>
            <w:shd w:val="clear" w:color="auto" w:fill="auto"/>
            <w:vAlign w:val="center"/>
          </w:tcPr>
          <w:p w14:paraId="56A55F95">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SLAB □</w:t>
            </w:r>
          </w:p>
        </w:tc>
        <w:tc>
          <w:tcPr>
            <w:tcW w:w="942" w:type="pct"/>
            <w:gridSpan w:val="4"/>
            <w:shd w:val="clear" w:color="auto" w:fill="auto"/>
            <w:vAlign w:val="center"/>
          </w:tcPr>
          <w:p w14:paraId="6C02590F">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AFTOX □</w:t>
            </w:r>
          </w:p>
        </w:tc>
        <w:tc>
          <w:tcPr>
            <w:tcW w:w="796" w:type="pct"/>
            <w:gridSpan w:val="4"/>
            <w:shd w:val="clear" w:color="auto" w:fill="auto"/>
            <w:vAlign w:val="center"/>
          </w:tcPr>
          <w:p w14:paraId="7F2483B2">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其他 □</w:t>
            </w:r>
          </w:p>
        </w:tc>
      </w:tr>
      <w:tr w14:paraId="10B128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6FC243C1">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47C92AD0">
            <w:pPr>
              <w:spacing w:line="360" w:lineRule="exact"/>
              <w:ind w:firstLine="0" w:firstLineChars="0"/>
              <w:jc w:val="center"/>
              <w:rPr>
                <w:rFonts w:cs="Times New Roman"/>
                <w:snapToGrid w:val="0"/>
                <w:color w:val="auto"/>
                <w:kern w:val="0"/>
                <w:sz w:val="21"/>
                <w:szCs w:val="21"/>
                <w:highlight w:val="none"/>
              </w:rPr>
            </w:pPr>
          </w:p>
        </w:tc>
        <w:tc>
          <w:tcPr>
            <w:tcW w:w="1182" w:type="pct"/>
            <w:gridSpan w:val="2"/>
            <w:vMerge w:val="restart"/>
            <w:shd w:val="clear" w:color="auto" w:fill="auto"/>
            <w:vAlign w:val="center"/>
          </w:tcPr>
          <w:p w14:paraId="55E41AA6">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预测结果</w:t>
            </w:r>
          </w:p>
        </w:tc>
        <w:tc>
          <w:tcPr>
            <w:tcW w:w="2744" w:type="pct"/>
            <w:gridSpan w:val="10"/>
            <w:shd w:val="clear" w:color="auto" w:fill="auto"/>
            <w:vAlign w:val="center"/>
          </w:tcPr>
          <w:p w14:paraId="542F4279">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大气毒性终点浓度-1 最大影响范围</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m</w:t>
            </w:r>
          </w:p>
        </w:tc>
      </w:tr>
      <w:tr w14:paraId="57DA6B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62E15A3C">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632BB176">
            <w:pPr>
              <w:spacing w:line="360" w:lineRule="exact"/>
              <w:ind w:firstLine="0" w:firstLineChars="0"/>
              <w:jc w:val="center"/>
              <w:rPr>
                <w:rFonts w:cs="Times New Roman"/>
                <w:snapToGrid w:val="0"/>
                <w:color w:val="auto"/>
                <w:kern w:val="0"/>
                <w:sz w:val="21"/>
                <w:szCs w:val="21"/>
                <w:highlight w:val="none"/>
              </w:rPr>
            </w:pPr>
          </w:p>
        </w:tc>
        <w:tc>
          <w:tcPr>
            <w:tcW w:w="1182" w:type="pct"/>
            <w:gridSpan w:val="2"/>
            <w:vMerge w:val="continue"/>
            <w:shd w:val="clear" w:color="auto" w:fill="auto"/>
            <w:vAlign w:val="center"/>
          </w:tcPr>
          <w:p w14:paraId="02A58D30">
            <w:pPr>
              <w:spacing w:line="360" w:lineRule="exact"/>
              <w:ind w:firstLine="0" w:firstLineChars="0"/>
              <w:jc w:val="center"/>
              <w:rPr>
                <w:rFonts w:cs="Times New Roman"/>
                <w:snapToGrid w:val="0"/>
                <w:color w:val="auto"/>
                <w:kern w:val="0"/>
                <w:sz w:val="21"/>
                <w:szCs w:val="21"/>
                <w:highlight w:val="none"/>
              </w:rPr>
            </w:pPr>
          </w:p>
        </w:tc>
        <w:tc>
          <w:tcPr>
            <w:tcW w:w="2744" w:type="pct"/>
            <w:gridSpan w:val="10"/>
            <w:shd w:val="clear" w:color="auto" w:fill="auto"/>
            <w:vAlign w:val="center"/>
          </w:tcPr>
          <w:p w14:paraId="3D204130">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大气毒性终点浓度-2 最大影响范围</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m</w:t>
            </w:r>
          </w:p>
        </w:tc>
      </w:tr>
      <w:tr w14:paraId="7339B98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5F04FF0E">
            <w:pPr>
              <w:spacing w:line="360" w:lineRule="exact"/>
              <w:ind w:firstLine="0" w:firstLineChars="0"/>
              <w:jc w:val="center"/>
              <w:rPr>
                <w:rFonts w:cs="Times New Roman"/>
                <w:snapToGrid w:val="0"/>
                <w:color w:val="auto"/>
                <w:kern w:val="0"/>
                <w:sz w:val="21"/>
                <w:szCs w:val="21"/>
                <w:highlight w:val="none"/>
              </w:rPr>
            </w:pPr>
          </w:p>
        </w:tc>
        <w:tc>
          <w:tcPr>
            <w:tcW w:w="609" w:type="pct"/>
            <w:shd w:val="clear" w:color="auto" w:fill="auto"/>
            <w:vAlign w:val="center"/>
          </w:tcPr>
          <w:p w14:paraId="696E70C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地表水</w:t>
            </w:r>
          </w:p>
        </w:tc>
        <w:tc>
          <w:tcPr>
            <w:tcW w:w="3926" w:type="pct"/>
            <w:gridSpan w:val="12"/>
            <w:shd w:val="clear" w:color="auto" w:fill="auto"/>
            <w:vAlign w:val="center"/>
          </w:tcPr>
          <w:p w14:paraId="4CBA598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最近环境敏感目标</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，到达时间</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h</w:t>
            </w:r>
          </w:p>
        </w:tc>
      </w:tr>
      <w:tr w14:paraId="35F9C8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5902D50D">
            <w:pPr>
              <w:spacing w:line="360" w:lineRule="exact"/>
              <w:ind w:firstLine="0" w:firstLineChars="0"/>
              <w:jc w:val="center"/>
              <w:rPr>
                <w:rFonts w:cs="Times New Roman"/>
                <w:snapToGrid w:val="0"/>
                <w:color w:val="auto"/>
                <w:kern w:val="0"/>
                <w:sz w:val="21"/>
                <w:szCs w:val="21"/>
                <w:highlight w:val="none"/>
              </w:rPr>
            </w:pPr>
          </w:p>
        </w:tc>
        <w:tc>
          <w:tcPr>
            <w:tcW w:w="609" w:type="pct"/>
            <w:vMerge w:val="restart"/>
            <w:shd w:val="clear" w:color="auto" w:fill="auto"/>
            <w:vAlign w:val="center"/>
          </w:tcPr>
          <w:p w14:paraId="75E5D1AD">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地下水</w:t>
            </w:r>
          </w:p>
        </w:tc>
        <w:tc>
          <w:tcPr>
            <w:tcW w:w="3926" w:type="pct"/>
            <w:gridSpan w:val="12"/>
            <w:shd w:val="clear" w:color="auto" w:fill="auto"/>
            <w:vAlign w:val="center"/>
          </w:tcPr>
          <w:p w14:paraId="656D06E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下游厂区边界到达时间</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d</w:t>
            </w:r>
          </w:p>
        </w:tc>
      </w:tr>
      <w:tr w14:paraId="171BCE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463" w:type="pct"/>
            <w:vMerge w:val="continue"/>
            <w:shd w:val="clear" w:color="auto" w:fill="auto"/>
            <w:vAlign w:val="center"/>
          </w:tcPr>
          <w:p w14:paraId="43A2F51C">
            <w:pPr>
              <w:spacing w:line="360" w:lineRule="exact"/>
              <w:ind w:firstLine="0" w:firstLineChars="0"/>
              <w:jc w:val="center"/>
              <w:rPr>
                <w:rFonts w:cs="Times New Roman"/>
                <w:snapToGrid w:val="0"/>
                <w:color w:val="auto"/>
                <w:kern w:val="0"/>
                <w:sz w:val="21"/>
                <w:szCs w:val="21"/>
                <w:highlight w:val="none"/>
              </w:rPr>
            </w:pPr>
          </w:p>
        </w:tc>
        <w:tc>
          <w:tcPr>
            <w:tcW w:w="609" w:type="pct"/>
            <w:vMerge w:val="continue"/>
            <w:shd w:val="clear" w:color="auto" w:fill="auto"/>
            <w:vAlign w:val="center"/>
          </w:tcPr>
          <w:p w14:paraId="761D5187">
            <w:pPr>
              <w:spacing w:line="360" w:lineRule="exact"/>
              <w:ind w:firstLine="0" w:firstLineChars="0"/>
              <w:jc w:val="center"/>
              <w:rPr>
                <w:rFonts w:cs="Times New Roman"/>
                <w:snapToGrid w:val="0"/>
                <w:color w:val="auto"/>
                <w:kern w:val="0"/>
                <w:sz w:val="21"/>
                <w:szCs w:val="21"/>
                <w:highlight w:val="none"/>
              </w:rPr>
            </w:pPr>
          </w:p>
        </w:tc>
        <w:tc>
          <w:tcPr>
            <w:tcW w:w="3926" w:type="pct"/>
            <w:gridSpan w:val="12"/>
            <w:shd w:val="clear" w:color="auto" w:fill="auto"/>
            <w:vAlign w:val="center"/>
          </w:tcPr>
          <w:p w14:paraId="5CFB9148">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最近环境敏感目标</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，到达时间</w:t>
            </w:r>
            <w:r>
              <w:rPr>
                <w:rFonts w:cs="Times New Roman"/>
                <w:snapToGrid w:val="0"/>
                <w:color w:val="auto"/>
                <w:kern w:val="0"/>
                <w:sz w:val="21"/>
                <w:szCs w:val="21"/>
                <w:highlight w:val="none"/>
                <w:u w:val="single"/>
              </w:rPr>
              <w:t xml:space="preserve">      </w:t>
            </w:r>
            <w:r>
              <w:rPr>
                <w:rFonts w:cs="Times New Roman"/>
                <w:snapToGrid w:val="0"/>
                <w:color w:val="auto"/>
                <w:kern w:val="0"/>
                <w:sz w:val="21"/>
                <w:szCs w:val="21"/>
                <w:highlight w:val="none"/>
              </w:rPr>
              <w:t>d</w:t>
            </w:r>
          </w:p>
        </w:tc>
      </w:tr>
      <w:tr w14:paraId="148C027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064" w:hRule="atLeast"/>
          <w:jc w:val="center"/>
        </w:trPr>
        <w:tc>
          <w:tcPr>
            <w:tcW w:w="1073" w:type="pct"/>
            <w:gridSpan w:val="2"/>
            <w:shd w:val="clear" w:color="auto" w:fill="auto"/>
            <w:vAlign w:val="center"/>
          </w:tcPr>
          <w:p w14:paraId="35E9BBC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重点风险防范措施</w:t>
            </w:r>
          </w:p>
        </w:tc>
        <w:tc>
          <w:tcPr>
            <w:tcW w:w="3926" w:type="pct"/>
            <w:gridSpan w:val="12"/>
            <w:shd w:val="clear" w:color="auto" w:fill="auto"/>
            <w:vAlign w:val="center"/>
          </w:tcPr>
          <w:p w14:paraId="699A89E6">
            <w:pPr>
              <w:pStyle w:val="117"/>
              <w:adjustRightInd w:val="0"/>
              <w:snapToGrid w:val="0"/>
              <w:spacing w:line="360" w:lineRule="exact"/>
              <w:ind w:firstLine="422"/>
              <w:rPr>
                <w:rFonts w:cs="Times New Roman"/>
                <w:b/>
                <w:bCs/>
                <w:snapToGrid w:val="0"/>
                <w:color w:val="auto"/>
                <w:sz w:val="21"/>
                <w:szCs w:val="21"/>
                <w:highlight w:val="none"/>
              </w:rPr>
            </w:pPr>
            <w:r>
              <w:rPr>
                <w:rFonts w:cs="Times New Roman"/>
                <w:b/>
                <w:bCs/>
                <w:snapToGrid w:val="0"/>
                <w:color w:val="auto"/>
                <w:sz w:val="21"/>
                <w:szCs w:val="21"/>
                <w:highlight w:val="none"/>
              </w:rPr>
              <w:t>1、地表水环境风险防范措施</w:t>
            </w:r>
          </w:p>
          <w:p w14:paraId="781CA90E">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1）事故池及污水处理站各个池体均为地埋式，加盖密闭，避免雨水进入；</w:t>
            </w:r>
          </w:p>
          <w:p w14:paraId="44E57F2D">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2）沿厂区边界设置截洪沟，以防暴雨冲击；</w:t>
            </w:r>
          </w:p>
          <w:p w14:paraId="5B4A45C2">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3）密切关注天气变化情况，如有强降雨来临，应提前准备防雨防洪等拦截设置。</w:t>
            </w:r>
          </w:p>
          <w:p w14:paraId="38B6B8C8">
            <w:pPr>
              <w:pStyle w:val="117"/>
              <w:adjustRightInd w:val="0"/>
              <w:snapToGrid w:val="0"/>
              <w:spacing w:line="360" w:lineRule="exact"/>
              <w:ind w:firstLine="422"/>
              <w:rPr>
                <w:rFonts w:cs="Times New Roman"/>
                <w:snapToGrid w:val="0"/>
                <w:color w:val="auto"/>
                <w:sz w:val="21"/>
                <w:szCs w:val="21"/>
                <w:highlight w:val="none"/>
              </w:rPr>
            </w:pPr>
            <w:r>
              <w:rPr>
                <w:rFonts w:cs="Times New Roman"/>
                <w:b/>
                <w:bCs/>
                <w:color w:val="auto"/>
                <w:sz w:val="21"/>
                <w:szCs w:val="21"/>
                <w:highlight w:val="none"/>
              </w:rPr>
              <w:t>2、地下水环境及土壤环境风险防范措施</w:t>
            </w:r>
          </w:p>
          <w:p w14:paraId="7E2BD763">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1）</w:t>
            </w:r>
            <w:r>
              <w:rPr>
                <w:rFonts w:cs="Times New Roman"/>
                <w:snapToGrid w:val="0"/>
                <w:color w:val="auto"/>
                <w:kern w:val="0"/>
                <w:sz w:val="21"/>
                <w:szCs w:val="21"/>
                <w:highlight w:val="none"/>
              </w:rPr>
              <w:t>加强施工期的管理，提高施工质量，确保管线、池体的工程质量，减少泄漏事故的发生；发生泄漏事故时应及时采取措施，将影响将至最低；</w:t>
            </w:r>
          </w:p>
          <w:p w14:paraId="57C9786D">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2）分区防渗</w:t>
            </w:r>
          </w:p>
          <w:p w14:paraId="35203A94">
            <w:pPr>
              <w:pStyle w:val="117"/>
              <w:adjustRightInd w:val="0"/>
              <w:snapToGrid w:val="0"/>
              <w:spacing w:line="360" w:lineRule="exact"/>
              <w:ind w:firstLine="420"/>
              <w:rPr>
                <w:rFonts w:cs="Times New Roman"/>
                <w:snapToGrid w:val="0"/>
                <w:color w:val="auto"/>
                <w:kern w:val="0"/>
                <w:sz w:val="21"/>
                <w:szCs w:val="21"/>
                <w:highlight w:val="none"/>
              </w:rPr>
            </w:pPr>
            <w:r>
              <w:rPr>
                <w:rFonts w:hint="eastAsia" w:cs="Times New Roman"/>
                <w:snapToGrid w:val="0"/>
                <w:color w:val="auto"/>
                <w:kern w:val="0"/>
                <w:sz w:val="21"/>
                <w:szCs w:val="21"/>
                <w:highlight w:val="none"/>
                <w:lang w:val="en-US" w:eastAsia="zh-CN"/>
              </w:rPr>
              <w:t>危险废物贮存点</w:t>
            </w:r>
            <w:r>
              <w:rPr>
                <w:rFonts w:ascii="Times New Roman" w:hAnsi="Times New Roman" w:eastAsia="宋体" w:cs="Times New Roman"/>
                <w:snapToGrid w:val="0"/>
                <w:color w:val="auto"/>
                <w:kern w:val="0"/>
                <w:sz w:val="21"/>
                <w:szCs w:val="21"/>
                <w:highlight w:val="none"/>
              </w:rPr>
              <w:t>按重点防渗区采取防</w:t>
            </w:r>
            <w:r>
              <w:rPr>
                <w:rFonts w:cs="Times New Roman"/>
                <w:snapToGrid w:val="0"/>
                <w:color w:val="auto"/>
                <w:kern w:val="0"/>
                <w:sz w:val="21"/>
                <w:szCs w:val="21"/>
                <w:highlight w:val="none"/>
              </w:rPr>
              <w:t>渗措施。</w:t>
            </w:r>
            <w:r>
              <w:rPr>
                <w:rFonts w:hint="eastAsia" w:cs="Times New Roman"/>
                <w:snapToGrid w:val="0"/>
                <w:color w:val="auto"/>
                <w:kern w:val="0"/>
                <w:sz w:val="21"/>
                <w:szCs w:val="21"/>
                <w:highlight w:val="none"/>
                <w:lang w:eastAsia="zh-CN"/>
              </w:rPr>
              <w:t>参照《危险废物贮存污染控制标准》（GB18597-20</w:t>
            </w:r>
            <w:r>
              <w:rPr>
                <w:rFonts w:hint="eastAsia" w:cs="Times New Roman"/>
                <w:snapToGrid w:val="0"/>
                <w:color w:val="auto"/>
                <w:kern w:val="0"/>
                <w:sz w:val="21"/>
                <w:szCs w:val="21"/>
                <w:highlight w:val="none"/>
                <w:lang w:val="en-US" w:eastAsia="zh-CN"/>
              </w:rPr>
              <w:t>23</w:t>
            </w:r>
            <w:r>
              <w:rPr>
                <w:rFonts w:hint="eastAsia" w:cs="Times New Roman"/>
                <w:snapToGrid w:val="0"/>
                <w:color w:val="auto"/>
                <w:kern w:val="0"/>
                <w:sz w:val="21"/>
                <w:szCs w:val="21"/>
                <w:highlight w:val="none"/>
                <w:lang w:eastAsia="zh-CN"/>
              </w:rPr>
              <w:t>）执行，基础必须防渗，防渗层为至少1m厚粘土层（渗透系数≤10</w:t>
            </w:r>
            <w:r>
              <w:rPr>
                <w:rFonts w:hint="eastAsia" w:cs="Times New Roman"/>
                <w:snapToGrid w:val="0"/>
                <w:color w:val="auto"/>
                <w:kern w:val="0"/>
                <w:sz w:val="21"/>
                <w:szCs w:val="21"/>
                <w:highlight w:val="none"/>
                <w:vertAlign w:val="superscript"/>
                <w:lang w:eastAsia="zh-CN"/>
              </w:rPr>
              <w:t>-7</w:t>
            </w:r>
            <w:r>
              <w:rPr>
                <w:rFonts w:hint="eastAsia" w:cs="Times New Roman"/>
                <w:snapToGrid w:val="0"/>
                <w:color w:val="auto"/>
                <w:kern w:val="0"/>
                <w:sz w:val="21"/>
                <w:szCs w:val="21"/>
                <w:highlight w:val="none"/>
                <w:lang w:eastAsia="zh-CN"/>
              </w:rPr>
              <w:t>cm/s），或2mm厚高密度聚乙烯，或至少2mm厚的其它人工材料，渗透系数≤10</w:t>
            </w:r>
            <w:r>
              <w:rPr>
                <w:rFonts w:hint="eastAsia" w:cs="Times New Roman"/>
                <w:snapToGrid w:val="0"/>
                <w:color w:val="auto"/>
                <w:kern w:val="0"/>
                <w:sz w:val="21"/>
                <w:szCs w:val="21"/>
                <w:highlight w:val="none"/>
                <w:vertAlign w:val="superscript"/>
                <w:lang w:eastAsia="zh-CN"/>
              </w:rPr>
              <w:t>-10</w:t>
            </w:r>
            <w:r>
              <w:rPr>
                <w:rFonts w:hint="eastAsia" w:cs="Times New Roman"/>
                <w:snapToGrid w:val="0"/>
                <w:color w:val="auto"/>
                <w:kern w:val="0"/>
                <w:sz w:val="21"/>
                <w:szCs w:val="21"/>
                <w:highlight w:val="none"/>
                <w:lang w:eastAsia="zh-CN"/>
              </w:rPr>
              <w:t>cm/s</w:t>
            </w:r>
            <w:r>
              <w:rPr>
                <w:rFonts w:cs="Times New Roman"/>
                <w:snapToGrid w:val="0"/>
                <w:color w:val="auto"/>
                <w:kern w:val="0"/>
                <w:sz w:val="21"/>
                <w:szCs w:val="21"/>
                <w:highlight w:val="none"/>
              </w:rPr>
              <w:t>；</w:t>
            </w:r>
          </w:p>
          <w:p w14:paraId="2A3795DE">
            <w:pPr>
              <w:pStyle w:val="117"/>
              <w:adjustRightInd w:val="0"/>
              <w:snapToGrid w:val="0"/>
              <w:spacing w:line="360" w:lineRule="exact"/>
              <w:ind w:firstLine="420"/>
              <w:rPr>
                <w:rFonts w:cs="Times New Roman"/>
                <w:snapToGrid w:val="0"/>
                <w:color w:val="auto"/>
                <w:kern w:val="0"/>
                <w:sz w:val="21"/>
                <w:szCs w:val="21"/>
                <w:highlight w:val="none"/>
              </w:rPr>
            </w:pPr>
            <w:r>
              <w:rPr>
                <w:rFonts w:hint="eastAsia" w:cs="Times New Roman"/>
                <w:color w:val="auto"/>
                <w:sz w:val="21"/>
                <w:szCs w:val="21"/>
                <w:highlight w:val="none"/>
                <w:lang w:eastAsia="zh-CN"/>
              </w:rPr>
              <w:t>生产车间（包含冷库）、隔离圈、污水处理站、事故池及固体废物暂存间按一般防渗区采取防渗措施。基础防渗</w:t>
            </w:r>
            <w:r>
              <w:rPr>
                <w:rFonts w:cs="Times New Roman"/>
                <w:snapToGrid w:val="0"/>
                <w:color w:val="auto"/>
                <w:kern w:val="0"/>
                <w:sz w:val="21"/>
                <w:szCs w:val="21"/>
                <w:highlight w:val="none"/>
              </w:rPr>
              <w:t>，</w:t>
            </w:r>
            <w:r>
              <w:rPr>
                <w:rFonts w:cs="Times New Roman"/>
                <w:snapToGrid w:val="0"/>
                <w:color w:val="auto"/>
                <w:kern w:val="0"/>
                <w:sz w:val="21"/>
                <w:szCs w:val="21"/>
                <w:highlight w:val="none"/>
                <w:lang w:val="zh-CN"/>
              </w:rPr>
              <w:t>防渗层为至少1m厚粘土层或2mm厚高密度聚乙烯，</w:t>
            </w:r>
            <w:r>
              <w:rPr>
                <w:rFonts w:cs="Times New Roman"/>
                <w:snapToGrid w:val="0"/>
                <w:color w:val="auto"/>
                <w:kern w:val="0"/>
                <w:sz w:val="21"/>
                <w:szCs w:val="21"/>
                <w:highlight w:val="none"/>
              </w:rPr>
              <w:t>需满足等效黏土防渗层Mb≥1.5m，K≤1×10</w:t>
            </w:r>
            <w:r>
              <w:rPr>
                <w:rFonts w:cs="Times New Roman"/>
                <w:snapToGrid w:val="0"/>
                <w:color w:val="auto"/>
                <w:kern w:val="0"/>
                <w:sz w:val="21"/>
                <w:szCs w:val="21"/>
                <w:highlight w:val="none"/>
                <w:vertAlign w:val="superscript"/>
              </w:rPr>
              <w:t>-7</w:t>
            </w:r>
            <w:r>
              <w:rPr>
                <w:rFonts w:cs="Times New Roman"/>
                <w:snapToGrid w:val="0"/>
                <w:color w:val="auto"/>
                <w:kern w:val="0"/>
                <w:sz w:val="21"/>
                <w:szCs w:val="21"/>
                <w:highlight w:val="none"/>
              </w:rPr>
              <w:t>cm/s的要求，在做好基层防渗的基础上进行水泥硬化；</w:t>
            </w:r>
          </w:p>
          <w:p w14:paraId="6F235C6B">
            <w:pPr>
              <w:pStyle w:val="117"/>
              <w:adjustRightInd w:val="0"/>
              <w:snapToGrid w:val="0"/>
              <w:spacing w:line="360" w:lineRule="exact"/>
              <w:ind w:firstLine="420"/>
              <w:rPr>
                <w:rFonts w:cs="Times New Roman"/>
                <w:snapToGrid w:val="0"/>
                <w:color w:val="auto"/>
                <w:kern w:val="0"/>
                <w:sz w:val="21"/>
                <w:szCs w:val="21"/>
                <w:highlight w:val="none"/>
              </w:rPr>
            </w:pPr>
            <w:r>
              <w:rPr>
                <w:rFonts w:cs="Times New Roman"/>
                <w:snapToGrid w:val="0"/>
                <w:color w:val="auto"/>
                <w:kern w:val="0"/>
                <w:sz w:val="21"/>
                <w:szCs w:val="21"/>
                <w:highlight w:val="none"/>
              </w:rPr>
              <w:t>其他建筑物及道路采取简单防渗，对其地面采用混凝土进行一般地面硬化；</w:t>
            </w:r>
          </w:p>
          <w:p w14:paraId="167FA7BB">
            <w:pPr>
              <w:pStyle w:val="117"/>
              <w:adjustRightInd w:val="0"/>
              <w:snapToGrid w:val="0"/>
              <w:spacing w:line="360" w:lineRule="exact"/>
              <w:ind w:firstLine="420"/>
              <w:rPr>
                <w:rFonts w:cs="Times New Roman"/>
                <w:snapToGrid w:val="0"/>
                <w:color w:val="auto"/>
                <w:kern w:val="0"/>
                <w:sz w:val="21"/>
                <w:szCs w:val="21"/>
                <w:highlight w:val="none"/>
              </w:rPr>
            </w:pPr>
            <w:r>
              <w:rPr>
                <w:rFonts w:cs="Times New Roman"/>
                <w:snapToGrid w:val="0"/>
                <w:color w:val="auto"/>
                <w:kern w:val="0"/>
                <w:sz w:val="21"/>
                <w:szCs w:val="21"/>
                <w:highlight w:val="none"/>
              </w:rPr>
              <w:t>污水管道采取防渗漏措施；</w:t>
            </w:r>
          </w:p>
          <w:p w14:paraId="55C39264">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3）要有专人管理污水处理设备，发现设备不能正常运转，立刻停止生产，组织人员抢修，待设备正常运转后，方可生产；</w:t>
            </w:r>
          </w:p>
          <w:p w14:paraId="6A722592">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4）加强和强化公司安全检查和巡查体系的建立，定期、定点、定向的对公司所有存在安全隐患和环境风险隐患的设备设施进行安全排出和检查。对排查出的风险隐患要得到及时的处理，并作相关的记录，以便做到风险防范有帐可查；</w:t>
            </w:r>
          </w:p>
          <w:p w14:paraId="5ACF0A6B">
            <w:pPr>
              <w:pStyle w:val="117"/>
              <w:adjustRightInd w:val="0"/>
              <w:snapToGrid w:val="0"/>
              <w:spacing w:line="360" w:lineRule="exact"/>
              <w:ind w:firstLine="420"/>
              <w:rPr>
                <w:rFonts w:cs="Times New Roman"/>
                <w:snapToGrid w:val="0"/>
                <w:color w:val="auto"/>
                <w:kern w:val="0"/>
                <w:sz w:val="21"/>
                <w:szCs w:val="21"/>
                <w:highlight w:val="none"/>
              </w:rPr>
            </w:pPr>
            <w:r>
              <w:rPr>
                <w:rFonts w:cs="Times New Roman"/>
                <w:snapToGrid w:val="0"/>
                <w:color w:val="auto"/>
                <w:sz w:val="21"/>
                <w:szCs w:val="21"/>
                <w:highlight w:val="none"/>
              </w:rPr>
              <w:t>5）</w:t>
            </w:r>
            <w:r>
              <w:rPr>
                <w:rFonts w:cs="Times New Roman"/>
                <w:snapToGrid w:val="0"/>
                <w:color w:val="auto"/>
                <w:kern w:val="0"/>
                <w:sz w:val="21"/>
                <w:szCs w:val="21"/>
                <w:highlight w:val="none"/>
              </w:rPr>
              <w:t>设置事故池，</w:t>
            </w:r>
            <w:r>
              <w:rPr>
                <w:rFonts w:cs="Times New Roman"/>
                <w:snapToGrid w:val="0"/>
                <w:color w:val="auto"/>
                <w:kern w:val="0"/>
                <w:sz w:val="21"/>
                <w:szCs w:val="21"/>
                <w:highlight w:val="none"/>
              </w:rPr>
              <w:t>有效容积为</w:t>
            </w:r>
            <w:r>
              <w:rPr>
                <w:rFonts w:hint="eastAsia" w:cs="Times New Roman"/>
                <w:snapToGrid w:val="0"/>
                <w:color w:val="auto"/>
                <w:kern w:val="0"/>
                <w:sz w:val="21"/>
                <w:szCs w:val="21"/>
                <w:highlight w:val="none"/>
                <w:lang w:val="en-US" w:eastAsia="zh-CN"/>
              </w:rPr>
              <w:t>50</w:t>
            </w:r>
            <w:r>
              <w:rPr>
                <w:rFonts w:cs="Times New Roman"/>
                <w:snapToGrid w:val="0"/>
                <w:color w:val="auto"/>
                <w:kern w:val="0"/>
                <w:sz w:val="21"/>
                <w:szCs w:val="21"/>
                <w:highlight w:val="none"/>
              </w:rPr>
              <w:t>m</w:t>
            </w:r>
            <w:r>
              <w:rPr>
                <w:rFonts w:cs="Times New Roman"/>
                <w:snapToGrid w:val="0"/>
                <w:color w:val="auto"/>
                <w:kern w:val="0"/>
                <w:sz w:val="21"/>
                <w:szCs w:val="21"/>
                <w:highlight w:val="none"/>
                <w:vertAlign w:val="superscript"/>
              </w:rPr>
              <w:t>3</w:t>
            </w:r>
            <w:r>
              <w:rPr>
                <w:rFonts w:cs="Times New Roman"/>
                <w:snapToGrid w:val="0"/>
                <w:color w:val="auto"/>
                <w:kern w:val="0"/>
                <w:sz w:val="21"/>
                <w:szCs w:val="21"/>
                <w:highlight w:val="none"/>
              </w:rPr>
              <w:t>，尺寸</w:t>
            </w:r>
            <w:r>
              <w:rPr>
                <w:rFonts w:hint="eastAsia" w:cs="Times New Roman"/>
                <w:snapToGrid w:val="0"/>
                <w:color w:val="auto"/>
                <w:kern w:val="0"/>
                <w:sz w:val="21"/>
                <w:szCs w:val="21"/>
                <w:highlight w:val="none"/>
                <w:lang w:val="en-US" w:eastAsia="zh-CN"/>
              </w:rPr>
              <w:t>5</w:t>
            </w:r>
            <w:r>
              <w:rPr>
                <w:rFonts w:cs="Times New Roman"/>
                <w:snapToGrid w:val="0"/>
                <w:color w:val="auto"/>
                <w:kern w:val="0"/>
                <w:sz w:val="21"/>
                <w:szCs w:val="21"/>
                <w:highlight w:val="none"/>
              </w:rPr>
              <w:t>m×</w:t>
            </w:r>
            <w:r>
              <w:rPr>
                <w:rFonts w:hint="eastAsia" w:cs="Times New Roman"/>
                <w:snapToGrid w:val="0"/>
                <w:color w:val="auto"/>
                <w:kern w:val="0"/>
                <w:sz w:val="21"/>
                <w:szCs w:val="21"/>
                <w:highlight w:val="none"/>
                <w:lang w:val="en-US" w:eastAsia="zh-CN"/>
              </w:rPr>
              <w:t>2.5</w:t>
            </w:r>
            <w:r>
              <w:rPr>
                <w:rFonts w:cs="Times New Roman"/>
                <w:snapToGrid w:val="0"/>
                <w:color w:val="auto"/>
                <w:kern w:val="0"/>
                <w:sz w:val="21"/>
                <w:szCs w:val="21"/>
                <w:highlight w:val="none"/>
              </w:rPr>
              <w:t>m×4m，可容纳</w:t>
            </w:r>
            <w:r>
              <w:rPr>
                <w:rFonts w:hint="eastAsia" w:cs="Times New Roman"/>
                <w:snapToGrid w:val="0"/>
                <w:color w:val="auto"/>
                <w:kern w:val="0"/>
                <w:sz w:val="21"/>
                <w:szCs w:val="21"/>
                <w:highlight w:val="none"/>
                <w:lang w:val="en-US" w:eastAsia="zh-CN"/>
              </w:rPr>
              <w:t>5h</w:t>
            </w:r>
            <w:r>
              <w:rPr>
                <w:rFonts w:cs="Times New Roman"/>
                <w:snapToGrid w:val="0"/>
                <w:color w:val="auto"/>
                <w:kern w:val="0"/>
                <w:sz w:val="21"/>
                <w:szCs w:val="21"/>
                <w:highlight w:val="none"/>
              </w:rPr>
              <w:t>的</w:t>
            </w:r>
            <w:r>
              <w:rPr>
                <w:rFonts w:cs="Times New Roman"/>
                <w:snapToGrid w:val="0"/>
                <w:color w:val="auto"/>
                <w:kern w:val="0"/>
                <w:sz w:val="21"/>
                <w:szCs w:val="21"/>
                <w:highlight w:val="none"/>
              </w:rPr>
              <w:t>废水</w:t>
            </w:r>
            <w:r>
              <w:rPr>
                <w:rFonts w:hint="eastAsia" w:cs="Times New Roman"/>
                <w:snapToGrid w:val="0"/>
                <w:color w:val="auto"/>
                <w:kern w:val="0"/>
                <w:sz w:val="21"/>
                <w:szCs w:val="21"/>
                <w:highlight w:val="none"/>
                <w:lang w:val="en-US" w:eastAsia="zh-CN"/>
              </w:rPr>
              <w:t>量</w:t>
            </w:r>
            <w:r>
              <w:rPr>
                <w:rFonts w:cs="Times New Roman"/>
                <w:snapToGrid w:val="0"/>
                <w:color w:val="auto"/>
                <w:kern w:val="0"/>
                <w:sz w:val="21"/>
                <w:szCs w:val="21"/>
                <w:highlight w:val="none"/>
              </w:rPr>
              <w:t>，位于污水处理站内，在污水处理系统检修或出现故障时存放废水，检修正常后将事故池存水引入厂区内污水处理站处理达标后排放。</w:t>
            </w:r>
          </w:p>
          <w:p w14:paraId="67C49C59">
            <w:pPr>
              <w:pStyle w:val="117"/>
              <w:adjustRightInd w:val="0"/>
              <w:snapToGrid w:val="0"/>
              <w:spacing w:line="360" w:lineRule="exact"/>
              <w:ind w:firstLine="422"/>
              <w:rPr>
                <w:rFonts w:cs="Times New Roman"/>
                <w:b/>
                <w:bCs/>
                <w:color w:val="auto"/>
                <w:sz w:val="21"/>
                <w:szCs w:val="21"/>
                <w:highlight w:val="none"/>
              </w:rPr>
            </w:pPr>
            <w:r>
              <w:rPr>
                <w:rFonts w:cs="Times New Roman"/>
                <w:b/>
                <w:bCs/>
                <w:color w:val="auto"/>
                <w:sz w:val="21"/>
                <w:szCs w:val="21"/>
                <w:highlight w:val="none"/>
              </w:rPr>
              <w:t>3、大气环境风险防范措施</w:t>
            </w:r>
          </w:p>
          <w:p w14:paraId="3BF762A2">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（1）</w:t>
            </w:r>
            <w:r>
              <w:rPr>
                <w:rFonts w:hint="eastAsia" w:cs="Times New Roman"/>
                <w:color w:val="auto"/>
                <w:sz w:val="21"/>
                <w:szCs w:val="21"/>
                <w:highlight w:val="none"/>
                <w:lang w:val="en-US" w:eastAsia="zh-CN"/>
              </w:rPr>
              <w:t>次氯酸钠</w:t>
            </w:r>
            <w:r>
              <w:rPr>
                <w:rFonts w:cs="Times New Roman"/>
                <w:color w:val="auto"/>
                <w:sz w:val="21"/>
                <w:szCs w:val="21"/>
                <w:highlight w:val="none"/>
              </w:rPr>
              <w:t>泄漏风险防范措施</w:t>
            </w:r>
          </w:p>
          <w:p w14:paraId="5FE580E3">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1）泄漏应急处理</w:t>
            </w:r>
          </w:p>
          <w:p w14:paraId="458CBF04">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疏散泄漏污染区人员至上风处，并隔离直至气体散尽。应急处理人员戴正压自给式呼吸器，穿化学防护服、切断火源、喷洒雾状水稀释，抽排(室内)或强力通风(室外)，漏气容器不能再用，且要经过技术处理以清除可能剩下的气体。</w:t>
            </w:r>
          </w:p>
          <w:p w14:paraId="64D4FEA5">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2）防护措施</w:t>
            </w:r>
          </w:p>
          <w:p w14:paraId="3BD8CB06">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呼吸系统防护：空气中浓度较高时，应该佩戴防毒面具。紧急事态抢救或撤离时，建议佩戴正压自给式呼吸器。</w:t>
            </w:r>
          </w:p>
          <w:p w14:paraId="5410C9FF">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眼睛防护：带化学安全防护眼镜。</w:t>
            </w:r>
          </w:p>
          <w:p w14:paraId="3FD48130">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身体防护：穿防腐工作服。</w:t>
            </w:r>
          </w:p>
          <w:p w14:paraId="668CA543">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手防护：可能接触毒物时</w:t>
            </w:r>
            <w:r>
              <w:rPr>
                <w:rFonts w:hint="eastAsia" w:cs="Times New Roman"/>
                <w:color w:val="auto"/>
                <w:sz w:val="21"/>
                <w:szCs w:val="21"/>
                <w:highlight w:val="none"/>
              </w:rPr>
              <w:t>，</w:t>
            </w:r>
            <w:r>
              <w:rPr>
                <w:rFonts w:cs="Times New Roman"/>
                <w:color w:val="auto"/>
                <w:sz w:val="21"/>
                <w:szCs w:val="21"/>
                <w:highlight w:val="none"/>
              </w:rPr>
              <w:t>戴防化学品手套。</w:t>
            </w:r>
          </w:p>
          <w:p w14:paraId="38F2C5B7">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其它：工作现场禁止吸烟。工作后，淋浴更衣。保持良好的卫生习惯。</w:t>
            </w:r>
          </w:p>
          <w:p w14:paraId="36113C04">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3）急救措施</w:t>
            </w:r>
          </w:p>
          <w:p w14:paraId="2E458F4E">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皮肤接触：脱去污染的衣着，立即用大量流动清水彻底冲洗至少15分钟。就医。</w:t>
            </w:r>
          </w:p>
          <w:p w14:paraId="603F7EDB">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眼睛接触：立即翻开上下眼睑</w:t>
            </w:r>
            <w:r>
              <w:rPr>
                <w:rFonts w:hint="eastAsia" w:cs="Times New Roman"/>
                <w:color w:val="auto"/>
                <w:sz w:val="21"/>
                <w:szCs w:val="21"/>
                <w:highlight w:val="none"/>
              </w:rPr>
              <w:t>，</w:t>
            </w:r>
            <w:r>
              <w:rPr>
                <w:rFonts w:cs="Times New Roman"/>
                <w:color w:val="auto"/>
                <w:sz w:val="21"/>
                <w:szCs w:val="21"/>
                <w:highlight w:val="none"/>
              </w:rPr>
              <w:t>用流动清水或生理盐水冲洗至少15分钟。就医。</w:t>
            </w:r>
          </w:p>
          <w:p w14:paraId="34E28F71">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吸入：迅速脱离现场至空气新鲜处。保持呼吸通畅。呼吸困难时给输氧。呼吸停止时，即进行人工呼吸。就医。</w:t>
            </w:r>
          </w:p>
          <w:p w14:paraId="63F3E103">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食入：误服者漱口，饮牛奶或蛋清。就医。</w:t>
            </w:r>
          </w:p>
          <w:p w14:paraId="415471A5">
            <w:pPr>
              <w:pStyle w:val="117"/>
              <w:adjustRightInd w:val="0"/>
              <w:snapToGrid w:val="0"/>
              <w:spacing w:line="360" w:lineRule="exact"/>
              <w:ind w:firstLine="420"/>
              <w:rPr>
                <w:rFonts w:cs="Times New Roman"/>
                <w:color w:val="auto"/>
                <w:sz w:val="21"/>
                <w:szCs w:val="21"/>
                <w:highlight w:val="none"/>
              </w:rPr>
            </w:pPr>
            <w:r>
              <w:rPr>
                <w:rFonts w:cs="Times New Roman"/>
                <w:color w:val="auto"/>
                <w:sz w:val="21"/>
                <w:szCs w:val="21"/>
                <w:highlight w:val="none"/>
              </w:rPr>
              <w:t>灭火方法：切断气源。喷水冷却容器，可能的话将容器从火场移至空旷处。</w:t>
            </w:r>
          </w:p>
          <w:p w14:paraId="0CCB293A">
            <w:pPr>
              <w:pStyle w:val="117"/>
              <w:adjustRightInd w:val="0"/>
              <w:snapToGrid w:val="0"/>
              <w:spacing w:line="360" w:lineRule="exact"/>
              <w:ind w:firstLine="422"/>
              <w:rPr>
                <w:rFonts w:cs="Times New Roman"/>
                <w:b/>
                <w:bCs/>
                <w:color w:val="auto"/>
                <w:sz w:val="21"/>
                <w:szCs w:val="21"/>
                <w:highlight w:val="none"/>
              </w:rPr>
            </w:pPr>
            <w:r>
              <w:rPr>
                <w:rFonts w:cs="Times New Roman"/>
                <w:b/>
                <w:bCs/>
                <w:color w:val="auto"/>
                <w:sz w:val="21"/>
                <w:szCs w:val="21"/>
                <w:highlight w:val="none"/>
              </w:rPr>
              <w:t>4、其他风险防范措施</w:t>
            </w:r>
          </w:p>
          <w:p w14:paraId="17D6D050">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1）为降低风险事故发生概率，企业应建立一套完善的安全管理制度，执行风险、工业安全卫生、劳动保护、环保、消防等相关规定；</w:t>
            </w:r>
          </w:p>
          <w:p w14:paraId="3F8DA495">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2）加强对职工的安全教育及技术培训，提高职工的安全防护及环保意识，防患于未然；</w:t>
            </w:r>
          </w:p>
          <w:p w14:paraId="1DAF9A7E">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3）应设有安全生产监督员，专门负责安全方面的检查监督工作，能处理突发事故，由监督员严格执行制定的各项安全生产规章制度；</w:t>
            </w:r>
          </w:p>
          <w:p w14:paraId="08C6ED41">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4）确保所购设备及设施的安全性，根据生产工艺选用合理材质的设备、设施；</w:t>
            </w:r>
          </w:p>
          <w:p w14:paraId="5B44B74D">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5）企业必须设置强有力的安全生产管理机构，根据安全管理工作的需要，配备必要的人员进行安全管理工作，建立健全安生产责任制，制定并教育全体职工遵守《安全生产规程》；</w:t>
            </w:r>
          </w:p>
          <w:p w14:paraId="03D58706">
            <w:pPr>
              <w:pStyle w:val="117"/>
              <w:adjustRightInd w:val="0"/>
              <w:snapToGrid w:val="0"/>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6）加强对周围水环境的监测，对废水的泄露要及时掌握，防止废水的泄露对周围水环境造成危害；</w:t>
            </w:r>
          </w:p>
          <w:p w14:paraId="4C34D116">
            <w:pPr>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7）强化岗位责任制，严格各项操作规程和奖惩制度，除设置专门环保机构外，各生产单位都要设专人具体负责本单位的安全和环保问题，对易发事故的各生产环节必须经常检查，杜绝事故隐患，发现问题及时处置并立即向有关部门报告；</w:t>
            </w:r>
          </w:p>
          <w:p w14:paraId="351A9E24">
            <w:pPr>
              <w:spacing w:line="360" w:lineRule="exact"/>
              <w:ind w:firstLine="420"/>
              <w:rPr>
                <w:rFonts w:cs="Times New Roman"/>
                <w:snapToGrid w:val="0"/>
                <w:color w:val="auto"/>
                <w:sz w:val="21"/>
                <w:szCs w:val="21"/>
                <w:highlight w:val="none"/>
              </w:rPr>
            </w:pPr>
            <w:r>
              <w:rPr>
                <w:rFonts w:cs="Times New Roman"/>
                <w:snapToGrid w:val="0"/>
                <w:color w:val="auto"/>
                <w:sz w:val="21"/>
                <w:szCs w:val="21"/>
                <w:highlight w:val="none"/>
              </w:rPr>
              <w:t>8）加强和强化安全检查和巡查体系的建立，定期、定点、定向的对公司所有存在安全隐患和环境风险隐患的设备设施进行安全排出和检查。对排查出的风险隐患要得到及时的处理，并作相关的记录，以便做到风险防范有帐可查；</w:t>
            </w:r>
          </w:p>
          <w:p w14:paraId="398DD10E">
            <w:pPr>
              <w:shd w:val="clear"/>
              <w:spacing w:line="360" w:lineRule="exact"/>
              <w:ind w:firstLine="420"/>
              <w:rPr>
                <w:rFonts w:hint="eastAsia" w:ascii="Times New Roman" w:hAnsi="Times New Roman" w:eastAsia="宋体" w:cs="Times New Roman"/>
                <w:snapToGrid w:val="0"/>
                <w:color w:val="auto"/>
                <w:sz w:val="21"/>
                <w:szCs w:val="21"/>
                <w:highlight w:val="none"/>
                <w:lang w:eastAsia="zh-CN"/>
              </w:rPr>
            </w:pPr>
            <w:r>
              <w:rPr>
                <w:rFonts w:ascii="Times New Roman" w:hAnsi="Times New Roman" w:eastAsia="宋体" w:cs="Times New Roman"/>
                <w:snapToGrid w:val="0"/>
                <w:color w:val="auto"/>
                <w:sz w:val="21"/>
                <w:szCs w:val="21"/>
                <w:highlight w:val="none"/>
              </w:rPr>
              <w:t>9）进厂检疫</w:t>
            </w:r>
            <w:r>
              <w:rPr>
                <w:rFonts w:hint="eastAsia" w:ascii="Times New Roman" w:hAnsi="Times New Roman" w:eastAsia="宋体" w:cs="Times New Roman"/>
                <w:snapToGrid w:val="0"/>
                <w:color w:val="auto"/>
                <w:sz w:val="21"/>
                <w:szCs w:val="21"/>
                <w:highlight w:val="none"/>
                <w:lang w:eastAsia="zh-CN"/>
              </w:rPr>
              <w:t>，</w:t>
            </w:r>
            <w:r>
              <w:rPr>
                <w:rFonts w:ascii="Times New Roman" w:hAnsi="Times New Roman" w:eastAsia="宋体" w:cs="Times New Roman"/>
                <w:snapToGrid w:val="0"/>
                <w:color w:val="auto"/>
                <w:sz w:val="21"/>
                <w:szCs w:val="21"/>
                <w:highlight w:val="none"/>
              </w:rPr>
              <w:t>在</w:t>
            </w:r>
            <w:r>
              <w:rPr>
                <w:rFonts w:hint="eastAsia" w:ascii="Times New Roman" w:hAnsi="Times New Roman" w:eastAsia="宋体" w:cs="Times New Roman"/>
                <w:snapToGrid w:val="0"/>
                <w:color w:val="auto"/>
                <w:sz w:val="21"/>
                <w:szCs w:val="21"/>
                <w:highlight w:val="none"/>
                <w:lang w:val="en-US" w:eastAsia="zh-CN"/>
              </w:rPr>
              <w:t>牛、羊</w:t>
            </w:r>
            <w:r>
              <w:rPr>
                <w:rFonts w:ascii="Times New Roman" w:hAnsi="Times New Roman" w:eastAsia="宋体" w:cs="Times New Roman"/>
                <w:snapToGrid w:val="0"/>
                <w:color w:val="auto"/>
                <w:sz w:val="21"/>
                <w:szCs w:val="21"/>
                <w:highlight w:val="none"/>
              </w:rPr>
              <w:t>未卸车之前，检疫员向押运员索取检疫证或防疫注射证，以便了解产地疫情</w:t>
            </w:r>
            <w:r>
              <w:rPr>
                <w:rFonts w:hint="eastAsia" w:cs="Times New Roman"/>
                <w:snapToGrid w:val="0"/>
                <w:color w:val="auto"/>
                <w:sz w:val="21"/>
                <w:szCs w:val="21"/>
                <w:highlight w:val="none"/>
                <w:lang w:eastAsia="zh-CN"/>
              </w:rPr>
              <w:t>；</w:t>
            </w:r>
          </w:p>
          <w:p w14:paraId="085D13C7">
            <w:pPr>
              <w:shd w:val="clear"/>
              <w:spacing w:line="360" w:lineRule="exact"/>
              <w:ind w:firstLine="420"/>
              <w:rPr>
                <w:rFonts w:hint="default" w:eastAsia="宋体" w:cs="Times New Roman"/>
                <w:snapToGrid w:val="0"/>
                <w:color w:val="auto"/>
                <w:sz w:val="21"/>
                <w:szCs w:val="21"/>
                <w:highlight w:val="none"/>
                <w:lang w:val="en-US" w:eastAsia="zh-CN"/>
              </w:rPr>
            </w:pPr>
            <w:r>
              <w:rPr>
                <w:rFonts w:ascii="Times New Roman" w:hAnsi="Times New Roman" w:eastAsia="宋体" w:cs="Times New Roman"/>
                <w:snapToGrid w:val="0"/>
                <w:color w:val="auto"/>
                <w:sz w:val="21"/>
                <w:szCs w:val="21"/>
                <w:highlight w:val="none"/>
              </w:rPr>
              <w:t>10）当确诊疫病时，及时封锁，上报疫情。同时立即采取措施，就地扑灭，确保人畜的安全</w:t>
            </w:r>
            <w:r>
              <w:rPr>
                <w:rFonts w:hint="eastAsia" w:cs="Times New Roman"/>
                <w:snapToGrid w:val="0"/>
                <w:color w:val="auto"/>
                <w:sz w:val="21"/>
                <w:szCs w:val="21"/>
                <w:highlight w:val="none"/>
                <w:lang w:eastAsia="zh-CN"/>
              </w:rPr>
              <w:t>。</w:t>
            </w:r>
            <w:r>
              <w:rPr>
                <w:rFonts w:hint="eastAsia" w:cs="Times New Roman"/>
                <w:snapToGrid w:val="0"/>
                <w:color w:val="auto"/>
                <w:sz w:val="21"/>
                <w:szCs w:val="21"/>
                <w:highlight w:val="none"/>
                <w:lang w:val="en-US" w:eastAsia="zh-CN"/>
              </w:rPr>
              <w:t>项目建设初期应预留消杀资金，以应对疫病时期，</w:t>
            </w:r>
          </w:p>
          <w:p w14:paraId="750F4F9A">
            <w:pPr>
              <w:spacing w:line="360" w:lineRule="exact"/>
              <w:ind w:firstLine="420"/>
              <w:rPr>
                <w:rFonts w:hint="default" w:cs="Times New Roman"/>
                <w:snapToGrid w:val="0"/>
                <w:color w:val="auto"/>
                <w:sz w:val="21"/>
                <w:szCs w:val="21"/>
                <w:highlight w:val="none"/>
                <w:lang w:val="en-US" w:eastAsia="zh-CN"/>
              </w:rPr>
            </w:pPr>
            <w:r>
              <w:rPr>
                <w:rFonts w:hint="eastAsia" w:cs="Times New Roman"/>
                <w:snapToGrid w:val="0"/>
                <w:color w:val="auto"/>
                <w:sz w:val="21"/>
                <w:szCs w:val="21"/>
                <w:highlight w:val="none"/>
                <w:lang w:val="en-US" w:eastAsia="zh-CN"/>
              </w:rPr>
              <w:t>11）疫情状态下，对隔离圈、急宰间进行消毒，消毒频率为3-5次/天，连续7天。</w:t>
            </w:r>
          </w:p>
          <w:p w14:paraId="731961BE">
            <w:pPr>
              <w:spacing w:line="360" w:lineRule="exact"/>
              <w:ind w:firstLine="0" w:firstLineChars="0"/>
              <w:rPr>
                <w:rFonts w:cs="Times New Roman"/>
                <w:snapToGrid w:val="0"/>
                <w:color w:val="auto"/>
                <w:kern w:val="0"/>
                <w:sz w:val="21"/>
                <w:szCs w:val="21"/>
                <w:highlight w:val="none"/>
                <w:lang w:val="zh-CN"/>
              </w:rPr>
            </w:pPr>
            <w:r>
              <w:rPr>
                <w:rFonts w:hint="eastAsia" w:cs="Times New Roman"/>
                <w:snapToGrid w:val="0"/>
                <w:color w:val="auto"/>
                <w:sz w:val="21"/>
                <w:szCs w:val="21"/>
                <w:highlight w:val="none"/>
                <w:lang w:val="en-US" w:eastAsia="zh-CN"/>
              </w:rPr>
              <w:t>12）</w:t>
            </w:r>
            <w:r>
              <w:rPr>
                <w:rFonts w:cs="Times New Roman"/>
                <w:snapToGrid w:val="0"/>
                <w:color w:val="auto"/>
                <w:sz w:val="21"/>
                <w:szCs w:val="21"/>
                <w:highlight w:val="none"/>
              </w:rPr>
              <w:t>应编制突发事件应急预案，并定期开展演练。</w:t>
            </w:r>
          </w:p>
        </w:tc>
      </w:tr>
      <w:tr w14:paraId="254C314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1073" w:type="pct"/>
            <w:gridSpan w:val="2"/>
            <w:shd w:val="clear" w:color="auto" w:fill="auto"/>
            <w:vAlign w:val="center"/>
          </w:tcPr>
          <w:p w14:paraId="6897757E">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评价结论与建议</w:t>
            </w:r>
          </w:p>
        </w:tc>
        <w:tc>
          <w:tcPr>
            <w:tcW w:w="3926" w:type="pct"/>
            <w:gridSpan w:val="12"/>
            <w:shd w:val="clear" w:color="auto" w:fill="auto"/>
            <w:vAlign w:val="center"/>
          </w:tcPr>
          <w:p w14:paraId="1972582F">
            <w:pPr>
              <w:spacing w:line="360" w:lineRule="exact"/>
              <w:ind w:firstLine="0" w:firstLineChars="0"/>
              <w:rPr>
                <w:rFonts w:cs="Times New Roman"/>
                <w:snapToGrid w:val="0"/>
                <w:color w:val="auto"/>
                <w:kern w:val="0"/>
                <w:sz w:val="21"/>
                <w:szCs w:val="21"/>
                <w:highlight w:val="none"/>
              </w:rPr>
            </w:pPr>
            <w:r>
              <w:rPr>
                <w:rFonts w:cs="Times New Roman"/>
                <w:snapToGrid w:val="0"/>
                <w:color w:val="auto"/>
                <w:kern w:val="0"/>
                <w:sz w:val="21"/>
                <w:szCs w:val="21"/>
                <w:highlight w:val="none"/>
              </w:rPr>
              <w:t>在严格落实应急措施后，可将风险发生的概率和影响后果降到最低限度。一旦发生事故，及时采取应急措施，可将对大气和地下水的影响降到最低限度，其风险水平可以被接受。</w:t>
            </w:r>
          </w:p>
        </w:tc>
      </w:tr>
      <w:tr w14:paraId="51E53E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5000" w:type="pct"/>
            <w:gridSpan w:val="14"/>
            <w:shd w:val="clear" w:color="auto" w:fill="auto"/>
            <w:vAlign w:val="center"/>
          </w:tcPr>
          <w:p w14:paraId="436D0414">
            <w:pPr>
              <w:spacing w:line="360" w:lineRule="exact"/>
              <w:ind w:firstLine="0" w:firstLineChars="0"/>
              <w:jc w:val="center"/>
              <w:rPr>
                <w:rFonts w:cs="Times New Roman"/>
                <w:snapToGrid w:val="0"/>
                <w:color w:val="auto"/>
                <w:kern w:val="0"/>
                <w:sz w:val="21"/>
                <w:szCs w:val="21"/>
                <w:highlight w:val="none"/>
              </w:rPr>
            </w:pPr>
            <w:r>
              <w:rPr>
                <w:rFonts w:cs="Times New Roman"/>
                <w:snapToGrid w:val="0"/>
                <w:color w:val="auto"/>
                <w:kern w:val="0"/>
                <w:sz w:val="21"/>
                <w:szCs w:val="21"/>
                <w:highlight w:val="none"/>
              </w:rPr>
              <w:t>注：“□”为勾选项，“√”为填写项。</w:t>
            </w:r>
          </w:p>
        </w:tc>
      </w:tr>
    </w:tbl>
    <w:p w14:paraId="118BBFD3">
      <w:pPr>
        <w:tabs>
          <w:tab w:val="left" w:pos="2880"/>
        </w:tabs>
        <w:ind w:firstLine="0" w:firstLineChars="0"/>
        <w:rPr>
          <w:rFonts w:cs="Times New Roman"/>
          <w:color w:val="auto"/>
          <w:szCs w:val="24"/>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3D185102">
      <w:pPr>
        <w:pStyle w:val="2"/>
        <w:rPr>
          <w:rFonts w:cs="Times New Roman"/>
          <w:color w:val="auto"/>
          <w:sz w:val="24"/>
          <w:szCs w:val="24"/>
          <w:highlight w:val="none"/>
        </w:rPr>
      </w:pPr>
      <w:bookmarkStart w:id="514" w:name="_Toc19500"/>
      <w:r>
        <w:rPr>
          <w:rFonts w:cs="Times New Roman"/>
          <w:color w:val="auto"/>
          <w:sz w:val="24"/>
          <w:szCs w:val="24"/>
          <w:highlight w:val="none"/>
        </w:rPr>
        <w:t>附表5  生态影响评价自查表</w:t>
      </w:r>
      <w:bookmarkEnd w:id="514"/>
    </w:p>
    <w:p w14:paraId="519EEE55">
      <w:pPr>
        <w:pStyle w:val="78"/>
        <w:spacing w:before="163" w:beforeLines="50" w:line="240" w:lineRule="auto"/>
        <w:ind w:left="0" w:leftChars="0" w:firstLine="0" w:firstLineChars="0"/>
        <w:jc w:val="center"/>
        <w:rPr>
          <w:rFonts w:cs="Times New Roman"/>
          <w:color w:val="auto"/>
          <w:highlight w:val="none"/>
        </w:rPr>
      </w:pPr>
      <w:r>
        <w:rPr>
          <w:rFonts w:cs="Times New Roman"/>
          <w:b/>
          <w:bCs/>
          <w:color w:val="auto"/>
          <w:highlight w:val="none"/>
        </w:rPr>
        <w:t>生态影响评价自查表</w:t>
      </w:r>
    </w:p>
    <w:tbl>
      <w:tblPr>
        <w:tblStyle w:val="4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1676"/>
        <w:gridCol w:w="5783"/>
      </w:tblGrid>
      <w:tr w14:paraId="2FAFD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4" w:type="dxa"/>
            <w:gridSpan w:val="2"/>
            <w:vAlign w:val="center"/>
          </w:tcPr>
          <w:p w14:paraId="679817A7">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工作内容</w:t>
            </w:r>
          </w:p>
        </w:tc>
        <w:tc>
          <w:tcPr>
            <w:tcW w:w="6116" w:type="dxa"/>
            <w:vAlign w:val="center"/>
          </w:tcPr>
          <w:p w14:paraId="3A2C183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自查项目</w:t>
            </w:r>
          </w:p>
        </w:tc>
      </w:tr>
      <w:tr w14:paraId="46E71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restart"/>
            <w:vAlign w:val="center"/>
          </w:tcPr>
          <w:p w14:paraId="315C917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生态影响识别</w:t>
            </w:r>
          </w:p>
        </w:tc>
        <w:tc>
          <w:tcPr>
            <w:tcW w:w="1759" w:type="dxa"/>
            <w:vAlign w:val="center"/>
          </w:tcPr>
          <w:p w14:paraId="137D8AB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生态保护目标</w:t>
            </w:r>
          </w:p>
        </w:tc>
        <w:tc>
          <w:tcPr>
            <w:tcW w:w="6116" w:type="dxa"/>
            <w:vAlign w:val="center"/>
          </w:tcPr>
          <w:p w14:paraId="3BE3D9BA">
            <w:pPr>
              <w:spacing w:line="360" w:lineRule="exact"/>
              <w:ind w:firstLine="0" w:firstLineChars="0"/>
              <w:rPr>
                <w:rFonts w:cs="Times New Roman"/>
                <w:color w:val="auto"/>
                <w:sz w:val="21"/>
                <w:szCs w:val="21"/>
                <w:highlight w:val="none"/>
              </w:rPr>
            </w:pPr>
            <w:r>
              <w:rPr>
                <w:rFonts w:cs="Times New Roman"/>
                <w:color w:val="auto"/>
                <w:sz w:val="21"/>
                <w:szCs w:val="21"/>
                <w:highlight w:val="none"/>
              </w:rPr>
              <w:t>重要物种□；国家公园□；自然保护区□；自然公园□；世界自然遗产□；生态保护 红线□；重要生境□；其他具有重要生态功能、对保护生物多样性具有重要意义的区域□；其他</w:t>
            </w:r>
            <w:r>
              <w:rPr>
                <w:rFonts w:cs="Times New Roman"/>
                <w:color w:val="auto"/>
                <w:sz w:val="21"/>
                <w:szCs w:val="21"/>
                <w:highlight w:val="none"/>
              </w:rPr>
              <w:sym w:font="Wingdings 2" w:char="0052"/>
            </w:r>
          </w:p>
        </w:tc>
      </w:tr>
      <w:tr w14:paraId="44FBC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4568BC45">
            <w:pPr>
              <w:spacing w:line="360" w:lineRule="exact"/>
              <w:ind w:firstLine="0" w:firstLineChars="0"/>
              <w:jc w:val="center"/>
              <w:rPr>
                <w:rFonts w:cs="Times New Roman"/>
                <w:color w:val="auto"/>
                <w:sz w:val="21"/>
                <w:szCs w:val="21"/>
                <w:highlight w:val="none"/>
              </w:rPr>
            </w:pPr>
          </w:p>
        </w:tc>
        <w:tc>
          <w:tcPr>
            <w:tcW w:w="1759" w:type="dxa"/>
            <w:vAlign w:val="center"/>
          </w:tcPr>
          <w:p w14:paraId="1FB36630">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影响方式</w:t>
            </w:r>
          </w:p>
        </w:tc>
        <w:tc>
          <w:tcPr>
            <w:tcW w:w="6116" w:type="dxa"/>
            <w:vAlign w:val="center"/>
          </w:tcPr>
          <w:p w14:paraId="6207958F">
            <w:pPr>
              <w:spacing w:line="360" w:lineRule="exact"/>
              <w:ind w:firstLine="0" w:firstLineChars="0"/>
              <w:rPr>
                <w:rFonts w:cs="Times New Roman"/>
                <w:color w:val="auto"/>
                <w:sz w:val="21"/>
                <w:szCs w:val="21"/>
                <w:highlight w:val="none"/>
              </w:rPr>
            </w:pPr>
            <w:r>
              <w:rPr>
                <w:rFonts w:cs="Times New Roman"/>
                <w:color w:val="auto"/>
                <w:sz w:val="21"/>
                <w:szCs w:val="21"/>
                <w:highlight w:val="none"/>
              </w:rPr>
              <w:t>工程占用</w:t>
            </w:r>
            <w:r>
              <w:rPr>
                <w:rFonts w:cs="Times New Roman"/>
                <w:color w:val="auto"/>
                <w:sz w:val="21"/>
                <w:szCs w:val="21"/>
                <w:highlight w:val="none"/>
              </w:rPr>
              <w:sym w:font="Wingdings 2" w:char="0052"/>
            </w:r>
            <w:r>
              <w:rPr>
                <w:rFonts w:cs="Times New Roman"/>
                <w:color w:val="auto"/>
                <w:sz w:val="21"/>
                <w:szCs w:val="21"/>
                <w:highlight w:val="none"/>
              </w:rPr>
              <w:t>；施工活动干扰</w:t>
            </w:r>
            <w:r>
              <w:rPr>
                <w:rFonts w:cs="Times New Roman"/>
                <w:color w:val="auto"/>
                <w:sz w:val="21"/>
                <w:szCs w:val="21"/>
                <w:highlight w:val="none"/>
              </w:rPr>
              <w:sym w:font="Wingdings 2" w:char="0052"/>
            </w:r>
            <w:r>
              <w:rPr>
                <w:rFonts w:cs="Times New Roman"/>
                <w:color w:val="auto"/>
                <w:sz w:val="21"/>
                <w:szCs w:val="21"/>
                <w:highlight w:val="none"/>
              </w:rPr>
              <w:t>；改变环境条件□；其他□</w:t>
            </w:r>
          </w:p>
        </w:tc>
      </w:tr>
      <w:tr w14:paraId="33116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1C55EF71">
            <w:pPr>
              <w:spacing w:line="360" w:lineRule="exact"/>
              <w:ind w:firstLine="0" w:firstLineChars="0"/>
              <w:jc w:val="center"/>
              <w:rPr>
                <w:rFonts w:cs="Times New Roman"/>
                <w:color w:val="auto"/>
                <w:sz w:val="21"/>
                <w:szCs w:val="21"/>
                <w:highlight w:val="none"/>
              </w:rPr>
            </w:pPr>
          </w:p>
        </w:tc>
        <w:tc>
          <w:tcPr>
            <w:tcW w:w="1759" w:type="dxa"/>
            <w:vAlign w:val="center"/>
          </w:tcPr>
          <w:p w14:paraId="3085FD0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评价因子</w:t>
            </w:r>
          </w:p>
        </w:tc>
        <w:tc>
          <w:tcPr>
            <w:tcW w:w="6116" w:type="dxa"/>
            <w:vAlign w:val="center"/>
          </w:tcPr>
          <w:p w14:paraId="56DEFC54">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物种□（ ） </w:t>
            </w:r>
          </w:p>
          <w:p w14:paraId="3F9C280E">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生境□（ ） </w:t>
            </w:r>
          </w:p>
          <w:p w14:paraId="6E657E6B">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生物群落□（ ） </w:t>
            </w:r>
          </w:p>
          <w:p w14:paraId="500DAA73">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生态系统□（ ） </w:t>
            </w:r>
          </w:p>
          <w:p w14:paraId="277FDEC7">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生物多样性□（ ） </w:t>
            </w:r>
          </w:p>
          <w:p w14:paraId="5EB782AD">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生态敏感区□（ ） </w:t>
            </w:r>
          </w:p>
          <w:p w14:paraId="4869EB4B">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自然景观□（ ） </w:t>
            </w:r>
          </w:p>
          <w:p w14:paraId="70939B31">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自然遗迹□（ ） </w:t>
            </w:r>
          </w:p>
          <w:p w14:paraId="66553C3F">
            <w:pPr>
              <w:spacing w:line="360" w:lineRule="exact"/>
              <w:ind w:firstLine="0" w:firstLineChars="0"/>
              <w:rPr>
                <w:rFonts w:cs="Times New Roman"/>
                <w:color w:val="auto"/>
                <w:sz w:val="21"/>
                <w:szCs w:val="21"/>
                <w:highlight w:val="none"/>
              </w:rPr>
            </w:pPr>
            <w:r>
              <w:rPr>
                <w:rFonts w:cs="Times New Roman"/>
                <w:color w:val="auto"/>
                <w:sz w:val="21"/>
                <w:szCs w:val="21"/>
                <w:highlight w:val="none"/>
              </w:rPr>
              <w:t>其他□（ ）</w:t>
            </w:r>
          </w:p>
        </w:tc>
      </w:tr>
      <w:tr w14:paraId="040E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4" w:type="dxa"/>
            <w:gridSpan w:val="2"/>
            <w:vAlign w:val="center"/>
          </w:tcPr>
          <w:p w14:paraId="70CE21A5">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评价等级</w:t>
            </w:r>
          </w:p>
        </w:tc>
        <w:tc>
          <w:tcPr>
            <w:tcW w:w="6116" w:type="dxa"/>
            <w:vAlign w:val="center"/>
          </w:tcPr>
          <w:p w14:paraId="30F62741">
            <w:pPr>
              <w:spacing w:line="360" w:lineRule="exact"/>
              <w:ind w:firstLine="0" w:firstLineChars="0"/>
              <w:rPr>
                <w:rFonts w:cs="Times New Roman"/>
                <w:color w:val="auto"/>
                <w:sz w:val="21"/>
                <w:szCs w:val="21"/>
                <w:highlight w:val="none"/>
              </w:rPr>
            </w:pPr>
            <w:r>
              <w:rPr>
                <w:rFonts w:cs="Times New Roman"/>
                <w:color w:val="auto"/>
                <w:sz w:val="21"/>
                <w:szCs w:val="21"/>
                <w:highlight w:val="none"/>
              </w:rPr>
              <w:t>一级□ 二级□ 三级</w:t>
            </w:r>
            <w:r>
              <w:rPr>
                <w:rFonts w:hint="eastAsia" w:cs="Times New Roman"/>
                <w:color w:val="auto"/>
                <w:sz w:val="21"/>
                <w:szCs w:val="21"/>
                <w:highlight w:val="none"/>
                <w:lang w:eastAsia="zh-CN"/>
              </w:rPr>
              <w:t>☑</w:t>
            </w:r>
            <w:r>
              <w:rPr>
                <w:rFonts w:cs="Times New Roman"/>
                <w:color w:val="auto"/>
                <w:sz w:val="21"/>
                <w:szCs w:val="21"/>
                <w:highlight w:val="none"/>
              </w:rPr>
              <w:t xml:space="preserve"> 生态影响简单分析</w:t>
            </w:r>
            <w:r>
              <w:rPr>
                <w:rFonts w:cs="Times New Roman"/>
                <w:color w:val="auto"/>
                <w:sz w:val="21"/>
                <w:szCs w:val="21"/>
                <w:highlight w:val="none"/>
              </w:rPr>
              <w:sym w:font="Wingdings 2" w:char="00A3"/>
            </w:r>
          </w:p>
        </w:tc>
      </w:tr>
      <w:tr w14:paraId="51F1A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4" w:type="dxa"/>
            <w:gridSpan w:val="2"/>
            <w:vAlign w:val="center"/>
          </w:tcPr>
          <w:p w14:paraId="1BF09B5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评价范围</w:t>
            </w:r>
          </w:p>
        </w:tc>
        <w:tc>
          <w:tcPr>
            <w:tcW w:w="6116" w:type="dxa"/>
            <w:vAlign w:val="center"/>
          </w:tcPr>
          <w:p w14:paraId="258D1659">
            <w:pPr>
              <w:spacing w:line="360" w:lineRule="exact"/>
              <w:ind w:firstLine="0" w:firstLineChars="0"/>
              <w:rPr>
                <w:rFonts w:cs="Times New Roman"/>
                <w:color w:val="auto"/>
                <w:sz w:val="21"/>
                <w:szCs w:val="21"/>
                <w:highlight w:val="none"/>
              </w:rPr>
            </w:pPr>
            <w:r>
              <w:rPr>
                <w:rFonts w:cs="Times New Roman"/>
                <w:color w:val="auto"/>
                <w:sz w:val="21"/>
                <w:szCs w:val="21"/>
                <w:highlight w:val="none"/>
              </w:rPr>
              <w:t>陆域面积：（ ）km</w:t>
            </w:r>
            <w:r>
              <w:rPr>
                <w:rFonts w:cs="Times New Roman"/>
                <w:color w:val="auto"/>
                <w:sz w:val="21"/>
                <w:szCs w:val="21"/>
                <w:highlight w:val="none"/>
                <w:vertAlign w:val="superscript"/>
              </w:rPr>
              <w:t>2</w:t>
            </w:r>
            <w:r>
              <w:rPr>
                <w:rFonts w:cs="Times New Roman"/>
                <w:color w:val="auto"/>
                <w:sz w:val="21"/>
                <w:szCs w:val="21"/>
                <w:highlight w:val="none"/>
              </w:rPr>
              <w:t>；水域面积：（ ）km</w:t>
            </w:r>
            <w:r>
              <w:rPr>
                <w:rFonts w:cs="Times New Roman"/>
                <w:color w:val="auto"/>
                <w:sz w:val="21"/>
                <w:szCs w:val="21"/>
                <w:highlight w:val="none"/>
                <w:vertAlign w:val="superscript"/>
              </w:rPr>
              <w:t>2</w:t>
            </w:r>
          </w:p>
        </w:tc>
      </w:tr>
      <w:tr w14:paraId="1950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restart"/>
            <w:vAlign w:val="center"/>
          </w:tcPr>
          <w:p w14:paraId="20D4523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生态现状调查与评价</w:t>
            </w:r>
          </w:p>
        </w:tc>
        <w:tc>
          <w:tcPr>
            <w:tcW w:w="1759" w:type="dxa"/>
            <w:vAlign w:val="center"/>
          </w:tcPr>
          <w:p w14:paraId="21878672">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调查方法</w:t>
            </w:r>
          </w:p>
        </w:tc>
        <w:tc>
          <w:tcPr>
            <w:tcW w:w="6116" w:type="dxa"/>
            <w:vAlign w:val="center"/>
          </w:tcPr>
          <w:p w14:paraId="63287977">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资料收集□；遥感调查□；调查样方、样线□；调查点位、断面□；专家和公众咨询法□；其他□ </w:t>
            </w:r>
          </w:p>
        </w:tc>
      </w:tr>
      <w:tr w14:paraId="7DC11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754AE845">
            <w:pPr>
              <w:spacing w:line="360" w:lineRule="exact"/>
              <w:ind w:firstLine="0" w:firstLineChars="0"/>
              <w:jc w:val="center"/>
              <w:rPr>
                <w:rFonts w:cs="Times New Roman"/>
                <w:color w:val="auto"/>
                <w:sz w:val="21"/>
                <w:szCs w:val="21"/>
                <w:highlight w:val="none"/>
              </w:rPr>
            </w:pPr>
          </w:p>
        </w:tc>
        <w:tc>
          <w:tcPr>
            <w:tcW w:w="1759" w:type="dxa"/>
            <w:vAlign w:val="center"/>
          </w:tcPr>
          <w:p w14:paraId="78F9644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调查时间</w:t>
            </w:r>
          </w:p>
        </w:tc>
        <w:tc>
          <w:tcPr>
            <w:tcW w:w="6116" w:type="dxa"/>
            <w:vAlign w:val="center"/>
          </w:tcPr>
          <w:p w14:paraId="3250F45D">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春季□；夏季□；秋季□；冬季□ </w:t>
            </w:r>
          </w:p>
          <w:p w14:paraId="0DFFFD91">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丰水期□；枯水期□；平水期□ </w:t>
            </w:r>
          </w:p>
        </w:tc>
      </w:tr>
      <w:tr w14:paraId="3E8BE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7A4D13D7">
            <w:pPr>
              <w:spacing w:line="360" w:lineRule="exact"/>
              <w:ind w:firstLine="0" w:firstLineChars="0"/>
              <w:jc w:val="center"/>
              <w:rPr>
                <w:rFonts w:cs="Times New Roman"/>
                <w:color w:val="auto"/>
                <w:sz w:val="21"/>
                <w:szCs w:val="21"/>
                <w:highlight w:val="none"/>
              </w:rPr>
            </w:pPr>
          </w:p>
        </w:tc>
        <w:tc>
          <w:tcPr>
            <w:tcW w:w="1759" w:type="dxa"/>
            <w:vAlign w:val="center"/>
          </w:tcPr>
          <w:p w14:paraId="1FE9D8C9">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所在区域的生态问题</w:t>
            </w:r>
          </w:p>
        </w:tc>
        <w:tc>
          <w:tcPr>
            <w:tcW w:w="6116" w:type="dxa"/>
            <w:vAlign w:val="center"/>
          </w:tcPr>
          <w:p w14:paraId="2734E8FE">
            <w:pPr>
              <w:spacing w:line="360" w:lineRule="exact"/>
              <w:ind w:firstLine="0" w:firstLineChars="0"/>
              <w:rPr>
                <w:rFonts w:cs="Times New Roman"/>
                <w:color w:val="auto"/>
                <w:sz w:val="21"/>
                <w:szCs w:val="21"/>
                <w:highlight w:val="none"/>
              </w:rPr>
            </w:pPr>
            <w:r>
              <w:rPr>
                <w:rFonts w:cs="Times New Roman"/>
                <w:color w:val="auto"/>
                <w:sz w:val="21"/>
                <w:szCs w:val="21"/>
                <w:highlight w:val="none"/>
              </w:rPr>
              <w:t>水土流失□；沙漠化□；石漠化□；盐渍化□；生物入侵□；污染危害□；其他□</w:t>
            </w:r>
          </w:p>
        </w:tc>
      </w:tr>
      <w:tr w14:paraId="6286A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5C9E6B2B">
            <w:pPr>
              <w:spacing w:line="360" w:lineRule="exact"/>
              <w:ind w:firstLine="0" w:firstLineChars="0"/>
              <w:jc w:val="center"/>
              <w:rPr>
                <w:rFonts w:cs="Times New Roman"/>
                <w:color w:val="auto"/>
                <w:sz w:val="21"/>
                <w:szCs w:val="21"/>
                <w:highlight w:val="none"/>
              </w:rPr>
            </w:pPr>
          </w:p>
        </w:tc>
        <w:tc>
          <w:tcPr>
            <w:tcW w:w="1759" w:type="dxa"/>
            <w:vAlign w:val="center"/>
          </w:tcPr>
          <w:p w14:paraId="00EB0BE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评价内容</w:t>
            </w:r>
          </w:p>
        </w:tc>
        <w:tc>
          <w:tcPr>
            <w:tcW w:w="6116" w:type="dxa"/>
            <w:vAlign w:val="center"/>
          </w:tcPr>
          <w:p w14:paraId="2A786221">
            <w:pPr>
              <w:spacing w:line="360" w:lineRule="exact"/>
              <w:ind w:firstLine="0" w:firstLineChars="0"/>
              <w:rPr>
                <w:rFonts w:cs="Times New Roman"/>
                <w:color w:val="auto"/>
                <w:sz w:val="21"/>
                <w:szCs w:val="21"/>
                <w:highlight w:val="none"/>
              </w:rPr>
            </w:pPr>
            <w:r>
              <w:rPr>
                <w:rFonts w:cs="Times New Roman"/>
                <w:color w:val="auto"/>
                <w:sz w:val="21"/>
                <w:szCs w:val="21"/>
                <w:highlight w:val="none"/>
              </w:rPr>
              <w:t>植被/植物群落□；土地利用□；生态系统□；生物多样性□；重要物种□；生态敏感区□；其他□</w:t>
            </w:r>
          </w:p>
        </w:tc>
      </w:tr>
      <w:tr w14:paraId="17BD8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restart"/>
            <w:vAlign w:val="center"/>
          </w:tcPr>
          <w:p w14:paraId="280810A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生态影响预测与评价</w:t>
            </w:r>
          </w:p>
        </w:tc>
        <w:tc>
          <w:tcPr>
            <w:tcW w:w="1759" w:type="dxa"/>
            <w:vAlign w:val="center"/>
          </w:tcPr>
          <w:p w14:paraId="2929482D">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评价方法</w:t>
            </w:r>
          </w:p>
        </w:tc>
        <w:tc>
          <w:tcPr>
            <w:tcW w:w="6116" w:type="dxa"/>
            <w:vAlign w:val="center"/>
          </w:tcPr>
          <w:p w14:paraId="5CD14482">
            <w:pPr>
              <w:spacing w:line="360" w:lineRule="exact"/>
              <w:ind w:firstLine="0" w:firstLineChars="0"/>
              <w:rPr>
                <w:rFonts w:cs="Times New Roman"/>
                <w:color w:val="auto"/>
                <w:sz w:val="21"/>
                <w:szCs w:val="21"/>
                <w:highlight w:val="none"/>
              </w:rPr>
            </w:pPr>
            <w:r>
              <w:rPr>
                <w:rFonts w:cs="Times New Roman"/>
                <w:color w:val="auto"/>
                <w:sz w:val="21"/>
                <w:szCs w:val="21"/>
                <w:highlight w:val="none"/>
              </w:rPr>
              <w:t>定性□；定性和定量□</w:t>
            </w:r>
          </w:p>
        </w:tc>
      </w:tr>
      <w:tr w14:paraId="6C0EA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185685D1">
            <w:pPr>
              <w:spacing w:line="360" w:lineRule="exact"/>
              <w:ind w:firstLine="0" w:firstLineChars="0"/>
              <w:jc w:val="center"/>
              <w:rPr>
                <w:rFonts w:cs="Times New Roman"/>
                <w:color w:val="auto"/>
                <w:sz w:val="21"/>
                <w:szCs w:val="21"/>
                <w:highlight w:val="none"/>
              </w:rPr>
            </w:pPr>
          </w:p>
        </w:tc>
        <w:tc>
          <w:tcPr>
            <w:tcW w:w="1759" w:type="dxa"/>
            <w:vAlign w:val="center"/>
          </w:tcPr>
          <w:p w14:paraId="3019612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评价内容</w:t>
            </w:r>
          </w:p>
        </w:tc>
        <w:tc>
          <w:tcPr>
            <w:tcW w:w="6116" w:type="dxa"/>
            <w:vAlign w:val="center"/>
          </w:tcPr>
          <w:p w14:paraId="2525F6DD">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植被/植物群落□；土地利用□；生态系统□；生物多样性□；重要物种□；生态敏感区□；生物入侵风险□；其他□ </w:t>
            </w:r>
          </w:p>
        </w:tc>
      </w:tr>
      <w:tr w14:paraId="6C129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restart"/>
            <w:vAlign w:val="center"/>
          </w:tcPr>
          <w:p w14:paraId="6033006B">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生态保护对策措施</w:t>
            </w:r>
          </w:p>
        </w:tc>
        <w:tc>
          <w:tcPr>
            <w:tcW w:w="1759" w:type="dxa"/>
            <w:vAlign w:val="center"/>
          </w:tcPr>
          <w:p w14:paraId="26B94D81">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对策措施</w:t>
            </w:r>
          </w:p>
        </w:tc>
        <w:tc>
          <w:tcPr>
            <w:tcW w:w="6116" w:type="dxa"/>
            <w:vAlign w:val="center"/>
          </w:tcPr>
          <w:p w14:paraId="33FD8561">
            <w:pPr>
              <w:spacing w:line="360" w:lineRule="exact"/>
              <w:ind w:firstLine="0" w:firstLineChars="0"/>
              <w:rPr>
                <w:rFonts w:cs="Times New Roman"/>
                <w:color w:val="auto"/>
                <w:sz w:val="21"/>
                <w:szCs w:val="21"/>
                <w:highlight w:val="none"/>
              </w:rPr>
            </w:pPr>
            <w:r>
              <w:rPr>
                <w:rFonts w:cs="Times New Roman"/>
                <w:color w:val="auto"/>
                <w:sz w:val="21"/>
                <w:szCs w:val="21"/>
                <w:highlight w:val="none"/>
              </w:rPr>
              <w:t>避让□；减缓□；生态修复□；生态补偿□；科研□；其他□</w:t>
            </w:r>
          </w:p>
        </w:tc>
      </w:tr>
      <w:tr w14:paraId="5E62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6B8D49E6">
            <w:pPr>
              <w:spacing w:line="360" w:lineRule="exact"/>
              <w:ind w:firstLine="0" w:firstLineChars="0"/>
              <w:jc w:val="center"/>
              <w:rPr>
                <w:rFonts w:cs="Times New Roman"/>
                <w:color w:val="auto"/>
                <w:sz w:val="21"/>
                <w:szCs w:val="21"/>
                <w:highlight w:val="none"/>
              </w:rPr>
            </w:pPr>
          </w:p>
        </w:tc>
        <w:tc>
          <w:tcPr>
            <w:tcW w:w="1759" w:type="dxa"/>
            <w:vAlign w:val="center"/>
          </w:tcPr>
          <w:p w14:paraId="10146864">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生态监测计划</w:t>
            </w:r>
          </w:p>
        </w:tc>
        <w:tc>
          <w:tcPr>
            <w:tcW w:w="6116" w:type="dxa"/>
            <w:vAlign w:val="center"/>
          </w:tcPr>
          <w:p w14:paraId="3EEE60D3">
            <w:pPr>
              <w:spacing w:line="360" w:lineRule="exact"/>
              <w:ind w:firstLine="0" w:firstLineChars="0"/>
              <w:rPr>
                <w:rFonts w:cs="Times New Roman"/>
                <w:color w:val="auto"/>
                <w:sz w:val="21"/>
                <w:szCs w:val="21"/>
                <w:highlight w:val="none"/>
              </w:rPr>
            </w:pPr>
            <w:r>
              <w:rPr>
                <w:rFonts w:cs="Times New Roman"/>
                <w:color w:val="auto"/>
                <w:sz w:val="21"/>
                <w:szCs w:val="21"/>
                <w:highlight w:val="none"/>
              </w:rPr>
              <w:t xml:space="preserve">全生命周期□；长期跟踪□；常规□；无□ </w:t>
            </w:r>
          </w:p>
        </w:tc>
      </w:tr>
      <w:tr w14:paraId="44785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Merge w:val="continue"/>
            <w:vAlign w:val="center"/>
          </w:tcPr>
          <w:p w14:paraId="57DC2D4D">
            <w:pPr>
              <w:spacing w:line="360" w:lineRule="exact"/>
              <w:ind w:firstLine="0" w:firstLineChars="0"/>
              <w:jc w:val="center"/>
              <w:rPr>
                <w:rFonts w:cs="Times New Roman"/>
                <w:color w:val="auto"/>
                <w:sz w:val="21"/>
                <w:szCs w:val="21"/>
                <w:highlight w:val="none"/>
              </w:rPr>
            </w:pPr>
          </w:p>
        </w:tc>
        <w:tc>
          <w:tcPr>
            <w:tcW w:w="1759" w:type="dxa"/>
            <w:vAlign w:val="center"/>
          </w:tcPr>
          <w:p w14:paraId="3DCE9DE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环境管理</w:t>
            </w:r>
          </w:p>
        </w:tc>
        <w:tc>
          <w:tcPr>
            <w:tcW w:w="6116" w:type="dxa"/>
            <w:vAlign w:val="center"/>
          </w:tcPr>
          <w:p w14:paraId="7F99A029">
            <w:pPr>
              <w:spacing w:line="360" w:lineRule="exact"/>
              <w:ind w:firstLine="0" w:firstLineChars="0"/>
              <w:rPr>
                <w:rFonts w:cs="Times New Roman"/>
                <w:color w:val="auto"/>
                <w:sz w:val="21"/>
                <w:szCs w:val="21"/>
                <w:highlight w:val="none"/>
              </w:rPr>
            </w:pPr>
            <w:r>
              <w:rPr>
                <w:rFonts w:cs="Times New Roman"/>
                <w:color w:val="auto"/>
                <w:sz w:val="21"/>
                <w:szCs w:val="21"/>
                <w:highlight w:val="none"/>
              </w:rPr>
              <w:t>环境监理□；环境影响后评价□；其他□</w:t>
            </w:r>
          </w:p>
        </w:tc>
      </w:tr>
      <w:tr w14:paraId="7CA65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5" w:type="dxa"/>
            <w:vAlign w:val="center"/>
          </w:tcPr>
          <w:p w14:paraId="68500F9C">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评价结论</w:t>
            </w:r>
          </w:p>
        </w:tc>
        <w:tc>
          <w:tcPr>
            <w:tcW w:w="1759" w:type="dxa"/>
            <w:vAlign w:val="center"/>
          </w:tcPr>
          <w:p w14:paraId="1829358E">
            <w:pPr>
              <w:spacing w:line="360" w:lineRule="exact"/>
              <w:ind w:firstLine="0" w:firstLineChars="0"/>
              <w:jc w:val="center"/>
              <w:rPr>
                <w:rFonts w:cs="Times New Roman"/>
                <w:color w:val="auto"/>
                <w:sz w:val="21"/>
                <w:szCs w:val="21"/>
                <w:highlight w:val="none"/>
              </w:rPr>
            </w:pPr>
            <w:r>
              <w:rPr>
                <w:rFonts w:cs="Times New Roman"/>
                <w:color w:val="auto"/>
                <w:sz w:val="21"/>
                <w:szCs w:val="21"/>
                <w:highlight w:val="none"/>
              </w:rPr>
              <w:t>生态影响</w:t>
            </w:r>
          </w:p>
        </w:tc>
        <w:tc>
          <w:tcPr>
            <w:tcW w:w="6116" w:type="dxa"/>
            <w:vAlign w:val="center"/>
          </w:tcPr>
          <w:p w14:paraId="2CB3B396">
            <w:pPr>
              <w:spacing w:line="360" w:lineRule="exact"/>
              <w:ind w:firstLine="0" w:firstLineChars="0"/>
              <w:rPr>
                <w:rFonts w:cs="Times New Roman"/>
                <w:color w:val="auto"/>
                <w:sz w:val="21"/>
                <w:szCs w:val="21"/>
                <w:highlight w:val="none"/>
              </w:rPr>
            </w:pPr>
            <w:r>
              <w:rPr>
                <w:rFonts w:cs="Times New Roman"/>
                <w:color w:val="auto"/>
                <w:sz w:val="21"/>
                <w:szCs w:val="21"/>
                <w:highlight w:val="none"/>
              </w:rPr>
              <w:t>可行</w:t>
            </w:r>
            <w:r>
              <w:rPr>
                <w:rFonts w:cs="Times New Roman"/>
                <w:color w:val="auto"/>
                <w:sz w:val="21"/>
                <w:szCs w:val="21"/>
                <w:highlight w:val="none"/>
              </w:rPr>
              <w:sym w:font="Wingdings 2" w:char="0052"/>
            </w:r>
            <w:r>
              <w:rPr>
                <w:rFonts w:cs="Times New Roman"/>
                <w:color w:val="auto"/>
                <w:sz w:val="21"/>
                <w:szCs w:val="21"/>
                <w:highlight w:val="none"/>
              </w:rPr>
              <w:t xml:space="preserve">；不可行□ </w:t>
            </w:r>
          </w:p>
        </w:tc>
      </w:tr>
      <w:tr w14:paraId="1C5FE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80" w:type="dxa"/>
            <w:gridSpan w:val="3"/>
            <w:vAlign w:val="center"/>
          </w:tcPr>
          <w:p w14:paraId="394E73AC">
            <w:pPr>
              <w:spacing w:line="360" w:lineRule="exact"/>
              <w:ind w:firstLine="0" w:firstLineChars="0"/>
              <w:rPr>
                <w:rFonts w:cs="Times New Roman"/>
                <w:color w:val="auto"/>
                <w:sz w:val="21"/>
                <w:szCs w:val="21"/>
                <w:highlight w:val="none"/>
              </w:rPr>
            </w:pPr>
            <w:r>
              <w:rPr>
                <w:rFonts w:cs="Times New Roman"/>
                <w:color w:val="auto"/>
                <w:sz w:val="21"/>
                <w:szCs w:val="21"/>
                <w:highlight w:val="none"/>
              </w:rPr>
              <w:t>注：“</w:t>
            </w:r>
            <w:r>
              <w:rPr>
                <w:rFonts w:cs="Times New Roman"/>
                <w:color w:val="auto"/>
                <w:sz w:val="21"/>
                <w:szCs w:val="21"/>
                <w:highlight w:val="none"/>
              </w:rPr>
              <w:sym w:font="Wingdings 2" w:char="00A3"/>
            </w:r>
            <w:r>
              <w:rPr>
                <w:rFonts w:cs="Times New Roman"/>
                <w:color w:val="auto"/>
                <w:sz w:val="21"/>
                <w:szCs w:val="21"/>
                <w:highlight w:val="none"/>
              </w:rPr>
              <w:t>”为勾选项，可√：“（）”为内容填写项</w:t>
            </w:r>
          </w:p>
        </w:tc>
      </w:tr>
    </w:tbl>
    <w:p w14:paraId="5C1C55D5">
      <w:pPr>
        <w:rPr>
          <w:rFonts w:cs="Times New Roman"/>
          <w:color w:val="auto"/>
          <w:szCs w:val="24"/>
          <w:highlight w:val="none"/>
        </w:rPr>
      </w:pPr>
    </w:p>
    <w:p w14:paraId="1A522F9F">
      <w:pPr>
        <w:pStyle w:val="36"/>
        <w:ind w:left="0"/>
        <w:rPr>
          <w:color w:val="auto"/>
          <w:highlight w:val="none"/>
        </w:rPr>
      </w:pP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4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美黑简体">
    <w:altName w:val="宋体"/>
    <w:panose1 w:val="00000000000000000000"/>
    <w:charset w:val="86"/>
    <w:family w:val="script"/>
    <w:pitch w:val="default"/>
    <w:sig w:usb0="00000000" w:usb1="00000000" w:usb2="00000010" w:usb3="00000000" w:csb0="00040000" w:csb1="00000000"/>
  </w:font>
  <w:font w:name="Adobe 宋体 Std L">
    <w:altName w:val="宋体"/>
    <w:panose1 w:val="02020300000000000000"/>
    <w:charset w:val="86"/>
    <w:family w:val="auto"/>
    <w:pitch w:val="default"/>
    <w:sig w:usb0="00000000" w:usb1="00000000" w:usb2="00000016" w:usb3="00000000" w:csb0="00060007"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icrosoft YaHei UI">
    <w:panose1 w:val="020B0503020204020204"/>
    <w:charset w:val="86"/>
    <w:family w:val="swiss"/>
    <w:pitch w:val="default"/>
    <w:sig w:usb0="80000287" w:usb1="2ACF3C50" w:usb2="00000016" w:usb3="00000000" w:csb0="0004001F" w:csb1="00000000"/>
  </w:font>
  <w:font w:name="Arial Unicode MS">
    <w:altName w:val="宋体"/>
    <w:panose1 w:val="020B0604020202020204"/>
    <w:charset w:val="86"/>
    <w:family w:val="swiss"/>
    <w:pitch w:val="default"/>
    <w:sig w:usb0="00000000" w:usb1="00000000" w:usb2="0000003F" w:usb3="00000000" w:csb0="603F01FF" w:csb1="FFFF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汉仪仿宋简">
    <w:altName w:val="仿宋"/>
    <w:panose1 w:val="02010600000101010101"/>
    <w:charset w:val="86"/>
    <w:family w:val="decorative"/>
    <w:pitch w:val="default"/>
    <w:sig w:usb0="00000000" w:usb1="00000000" w:usb2="00000012" w:usb3="00000000" w:csb0="00020001" w:csb1="00000000"/>
  </w:font>
  <w:font w:name="新宋体">
    <w:panose1 w:val="02010609030101010101"/>
    <w:charset w:val="86"/>
    <w:family w:val="modern"/>
    <w:pitch w:val="default"/>
    <w:sig w:usb0="00000203" w:usb1="288F0000" w:usb2="00000006" w:usb3="00000000" w:csb0="00040001"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auto"/>
    <w:pitch w:val="default"/>
    <w:sig w:usb0="E4002EFF" w:usb1="C000E47F" w:usb2="00000009" w:usb3="00000000" w:csb0="200001FF" w:csb1="00000000"/>
  </w:font>
  <w:font w:name="sans-serif">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 w:name="Wingdings 2">
    <w:altName w:val="Wingdings"/>
    <w:panose1 w:val="05020102010507070707"/>
    <w:charset w:val="02"/>
    <w:family w:val="decorative"/>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Kingsoft UE">
    <w:altName w:val="AMGD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D9E35">
    <w:pPr>
      <w:pStyle w:val="29"/>
      <w:ind w:firstLine="360"/>
    </w:pPr>
    <w: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C0CE2F3">
                          <w:pPr>
                            <w:pStyle w:val="29"/>
                            <w:ind w:firstLine="360"/>
                          </w:pP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M2dPQ/IAQAAmQMAAA4AAAAAAAAAAQAgAAAAHgEAAGRycy9lMm9Eb2Mu&#10;eG1sUEsFBgAAAAAGAAYAWQEAAFgFAAAAAA==&#10;">
              <v:fill on="f" focussize="0,0"/>
              <v:stroke on="f"/>
              <v:imagedata o:title=""/>
              <o:lock v:ext="edit" aspectratio="f"/>
              <v:textbox inset="0mm,0mm,0mm,0mm" style="mso-fit-shape-to-text:t;">
                <w:txbxContent>
                  <w:p w14:paraId="1C0CE2F3">
                    <w:pPr>
                      <w:pStyle w:val="29"/>
                      <w:ind w:firstLine="360"/>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7B6D0">
    <w:pPr>
      <w:pStyle w:val="29"/>
      <w:tabs>
        <w:tab w:val="left" w:pos="3960"/>
        <w:tab w:val="center" w:pos="4333"/>
        <w:tab w:val="left" w:pos="5049"/>
      </w:tabs>
      <w:ind w:firstLine="0" w:firstLineChars="0"/>
      <w:rPr>
        <w:rFonts w:eastAsia="仿宋"/>
        <w:b/>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1EBE8">
    <w:pPr>
      <w:pStyle w:val="29"/>
      <w:tabs>
        <w:tab w:val="left" w:pos="3960"/>
        <w:tab w:val="center" w:pos="4333"/>
        <w:tab w:val="left" w:pos="5049"/>
      </w:tabs>
      <w:ind w:firstLine="0" w:firstLineChars="0"/>
      <w:jc w:val="cente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1" name="文本框 2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36C040">
                          <w:pPr>
                            <w:pStyle w:val="29"/>
                            <w:tabs>
                              <w:tab w:val="left" w:pos="3960"/>
                              <w:tab w:val="center" w:pos="4333"/>
                              <w:tab w:val="left" w:pos="5049"/>
                            </w:tabs>
                            <w:ind w:firstLine="0" w:firstLineChars="0"/>
                            <w:jc w:val="center"/>
                          </w:pPr>
                          <w:sdt>
                            <w:sdtPr>
                              <w:id w:val="2011942250"/>
                            </w:sdtPr>
                            <w:sdtContent>
                              <w:r>
                                <w:fldChar w:fldCharType="begin"/>
                              </w:r>
                              <w:r>
                                <w:instrText xml:space="preserve">PAGE   \* MERGEFORMAT</w:instrText>
                              </w:r>
                              <w:r>
                                <w:fldChar w:fldCharType="separate"/>
                              </w:r>
                              <w:r>
                                <w:rPr>
                                  <w:lang w:val="zh-CN"/>
                                </w:rPr>
                                <w:t>156</w:t>
                              </w:r>
                              <w:r>
                                <w:fldChar w:fldCharType="end"/>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wOCwQz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wOCwQzAgAAZQQAAA4AAAAAAAAAAQAgAAAAHwEAAGRycy9lMm9Eb2MueG1sUEsF&#10;BgAAAAAGAAYAWQEAAMQFAAAAAA==&#10;">
              <v:fill on="f" focussize="0,0"/>
              <v:stroke on="f" weight="0.5pt"/>
              <v:imagedata o:title=""/>
              <o:lock v:ext="edit" aspectratio="f"/>
              <v:textbox inset="0mm,0mm,0mm,0mm" style="mso-fit-shape-to-text:t;">
                <w:txbxContent>
                  <w:p w14:paraId="7E36C040">
                    <w:pPr>
                      <w:pStyle w:val="29"/>
                      <w:tabs>
                        <w:tab w:val="left" w:pos="3960"/>
                        <w:tab w:val="center" w:pos="4333"/>
                        <w:tab w:val="left" w:pos="5049"/>
                      </w:tabs>
                      <w:ind w:firstLine="0" w:firstLineChars="0"/>
                      <w:jc w:val="center"/>
                    </w:pPr>
                    <w:sdt>
                      <w:sdtPr>
                        <w:id w:val="2011942250"/>
                      </w:sdtPr>
                      <w:sdtContent>
                        <w:r>
                          <w:fldChar w:fldCharType="begin"/>
                        </w:r>
                        <w:r>
                          <w:instrText xml:space="preserve">PAGE   \* MERGEFORMAT</w:instrText>
                        </w:r>
                        <w:r>
                          <w:fldChar w:fldCharType="separate"/>
                        </w:r>
                        <w:r>
                          <w:rPr>
                            <w:lang w:val="zh-CN"/>
                          </w:rPr>
                          <w:t>156</w:t>
                        </w:r>
                        <w:r>
                          <w:fldChar w:fldCharType="end"/>
                        </w:r>
                      </w:sdtContent>
                    </w:sdt>
                  </w:p>
                </w:txbxContent>
              </v:textbox>
            </v:shape>
          </w:pict>
        </mc:Fallback>
      </mc:AlternateContent>
    </w:r>
  </w:p>
  <w:p w14:paraId="66ACDDDD">
    <w:pPr>
      <w:pStyle w:val="29"/>
      <w:tabs>
        <w:tab w:val="left" w:pos="3960"/>
        <w:tab w:val="center" w:pos="4333"/>
        <w:tab w:val="left" w:pos="5049"/>
      </w:tabs>
      <w:ind w:firstLine="0" w:firstLineChars="0"/>
      <w:rPr>
        <w:rFonts w:eastAsia="仿宋"/>
        <w:b/>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359F3">
    <w:pPr>
      <w:pStyle w:val="29"/>
      <w:tabs>
        <w:tab w:val="left" w:pos="3960"/>
        <w:tab w:val="center" w:pos="4333"/>
        <w:tab w:val="left" w:pos="5049"/>
      </w:tabs>
      <w:ind w:firstLine="0" w:firstLineChars="0"/>
      <w:jc w:val="center"/>
    </w:pPr>
    <w:r>
      <w:rPr>
        <w:sz w:val="18"/>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7386CF">
                          <w:pPr>
                            <w:pStyle w:val="29"/>
                            <w:tabs>
                              <w:tab w:val="left" w:pos="3960"/>
                              <w:tab w:val="center" w:pos="4333"/>
                              <w:tab w:val="left" w:pos="5049"/>
                            </w:tabs>
                            <w:ind w:firstLine="0" w:firstLineChars="0"/>
                            <w:jc w:val="center"/>
                          </w:pPr>
                          <w:sdt>
                            <w:sdtPr>
                              <w:id w:val="147479743"/>
                            </w:sdtPr>
                            <w:sdtContent>
                              <w:r>
                                <w:fldChar w:fldCharType="begin"/>
                              </w:r>
                              <w:r>
                                <w:instrText xml:space="preserve">PAGE   \* MERGEFORMAT</w:instrText>
                              </w:r>
                              <w:r>
                                <w:fldChar w:fldCharType="separate"/>
                              </w:r>
                              <w:r>
                                <w:rPr>
                                  <w:lang w:val="zh-CN"/>
                                </w:rPr>
                                <w:t>156</w:t>
                              </w:r>
                              <w:r>
                                <w:fldChar w:fldCharType="end"/>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027386CF">
                    <w:pPr>
                      <w:pStyle w:val="29"/>
                      <w:tabs>
                        <w:tab w:val="left" w:pos="3960"/>
                        <w:tab w:val="center" w:pos="4333"/>
                        <w:tab w:val="left" w:pos="5049"/>
                      </w:tabs>
                      <w:ind w:firstLine="0" w:firstLineChars="0"/>
                      <w:jc w:val="center"/>
                    </w:pPr>
                    <w:sdt>
                      <w:sdtPr>
                        <w:id w:val="147479743"/>
                      </w:sdtPr>
                      <w:sdtContent>
                        <w:r>
                          <w:fldChar w:fldCharType="begin"/>
                        </w:r>
                        <w:r>
                          <w:instrText xml:space="preserve">PAGE   \* MERGEFORMAT</w:instrText>
                        </w:r>
                        <w:r>
                          <w:fldChar w:fldCharType="separate"/>
                        </w:r>
                        <w:r>
                          <w:rPr>
                            <w:lang w:val="zh-CN"/>
                          </w:rPr>
                          <w:t>156</w:t>
                        </w:r>
                        <w:r>
                          <w:fldChar w:fldCharType="end"/>
                        </w:r>
                      </w:sdtContent>
                    </w:sdt>
                  </w:p>
                </w:txbxContent>
              </v:textbox>
            </v:shape>
          </w:pict>
        </mc:Fallback>
      </mc:AlternateContent>
    </w:r>
  </w:p>
  <w:p w14:paraId="35F7BF6D">
    <w:pPr>
      <w:pStyle w:val="29"/>
      <w:tabs>
        <w:tab w:val="left" w:pos="3960"/>
        <w:tab w:val="center" w:pos="4333"/>
        <w:tab w:val="left" w:pos="5049"/>
      </w:tabs>
      <w:ind w:firstLine="0" w:firstLineChars="0"/>
      <w:rPr>
        <w:rFonts w:eastAsia="仿宋"/>
        <w:b/>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16D29">
    <w:pPr>
      <w:widowControl w:val="0"/>
      <w:kinsoku/>
      <w:autoSpaceDE/>
      <w:autoSpaceDN/>
      <w:adjustRightInd/>
      <w:snapToGrid/>
      <w:spacing w:line="14" w:lineRule="auto"/>
      <w:jc w:val="both"/>
      <w:textAlignment w:val="auto"/>
      <w:rPr>
        <w:rFonts w:ascii="Times New Roman" w:hAnsi="Times New Roman" w:eastAsia="宋体" w:cs="Times New Roman"/>
        <w:snapToGrid/>
        <w:kern w:val="2"/>
        <w:sz w:val="20"/>
        <w:szCs w:val="20"/>
        <w:lang w:val="en-US" w:eastAsia="zh-CN" w:bidi="ar-SA"/>
      </w:rPr>
    </w:pPr>
    <w:r>
      <w:rPr>
        <w:sz w:val="20"/>
      </w:rPr>
      <mc:AlternateContent>
        <mc:Choice Requires="wps">
          <w:drawing>
            <wp:anchor distT="0" distB="0" distL="114300" distR="114300" simplePos="0" relativeHeight="2517626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71" name="文本框 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FEC1495">
                          <w:pPr>
                            <w:pStyle w:val="2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60</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86" o:spid="_x0000_s1026" o:spt="202" type="#_x0000_t202" style="position:absolute;left:0pt;margin-top:0pt;height:144pt;width:144pt;mso-position-horizontal:center;mso-position-horizontal-relative:margin;mso-wrap-style:none;z-index:2517626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dsSPgOgIAAHIEAAAOAAAAAAAAAAEAIAAAAB8BAABkcnMvZTJvRG9j&#10;LnhtbFBLBQYAAAAABgAGAFkBAADLBQAAAAA=&#10;">
              <v:fill on="f" focussize="0,0"/>
              <v:stroke on="f" weight="0.5pt"/>
              <v:imagedata o:title=""/>
              <o:lock v:ext="edit" aspectratio="f"/>
              <v:textbox inset="0mm,0mm,0mm,0mm" style="mso-fit-shape-to-text:t;">
                <w:txbxContent>
                  <w:p w14:paraId="0FEC1495">
                    <w:pPr>
                      <w:pStyle w:val="2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60</w:t>
                    </w:r>
                    <w:r>
                      <w:rPr>
                        <w:rFonts w:hint="default" w:ascii="Times New Roman" w:hAnsi="Times New Roman" w:cs="Times New Roman"/>
                      </w:rPr>
                      <w:fldChar w:fldCharType="end"/>
                    </w:r>
                  </w:p>
                </w:txbxContent>
              </v:textbox>
            </v:shape>
          </w:pict>
        </mc:Fallback>
      </mc:AlternateContent>
    </w:r>
  </w:p>
  <w:p w14:paraId="21BBF5CD">
    <w:pPr>
      <w:widowControl w:val="0"/>
      <w:kinsoku/>
      <w:autoSpaceDE/>
      <w:autoSpaceDN/>
      <w:adjustRightInd/>
      <w:snapToGrid/>
      <w:spacing w:line="240" w:lineRule="auto"/>
      <w:jc w:val="both"/>
      <w:textAlignment w:val="auto"/>
      <w:rPr>
        <w:rFonts w:ascii="Times New Roman" w:hAnsi="Times New Roman" w:eastAsia="宋体" w:cs="Times New Roman"/>
        <w:snapToGrid/>
        <w:kern w:val="2"/>
        <w:lang w:val="en-US" w:eastAsia="zh-CN" w:bidi="ar-S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89BC6">
    <w:pPr>
      <w:pStyle w:val="29"/>
      <w:tabs>
        <w:tab w:val="left" w:pos="3960"/>
        <w:tab w:val="center" w:pos="4333"/>
        <w:tab w:val="left" w:pos="5049"/>
      </w:tabs>
      <w:ind w:firstLine="0" w:firstLineChars="0"/>
      <w:rPr>
        <w:rFonts w:eastAsia="仿宋"/>
        <w:b/>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2" name="文本框 2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422048">
                          <w:pPr>
                            <w:pStyle w:val="29"/>
                          </w:pPr>
                          <w:r>
                            <w:fldChar w:fldCharType="begin"/>
                          </w:r>
                          <w:r>
                            <w:instrText xml:space="preserve"> PAGE  \* MERGEFORMAT </w:instrText>
                          </w:r>
                          <w:r>
                            <w:fldChar w:fldCharType="separate"/>
                          </w:r>
                          <w:r>
                            <w:t>192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M2Xo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DM2XozAgAAZQQAAA4AAAAAAAAAAQAgAAAAHwEAAGRycy9lMm9Eb2MueG1sUEsF&#10;BgAAAAAGAAYAWQEAAMQFAAAAAA==&#10;">
              <v:fill on="f" focussize="0,0"/>
              <v:stroke on="f" weight="0.5pt"/>
              <v:imagedata o:title=""/>
              <o:lock v:ext="edit" aspectratio="f"/>
              <v:textbox inset="0mm,0mm,0mm,0mm" style="mso-fit-shape-to-text:t;">
                <w:txbxContent>
                  <w:p w14:paraId="3C422048">
                    <w:pPr>
                      <w:pStyle w:val="29"/>
                    </w:pPr>
                    <w:r>
                      <w:fldChar w:fldCharType="begin"/>
                    </w:r>
                    <w:r>
                      <w:instrText xml:space="preserve"> PAGE  \* MERGEFORMAT </w:instrText>
                    </w:r>
                    <w:r>
                      <w:fldChar w:fldCharType="separate"/>
                    </w:r>
                    <w:r>
                      <w:t>192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0E0BFE">
    <w:pPr>
      <w:pStyle w:val="29"/>
      <w:ind w:firstLine="361"/>
      <w:rPr>
        <w:rFonts w:ascii="仿宋" w:hAnsi="仿宋" w:eastAsia="仿宋"/>
        <w:b/>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3" name="文本框 2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4326B8">
                          <w:pPr>
                            <w:pStyle w:val="29"/>
                          </w:pPr>
                          <w:r>
                            <w:fldChar w:fldCharType="begin"/>
                          </w:r>
                          <w:r>
                            <w:instrText xml:space="preserve"> PAGE  \* MERGEFORMAT </w:instrText>
                          </w:r>
                          <w:r>
                            <w:fldChar w:fldCharType="separate"/>
                          </w:r>
                          <w:r>
                            <w:t>238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twR+Y0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LcEfmNAIAAGUEAAAOAAAAAAAAAAEAIAAAAB8BAABkcnMvZTJvRG9jLnhtbFBL&#10;BQYAAAAABgAGAFkBAADFBQAAAAA=&#10;">
              <v:fill on="f" focussize="0,0"/>
              <v:stroke on="f" weight="0.5pt"/>
              <v:imagedata o:title=""/>
              <o:lock v:ext="edit" aspectratio="f"/>
              <v:textbox inset="0mm,0mm,0mm,0mm" style="mso-fit-shape-to-text:t;">
                <w:txbxContent>
                  <w:p w14:paraId="794326B8">
                    <w:pPr>
                      <w:pStyle w:val="29"/>
                    </w:pPr>
                    <w:r>
                      <w:fldChar w:fldCharType="begin"/>
                    </w:r>
                    <w:r>
                      <w:instrText xml:space="preserve"> PAGE  \* MERGEFORMAT </w:instrText>
                    </w:r>
                    <w:r>
                      <w:fldChar w:fldCharType="separate"/>
                    </w:r>
                    <w:r>
                      <w:t>238</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8339F">
    <w:pPr>
      <w:pStyle w:val="30"/>
      <w:ind w:firstLine="360"/>
      <w:jc w:val="right"/>
      <w:rPr>
        <w:rFonts w:eastAsia="仿宋" w:cs="Times New Roman"/>
        <w:b/>
      </w:rPr>
    </w:pPr>
    <w:r>
      <w:rPr>
        <w:rFonts w:hint="eastAsia" w:cs="Times New Roman"/>
        <w:szCs w:val="24"/>
        <w:lang w:val="en-US" w:eastAsia="zh-CN"/>
      </w:rPr>
      <w:t>双鸭山市兴昌屠宰有限公司</w:t>
    </w:r>
    <w:r>
      <w:rPr>
        <w:rFonts w:hint="eastAsia" w:cs="Times New Roman"/>
        <w:szCs w:val="24"/>
      </w:rPr>
      <w:t>建设项目环境影响报告书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A72F81">
    <w:pP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4D142">
    <w:pPr>
      <w:pStyle w:val="30"/>
      <w:ind w:firstLine="360"/>
      <w:rPr>
        <w:rFonts w:ascii="宋体" w:hAnsi="宋体" w:cs="宋体"/>
        <w:bCs/>
      </w:rPr>
    </w:pPr>
    <w:r>
      <w:rPr>
        <w:rFonts w:hint="eastAsia" w:ascii="宋体" w:hAnsi="宋体" w:cs="宋体"/>
        <w:bCs/>
        <w:lang w:eastAsia="zh-CN"/>
      </w:rPr>
      <w:t>双鸭山市兴昌屠宰有限公司建设项目</w:t>
    </w:r>
    <w:r>
      <w:rPr>
        <w:rFonts w:hint="eastAsia" w:ascii="宋体" w:hAnsi="宋体" w:cs="宋体"/>
        <w:bCs/>
      </w:rPr>
      <w:t>环境影响报告书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CB9FE">
    <w:pP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B93BE"/>
  <w:p w14:paraId="57250CC3">
    <w:pPr>
      <w:ind w:left="284"/>
      <w:rPr>
        <w:rFonts w:ascii="黑体" w:hAnsi="黑体" w:eastAsia="黑体"/>
      </w:rPr>
    </w:pPr>
    <w:r>
      <w:rPr>
        <w:rFonts w:hint="eastAsia" w:ascii="黑体" w:hAnsi="黑体" w:eastAsia="黑体"/>
      </w:rPr>
      <w:t>HJ 2.3—2018</w:t>
    </w:r>
  </w:p>
  <w:p w14:paraId="77AF87A6">
    <w:pPr>
      <w:ind w:left="284" w:right="120" w:rightChars="5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87D7BC"/>
    <w:multiLevelType w:val="singleLevel"/>
    <w:tmpl w:val="8587D7BC"/>
    <w:lvl w:ilvl="0" w:tentative="0">
      <w:start w:val="1"/>
      <w:numFmt w:val="decimal"/>
      <w:suff w:val="nothing"/>
      <w:lvlText w:val="%1、"/>
      <w:lvlJc w:val="left"/>
    </w:lvl>
  </w:abstractNum>
  <w:abstractNum w:abstractNumId="1">
    <w:nsid w:val="945A7C29"/>
    <w:multiLevelType w:val="singleLevel"/>
    <w:tmpl w:val="945A7C29"/>
    <w:lvl w:ilvl="0" w:tentative="0">
      <w:start w:val="1"/>
      <w:numFmt w:val="decimal"/>
      <w:suff w:val="nothing"/>
      <w:lvlText w:val="（%1）"/>
      <w:lvlJc w:val="left"/>
    </w:lvl>
  </w:abstractNum>
  <w:abstractNum w:abstractNumId="2">
    <w:nsid w:val="9789A5F6"/>
    <w:multiLevelType w:val="singleLevel"/>
    <w:tmpl w:val="9789A5F6"/>
    <w:lvl w:ilvl="0" w:tentative="0">
      <w:start w:val="5"/>
      <w:numFmt w:val="decimal"/>
      <w:suff w:val="nothing"/>
      <w:lvlText w:val="（%1）"/>
      <w:lvlJc w:val="left"/>
    </w:lvl>
  </w:abstractNum>
  <w:abstractNum w:abstractNumId="3">
    <w:nsid w:val="A608011E"/>
    <w:multiLevelType w:val="singleLevel"/>
    <w:tmpl w:val="A608011E"/>
    <w:lvl w:ilvl="0" w:tentative="0">
      <w:start w:val="1"/>
      <w:numFmt w:val="decimal"/>
      <w:suff w:val="nothing"/>
      <w:lvlText w:val="%1）"/>
      <w:lvlJc w:val="left"/>
    </w:lvl>
  </w:abstractNum>
  <w:abstractNum w:abstractNumId="4">
    <w:nsid w:val="BE8AF6FF"/>
    <w:multiLevelType w:val="singleLevel"/>
    <w:tmpl w:val="BE8AF6FF"/>
    <w:lvl w:ilvl="0" w:tentative="0">
      <w:start w:val="2"/>
      <w:numFmt w:val="decimal"/>
      <w:suff w:val="nothing"/>
      <w:lvlText w:val="%1、"/>
      <w:lvlJc w:val="left"/>
    </w:lvl>
  </w:abstractNum>
  <w:abstractNum w:abstractNumId="5">
    <w:nsid w:val="D114E80B"/>
    <w:multiLevelType w:val="singleLevel"/>
    <w:tmpl w:val="D114E80B"/>
    <w:lvl w:ilvl="0" w:tentative="0">
      <w:start w:val="2"/>
      <w:numFmt w:val="decimal"/>
      <w:suff w:val="nothing"/>
      <w:lvlText w:val="（%1）"/>
      <w:lvlJc w:val="left"/>
    </w:lvl>
  </w:abstractNum>
  <w:abstractNum w:abstractNumId="6">
    <w:nsid w:val="EF1D8A10"/>
    <w:multiLevelType w:val="singleLevel"/>
    <w:tmpl w:val="EF1D8A10"/>
    <w:lvl w:ilvl="0" w:tentative="0">
      <w:start w:val="8"/>
      <w:numFmt w:val="decimal"/>
      <w:suff w:val="nothing"/>
      <w:lvlText w:val="（%1）"/>
      <w:lvlJc w:val="left"/>
    </w:lvl>
  </w:abstractNum>
  <w:abstractNum w:abstractNumId="7">
    <w:nsid w:val="0000000F"/>
    <w:multiLevelType w:val="multilevel"/>
    <w:tmpl w:val="0000000F"/>
    <w:lvl w:ilvl="0" w:tentative="0">
      <w:start w:val="1"/>
      <w:numFmt w:val="decimal"/>
      <w:lvlText w:val="%1."/>
      <w:lvlJc w:val="left"/>
      <w:pPr>
        <w:tabs>
          <w:tab w:val="left" w:pos="360"/>
        </w:tabs>
        <w:ind w:left="360" w:hanging="360"/>
      </w:pPr>
      <w:rPr>
        <w:rFonts w:hint="eastAsia"/>
      </w:rPr>
    </w:lvl>
    <w:lvl w:ilvl="1" w:tentative="0">
      <w:start w:val="1"/>
      <w:numFmt w:val="lowerLetter"/>
      <w:pStyle w:val="382"/>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00000011"/>
    <w:multiLevelType w:val="multilevel"/>
    <w:tmpl w:val="00000011"/>
    <w:lvl w:ilvl="0" w:tentative="0">
      <w:start w:val="1"/>
      <w:numFmt w:val="decimalEnclosedCircle"/>
      <w:pStyle w:val="246"/>
      <w:lvlText w:val="%1"/>
      <w:lvlJc w:val="left"/>
      <w:pPr>
        <w:tabs>
          <w:tab w:val="left" w:pos="780"/>
        </w:tabs>
        <w:ind w:left="780" w:hanging="360"/>
      </w:pPr>
      <w:rPr>
        <w:rFonts w:hint="eastAsia"/>
      </w:rPr>
    </w:lvl>
    <w:lvl w:ilvl="1" w:tentative="0">
      <w:start w:val="1"/>
      <w:numFmt w:val="lowerLetter"/>
      <w:pStyle w:val="238"/>
      <w:lvlText w:val="%2)"/>
      <w:lvlJc w:val="left"/>
      <w:pPr>
        <w:tabs>
          <w:tab w:val="left" w:pos="1260"/>
        </w:tabs>
        <w:ind w:left="1260" w:hanging="420"/>
      </w:pPr>
    </w:lvl>
    <w:lvl w:ilvl="2" w:tentative="0">
      <w:start w:val="1"/>
      <w:numFmt w:val="lowerRoman"/>
      <w:pStyle w:val="262"/>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9">
    <w:nsid w:val="00000013"/>
    <w:multiLevelType w:val="multilevel"/>
    <w:tmpl w:val="00000013"/>
    <w:lvl w:ilvl="0" w:tentative="0">
      <w:start w:val="1"/>
      <w:numFmt w:val="decimal"/>
      <w:pStyle w:val="376"/>
      <w:lvlText w:val="%1．"/>
      <w:lvlJc w:val="left"/>
      <w:pPr>
        <w:tabs>
          <w:tab w:val="left" w:pos="720"/>
        </w:tabs>
        <w:ind w:left="720" w:hanging="720"/>
      </w:pPr>
      <w:rPr>
        <w:rFonts w:hint="default" w:ascii="宋体" w:hAnsi="Courier New" w:eastAsia="宋体"/>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05CBA2A4"/>
    <w:multiLevelType w:val="singleLevel"/>
    <w:tmpl w:val="05CBA2A4"/>
    <w:lvl w:ilvl="0" w:tentative="0">
      <w:start w:val="5"/>
      <w:numFmt w:val="decimal"/>
      <w:suff w:val="nothing"/>
      <w:lvlText w:val="%1、"/>
      <w:lvlJc w:val="left"/>
    </w:lvl>
  </w:abstractNum>
  <w:abstractNum w:abstractNumId="11">
    <w:nsid w:val="14046C10"/>
    <w:multiLevelType w:val="singleLevel"/>
    <w:tmpl w:val="14046C10"/>
    <w:lvl w:ilvl="0" w:tentative="0">
      <w:start w:val="1"/>
      <w:numFmt w:val="decimal"/>
      <w:suff w:val="nothing"/>
      <w:lvlText w:val="（%1）"/>
      <w:lvlJc w:val="left"/>
    </w:lvl>
  </w:abstractNum>
  <w:abstractNum w:abstractNumId="12">
    <w:nsid w:val="2E387BB7"/>
    <w:multiLevelType w:val="singleLevel"/>
    <w:tmpl w:val="2E387BB7"/>
    <w:lvl w:ilvl="0" w:tentative="0">
      <w:start w:val="1"/>
      <w:numFmt w:val="upperLetter"/>
      <w:suff w:val="nothing"/>
      <w:lvlText w:val="%1、"/>
      <w:lvlJc w:val="left"/>
    </w:lvl>
  </w:abstractNum>
  <w:abstractNum w:abstractNumId="13">
    <w:nsid w:val="3D92F198"/>
    <w:multiLevelType w:val="singleLevel"/>
    <w:tmpl w:val="3D92F198"/>
    <w:lvl w:ilvl="0" w:tentative="0">
      <w:start w:val="1"/>
      <w:numFmt w:val="upperLetter"/>
      <w:suff w:val="nothing"/>
      <w:lvlText w:val="%1、"/>
      <w:lvlJc w:val="left"/>
    </w:lvl>
  </w:abstractNum>
  <w:abstractNum w:abstractNumId="14">
    <w:nsid w:val="461C27EA"/>
    <w:multiLevelType w:val="singleLevel"/>
    <w:tmpl w:val="461C27EA"/>
    <w:lvl w:ilvl="0" w:tentative="0">
      <w:start w:val="1"/>
      <w:numFmt w:val="decimal"/>
      <w:suff w:val="nothing"/>
      <w:lvlText w:val="%1、"/>
      <w:lvlJc w:val="left"/>
    </w:lvl>
  </w:abstractNum>
  <w:abstractNum w:abstractNumId="15">
    <w:nsid w:val="50CA9BA9"/>
    <w:multiLevelType w:val="singleLevel"/>
    <w:tmpl w:val="50CA9BA9"/>
    <w:lvl w:ilvl="0" w:tentative="0">
      <w:start w:val="1"/>
      <w:numFmt w:val="decimal"/>
      <w:suff w:val="nothing"/>
      <w:lvlText w:val="%1、"/>
      <w:lvlJc w:val="left"/>
    </w:lvl>
  </w:abstractNum>
  <w:abstractNum w:abstractNumId="16">
    <w:nsid w:val="5E503188"/>
    <w:multiLevelType w:val="singleLevel"/>
    <w:tmpl w:val="5E503188"/>
    <w:lvl w:ilvl="0" w:tentative="0">
      <w:start w:val="2"/>
      <w:numFmt w:val="upperLetter"/>
      <w:suff w:val="nothing"/>
      <w:lvlText w:val="%1、"/>
      <w:lvlJc w:val="left"/>
      <w:rPr>
        <w:rFonts w:hint="default"/>
        <w:b w:val="0"/>
        <w:bCs w:val="0"/>
      </w:rPr>
    </w:lvl>
  </w:abstractNum>
  <w:abstractNum w:abstractNumId="17">
    <w:nsid w:val="64391EDC"/>
    <w:multiLevelType w:val="singleLevel"/>
    <w:tmpl w:val="64391EDC"/>
    <w:lvl w:ilvl="0" w:tentative="0">
      <w:start w:val="5"/>
      <w:numFmt w:val="decimal"/>
      <w:lvlText w:val="%1."/>
      <w:lvlJc w:val="left"/>
      <w:pPr>
        <w:tabs>
          <w:tab w:val="left" w:pos="312"/>
        </w:tabs>
      </w:pPr>
    </w:lvl>
  </w:abstractNum>
  <w:abstractNum w:abstractNumId="18">
    <w:nsid w:val="70DEC2FD"/>
    <w:multiLevelType w:val="singleLevel"/>
    <w:tmpl w:val="70DEC2FD"/>
    <w:lvl w:ilvl="0" w:tentative="0">
      <w:start w:val="1"/>
      <w:numFmt w:val="bullet"/>
      <w:pStyle w:val="24"/>
      <w:lvlText w:val=""/>
      <w:lvlJc w:val="left"/>
      <w:pPr>
        <w:tabs>
          <w:tab w:val="left" w:pos="2040"/>
        </w:tabs>
        <w:ind w:left="2040" w:hanging="360"/>
      </w:pPr>
      <w:rPr>
        <w:rFonts w:hint="default" w:ascii="Wingdings" w:hAnsi="Wingdings"/>
      </w:rPr>
    </w:lvl>
  </w:abstractNum>
  <w:num w:numId="1">
    <w:abstractNumId w:val="18"/>
  </w:num>
  <w:num w:numId="2">
    <w:abstractNumId w:val="8"/>
  </w:num>
  <w:num w:numId="3">
    <w:abstractNumId w:val="9"/>
  </w:num>
  <w:num w:numId="4">
    <w:abstractNumId w:val="7"/>
  </w:num>
  <w:num w:numId="5">
    <w:abstractNumId w:val="4"/>
  </w:num>
  <w:num w:numId="6">
    <w:abstractNumId w:val="0"/>
  </w:num>
  <w:num w:numId="7">
    <w:abstractNumId w:val="14"/>
  </w:num>
  <w:num w:numId="8">
    <w:abstractNumId w:val="1"/>
  </w:num>
  <w:num w:numId="9">
    <w:abstractNumId w:val="13"/>
  </w:num>
  <w:num w:numId="10">
    <w:abstractNumId w:val="16"/>
  </w:num>
  <w:num w:numId="11">
    <w:abstractNumId w:val="3"/>
  </w:num>
  <w:num w:numId="12">
    <w:abstractNumId w:val="5"/>
  </w:num>
  <w:num w:numId="13">
    <w:abstractNumId w:val="6"/>
  </w:num>
  <w:num w:numId="14">
    <w:abstractNumId w:val="2"/>
  </w:num>
  <w:num w:numId="15">
    <w:abstractNumId w:val="10"/>
  </w:num>
  <w:num w:numId="16">
    <w:abstractNumId w:val="15"/>
  </w:num>
  <w:num w:numId="17">
    <w:abstractNumId w:val="17"/>
  </w:num>
  <w:num w:numId="18">
    <w:abstractNumId w:val="11"/>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hideSpellingErrors/>
  <w:hideGrammaticalErrors/>
  <w:documentProtection w:enforcement="0"/>
  <w:defaultTabStop w:val="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k2MDNiMDNlYTVkZmQxMmFlNzdhMzZiYjJlOTlmM2UifQ=="/>
  </w:docVars>
  <w:rsids>
    <w:rsidRoot w:val="003B39DD"/>
    <w:rsid w:val="00000A5B"/>
    <w:rsid w:val="00002D5C"/>
    <w:rsid w:val="00003690"/>
    <w:rsid w:val="00007623"/>
    <w:rsid w:val="0001180B"/>
    <w:rsid w:val="00013359"/>
    <w:rsid w:val="00015911"/>
    <w:rsid w:val="00015A47"/>
    <w:rsid w:val="000208B3"/>
    <w:rsid w:val="00020E8A"/>
    <w:rsid w:val="00023272"/>
    <w:rsid w:val="00025644"/>
    <w:rsid w:val="0002649E"/>
    <w:rsid w:val="0002684F"/>
    <w:rsid w:val="00030DB4"/>
    <w:rsid w:val="00031AE2"/>
    <w:rsid w:val="0003225E"/>
    <w:rsid w:val="0003263A"/>
    <w:rsid w:val="00033520"/>
    <w:rsid w:val="000352A3"/>
    <w:rsid w:val="00035ED4"/>
    <w:rsid w:val="000362A7"/>
    <w:rsid w:val="0003742D"/>
    <w:rsid w:val="00041EA2"/>
    <w:rsid w:val="00043FF0"/>
    <w:rsid w:val="00046054"/>
    <w:rsid w:val="00046A3D"/>
    <w:rsid w:val="00046F70"/>
    <w:rsid w:val="0005170A"/>
    <w:rsid w:val="00051845"/>
    <w:rsid w:val="00052359"/>
    <w:rsid w:val="00052425"/>
    <w:rsid w:val="000530E2"/>
    <w:rsid w:val="0005363F"/>
    <w:rsid w:val="000539BA"/>
    <w:rsid w:val="00053FBD"/>
    <w:rsid w:val="000540C3"/>
    <w:rsid w:val="0005639F"/>
    <w:rsid w:val="00056643"/>
    <w:rsid w:val="00056923"/>
    <w:rsid w:val="00057A18"/>
    <w:rsid w:val="00061081"/>
    <w:rsid w:val="00061A46"/>
    <w:rsid w:val="00062BE5"/>
    <w:rsid w:val="000635C1"/>
    <w:rsid w:val="0006551D"/>
    <w:rsid w:val="00065BFF"/>
    <w:rsid w:val="0007043C"/>
    <w:rsid w:val="00074521"/>
    <w:rsid w:val="000764A4"/>
    <w:rsid w:val="00076EE6"/>
    <w:rsid w:val="00080E44"/>
    <w:rsid w:val="000811B2"/>
    <w:rsid w:val="00081AE3"/>
    <w:rsid w:val="00081C1C"/>
    <w:rsid w:val="00081E2F"/>
    <w:rsid w:val="000839ED"/>
    <w:rsid w:val="00083D7C"/>
    <w:rsid w:val="00084C4F"/>
    <w:rsid w:val="00084E24"/>
    <w:rsid w:val="0008542C"/>
    <w:rsid w:val="00086427"/>
    <w:rsid w:val="000873AF"/>
    <w:rsid w:val="00091270"/>
    <w:rsid w:val="000920A4"/>
    <w:rsid w:val="000934EE"/>
    <w:rsid w:val="000962BC"/>
    <w:rsid w:val="0009691A"/>
    <w:rsid w:val="00097720"/>
    <w:rsid w:val="000A03C8"/>
    <w:rsid w:val="000A1209"/>
    <w:rsid w:val="000A2D81"/>
    <w:rsid w:val="000A4125"/>
    <w:rsid w:val="000A41A8"/>
    <w:rsid w:val="000A4783"/>
    <w:rsid w:val="000A4FB8"/>
    <w:rsid w:val="000A718C"/>
    <w:rsid w:val="000A718F"/>
    <w:rsid w:val="000B1235"/>
    <w:rsid w:val="000B196E"/>
    <w:rsid w:val="000B2239"/>
    <w:rsid w:val="000B2C99"/>
    <w:rsid w:val="000B5F3B"/>
    <w:rsid w:val="000C060D"/>
    <w:rsid w:val="000C0D62"/>
    <w:rsid w:val="000C43CA"/>
    <w:rsid w:val="000C4D7F"/>
    <w:rsid w:val="000C52A1"/>
    <w:rsid w:val="000C5EE9"/>
    <w:rsid w:val="000C5F82"/>
    <w:rsid w:val="000C6BBD"/>
    <w:rsid w:val="000D2103"/>
    <w:rsid w:val="000D276C"/>
    <w:rsid w:val="000D62D7"/>
    <w:rsid w:val="000D741B"/>
    <w:rsid w:val="000E0EAD"/>
    <w:rsid w:val="000E1190"/>
    <w:rsid w:val="000E3C4C"/>
    <w:rsid w:val="000E4B67"/>
    <w:rsid w:val="000E53EC"/>
    <w:rsid w:val="000E5592"/>
    <w:rsid w:val="000E6F21"/>
    <w:rsid w:val="000F2423"/>
    <w:rsid w:val="000F40EA"/>
    <w:rsid w:val="000F42FD"/>
    <w:rsid w:val="000F6969"/>
    <w:rsid w:val="001003F0"/>
    <w:rsid w:val="001004E3"/>
    <w:rsid w:val="0010314C"/>
    <w:rsid w:val="0010644A"/>
    <w:rsid w:val="00114118"/>
    <w:rsid w:val="00115FC0"/>
    <w:rsid w:val="001175ED"/>
    <w:rsid w:val="0012018F"/>
    <w:rsid w:val="00120ED9"/>
    <w:rsid w:val="001228D1"/>
    <w:rsid w:val="00124245"/>
    <w:rsid w:val="001258FF"/>
    <w:rsid w:val="00127100"/>
    <w:rsid w:val="0012748A"/>
    <w:rsid w:val="00134200"/>
    <w:rsid w:val="001347DA"/>
    <w:rsid w:val="00136360"/>
    <w:rsid w:val="00137063"/>
    <w:rsid w:val="00150627"/>
    <w:rsid w:val="001507AA"/>
    <w:rsid w:val="00153E39"/>
    <w:rsid w:val="00154B78"/>
    <w:rsid w:val="00163715"/>
    <w:rsid w:val="001642FC"/>
    <w:rsid w:val="00164524"/>
    <w:rsid w:val="00164734"/>
    <w:rsid w:val="00167645"/>
    <w:rsid w:val="00174367"/>
    <w:rsid w:val="00175715"/>
    <w:rsid w:val="001758A3"/>
    <w:rsid w:val="00180AE5"/>
    <w:rsid w:val="0018274C"/>
    <w:rsid w:val="001836DA"/>
    <w:rsid w:val="00184741"/>
    <w:rsid w:val="001859E2"/>
    <w:rsid w:val="00186CB4"/>
    <w:rsid w:val="001908FA"/>
    <w:rsid w:val="00190CB3"/>
    <w:rsid w:val="001917C5"/>
    <w:rsid w:val="00193EBE"/>
    <w:rsid w:val="00194CB4"/>
    <w:rsid w:val="00195080"/>
    <w:rsid w:val="001A0045"/>
    <w:rsid w:val="001A011E"/>
    <w:rsid w:val="001A14AC"/>
    <w:rsid w:val="001A290C"/>
    <w:rsid w:val="001A3A4A"/>
    <w:rsid w:val="001A5DBE"/>
    <w:rsid w:val="001B31C0"/>
    <w:rsid w:val="001B3274"/>
    <w:rsid w:val="001B3BED"/>
    <w:rsid w:val="001B4612"/>
    <w:rsid w:val="001B5238"/>
    <w:rsid w:val="001B6664"/>
    <w:rsid w:val="001B6890"/>
    <w:rsid w:val="001B795B"/>
    <w:rsid w:val="001C0DBE"/>
    <w:rsid w:val="001C2177"/>
    <w:rsid w:val="001C21B4"/>
    <w:rsid w:val="001C2601"/>
    <w:rsid w:val="001C3F4F"/>
    <w:rsid w:val="001C4AAA"/>
    <w:rsid w:val="001C4D7E"/>
    <w:rsid w:val="001C5A2F"/>
    <w:rsid w:val="001C6675"/>
    <w:rsid w:val="001C7C4B"/>
    <w:rsid w:val="001D025E"/>
    <w:rsid w:val="001D0FC6"/>
    <w:rsid w:val="001D1D2C"/>
    <w:rsid w:val="001D2014"/>
    <w:rsid w:val="001D3179"/>
    <w:rsid w:val="001D4983"/>
    <w:rsid w:val="001D4F34"/>
    <w:rsid w:val="001D7092"/>
    <w:rsid w:val="001D7784"/>
    <w:rsid w:val="001D7820"/>
    <w:rsid w:val="001E1AD8"/>
    <w:rsid w:val="001E1ED9"/>
    <w:rsid w:val="001E4395"/>
    <w:rsid w:val="001E4724"/>
    <w:rsid w:val="001E4BF4"/>
    <w:rsid w:val="001E4DBE"/>
    <w:rsid w:val="001E511D"/>
    <w:rsid w:val="001E7A10"/>
    <w:rsid w:val="001F3C51"/>
    <w:rsid w:val="001F4FAF"/>
    <w:rsid w:val="001F529F"/>
    <w:rsid w:val="001F746B"/>
    <w:rsid w:val="00202FF6"/>
    <w:rsid w:val="0020709C"/>
    <w:rsid w:val="002110D2"/>
    <w:rsid w:val="00213401"/>
    <w:rsid w:val="00213A71"/>
    <w:rsid w:val="00213D1C"/>
    <w:rsid w:val="002163BA"/>
    <w:rsid w:val="0021796B"/>
    <w:rsid w:val="0022036C"/>
    <w:rsid w:val="0022431F"/>
    <w:rsid w:val="00224325"/>
    <w:rsid w:val="002247BA"/>
    <w:rsid w:val="00231666"/>
    <w:rsid w:val="002316E1"/>
    <w:rsid w:val="00231D95"/>
    <w:rsid w:val="00234840"/>
    <w:rsid w:val="00236A89"/>
    <w:rsid w:val="00236BBE"/>
    <w:rsid w:val="00236E5D"/>
    <w:rsid w:val="00241495"/>
    <w:rsid w:val="00243BAE"/>
    <w:rsid w:val="00243F6A"/>
    <w:rsid w:val="00245DE8"/>
    <w:rsid w:val="0024654B"/>
    <w:rsid w:val="00247A18"/>
    <w:rsid w:val="00247DC2"/>
    <w:rsid w:val="00250729"/>
    <w:rsid w:val="0025254A"/>
    <w:rsid w:val="00256B9A"/>
    <w:rsid w:val="00260187"/>
    <w:rsid w:val="002602A5"/>
    <w:rsid w:val="0026035C"/>
    <w:rsid w:val="0026044B"/>
    <w:rsid w:val="00260507"/>
    <w:rsid w:val="002609F8"/>
    <w:rsid w:val="0026128F"/>
    <w:rsid w:val="00262C23"/>
    <w:rsid w:val="002630BB"/>
    <w:rsid w:val="00263968"/>
    <w:rsid w:val="00264D74"/>
    <w:rsid w:val="00265D76"/>
    <w:rsid w:val="00265FC6"/>
    <w:rsid w:val="00267040"/>
    <w:rsid w:val="002705B6"/>
    <w:rsid w:val="00271806"/>
    <w:rsid w:val="00273F9F"/>
    <w:rsid w:val="0028059F"/>
    <w:rsid w:val="00280EB9"/>
    <w:rsid w:val="002811B9"/>
    <w:rsid w:val="00282E29"/>
    <w:rsid w:val="002831EB"/>
    <w:rsid w:val="00284E0F"/>
    <w:rsid w:val="00285837"/>
    <w:rsid w:val="00285894"/>
    <w:rsid w:val="00285ABD"/>
    <w:rsid w:val="002874F1"/>
    <w:rsid w:val="00290E55"/>
    <w:rsid w:val="00292101"/>
    <w:rsid w:val="0029237F"/>
    <w:rsid w:val="00292BAB"/>
    <w:rsid w:val="002939B5"/>
    <w:rsid w:val="00294D97"/>
    <w:rsid w:val="00296400"/>
    <w:rsid w:val="00296AAC"/>
    <w:rsid w:val="00297448"/>
    <w:rsid w:val="002A26C0"/>
    <w:rsid w:val="002A3023"/>
    <w:rsid w:val="002A4823"/>
    <w:rsid w:val="002A4F7F"/>
    <w:rsid w:val="002A65C1"/>
    <w:rsid w:val="002B0ECE"/>
    <w:rsid w:val="002B2989"/>
    <w:rsid w:val="002B4102"/>
    <w:rsid w:val="002B5AE3"/>
    <w:rsid w:val="002B7982"/>
    <w:rsid w:val="002B7C43"/>
    <w:rsid w:val="002C0A74"/>
    <w:rsid w:val="002C1222"/>
    <w:rsid w:val="002C16AE"/>
    <w:rsid w:val="002C289E"/>
    <w:rsid w:val="002C2D47"/>
    <w:rsid w:val="002C3100"/>
    <w:rsid w:val="002C4A3F"/>
    <w:rsid w:val="002C5146"/>
    <w:rsid w:val="002C5684"/>
    <w:rsid w:val="002C569D"/>
    <w:rsid w:val="002C6AD8"/>
    <w:rsid w:val="002D24C7"/>
    <w:rsid w:val="002D459C"/>
    <w:rsid w:val="002D5E27"/>
    <w:rsid w:val="002D5F37"/>
    <w:rsid w:val="002D6173"/>
    <w:rsid w:val="002E373A"/>
    <w:rsid w:val="002E51B5"/>
    <w:rsid w:val="002E547F"/>
    <w:rsid w:val="002E5F5E"/>
    <w:rsid w:val="002F047C"/>
    <w:rsid w:val="002F2061"/>
    <w:rsid w:val="002F2321"/>
    <w:rsid w:val="002F41F9"/>
    <w:rsid w:val="002F5B82"/>
    <w:rsid w:val="002F7995"/>
    <w:rsid w:val="002F799C"/>
    <w:rsid w:val="00302282"/>
    <w:rsid w:val="003028D0"/>
    <w:rsid w:val="00304642"/>
    <w:rsid w:val="003121D9"/>
    <w:rsid w:val="00312744"/>
    <w:rsid w:val="003136EE"/>
    <w:rsid w:val="00313EB5"/>
    <w:rsid w:val="00314C27"/>
    <w:rsid w:val="003161EE"/>
    <w:rsid w:val="00316E21"/>
    <w:rsid w:val="00317119"/>
    <w:rsid w:val="00321B17"/>
    <w:rsid w:val="0032577C"/>
    <w:rsid w:val="00326856"/>
    <w:rsid w:val="00330214"/>
    <w:rsid w:val="003335F4"/>
    <w:rsid w:val="003336C5"/>
    <w:rsid w:val="003345EA"/>
    <w:rsid w:val="00340EF7"/>
    <w:rsid w:val="003413A2"/>
    <w:rsid w:val="00342989"/>
    <w:rsid w:val="00344245"/>
    <w:rsid w:val="00345FC5"/>
    <w:rsid w:val="003469E5"/>
    <w:rsid w:val="00351EC4"/>
    <w:rsid w:val="0035429E"/>
    <w:rsid w:val="003577BC"/>
    <w:rsid w:val="00357F2C"/>
    <w:rsid w:val="00363E20"/>
    <w:rsid w:val="00365216"/>
    <w:rsid w:val="00366119"/>
    <w:rsid w:val="0036654D"/>
    <w:rsid w:val="00366E92"/>
    <w:rsid w:val="00366F7A"/>
    <w:rsid w:val="003679DB"/>
    <w:rsid w:val="00370365"/>
    <w:rsid w:val="00372890"/>
    <w:rsid w:val="00373246"/>
    <w:rsid w:val="00380821"/>
    <w:rsid w:val="00380A6E"/>
    <w:rsid w:val="00381C67"/>
    <w:rsid w:val="003823F8"/>
    <w:rsid w:val="0038318D"/>
    <w:rsid w:val="0038361F"/>
    <w:rsid w:val="0038372F"/>
    <w:rsid w:val="0038459E"/>
    <w:rsid w:val="00386A75"/>
    <w:rsid w:val="00386B42"/>
    <w:rsid w:val="003875FE"/>
    <w:rsid w:val="00387997"/>
    <w:rsid w:val="00391050"/>
    <w:rsid w:val="0039119F"/>
    <w:rsid w:val="00393C14"/>
    <w:rsid w:val="003A17E5"/>
    <w:rsid w:val="003A1B92"/>
    <w:rsid w:val="003A3785"/>
    <w:rsid w:val="003A3FD4"/>
    <w:rsid w:val="003A457A"/>
    <w:rsid w:val="003A49F7"/>
    <w:rsid w:val="003A616F"/>
    <w:rsid w:val="003B0161"/>
    <w:rsid w:val="003B2E1D"/>
    <w:rsid w:val="003B39DD"/>
    <w:rsid w:val="003B4A75"/>
    <w:rsid w:val="003B5B7E"/>
    <w:rsid w:val="003B5E82"/>
    <w:rsid w:val="003B6D24"/>
    <w:rsid w:val="003C0080"/>
    <w:rsid w:val="003C00D6"/>
    <w:rsid w:val="003C149E"/>
    <w:rsid w:val="003C21C6"/>
    <w:rsid w:val="003C2B0D"/>
    <w:rsid w:val="003C2B84"/>
    <w:rsid w:val="003C522D"/>
    <w:rsid w:val="003D1104"/>
    <w:rsid w:val="003D1D53"/>
    <w:rsid w:val="003D1DB7"/>
    <w:rsid w:val="003D24D5"/>
    <w:rsid w:val="003D250E"/>
    <w:rsid w:val="003D283E"/>
    <w:rsid w:val="003D562D"/>
    <w:rsid w:val="003E0ADB"/>
    <w:rsid w:val="003E2230"/>
    <w:rsid w:val="003E44EA"/>
    <w:rsid w:val="003E5129"/>
    <w:rsid w:val="003E67DB"/>
    <w:rsid w:val="003E7CC6"/>
    <w:rsid w:val="003F5A53"/>
    <w:rsid w:val="00401509"/>
    <w:rsid w:val="004032C9"/>
    <w:rsid w:val="00403C26"/>
    <w:rsid w:val="00406BE2"/>
    <w:rsid w:val="004071B0"/>
    <w:rsid w:val="00407ED6"/>
    <w:rsid w:val="0041081B"/>
    <w:rsid w:val="00411C27"/>
    <w:rsid w:val="004121F2"/>
    <w:rsid w:val="0041284B"/>
    <w:rsid w:val="00414A61"/>
    <w:rsid w:val="00415A98"/>
    <w:rsid w:val="004215EE"/>
    <w:rsid w:val="0042222F"/>
    <w:rsid w:val="00424A30"/>
    <w:rsid w:val="00426C9A"/>
    <w:rsid w:val="00432920"/>
    <w:rsid w:val="00435676"/>
    <w:rsid w:val="00435878"/>
    <w:rsid w:val="00435914"/>
    <w:rsid w:val="00435CE0"/>
    <w:rsid w:val="00435E90"/>
    <w:rsid w:val="004403AA"/>
    <w:rsid w:val="00441014"/>
    <w:rsid w:val="00441CF6"/>
    <w:rsid w:val="00442381"/>
    <w:rsid w:val="0044281A"/>
    <w:rsid w:val="00443137"/>
    <w:rsid w:val="00444EA9"/>
    <w:rsid w:val="00446047"/>
    <w:rsid w:val="004509B3"/>
    <w:rsid w:val="00452986"/>
    <w:rsid w:val="004552BF"/>
    <w:rsid w:val="004569FA"/>
    <w:rsid w:val="004572E0"/>
    <w:rsid w:val="00457C7C"/>
    <w:rsid w:val="004609F5"/>
    <w:rsid w:val="0046297B"/>
    <w:rsid w:val="00463117"/>
    <w:rsid w:val="00463BDF"/>
    <w:rsid w:val="0046767E"/>
    <w:rsid w:val="00467C4D"/>
    <w:rsid w:val="00474953"/>
    <w:rsid w:val="0047674D"/>
    <w:rsid w:val="00477EF5"/>
    <w:rsid w:val="0048071C"/>
    <w:rsid w:val="00481310"/>
    <w:rsid w:val="00483E9A"/>
    <w:rsid w:val="00485706"/>
    <w:rsid w:val="00486793"/>
    <w:rsid w:val="00486CAE"/>
    <w:rsid w:val="004876EA"/>
    <w:rsid w:val="00487904"/>
    <w:rsid w:val="00495AC5"/>
    <w:rsid w:val="00496293"/>
    <w:rsid w:val="00497399"/>
    <w:rsid w:val="004A29D1"/>
    <w:rsid w:val="004A3DED"/>
    <w:rsid w:val="004A4EB2"/>
    <w:rsid w:val="004A53DC"/>
    <w:rsid w:val="004A6234"/>
    <w:rsid w:val="004A6FD4"/>
    <w:rsid w:val="004A72BC"/>
    <w:rsid w:val="004A765B"/>
    <w:rsid w:val="004B6F17"/>
    <w:rsid w:val="004B7270"/>
    <w:rsid w:val="004B78C9"/>
    <w:rsid w:val="004B7A2A"/>
    <w:rsid w:val="004C2D40"/>
    <w:rsid w:val="004C32A2"/>
    <w:rsid w:val="004C4853"/>
    <w:rsid w:val="004C5325"/>
    <w:rsid w:val="004C5AB7"/>
    <w:rsid w:val="004C6642"/>
    <w:rsid w:val="004C7B50"/>
    <w:rsid w:val="004D0459"/>
    <w:rsid w:val="004D3585"/>
    <w:rsid w:val="004D37B4"/>
    <w:rsid w:val="004D652C"/>
    <w:rsid w:val="004D7F42"/>
    <w:rsid w:val="004E08FE"/>
    <w:rsid w:val="004E1C26"/>
    <w:rsid w:val="004E271C"/>
    <w:rsid w:val="004E39BA"/>
    <w:rsid w:val="004E3E25"/>
    <w:rsid w:val="004E4F17"/>
    <w:rsid w:val="004E4FB5"/>
    <w:rsid w:val="004E7B75"/>
    <w:rsid w:val="004E7FD4"/>
    <w:rsid w:val="004F1906"/>
    <w:rsid w:val="004F191D"/>
    <w:rsid w:val="004F5D68"/>
    <w:rsid w:val="004F6561"/>
    <w:rsid w:val="004F6FCB"/>
    <w:rsid w:val="004F7567"/>
    <w:rsid w:val="005009EA"/>
    <w:rsid w:val="00501325"/>
    <w:rsid w:val="00502727"/>
    <w:rsid w:val="00503AF0"/>
    <w:rsid w:val="0050692F"/>
    <w:rsid w:val="005077D2"/>
    <w:rsid w:val="00514AE2"/>
    <w:rsid w:val="005150F3"/>
    <w:rsid w:val="00515BC5"/>
    <w:rsid w:val="00515C4E"/>
    <w:rsid w:val="00516538"/>
    <w:rsid w:val="0051759C"/>
    <w:rsid w:val="0052156E"/>
    <w:rsid w:val="005229E7"/>
    <w:rsid w:val="00530E3B"/>
    <w:rsid w:val="005330E3"/>
    <w:rsid w:val="005336AB"/>
    <w:rsid w:val="00533DF0"/>
    <w:rsid w:val="0053410A"/>
    <w:rsid w:val="005341DB"/>
    <w:rsid w:val="00534988"/>
    <w:rsid w:val="0053528C"/>
    <w:rsid w:val="0053563B"/>
    <w:rsid w:val="00535E80"/>
    <w:rsid w:val="00537061"/>
    <w:rsid w:val="00542803"/>
    <w:rsid w:val="0054659C"/>
    <w:rsid w:val="00551A28"/>
    <w:rsid w:val="005611CC"/>
    <w:rsid w:val="005615FC"/>
    <w:rsid w:val="00563955"/>
    <w:rsid w:val="00563B5C"/>
    <w:rsid w:val="005660FC"/>
    <w:rsid w:val="00566703"/>
    <w:rsid w:val="00566B7F"/>
    <w:rsid w:val="00570C26"/>
    <w:rsid w:val="00573C31"/>
    <w:rsid w:val="0057453E"/>
    <w:rsid w:val="00574C65"/>
    <w:rsid w:val="00576BAF"/>
    <w:rsid w:val="00576C42"/>
    <w:rsid w:val="00577DD4"/>
    <w:rsid w:val="0058422B"/>
    <w:rsid w:val="0058657C"/>
    <w:rsid w:val="0059015F"/>
    <w:rsid w:val="00593A4C"/>
    <w:rsid w:val="005958E8"/>
    <w:rsid w:val="00596411"/>
    <w:rsid w:val="0059726F"/>
    <w:rsid w:val="005A08F0"/>
    <w:rsid w:val="005A0E58"/>
    <w:rsid w:val="005A151A"/>
    <w:rsid w:val="005A5D5C"/>
    <w:rsid w:val="005A5D7F"/>
    <w:rsid w:val="005B1D35"/>
    <w:rsid w:val="005B2688"/>
    <w:rsid w:val="005B3B09"/>
    <w:rsid w:val="005B4199"/>
    <w:rsid w:val="005B4C9C"/>
    <w:rsid w:val="005B4E16"/>
    <w:rsid w:val="005B5F74"/>
    <w:rsid w:val="005B676F"/>
    <w:rsid w:val="005C074E"/>
    <w:rsid w:val="005C13B5"/>
    <w:rsid w:val="005C4332"/>
    <w:rsid w:val="005C4BF9"/>
    <w:rsid w:val="005C633B"/>
    <w:rsid w:val="005D04EE"/>
    <w:rsid w:val="005D06CD"/>
    <w:rsid w:val="005D10C0"/>
    <w:rsid w:val="005D141A"/>
    <w:rsid w:val="005D2330"/>
    <w:rsid w:val="005D2425"/>
    <w:rsid w:val="005D2FB2"/>
    <w:rsid w:val="005D42D8"/>
    <w:rsid w:val="005E0174"/>
    <w:rsid w:val="005E19E5"/>
    <w:rsid w:val="005E4348"/>
    <w:rsid w:val="005E44C4"/>
    <w:rsid w:val="005E4B4E"/>
    <w:rsid w:val="005E63B2"/>
    <w:rsid w:val="005E7E9B"/>
    <w:rsid w:val="005F0604"/>
    <w:rsid w:val="005F09E6"/>
    <w:rsid w:val="005F0D0B"/>
    <w:rsid w:val="005F187C"/>
    <w:rsid w:val="005F390E"/>
    <w:rsid w:val="005F5CFF"/>
    <w:rsid w:val="005F5DD3"/>
    <w:rsid w:val="00600346"/>
    <w:rsid w:val="00600858"/>
    <w:rsid w:val="0060330C"/>
    <w:rsid w:val="00603529"/>
    <w:rsid w:val="00607229"/>
    <w:rsid w:val="00611880"/>
    <w:rsid w:val="00611DF2"/>
    <w:rsid w:val="00613FEA"/>
    <w:rsid w:val="00614424"/>
    <w:rsid w:val="006154A3"/>
    <w:rsid w:val="00616ABF"/>
    <w:rsid w:val="00621EDD"/>
    <w:rsid w:val="00622587"/>
    <w:rsid w:val="00625B29"/>
    <w:rsid w:val="00625FF9"/>
    <w:rsid w:val="0062731A"/>
    <w:rsid w:val="00627E6B"/>
    <w:rsid w:val="00631B65"/>
    <w:rsid w:val="0063349B"/>
    <w:rsid w:val="00633749"/>
    <w:rsid w:val="00636C2F"/>
    <w:rsid w:val="0063743A"/>
    <w:rsid w:val="0063751B"/>
    <w:rsid w:val="00637AED"/>
    <w:rsid w:val="006400C6"/>
    <w:rsid w:val="00640717"/>
    <w:rsid w:val="00641CB4"/>
    <w:rsid w:val="00642973"/>
    <w:rsid w:val="00642CC8"/>
    <w:rsid w:val="00643125"/>
    <w:rsid w:val="006438C8"/>
    <w:rsid w:val="0064635B"/>
    <w:rsid w:val="00652E06"/>
    <w:rsid w:val="00653795"/>
    <w:rsid w:val="00653977"/>
    <w:rsid w:val="00653F64"/>
    <w:rsid w:val="006549EC"/>
    <w:rsid w:val="0065639C"/>
    <w:rsid w:val="006564B8"/>
    <w:rsid w:val="00656DE1"/>
    <w:rsid w:val="00657882"/>
    <w:rsid w:val="00661366"/>
    <w:rsid w:val="00661BA6"/>
    <w:rsid w:val="00662E8A"/>
    <w:rsid w:val="00664669"/>
    <w:rsid w:val="00664ACC"/>
    <w:rsid w:val="00665E9A"/>
    <w:rsid w:val="0066704C"/>
    <w:rsid w:val="00673FA1"/>
    <w:rsid w:val="00677386"/>
    <w:rsid w:val="00680D50"/>
    <w:rsid w:val="0068123E"/>
    <w:rsid w:val="0068172A"/>
    <w:rsid w:val="006818EA"/>
    <w:rsid w:val="00682200"/>
    <w:rsid w:val="00683BBE"/>
    <w:rsid w:val="00683E88"/>
    <w:rsid w:val="006848DA"/>
    <w:rsid w:val="00685179"/>
    <w:rsid w:val="0068521E"/>
    <w:rsid w:val="006871D7"/>
    <w:rsid w:val="00691DBE"/>
    <w:rsid w:val="00692265"/>
    <w:rsid w:val="0069236C"/>
    <w:rsid w:val="00694073"/>
    <w:rsid w:val="00695203"/>
    <w:rsid w:val="006955F6"/>
    <w:rsid w:val="00695E68"/>
    <w:rsid w:val="00696608"/>
    <w:rsid w:val="00696DBC"/>
    <w:rsid w:val="00697EBD"/>
    <w:rsid w:val="006A013E"/>
    <w:rsid w:val="006A027E"/>
    <w:rsid w:val="006A0A26"/>
    <w:rsid w:val="006A1378"/>
    <w:rsid w:val="006A1F0F"/>
    <w:rsid w:val="006A2EFF"/>
    <w:rsid w:val="006A4731"/>
    <w:rsid w:val="006A4F97"/>
    <w:rsid w:val="006A5836"/>
    <w:rsid w:val="006A5DEB"/>
    <w:rsid w:val="006A5E20"/>
    <w:rsid w:val="006A5F0D"/>
    <w:rsid w:val="006A66DF"/>
    <w:rsid w:val="006A7A1C"/>
    <w:rsid w:val="006B25DF"/>
    <w:rsid w:val="006B6AC4"/>
    <w:rsid w:val="006B6ED8"/>
    <w:rsid w:val="006C02FF"/>
    <w:rsid w:val="006C0E22"/>
    <w:rsid w:val="006C2CCB"/>
    <w:rsid w:val="006C4EDD"/>
    <w:rsid w:val="006C643B"/>
    <w:rsid w:val="006C7E7B"/>
    <w:rsid w:val="006D0223"/>
    <w:rsid w:val="006D52D0"/>
    <w:rsid w:val="006D5F1A"/>
    <w:rsid w:val="006D6546"/>
    <w:rsid w:val="006D7314"/>
    <w:rsid w:val="006D7B11"/>
    <w:rsid w:val="006E023C"/>
    <w:rsid w:val="006E0310"/>
    <w:rsid w:val="006E0839"/>
    <w:rsid w:val="006E10AA"/>
    <w:rsid w:val="006E15EB"/>
    <w:rsid w:val="006E1D69"/>
    <w:rsid w:val="006E666D"/>
    <w:rsid w:val="006E6B35"/>
    <w:rsid w:val="006E7B33"/>
    <w:rsid w:val="006F387B"/>
    <w:rsid w:val="006F629E"/>
    <w:rsid w:val="006F672A"/>
    <w:rsid w:val="006F6796"/>
    <w:rsid w:val="00702A86"/>
    <w:rsid w:val="007048CD"/>
    <w:rsid w:val="00705ABC"/>
    <w:rsid w:val="007060D7"/>
    <w:rsid w:val="00707530"/>
    <w:rsid w:val="00714A99"/>
    <w:rsid w:val="00715FC2"/>
    <w:rsid w:val="00716932"/>
    <w:rsid w:val="00720CE5"/>
    <w:rsid w:val="0072109A"/>
    <w:rsid w:val="007218FF"/>
    <w:rsid w:val="00722144"/>
    <w:rsid w:val="00724DE0"/>
    <w:rsid w:val="00730970"/>
    <w:rsid w:val="00732662"/>
    <w:rsid w:val="007350D1"/>
    <w:rsid w:val="007351AA"/>
    <w:rsid w:val="00736D41"/>
    <w:rsid w:val="007376D9"/>
    <w:rsid w:val="00740CC0"/>
    <w:rsid w:val="00742A51"/>
    <w:rsid w:val="00743D40"/>
    <w:rsid w:val="00743D50"/>
    <w:rsid w:val="00744BB0"/>
    <w:rsid w:val="00744EB0"/>
    <w:rsid w:val="00747D77"/>
    <w:rsid w:val="00750CCF"/>
    <w:rsid w:val="00754D69"/>
    <w:rsid w:val="007550E2"/>
    <w:rsid w:val="00755116"/>
    <w:rsid w:val="00755A13"/>
    <w:rsid w:val="00755BCB"/>
    <w:rsid w:val="00764088"/>
    <w:rsid w:val="0076584B"/>
    <w:rsid w:val="00765ACB"/>
    <w:rsid w:val="007667CC"/>
    <w:rsid w:val="007715AB"/>
    <w:rsid w:val="00775535"/>
    <w:rsid w:val="007756D4"/>
    <w:rsid w:val="00775B8A"/>
    <w:rsid w:val="0078042A"/>
    <w:rsid w:val="007820AD"/>
    <w:rsid w:val="007820F0"/>
    <w:rsid w:val="007824CC"/>
    <w:rsid w:val="00783610"/>
    <w:rsid w:val="00783DEB"/>
    <w:rsid w:val="00783FBF"/>
    <w:rsid w:val="007841CB"/>
    <w:rsid w:val="00786A75"/>
    <w:rsid w:val="00791E44"/>
    <w:rsid w:val="00792656"/>
    <w:rsid w:val="00792D31"/>
    <w:rsid w:val="007932DD"/>
    <w:rsid w:val="00795339"/>
    <w:rsid w:val="00795455"/>
    <w:rsid w:val="00796AFB"/>
    <w:rsid w:val="0079725A"/>
    <w:rsid w:val="00797955"/>
    <w:rsid w:val="007A0C02"/>
    <w:rsid w:val="007A2F68"/>
    <w:rsid w:val="007A3694"/>
    <w:rsid w:val="007A408A"/>
    <w:rsid w:val="007B547B"/>
    <w:rsid w:val="007B5797"/>
    <w:rsid w:val="007B59AC"/>
    <w:rsid w:val="007B6EE1"/>
    <w:rsid w:val="007B7549"/>
    <w:rsid w:val="007C31E0"/>
    <w:rsid w:val="007C4019"/>
    <w:rsid w:val="007C69A8"/>
    <w:rsid w:val="007C7878"/>
    <w:rsid w:val="007D1D44"/>
    <w:rsid w:val="007D2458"/>
    <w:rsid w:val="007D3374"/>
    <w:rsid w:val="007D647C"/>
    <w:rsid w:val="007D6645"/>
    <w:rsid w:val="007E3C44"/>
    <w:rsid w:val="007E6FDE"/>
    <w:rsid w:val="007E749D"/>
    <w:rsid w:val="007F0187"/>
    <w:rsid w:val="007F0FDA"/>
    <w:rsid w:val="007F1C52"/>
    <w:rsid w:val="007F1F6B"/>
    <w:rsid w:val="007F268D"/>
    <w:rsid w:val="007F2CFF"/>
    <w:rsid w:val="007F38AF"/>
    <w:rsid w:val="007F5515"/>
    <w:rsid w:val="007F6C6F"/>
    <w:rsid w:val="007F7873"/>
    <w:rsid w:val="00803BC7"/>
    <w:rsid w:val="00803EBB"/>
    <w:rsid w:val="00805D54"/>
    <w:rsid w:val="00806CD8"/>
    <w:rsid w:val="0080789A"/>
    <w:rsid w:val="008108DF"/>
    <w:rsid w:val="00812051"/>
    <w:rsid w:val="008166AF"/>
    <w:rsid w:val="00821046"/>
    <w:rsid w:val="00822E7B"/>
    <w:rsid w:val="008236E7"/>
    <w:rsid w:val="00823AE7"/>
    <w:rsid w:val="008248FF"/>
    <w:rsid w:val="00826FED"/>
    <w:rsid w:val="00827FD9"/>
    <w:rsid w:val="00830038"/>
    <w:rsid w:val="00830253"/>
    <w:rsid w:val="00831796"/>
    <w:rsid w:val="00835E69"/>
    <w:rsid w:val="0083701C"/>
    <w:rsid w:val="00841C13"/>
    <w:rsid w:val="00842C86"/>
    <w:rsid w:val="00843420"/>
    <w:rsid w:val="00843485"/>
    <w:rsid w:val="00843FCE"/>
    <w:rsid w:val="008442AF"/>
    <w:rsid w:val="00844F41"/>
    <w:rsid w:val="00846329"/>
    <w:rsid w:val="0084648B"/>
    <w:rsid w:val="0085033E"/>
    <w:rsid w:val="008508C8"/>
    <w:rsid w:val="00850959"/>
    <w:rsid w:val="008545B3"/>
    <w:rsid w:val="00855785"/>
    <w:rsid w:val="00855B7D"/>
    <w:rsid w:val="00856C25"/>
    <w:rsid w:val="00856FC2"/>
    <w:rsid w:val="00857C11"/>
    <w:rsid w:val="0086098E"/>
    <w:rsid w:val="00860D03"/>
    <w:rsid w:val="00861C58"/>
    <w:rsid w:val="00861C88"/>
    <w:rsid w:val="00862C86"/>
    <w:rsid w:val="00862E68"/>
    <w:rsid w:val="00867F55"/>
    <w:rsid w:val="00870B43"/>
    <w:rsid w:val="00871ADD"/>
    <w:rsid w:val="0087311F"/>
    <w:rsid w:val="00875231"/>
    <w:rsid w:val="00875A37"/>
    <w:rsid w:val="00875C7F"/>
    <w:rsid w:val="008813C6"/>
    <w:rsid w:val="00881C6F"/>
    <w:rsid w:val="00883BF9"/>
    <w:rsid w:val="00884D76"/>
    <w:rsid w:val="00890804"/>
    <w:rsid w:val="008923C6"/>
    <w:rsid w:val="00892B27"/>
    <w:rsid w:val="00892D5F"/>
    <w:rsid w:val="00893456"/>
    <w:rsid w:val="00893C71"/>
    <w:rsid w:val="00894822"/>
    <w:rsid w:val="008A0EFE"/>
    <w:rsid w:val="008A27AA"/>
    <w:rsid w:val="008A298D"/>
    <w:rsid w:val="008A622B"/>
    <w:rsid w:val="008B0417"/>
    <w:rsid w:val="008B3F6E"/>
    <w:rsid w:val="008B48D1"/>
    <w:rsid w:val="008B5F41"/>
    <w:rsid w:val="008B621D"/>
    <w:rsid w:val="008B7055"/>
    <w:rsid w:val="008C126E"/>
    <w:rsid w:val="008C188A"/>
    <w:rsid w:val="008C3834"/>
    <w:rsid w:val="008C55D9"/>
    <w:rsid w:val="008C69BB"/>
    <w:rsid w:val="008D0B33"/>
    <w:rsid w:val="008D45FF"/>
    <w:rsid w:val="008D58B1"/>
    <w:rsid w:val="008D674A"/>
    <w:rsid w:val="008E07BF"/>
    <w:rsid w:val="008E1366"/>
    <w:rsid w:val="008E2920"/>
    <w:rsid w:val="008E3949"/>
    <w:rsid w:val="008E6E2E"/>
    <w:rsid w:val="008E75AB"/>
    <w:rsid w:val="008F0B3D"/>
    <w:rsid w:val="008F0FC1"/>
    <w:rsid w:val="008F2075"/>
    <w:rsid w:val="008F3889"/>
    <w:rsid w:val="008F3A50"/>
    <w:rsid w:val="008F44EE"/>
    <w:rsid w:val="008F4D6E"/>
    <w:rsid w:val="008F6DFF"/>
    <w:rsid w:val="008F7816"/>
    <w:rsid w:val="008F7991"/>
    <w:rsid w:val="0090013C"/>
    <w:rsid w:val="00900EE9"/>
    <w:rsid w:val="0090134B"/>
    <w:rsid w:val="009013CD"/>
    <w:rsid w:val="00903605"/>
    <w:rsid w:val="009038B5"/>
    <w:rsid w:val="009048A4"/>
    <w:rsid w:val="00910332"/>
    <w:rsid w:val="00910A3C"/>
    <w:rsid w:val="00913C0E"/>
    <w:rsid w:val="0091557B"/>
    <w:rsid w:val="00915887"/>
    <w:rsid w:val="00916B3B"/>
    <w:rsid w:val="00920A07"/>
    <w:rsid w:val="00922DAD"/>
    <w:rsid w:val="00922F74"/>
    <w:rsid w:val="00924ACA"/>
    <w:rsid w:val="00924B7E"/>
    <w:rsid w:val="00925382"/>
    <w:rsid w:val="00930C28"/>
    <w:rsid w:val="00930CC7"/>
    <w:rsid w:val="00930EC3"/>
    <w:rsid w:val="00932618"/>
    <w:rsid w:val="00934FBB"/>
    <w:rsid w:val="0093744C"/>
    <w:rsid w:val="00940345"/>
    <w:rsid w:val="00942D58"/>
    <w:rsid w:val="00944DBA"/>
    <w:rsid w:val="0094501E"/>
    <w:rsid w:val="009476A5"/>
    <w:rsid w:val="00947AF0"/>
    <w:rsid w:val="00951AAA"/>
    <w:rsid w:val="0095240F"/>
    <w:rsid w:val="00952D34"/>
    <w:rsid w:val="00952D39"/>
    <w:rsid w:val="009535E9"/>
    <w:rsid w:val="00953C83"/>
    <w:rsid w:val="009547B6"/>
    <w:rsid w:val="00954BB3"/>
    <w:rsid w:val="00954F1D"/>
    <w:rsid w:val="0096129E"/>
    <w:rsid w:val="00961816"/>
    <w:rsid w:val="00965791"/>
    <w:rsid w:val="009659D5"/>
    <w:rsid w:val="0097158A"/>
    <w:rsid w:val="00971BAE"/>
    <w:rsid w:val="00971E87"/>
    <w:rsid w:val="00972018"/>
    <w:rsid w:val="009724B8"/>
    <w:rsid w:val="009733F0"/>
    <w:rsid w:val="00974874"/>
    <w:rsid w:val="009755D6"/>
    <w:rsid w:val="00975BC1"/>
    <w:rsid w:val="009761D0"/>
    <w:rsid w:val="00977EB9"/>
    <w:rsid w:val="009802A4"/>
    <w:rsid w:val="00981B9E"/>
    <w:rsid w:val="0098275A"/>
    <w:rsid w:val="00984F6E"/>
    <w:rsid w:val="0098543B"/>
    <w:rsid w:val="0098580D"/>
    <w:rsid w:val="009861ED"/>
    <w:rsid w:val="009904F9"/>
    <w:rsid w:val="00991718"/>
    <w:rsid w:val="00994287"/>
    <w:rsid w:val="0099449C"/>
    <w:rsid w:val="00995599"/>
    <w:rsid w:val="00996051"/>
    <w:rsid w:val="009974D5"/>
    <w:rsid w:val="009A04AC"/>
    <w:rsid w:val="009A2253"/>
    <w:rsid w:val="009A45DE"/>
    <w:rsid w:val="009A64C9"/>
    <w:rsid w:val="009B0AF7"/>
    <w:rsid w:val="009B17F7"/>
    <w:rsid w:val="009B4F39"/>
    <w:rsid w:val="009B7036"/>
    <w:rsid w:val="009B78FB"/>
    <w:rsid w:val="009C1D1D"/>
    <w:rsid w:val="009C2490"/>
    <w:rsid w:val="009C2770"/>
    <w:rsid w:val="009C439B"/>
    <w:rsid w:val="009C5740"/>
    <w:rsid w:val="009C680B"/>
    <w:rsid w:val="009C7934"/>
    <w:rsid w:val="009C7B80"/>
    <w:rsid w:val="009D0ED0"/>
    <w:rsid w:val="009D45F2"/>
    <w:rsid w:val="009D52F8"/>
    <w:rsid w:val="009D56D5"/>
    <w:rsid w:val="009D7543"/>
    <w:rsid w:val="009D7E25"/>
    <w:rsid w:val="009E1562"/>
    <w:rsid w:val="009E3280"/>
    <w:rsid w:val="009E3608"/>
    <w:rsid w:val="009E5E57"/>
    <w:rsid w:val="009E68C4"/>
    <w:rsid w:val="009F04C9"/>
    <w:rsid w:val="009F05EC"/>
    <w:rsid w:val="009F24C2"/>
    <w:rsid w:val="009F27D4"/>
    <w:rsid w:val="009F2C96"/>
    <w:rsid w:val="009F2EAB"/>
    <w:rsid w:val="009F4574"/>
    <w:rsid w:val="009F5031"/>
    <w:rsid w:val="009F6538"/>
    <w:rsid w:val="009F76F3"/>
    <w:rsid w:val="00A006F5"/>
    <w:rsid w:val="00A00D57"/>
    <w:rsid w:val="00A02CF9"/>
    <w:rsid w:val="00A034E5"/>
    <w:rsid w:val="00A03ABE"/>
    <w:rsid w:val="00A03B32"/>
    <w:rsid w:val="00A04C9A"/>
    <w:rsid w:val="00A04CBC"/>
    <w:rsid w:val="00A05D94"/>
    <w:rsid w:val="00A05E9F"/>
    <w:rsid w:val="00A06B2B"/>
    <w:rsid w:val="00A07FA6"/>
    <w:rsid w:val="00A12620"/>
    <w:rsid w:val="00A130F8"/>
    <w:rsid w:val="00A135CB"/>
    <w:rsid w:val="00A13935"/>
    <w:rsid w:val="00A13EA5"/>
    <w:rsid w:val="00A14769"/>
    <w:rsid w:val="00A20B73"/>
    <w:rsid w:val="00A21E22"/>
    <w:rsid w:val="00A22080"/>
    <w:rsid w:val="00A25F92"/>
    <w:rsid w:val="00A34D2C"/>
    <w:rsid w:val="00A35C7B"/>
    <w:rsid w:val="00A36913"/>
    <w:rsid w:val="00A36E04"/>
    <w:rsid w:val="00A3792F"/>
    <w:rsid w:val="00A37EB1"/>
    <w:rsid w:val="00A41BF0"/>
    <w:rsid w:val="00A42ABB"/>
    <w:rsid w:val="00A42BAC"/>
    <w:rsid w:val="00A42D27"/>
    <w:rsid w:val="00A45247"/>
    <w:rsid w:val="00A50A6F"/>
    <w:rsid w:val="00A50CF3"/>
    <w:rsid w:val="00A518CD"/>
    <w:rsid w:val="00A51D8B"/>
    <w:rsid w:val="00A52D81"/>
    <w:rsid w:val="00A5314B"/>
    <w:rsid w:val="00A538EB"/>
    <w:rsid w:val="00A57702"/>
    <w:rsid w:val="00A579B3"/>
    <w:rsid w:val="00A61613"/>
    <w:rsid w:val="00A61667"/>
    <w:rsid w:val="00A6244D"/>
    <w:rsid w:val="00A62649"/>
    <w:rsid w:val="00A626AE"/>
    <w:rsid w:val="00A62B36"/>
    <w:rsid w:val="00A641E3"/>
    <w:rsid w:val="00A65FA1"/>
    <w:rsid w:val="00A672F9"/>
    <w:rsid w:val="00A7065A"/>
    <w:rsid w:val="00A724E9"/>
    <w:rsid w:val="00A73180"/>
    <w:rsid w:val="00A75ED2"/>
    <w:rsid w:val="00A76ECF"/>
    <w:rsid w:val="00A80114"/>
    <w:rsid w:val="00A82361"/>
    <w:rsid w:val="00A82481"/>
    <w:rsid w:val="00A82AEC"/>
    <w:rsid w:val="00A82DD6"/>
    <w:rsid w:val="00A835EF"/>
    <w:rsid w:val="00A847B1"/>
    <w:rsid w:val="00A8606F"/>
    <w:rsid w:val="00A908D2"/>
    <w:rsid w:val="00A92920"/>
    <w:rsid w:val="00A94CFB"/>
    <w:rsid w:val="00A97F18"/>
    <w:rsid w:val="00AA031B"/>
    <w:rsid w:val="00AA0FC1"/>
    <w:rsid w:val="00AA14A0"/>
    <w:rsid w:val="00AA21C4"/>
    <w:rsid w:val="00AA3106"/>
    <w:rsid w:val="00AA35B3"/>
    <w:rsid w:val="00AA441B"/>
    <w:rsid w:val="00AA5323"/>
    <w:rsid w:val="00AA5C80"/>
    <w:rsid w:val="00AB1C33"/>
    <w:rsid w:val="00AB4CA9"/>
    <w:rsid w:val="00AB69CA"/>
    <w:rsid w:val="00AB702C"/>
    <w:rsid w:val="00AC0A09"/>
    <w:rsid w:val="00AC0D99"/>
    <w:rsid w:val="00AC0E4C"/>
    <w:rsid w:val="00AC11E1"/>
    <w:rsid w:val="00AC1F38"/>
    <w:rsid w:val="00AC23D4"/>
    <w:rsid w:val="00AC24E6"/>
    <w:rsid w:val="00AC2E7D"/>
    <w:rsid w:val="00AC3C58"/>
    <w:rsid w:val="00AC5F1A"/>
    <w:rsid w:val="00AC647A"/>
    <w:rsid w:val="00AC799C"/>
    <w:rsid w:val="00AD0CB9"/>
    <w:rsid w:val="00AD1E04"/>
    <w:rsid w:val="00AD2232"/>
    <w:rsid w:val="00AD7C06"/>
    <w:rsid w:val="00AD7EB7"/>
    <w:rsid w:val="00AE001A"/>
    <w:rsid w:val="00AE0166"/>
    <w:rsid w:val="00AE0254"/>
    <w:rsid w:val="00AE04E2"/>
    <w:rsid w:val="00AE091B"/>
    <w:rsid w:val="00AE0EAA"/>
    <w:rsid w:val="00AE0F02"/>
    <w:rsid w:val="00AE17A3"/>
    <w:rsid w:val="00AE17C6"/>
    <w:rsid w:val="00AE1CD1"/>
    <w:rsid w:val="00AE2F77"/>
    <w:rsid w:val="00AE304E"/>
    <w:rsid w:val="00AE30D4"/>
    <w:rsid w:val="00AE6F0D"/>
    <w:rsid w:val="00AE767D"/>
    <w:rsid w:val="00AF032B"/>
    <w:rsid w:val="00AF0D36"/>
    <w:rsid w:val="00AF3B47"/>
    <w:rsid w:val="00AF5258"/>
    <w:rsid w:val="00AF58BF"/>
    <w:rsid w:val="00AF7A98"/>
    <w:rsid w:val="00B0041A"/>
    <w:rsid w:val="00B01076"/>
    <w:rsid w:val="00B028EA"/>
    <w:rsid w:val="00B05869"/>
    <w:rsid w:val="00B05CEA"/>
    <w:rsid w:val="00B06F8E"/>
    <w:rsid w:val="00B13BAD"/>
    <w:rsid w:val="00B144CF"/>
    <w:rsid w:val="00B15E00"/>
    <w:rsid w:val="00B16867"/>
    <w:rsid w:val="00B20387"/>
    <w:rsid w:val="00B20CC4"/>
    <w:rsid w:val="00B225AE"/>
    <w:rsid w:val="00B23832"/>
    <w:rsid w:val="00B250D7"/>
    <w:rsid w:val="00B25109"/>
    <w:rsid w:val="00B31BAA"/>
    <w:rsid w:val="00B327F8"/>
    <w:rsid w:val="00B33E1D"/>
    <w:rsid w:val="00B34B98"/>
    <w:rsid w:val="00B3597E"/>
    <w:rsid w:val="00B35EBF"/>
    <w:rsid w:val="00B36E35"/>
    <w:rsid w:val="00B3730F"/>
    <w:rsid w:val="00B37D9F"/>
    <w:rsid w:val="00B406D9"/>
    <w:rsid w:val="00B4158B"/>
    <w:rsid w:val="00B41BD9"/>
    <w:rsid w:val="00B4200F"/>
    <w:rsid w:val="00B4302F"/>
    <w:rsid w:val="00B4323F"/>
    <w:rsid w:val="00B44166"/>
    <w:rsid w:val="00B447EC"/>
    <w:rsid w:val="00B45638"/>
    <w:rsid w:val="00B46D25"/>
    <w:rsid w:val="00B51F03"/>
    <w:rsid w:val="00B522B4"/>
    <w:rsid w:val="00B526CD"/>
    <w:rsid w:val="00B52E03"/>
    <w:rsid w:val="00B5364D"/>
    <w:rsid w:val="00B538C4"/>
    <w:rsid w:val="00B54AED"/>
    <w:rsid w:val="00B56A16"/>
    <w:rsid w:val="00B61524"/>
    <w:rsid w:val="00B61EC4"/>
    <w:rsid w:val="00B62DCA"/>
    <w:rsid w:val="00B63295"/>
    <w:rsid w:val="00B65592"/>
    <w:rsid w:val="00B65D07"/>
    <w:rsid w:val="00B65E20"/>
    <w:rsid w:val="00B66B7E"/>
    <w:rsid w:val="00B66E0C"/>
    <w:rsid w:val="00B66EEE"/>
    <w:rsid w:val="00B7215F"/>
    <w:rsid w:val="00B7296F"/>
    <w:rsid w:val="00B750F0"/>
    <w:rsid w:val="00B772A1"/>
    <w:rsid w:val="00B77315"/>
    <w:rsid w:val="00B7747C"/>
    <w:rsid w:val="00B8092D"/>
    <w:rsid w:val="00B82F14"/>
    <w:rsid w:val="00B83278"/>
    <w:rsid w:val="00B85B5F"/>
    <w:rsid w:val="00B86134"/>
    <w:rsid w:val="00B86247"/>
    <w:rsid w:val="00B87386"/>
    <w:rsid w:val="00B955D7"/>
    <w:rsid w:val="00B9652B"/>
    <w:rsid w:val="00B973A6"/>
    <w:rsid w:val="00B97835"/>
    <w:rsid w:val="00B97F85"/>
    <w:rsid w:val="00BA164E"/>
    <w:rsid w:val="00BA2342"/>
    <w:rsid w:val="00BA367A"/>
    <w:rsid w:val="00BA6E32"/>
    <w:rsid w:val="00BA7A79"/>
    <w:rsid w:val="00BB13AA"/>
    <w:rsid w:val="00BB322A"/>
    <w:rsid w:val="00BB3BC5"/>
    <w:rsid w:val="00BB5F2A"/>
    <w:rsid w:val="00BB7413"/>
    <w:rsid w:val="00BB76A0"/>
    <w:rsid w:val="00BB7A68"/>
    <w:rsid w:val="00BB7CA0"/>
    <w:rsid w:val="00BC0E42"/>
    <w:rsid w:val="00BC2563"/>
    <w:rsid w:val="00BC2605"/>
    <w:rsid w:val="00BC2F63"/>
    <w:rsid w:val="00BC3C43"/>
    <w:rsid w:val="00BC7310"/>
    <w:rsid w:val="00BC7DBB"/>
    <w:rsid w:val="00BD0A53"/>
    <w:rsid w:val="00BD3965"/>
    <w:rsid w:val="00BD4193"/>
    <w:rsid w:val="00BD5864"/>
    <w:rsid w:val="00BD594B"/>
    <w:rsid w:val="00BD6305"/>
    <w:rsid w:val="00BD73E6"/>
    <w:rsid w:val="00BD7A0E"/>
    <w:rsid w:val="00BE3614"/>
    <w:rsid w:val="00BE3A69"/>
    <w:rsid w:val="00BE4519"/>
    <w:rsid w:val="00BE6C42"/>
    <w:rsid w:val="00BE784D"/>
    <w:rsid w:val="00BE7F64"/>
    <w:rsid w:val="00BE7FBD"/>
    <w:rsid w:val="00BF06CC"/>
    <w:rsid w:val="00BF16DE"/>
    <w:rsid w:val="00BF1C49"/>
    <w:rsid w:val="00BF2245"/>
    <w:rsid w:val="00BF4E07"/>
    <w:rsid w:val="00BF540F"/>
    <w:rsid w:val="00BF5C44"/>
    <w:rsid w:val="00C01AC2"/>
    <w:rsid w:val="00C01BB2"/>
    <w:rsid w:val="00C01C28"/>
    <w:rsid w:val="00C04981"/>
    <w:rsid w:val="00C057A8"/>
    <w:rsid w:val="00C05B29"/>
    <w:rsid w:val="00C06492"/>
    <w:rsid w:val="00C06D93"/>
    <w:rsid w:val="00C0712D"/>
    <w:rsid w:val="00C10BB0"/>
    <w:rsid w:val="00C123A5"/>
    <w:rsid w:val="00C12715"/>
    <w:rsid w:val="00C16B2C"/>
    <w:rsid w:val="00C1726E"/>
    <w:rsid w:val="00C17696"/>
    <w:rsid w:val="00C203E7"/>
    <w:rsid w:val="00C2239D"/>
    <w:rsid w:val="00C23F03"/>
    <w:rsid w:val="00C23F7C"/>
    <w:rsid w:val="00C26E16"/>
    <w:rsid w:val="00C27629"/>
    <w:rsid w:val="00C308B9"/>
    <w:rsid w:val="00C33C5C"/>
    <w:rsid w:val="00C34CD5"/>
    <w:rsid w:val="00C35A75"/>
    <w:rsid w:val="00C40AF2"/>
    <w:rsid w:val="00C4323E"/>
    <w:rsid w:val="00C44DD4"/>
    <w:rsid w:val="00C46A2C"/>
    <w:rsid w:val="00C46E98"/>
    <w:rsid w:val="00C47C5D"/>
    <w:rsid w:val="00C5071A"/>
    <w:rsid w:val="00C511F2"/>
    <w:rsid w:val="00C5162A"/>
    <w:rsid w:val="00C52AF4"/>
    <w:rsid w:val="00C52CFC"/>
    <w:rsid w:val="00C532F5"/>
    <w:rsid w:val="00C538D5"/>
    <w:rsid w:val="00C55284"/>
    <w:rsid w:val="00C56158"/>
    <w:rsid w:val="00C56194"/>
    <w:rsid w:val="00C6006E"/>
    <w:rsid w:val="00C6310E"/>
    <w:rsid w:val="00C632FE"/>
    <w:rsid w:val="00C6362C"/>
    <w:rsid w:val="00C65F02"/>
    <w:rsid w:val="00C66772"/>
    <w:rsid w:val="00C675CE"/>
    <w:rsid w:val="00C769CA"/>
    <w:rsid w:val="00C76B86"/>
    <w:rsid w:val="00C81D9C"/>
    <w:rsid w:val="00C826F6"/>
    <w:rsid w:val="00C84C85"/>
    <w:rsid w:val="00C85FF7"/>
    <w:rsid w:val="00C91722"/>
    <w:rsid w:val="00C95029"/>
    <w:rsid w:val="00C96408"/>
    <w:rsid w:val="00C9793D"/>
    <w:rsid w:val="00CA1095"/>
    <w:rsid w:val="00CA148E"/>
    <w:rsid w:val="00CA198C"/>
    <w:rsid w:val="00CA216A"/>
    <w:rsid w:val="00CA319D"/>
    <w:rsid w:val="00CA3955"/>
    <w:rsid w:val="00CA3FD7"/>
    <w:rsid w:val="00CA40B6"/>
    <w:rsid w:val="00CB0375"/>
    <w:rsid w:val="00CB0B73"/>
    <w:rsid w:val="00CB1344"/>
    <w:rsid w:val="00CB32BA"/>
    <w:rsid w:val="00CB35D4"/>
    <w:rsid w:val="00CB4671"/>
    <w:rsid w:val="00CB51F7"/>
    <w:rsid w:val="00CB5CEA"/>
    <w:rsid w:val="00CB6761"/>
    <w:rsid w:val="00CB72B7"/>
    <w:rsid w:val="00CC0CC0"/>
    <w:rsid w:val="00CC1B55"/>
    <w:rsid w:val="00CC1CB4"/>
    <w:rsid w:val="00CC38A7"/>
    <w:rsid w:val="00CC62A8"/>
    <w:rsid w:val="00CC74C7"/>
    <w:rsid w:val="00CD0F88"/>
    <w:rsid w:val="00CD4E15"/>
    <w:rsid w:val="00CD4F5B"/>
    <w:rsid w:val="00CD5616"/>
    <w:rsid w:val="00CD5D57"/>
    <w:rsid w:val="00CE081E"/>
    <w:rsid w:val="00CE0D60"/>
    <w:rsid w:val="00CE0F6C"/>
    <w:rsid w:val="00CF125D"/>
    <w:rsid w:val="00CF1DB7"/>
    <w:rsid w:val="00CF2775"/>
    <w:rsid w:val="00CF3CC6"/>
    <w:rsid w:val="00CF4646"/>
    <w:rsid w:val="00CF4F15"/>
    <w:rsid w:val="00CF737F"/>
    <w:rsid w:val="00CF7B56"/>
    <w:rsid w:val="00D04360"/>
    <w:rsid w:val="00D04FDC"/>
    <w:rsid w:val="00D05026"/>
    <w:rsid w:val="00D078EA"/>
    <w:rsid w:val="00D07D18"/>
    <w:rsid w:val="00D11D73"/>
    <w:rsid w:val="00D12146"/>
    <w:rsid w:val="00D13650"/>
    <w:rsid w:val="00D15E54"/>
    <w:rsid w:val="00D1743D"/>
    <w:rsid w:val="00D20F5F"/>
    <w:rsid w:val="00D22556"/>
    <w:rsid w:val="00D23AF2"/>
    <w:rsid w:val="00D255BD"/>
    <w:rsid w:val="00D26149"/>
    <w:rsid w:val="00D26A37"/>
    <w:rsid w:val="00D30408"/>
    <w:rsid w:val="00D33189"/>
    <w:rsid w:val="00D332A5"/>
    <w:rsid w:val="00D34FDF"/>
    <w:rsid w:val="00D37C2A"/>
    <w:rsid w:val="00D41726"/>
    <w:rsid w:val="00D44A59"/>
    <w:rsid w:val="00D4666B"/>
    <w:rsid w:val="00D47B2C"/>
    <w:rsid w:val="00D51C55"/>
    <w:rsid w:val="00D53968"/>
    <w:rsid w:val="00D54E19"/>
    <w:rsid w:val="00D568B9"/>
    <w:rsid w:val="00D57265"/>
    <w:rsid w:val="00D6046C"/>
    <w:rsid w:val="00D622E7"/>
    <w:rsid w:val="00D62B94"/>
    <w:rsid w:val="00D633B3"/>
    <w:rsid w:val="00D63769"/>
    <w:rsid w:val="00D6681E"/>
    <w:rsid w:val="00D66A4B"/>
    <w:rsid w:val="00D67179"/>
    <w:rsid w:val="00D77151"/>
    <w:rsid w:val="00D816A7"/>
    <w:rsid w:val="00D82813"/>
    <w:rsid w:val="00D84766"/>
    <w:rsid w:val="00D868AB"/>
    <w:rsid w:val="00D87EB9"/>
    <w:rsid w:val="00D903CC"/>
    <w:rsid w:val="00D90C84"/>
    <w:rsid w:val="00D91187"/>
    <w:rsid w:val="00D937B8"/>
    <w:rsid w:val="00D9426B"/>
    <w:rsid w:val="00D95C4E"/>
    <w:rsid w:val="00D96D3B"/>
    <w:rsid w:val="00D97991"/>
    <w:rsid w:val="00DA064A"/>
    <w:rsid w:val="00DA3223"/>
    <w:rsid w:val="00DA5CA9"/>
    <w:rsid w:val="00DA5D8A"/>
    <w:rsid w:val="00DA7A74"/>
    <w:rsid w:val="00DB00E7"/>
    <w:rsid w:val="00DB431E"/>
    <w:rsid w:val="00DB5CB7"/>
    <w:rsid w:val="00DB63C4"/>
    <w:rsid w:val="00DB67B7"/>
    <w:rsid w:val="00DB6965"/>
    <w:rsid w:val="00DC25B6"/>
    <w:rsid w:val="00DC2634"/>
    <w:rsid w:val="00DC2F32"/>
    <w:rsid w:val="00DC4514"/>
    <w:rsid w:val="00DC4F10"/>
    <w:rsid w:val="00DC5161"/>
    <w:rsid w:val="00DC6774"/>
    <w:rsid w:val="00DD0993"/>
    <w:rsid w:val="00DD0B48"/>
    <w:rsid w:val="00DD2DE1"/>
    <w:rsid w:val="00DD40B7"/>
    <w:rsid w:val="00DD61BD"/>
    <w:rsid w:val="00DE09EE"/>
    <w:rsid w:val="00DE0E52"/>
    <w:rsid w:val="00DE1B90"/>
    <w:rsid w:val="00DE2AD1"/>
    <w:rsid w:val="00DE2B5E"/>
    <w:rsid w:val="00DE2D03"/>
    <w:rsid w:val="00DE5A03"/>
    <w:rsid w:val="00DE69A1"/>
    <w:rsid w:val="00DE71E0"/>
    <w:rsid w:val="00DF1B78"/>
    <w:rsid w:val="00DF2BC0"/>
    <w:rsid w:val="00DF3604"/>
    <w:rsid w:val="00DF6C96"/>
    <w:rsid w:val="00E00D24"/>
    <w:rsid w:val="00E0160B"/>
    <w:rsid w:val="00E02413"/>
    <w:rsid w:val="00E03A9B"/>
    <w:rsid w:val="00E04702"/>
    <w:rsid w:val="00E04839"/>
    <w:rsid w:val="00E04C40"/>
    <w:rsid w:val="00E05B50"/>
    <w:rsid w:val="00E05E5C"/>
    <w:rsid w:val="00E0702A"/>
    <w:rsid w:val="00E12319"/>
    <w:rsid w:val="00E1282A"/>
    <w:rsid w:val="00E1293B"/>
    <w:rsid w:val="00E13883"/>
    <w:rsid w:val="00E1430A"/>
    <w:rsid w:val="00E16065"/>
    <w:rsid w:val="00E17711"/>
    <w:rsid w:val="00E17DDC"/>
    <w:rsid w:val="00E20CC6"/>
    <w:rsid w:val="00E2197F"/>
    <w:rsid w:val="00E21FDF"/>
    <w:rsid w:val="00E2225F"/>
    <w:rsid w:val="00E23494"/>
    <w:rsid w:val="00E272F3"/>
    <w:rsid w:val="00E33817"/>
    <w:rsid w:val="00E350AA"/>
    <w:rsid w:val="00E36623"/>
    <w:rsid w:val="00E373AA"/>
    <w:rsid w:val="00E37939"/>
    <w:rsid w:val="00E40711"/>
    <w:rsid w:val="00E40C9F"/>
    <w:rsid w:val="00E41E89"/>
    <w:rsid w:val="00E41F31"/>
    <w:rsid w:val="00E4438A"/>
    <w:rsid w:val="00E46932"/>
    <w:rsid w:val="00E514F1"/>
    <w:rsid w:val="00E53171"/>
    <w:rsid w:val="00E534B6"/>
    <w:rsid w:val="00E53C51"/>
    <w:rsid w:val="00E54AE3"/>
    <w:rsid w:val="00E54E59"/>
    <w:rsid w:val="00E55182"/>
    <w:rsid w:val="00E55210"/>
    <w:rsid w:val="00E607EB"/>
    <w:rsid w:val="00E60D4D"/>
    <w:rsid w:val="00E60D4E"/>
    <w:rsid w:val="00E617B1"/>
    <w:rsid w:val="00E6187D"/>
    <w:rsid w:val="00E63359"/>
    <w:rsid w:val="00E635E7"/>
    <w:rsid w:val="00E64759"/>
    <w:rsid w:val="00E64DCB"/>
    <w:rsid w:val="00E66DF2"/>
    <w:rsid w:val="00E67904"/>
    <w:rsid w:val="00E72AE3"/>
    <w:rsid w:val="00E73453"/>
    <w:rsid w:val="00E767A2"/>
    <w:rsid w:val="00E8017D"/>
    <w:rsid w:val="00E8094A"/>
    <w:rsid w:val="00E81600"/>
    <w:rsid w:val="00E81699"/>
    <w:rsid w:val="00E81893"/>
    <w:rsid w:val="00E81D63"/>
    <w:rsid w:val="00E84091"/>
    <w:rsid w:val="00E84A70"/>
    <w:rsid w:val="00E861B0"/>
    <w:rsid w:val="00E863C3"/>
    <w:rsid w:val="00E8727D"/>
    <w:rsid w:val="00E90249"/>
    <w:rsid w:val="00E9060E"/>
    <w:rsid w:val="00E926DA"/>
    <w:rsid w:val="00E92925"/>
    <w:rsid w:val="00E929AF"/>
    <w:rsid w:val="00E934AA"/>
    <w:rsid w:val="00E9497D"/>
    <w:rsid w:val="00E94F21"/>
    <w:rsid w:val="00E94F4B"/>
    <w:rsid w:val="00E95645"/>
    <w:rsid w:val="00E95ADD"/>
    <w:rsid w:val="00E95C89"/>
    <w:rsid w:val="00E978C7"/>
    <w:rsid w:val="00EA1F09"/>
    <w:rsid w:val="00EA2210"/>
    <w:rsid w:val="00EA2C52"/>
    <w:rsid w:val="00EA45C2"/>
    <w:rsid w:val="00EA5DD1"/>
    <w:rsid w:val="00EA72DB"/>
    <w:rsid w:val="00EA7660"/>
    <w:rsid w:val="00EB0F46"/>
    <w:rsid w:val="00EB0FE9"/>
    <w:rsid w:val="00EB2A10"/>
    <w:rsid w:val="00EC2737"/>
    <w:rsid w:val="00EC467F"/>
    <w:rsid w:val="00EC490B"/>
    <w:rsid w:val="00EC4CBB"/>
    <w:rsid w:val="00EC4DCC"/>
    <w:rsid w:val="00EC709C"/>
    <w:rsid w:val="00EC769D"/>
    <w:rsid w:val="00ED08F5"/>
    <w:rsid w:val="00ED0AE8"/>
    <w:rsid w:val="00ED14ED"/>
    <w:rsid w:val="00ED2103"/>
    <w:rsid w:val="00ED7524"/>
    <w:rsid w:val="00ED760A"/>
    <w:rsid w:val="00EE24E8"/>
    <w:rsid w:val="00EE307D"/>
    <w:rsid w:val="00EE40AC"/>
    <w:rsid w:val="00EE5925"/>
    <w:rsid w:val="00EE6104"/>
    <w:rsid w:val="00EE64DA"/>
    <w:rsid w:val="00EF3E79"/>
    <w:rsid w:val="00EF4430"/>
    <w:rsid w:val="00EF45AB"/>
    <w:rsid w:val="00F01986"/>
    <w:rsid w:val="00F02A75"/>
    <w:rsid w:val="00F031AB"/>
    <w:rsid w:val="00F03EDC"/>
    <w:rsid w:val="00F04FC1"/>
    <w:rsid w:val="00F0536A"/>
    <w:rsid w:val="00F05AF9"/>
    <w:rsid w:val="00F116C9"/>
    <w:rsid w:val="00F11DA6"/>
    <w:rsid w:val="00F17AA9"/>
    <w:rsid w:val="00F21CF1"/>
    <w:rsid w:val="00F21D84"/>
    <w:rsid w:val="00F230DD"/>
    <w:rsid w:val="00F2342C"/>
    <w:rsid w:val="00F2604B"/>
    <w:rsid w:val="00F27297"/>
    <w:rsid w:val="00F308BB"/>
    <w:rsid w:val="00F31ABB"/>
    <w:rsid w:val="00F31AD2"/>
    <w:rsid w:val="00F32487"/>
    <w:rsid w:val="00F325B2"/>
    <w:rsid w:val="00F32635"/>
    <w:rsid w:val="00F32D9E"/>
    <w:rsid w:val="00F349E1"/>
    <w:rsid w:val="00F35B44"/>
    <w:rsid w:val="00F37F36"/>
    <w:rsid w:val="00F433C4"/>
    <w:rsid w:val="00F43AFA"/>
    <w:rsid w:val="00F43F65"/>
    <w:rsid w:val="00F4407A"/>
    <w:rsid w:val="00F4570E"/>
    <w:rsid w:val="00F46B41"/>
    <w:rsid w:val="00F51D7B"/>
    <w:rsid w:val="00F53284"/>
    <w:rsid w:val="00F5425F"/>
    <w:rsid w:val="00F551FD"/>
    <w:rsid w:val="00F55433"/>
    <w:rsid w:val="00F555F7"/>
    <w:rsid w:val="00F56F4B"/>
    <w:rsid w:val="00F60A2F"/>
    <w:rsid w:val="00F60DD2"/>
    <w:rsid w:val="00F6144A"/>
    <w:rsid w:val="00F615AF"/>
    <w:rsid w:val="00F62E61"/>
    <w:rsid w:val="00F63D35"/>
    <w:rsid w:val="00F64CFF"/>
    <w:rsid w:val="00F6693A"/>
    <w:rsid w:val="00F676AC"/>
    <w:rsid w:val="00F70C0D"/>
    <w:rsid w:val="00F73224"/>
    <w:rsid w:val="00F748AA"/>
    <w:rsid w:val="00F75230"/>
    <w:rsid w:val="00F75A01"/>
    <w:rsid w:val="00F769A5"/>
    <w:rsid w:val="00F76C17"/>
    <w:rsid w:val="00F7749E"/>
    <w:rsid w:val="00F813E8"/>
    <w:rsid w:val="00F84530"/>
    <w:rsid w:val="00F85BCD"/>
    <w:rsid w:val="00F85FE1"/>
    <w:rsid w:val="00F866A3"/>
    <w:rsid w:val="00F87746"/>
    <w:rsid w:val="00F90B17"/>
    <w:rsid w:val="00F90F54"/>
    <w:rsid w:val="00F91646"/>
    <w:rsid w:val="00F92261"/>
    <w:rsid w:val="00F9305F"/>
    <w:rsid w:val="00F93F60"/>
    <w:rsid w:val="00F97188"/>
    <w:rsid w:val="00F9797A"/>
    <w:rsid w:val="00F97B84"/>
    <w:rsid w:val="00FA2772"/>
    <w:rsid w:val="00FA2E00"/>
    <w:rsid w:val="00FA4808"/>
    <w:rsid w:val="00FA4A1A"/>
    <w:rsid w:val="00FA6EFE"/>
    <w:rsid w:val="00FA7E4B"/>
    <w:rsid w:val="00FA7EF5"/>
    <w:rsid w:val="00FB18E9"/>
    <w:rsid w:val="00FB32F7"/>
    <w:rsid w:val="00FB573C"/>
    <w:rsid w:val="00FB71BF"/>
    <w:rsid w:val="00FC128F"/>
    <w:rsid w:val="00FC22F9"/>
    <w:rsid w:val="00FC4364"/>
    <w:rsid w:val="00FC50A6"/>
    <w:rsid w:val="00FC54FC"/>
    <w:rsid w:val="00FC5898"/>
    <w:rsid w:val="00FC671D"/>
    <w:rsid w:val="00FC775F"/>
    <w:rsid w:val="00FD28B2"/>
    <w:rsid w:val="00FD44CC"/>
    <w:rsid w:val="00FD5748"/>
    <w:rsid w:val="00FD5BB2"/>
    <w:rsid w:val="00FE1A12"/>
    <w:rsid w:val="00FE2A10"/>
    <w:rsid w:val="00FE3C0B"/>
    <w:rsid w:val="00FE6669"/>
    <w:rsid w:val="00FF0BE9"/>
    <w:rsid w:val="00FF15C2"/>
    <w:rsid w:val="00FF2F7B"/>
    <w:rsid w:val="00FF623B"/>
    <w:rsid w:val="00FF7313"/>
    <w:rsid w:val="00FF7CA6"/>
    <w:rsid w:val="01001F08"/>
    <w:rsid w:val="0101423A"/>
    <w:rsid w:val="010152F8"/>
    <w:rsid w:val="01025242"/>
    <w:rsid w:val="0103698B"/>
    <w:rsid w:val="01040E22"/>
    <w:rsid w:val="0104724F"/>
    <w:rsid w:val="01047C67"/>
    <w:rsid w:val="01052682"/>
    <w:rsid w:val="01053A46"/>
    <w:rsid w:val="01080A12"/>
    <w:rsid w:val="0108298E"/>
    <w:rsid w:val="01085334"/>
    <w:rsid w:val="01092C52"/>
    <w:rsid w:val="01094492"/>
    <w:rsid w:val="010A39A2"/>
    <w:rsid w:val="010A59DF"/>
    <w:rsid w:val="010A77D3"/>
    <w:rsid w:val="010B4571"/>
    <w:rsid w:val="01111ED7"/>
    <w:rsid w:val="011473B7"/>
    <w:rsid w:val="01153F47"/>
    <w:rsid w:val="01174200"/>
    <w:rsid w:val="01180E4D"/>
    <w:rsid w:val="01181280"/>
    <w:rsid w:val="01187F7E"/>
    <w:rsid w:val="011B103B"/>
    <w:rsid w:val="011B7350"/>
    <w:rsid w:val="011E570B"/>
    <w:rsid w:val="01226815"/>
    <w:rsid w:val="01231B09"/>
    <w:rsid w:val="0123264E"/>
    <w:rsid w:val="01232B5D"/>
    <w:rsid w:val="012354FC"/>
    <w:rsid w:val="0124232D"/>
    <w:rsid w:val="01244CA6"/>
    <w:rsid w:val="01247935"/>
    <w:rsid w:val="01262129"/>
    <w:rsid w:val="01266C1A"/>
    <w:rsid w:val="01271714"/>
    <w:rsid w:val="0128166C"/>
    <w:rsid w:val="01282978"/>
    <w:rsid w:val="01282E37"/>
    <w:rsid w:val="01284139"/>
    <w:rsid w:val="012842CB"/>
    <w:rsid w:val="012A1131"/>
    <w:rsid w:val="012A3881"/>
    <w:rsid w:val="012B26CB"/>
    <w:rsid w:val="012C4CA3"/>
    <w:rsid w:val="012D7A04"/>
    <w:rsid w:val="012E72E9"/>
    <w:rsid w:val="012F250E"/>
    <w:rsid w:val="0130027A"/>
    <w:rsid w:val="013073EE"/>
    <w:rsid w:val="0132669B"/>
    <w:rsid w:val="01335F6B"/>
    <w:rsid w:val="013435B5"/>
    <w:rsid w:val="01343D47"/>
    <w:rsid w:val="01347928"/>
    <w:rsid w:val="01355762"/>
    <w:rsid w:val="013B533E"/>
    <w:rsid w:val="013B593E"/>
    <w:rsid w:val="013B7C5C"/>
    <w:rsid w:val="013E475D"/>
    <w:rsid w:val="014156CA"/>
    <w:rsid w:val="014179A7"/>
    <w:rsid w:val="014250C9"/>
    <w:rsid w:val="014374C7"/>
    <w:rsid w:val="01441A83"/>
    <w:rsid w:val="01453EB4"/>
    <w:rsid w:val="01461FD9"/>
    <w:rsid w:val="01463D72"/>
    <w:rsid w:val="01464371"/>
    <w:rsid w:val="014A4A03"/>
    <w:rsid w:val="014B631C"/>
    <w:rsid w:val="014D4FCC"/>
    <w:rsid w:val="014E01EC"/>
    <w:rsid w:val="014E75E8"/>
    <w:rsid w:val="015028DD"/>
    <w:rsid w:val="01515A78"/>
    <w:rsid w:val="01526291"/>
    <w:rsid w:val="015327C3"/>
    <w:rsid w:val="01545E05"/>
    <w:rsid w:val="01566759"/>
    <w:rsid w:val="015678E4"/>
    <w:rsid w:val="015901F5"/>
    <w:rsid w:val="015A1AFB"/>
    <w:rsid w:val="015A36D6"/>
    <w:rsid w:val="015B6D53"/>
    <w:rsid w:val="015C22C3"/>
    <w:rsid w:val="015C45AE"/>
    <w:rsid w:val="015C564D"/>
    <w:rsid w:val="015D523E"/>
    <w:rsid w:val="015D57B4"/>
    <w:rsid w:val="015D63FC"/>
    <w:rsid w:val="015E4816"/>
    <w:rsid w:val="01615631"/>
    <w:rsid w:val="016164C5"/>
    <w:rsid w:val="01620D5C"/>
    <w:rsid w:val="01634073"/>
    <w:rsid w:val="0164381D"/>
    <w:rsid w:val="016447F5"/>
    <w:rsid w:val="0165163B"/>
    <w:rsid w:val="0165681C"/>
    <w:rsid w:val="016A02B4"/>
    <w:rsid w:val="016A7F6B"/>
    <w:rsid w:val="016B0DA4"/>
    <w:rsid w:val="016B4B30"/>
    <w:rsid w:val="016B7A67"/>
    <w:rsid w:val="016C5361"/>
    <w:rsid w:val="016D5243"/>
    <w:rsid w:val="016E3766"/>
    <w:rsid w:val="016E3BB5"/>
    <w:rsid w:val="016E3FFE"/>
    <w:rsid w:val="01715620"/>
    <w:rsid w:val="01722612"/>
    <w:rsid w:val="01724B37"/>
    <w:rsid w:val="01741686"/>
    <w:rsid w:val="01741C54"/>
    <w:rsid w:val="017525F3"/>
    <w:rsid w:val="01753008"/>
    <w:rsid w:val="01755AB3"/>
    <w:rsid w:val="017A2052"/>
    <w:rsid w:val="017B496E"/>
    <w:rsid w:val="017D1F17"/>
    <w:rsid w:val="017D5796"/>
    <w:rsid w:val="017F48B7"/>
    <w:rsid w:val="01801003"/>
    <w:rsid w:val="01815FC8"/>
    <w:rsid w:val="01820187"/>
    <w:rsid w:val="01820278"/>
    <w:rsid w:val="018211A0"/>
    <w:rsid w:val="01821EA0"/>
    <w:rsid w:val="01825791"/>
    <w:rsid w:val="018374D9"/>
    <w:rsid w:val="01841089"/>
    <w:rsid w:val="018560AC"/>
    <w:rsid w:val="01866869"/>
    <w:rsid w:val="0187311F"/>
    <w:rsid w:val="01881432"/>
    <w:rsid w:val="018955EE"/>
    <w:rsid w:val="01895DA6"/>
    <w:rsid w:val="018B6602"/>
    <w:rsid w:val="018C6861"/>
    <w:rsid w:val="018D002D"/>
    <w:rsid w:val="018E0548"/>
    <w:rsid w:val="018E2E9B"/>
    <w:rsid w:val="018F25BC"/>
    <w:rsid w:val="018F3555"/>
    <w:rsid w:val="018F70DB"/>
    <w:rsid w:val="018F744A"/>
    <w:rsid w:val="01923BD3"/>
    <w:rsid w:val="01926837"/>
    <w:rsid w:val="01926A7D"/>
    <w:rsid w:val="019319CF"/>
    <w:rsid w:val="01936845"/>
    <w:rsid w:val="019375E9"/>
    <w:rsid w:val="0194642D"/>
    <w:rsid w:val="01951EAC"/>
    <w:rsid w:val="0196358E"/>
    <w:rsid w:val="019737E6"/>
    <w:rsid w:val="01992594"/>
    <w:rsid w:val="019D222F"/>
    <w:rsid w:val="019D6EEA"/>
    <w:rsid w:val="019F1962"/>
    <w:rsid w:val="01A00620"/>
    <w:rsid w:val="01A02ABF"/>
    <w:rsid w:val="01A05ECC"/>
    <w:rsid w:val="01A176D6"/>
    <w:rsid w:val="01A217B6"/>
    <w:rsid w:val="01A23D54"/>
    <w:rsid w:val="01A3073B"/>
    <w:rsid w:val="01A3554B"/>
    <w:rsid w:val="01A37976"/>
    <w:rsid w:val="01A50AA8"/>
    <w:rsid w:val="01A544B3"/>
    <w:rsid w:val="01A562ED"/>
    <w:rsid w:val="01A63EE8"/>
    <w:rsid w:val="01A653C1"/>
    <w:rsid w:val="01A80D06"/>
    <w:rsid w:val="01A81EC4"/>
    <w:rsid w:val="01A8350A"/>
    <w:rsid w:val="01A85D51"/>
    <w:rsid w:val="01AA770D"/>
    <w:rsid w:val="01AF6256"/>
    <w:rsid w:val="01B00394"/>
    <w:rsid w:val="01B07794"/>
    <w:rsid w:val="01B11630"/>
    <w:rsid w:val="01B1600D"/>
    <w:rsid w:val="01B30997"/>
    <w:rsid w:val="01B37BD9"/>
    <w:rsid w:val="01B37C9D"/>
    <w:rsid w:val="01B50BBA"/>
    <w:rsid w:val="01B522AB"/>
    <w:rsid w:val="01B551E4"/>
    <w:rsid w:val="01B61621"/>
    <w:rsid w:val="01B62FE5"/>
    <w:rsid w:val="01B701E5"/>
    <w:rsid w:val="01B862F9"/>
    <w:rsid w:val="01BA38D4"/>
    <w:rsid w:val="01BB254B"/>
    <w:rsid w:val="01BC516B"/>
    <w:rsid w:val="01C27C33"/>
    <w:rsid w:val="01C36C00"/>
    <w:rsid w:val="01C44FF1"/>
    <w:rsid w:val="01C45C53"/>
    <w:rsid w:val="01C50E12"/>
    <w:rsid w:val="01C57E25"/>
    <w:rsid w:val="01C62B72"/>
    <w:rsid w:val="01C7267B"/>
    <w:rsid w:val="01C82363"/>
    <w:rsid w:val="01CA3DE8"/>
    <w:rsid w:val="01CA4158"/>
    <w:rsid w:val="01CB192E"/>
    <w:rsid w:val="01CC6D8F"/>
    <w:rsid w:val="01CD105A"/>
    <w:rsid w:val="01CF1954"/>
    <w:rsid w:val="01CF41D0"/>
    <w:rsid w:val="01D03C15"/>
    <w:rsid w:val="01D11E3C"/>
    <w:rsid w:val="01D123BB"/>
    <w:rsid w:val="01D218CC"/>
    <w:rsid w:val="01D21B32"/>
    <w:rsid w:val="01D2202F"/>
    <w:rsid w:val="01D22B04"/>
    <w:rsid w:val="01D232F6"/>
    <w:rsid w:val="01D25883"/>
    <w:rsid w:val="01D45D98"/>
    <w:rsid w:val="01D4717F"/>
    <w:rsid w:val="01D74DA3"/>
    <w:rsid w:val="01DA2F25"/>
    <w:rsid w:val="01DC7941"/>
    <w:rsid w:val="01DD677B"/>
    <w:rsid w:val="01DF095D"/>
    <w:rsid w:val="01DF3165"/>
    <w:rsid w:val="01E040CE"/>
    <w:rsid w:val="01E064FF"/>
    <w:rsid w:val="01E27BE1"/>
    <w:rsid w:val="01E43DA8"/>
    <w:rsid w:val="01E4518C"/>
    <w:rsid w:val="01E62EF5"/>
    <w:rsid w:val="01E81F2C"/>
    <w:rsid w:val="01EC35A1"/>
    <w:rsid w:val="01EC7975"/>
    <w:rsid w:val="01ED0159"/>
    <w:rsid w:val="01ED5392"/>
    <w:rsid w:val="01ED6885"/>
    <w:rsid w:val="01ED698E"/>
    <w:rsid w:val="01F01F1D"/>
    <w:rsid w:val="01F23E12"/>
    <w:rsid w:val="01F357D0"/>
    <w:rsid w:val="01F361D3"/>
    <w:rsid w:val="01F521C1"/>
    <w:rsid w:val="01F63044"/>
    <w:rsid w:val="01F66779"/>
    <w:rsid w:val="01F671DB"/>
    <w:rsid w:val="01F77910"/>
    <w:rsid w:val="01FD4B28"/>
    <w:rsid w:val="01FF1E15"/>
    <w:rsid w:val="01FF2E01"/>
    <w:rsid w:val="020048EC"/>
    <w:rsid w:val="020241E7"/>
    <w:rsid w:val="02037CAD"/>
    <w:rsid w:val="0204224F"/>
    <w:rsid w:val="020612CC"/>
    <w:rsid w:val="02065175"/>
    <w:rsid w:val="02067CBA"/>
    <w:rsid w:val="020712EC"/>
    <w:rsid w:val="02074134"/>
    <w:rsid w:val="0207417E"/>
    <w:rsid w:val="02083BA3"/>
    <w:rsid w:val="02087C52"/>
    <w:rsid w:val="020A1247"/>
    <w:rsid w:val="020A4094"/>
    <w:rsid w:val="020C152C"/>
    <w:rsid w:val="020D171D"/>
    <w:rsid w:val="020E7A64"/>
    <w:rsid w:val="02103B56"/>
    <w:rsid w:val="02107EF8"/>
    <w:rsid w:val="02112132"/>
    <w:rsid w:val="02120D47"/>
    <w:rsid w:val="02134A5D"/>
    <w:rsid w:val="02144A36"/>
    <w:rsid w:val="02150C29"/>
    <w:rsid w:val="02152AC1"/>
    <w:rsid w:val="02174F56"/>
    <w:rsid w:val="021956CE"/>
    <w:rsid w:val="021A4EA7"/>
    <w:rsid w:val="021D03A7"/>
    <w:rsid w:val="021D229B"/>
    <w:rsid w:val="021D4EC3"/>
    <w:rsid w:val="021E08D9"/>
    <w:rsid w:val="021F0FA9"/>
    <w:rsid w:val="021F561C"/>
    <w:rsid w:val="02217FDE"/>
    <w:rsid w:val="02247ACE"/>
    <w:rsid w:val="02275DBC"/>
    <w:rsid w:val="022778D0"/>
    <w:rsid w:val="0228331D"/>
    <w:rsid w:val="022903E3"/>
    <w:rsid w:val="02297F63"/>
    <w:rsid w:val="022A4C51"/>
    <w:rsid w:val="022B392C"/>
    <w:rsid w:val="022D1461"/>
    <w:rsid w:val="022F2A9B"/>
    <w:rsid w:val="023122F4"/>
    <w:rsid w:val="0231230A"/>
    <w:rsid w:val="02323B09"/>
    <w:rsid w:val="023313A7"/>
    <w:rsid w:val="02342DFB"/>
    <w:rsid w:val="02342FAC"/>
    <w:rsid w:val="02350149"/>
    <w:rsid w:val="0235112C"/>
    <w:rsid w:val="023641F9"/>
    <w:rsid w:val="02377F45"/>
    <w:rsid w:val="023842CF"/>
    <w:rsid w:val="023A585F"/>
    <w:rsid w:val="023B0E4C"/>
    <w:rsid w:val="023C0760"/>
    <w:rsid w:val="023C6865"/>
    <w:rsid w:val="023D1035"/>
    <w:rsid w:val="023F4E0B"/>
    <w:rsid w:val="023F59E8"/>
    <w:rsid w:val="024044A4"/>
    <w:rsid w:val="02407EEE"/>
    <w:rsid w:val="02416911"/>
    <w:rsid w:val="02424628"/>
    <w:rsid w:val="02434763"/>
    <w:rsid w:val="02436758"/>
    <w:rsid w:val="0245420F"/>
    <w:rsid w:val="02454E09"/>
    <w:rsid w:val="02463468"/>
    <w:rsid w:val="02463B25"/>
    <w:rsid w:val="02463FDA"/>
    <w:rsid w:val="02482743"/>
    <w:rsid w:val="0248529B"/>
    <w:rsid w:val="024A0BB7"/>
    <w:rsid w:val="024A2298"/>
    <w:rsid w:val="024C6533"/>
    <w:rsid w:val="024F7CF5"/>
    <w:rsid w:val="025009C2"/>
    <w:rsid w:val="025035C8"/>
    <w:rsid w:val="025177CA"/>
    <w:rsid w:val="02532D29"/>
    <w:rsid w:val="02556210"/>
    <w:rsid w:val="025642D6"/>
    <w:rsid w:val="02581525"/>
    <w:rsid w:val="025A18C7"/>
    <w:rsid w:val="025B4BAE"/>
    <w:rsid w:val="025B561C"/>
    <w:rsid w:val="025C29A2"/>
    <w:rsid w:val="025C7F58"/>
    <w:rsid w:val="025F4813"/>
    <w:rsid w:val="025F702E"/>
    <w:rsid w:val="02606851"/>
    <w:rsid w:val="0263485E"/>
    <w:rsid w:val="02637924"/>
    <w:rsid w:val="0266125B"/>
    <w:rsid w:val="02691B18"/>
    <w:rsid w:val="026D01E4"/>
    <w:rsid w:val="026D06B7"/>
    <w:rsid w:val="026D43F6"/>
    <w:rsid w:val="026D628A"/>
    <w:rsid w:val="02717C06"/>
    <w:rsid w:val="027355AE"/>
    <w:rsid w:val="027411BB"/>
    <w:rsid w:val="02743230"/>
    <w:rsid w:val="02753506"/>
    <w:rsid w:val="02792A64"/>
    <w:rsid w:val="027A496C"/>
    <w:rsid w:val="027C3D6B"/>
    <w:rsid w:val="027D3A93"/>
    <w:rsid w:val="027D6E24"/>
    <w:rsid w:val="027E43D4"/>
    <w:rsid w:val="027E4D00"/>
    <w:rsid w:val="0281073B"/>
    <w:rsid w:val="02815C7C"/>
    <w:rsid w:val="0281635E"/>
    <w:rsid w:val="02835ACB"/>
    <w:rsid w:val="028427F6"/>
    <w:rsid w:val="0284708E"/>
    <w:rsid w:val="02851CA0"/>
    <w:rsid w:val="02856AC1"/>
    <w:rsid w:val="0286505A"/>
    <w:rsid w:val="02883D92"/>
    <w:rsid w:val="02884D1B"/>
    <w:rsid w:val="02892F26"/>
    <w:rsid w:val="028A16C4"/>
    <w:rsid w:val="028A24EE"/>
    <w:rsid w:val="028A4766"/>
    <w:rsid w:val="028B17A1"/>
    <w:rsid w:val="028B3241"/>
    <w:rsid w:val="028B4F22"/>
    <w:rsid w:val="028C0F20"/>
    <w:rsid w:val="028C1F90"/>
    <w:rsid w:val="028C2A16"/>
    <w:rsid w:val="028D7122"/>
    <w:rsid w:val="028E0CA6"/>
    <w:rsid w:val="028E3FEE"/>
    <w:rsid w:val="028F753A"/>
    <w:rsid w:val="029234AF"/>
    <w:rsid w:val="029249F2"/>
    <w:rsid w:val="02931ACC"/>
    <w:rsid w:val="02952B6F"/>
    <w:rsid w:val="02952C7D"/>
    <w:rsid w:val="029606AC"/>
    <w:rsid w:val="02960C72"/>
    <w:rsid w:val="02966355"/>
    <w:rsid w:val="02970582"/>
    <w:rsid w:val="02973388"/>
    <w:rsid w:val="029747B7"/>
    <w:rsid w:val="029825BD"/>
    <w:rsid w:val="02986814"/>
    <w:rsid w:val="029B0B32"/>
    <w:rsid w:val="029D10F1"/>
    <w:rsid w:val="029F67B1"/>
    <w:rsid w:val="02A04E4C"/>
    <w:rsid w:val="02A04F4A"/>
    <w:rsid w:val="02A1159D"/>
    <w:rsid w:val="02A52199"/>
    <w:rsid w:val="02A72CA3"/>
    <w:rsid w:val="02A755C0"/>
    <w:rsid w:val="02A87EDE"/>
    <w:rsid w:val="02A93E77"/>
    <w:rsid w:val="02AA4CC2"/>
    <w:rsid w:val="02AE0CF5"/>
    <w:rsid w:val="02AF09A1"/>
    <w:rsid w:val="02AF4608"/>
    <w:rsid w:val="02B1336A"/>
    <w:rsid w:val="02B201F4"/>
    <w:rsid w:val="02B33180"/>
    <w:rsid w:val="02B33B4D"/>
    <w:rsid w:val="02B449C3"/>
    <w:rsid w:val="02B47930"/>
    <w:rsid w:val="02B54219"/>
    <w:rsid w:val="02B566B6"/>
    <w:rsid w:val="02BA2732"/>
    <w:rsid w:val="02BA619D"/>
    <w:rsid w:val="02BC5837"/>
    <w:rsid w:val="02BD1E73"/>
    <w:rsid w:val="02C0152D"/>
    <w:rsid w:val="02C11A6A"/>
    <w:rsid w:val="02C11F20"/>
    <w:rsid w:val="02C24F9E"/>
    <w:rsid w:val="02C30F01"/>
    <w:rsid w:val="02C42B95"/>
    <w:rsid w:val="02C4356F"/>
    <w:rsid w:val="02C51750"/>
    <w:rsid w:val="02C71CA3"/>
    <w:rsid w:val="02C72DAF"/>
    <w:rsid w:val="02C77F10"/>
    <w:rsid w:val="02C83EC7"/>
    <w:rsid w:val="02CA192A"/>
    <w:rsid w:val="02CB161B"/>
    <w:rsid w:val="02CC3961"/>
    <w:rsid w:val="02CD4A13"/>
    <w:rsid w:val="02CD567C"/>
    <w:rsid w:val="02CD6EB3"/>
    <w:rsid w:val="02CE1282"/>
    <w:rsid w:val="02CE1FEA"/>
    <w:rsid w:val="02D1160C"/>
    <w:rsid w:val="02D12C2C"/>
    <w:rsid w:val="02D13900"/>
    <w:rsid w:val="02D142BA"/>
    <w:rsid w:val="02D46E05"/>
    <w:rsid w:val="02D55612"/>
    <w:rsid w:val="02D62156"/>
    <w:rsid w:val="02D7069C"/>
    <w:rsid w:val="02D706DB"/>
    <w:rsid w:val="02D96FC8"/>
    <w:rsid w:val="02DB3115"/>
    <w:rsid w:val="02DB3F4C"/>
    <w:rsid w:val="02DC3BB5"/>
    <w:rsid w:val="02DC3F04"/>
    <w:rsid w:val="02DD2118"/>
    <w:rsid w:val="02DD7B2C"/>
    <w:rsid w:val="02DE3BFF"/>
    <w:rsid w:val="02DE47C1"/>
    <w:rsid w:val="02DE736E"/>
    <w:rsid w:val="02DE7785"/>
    <w:rsid w:val="02DF690D"/>
    <w:rsid w:val="02E170C6"/>
    <w:rsid w:val="02E17384"/>
    <w:rsid w:val="02E268FA"/>
    <w:rsid w:val="02E273FB"/>
    <w:rsid w:val="02E35B17"/>
    <w:rsid w:val="02E51B85"/>
    <w:rsid w:val="02E52B21"/>
    <w:rsid w:val="02E64C98"/>
    <w:rsid w:val="02E8116D"/>
    <w:rsid w:val="02EA4873"/>
    <w:rsid w:val="02EA543D"/>
    <w:rsid w:val="02EA75CB"/>
    <w:rsid w:val="02ED614D"/>
    <w:rsid w:val="02EE784C"/>
    <w:rsid w:val="02EF0804"/>
    <w:rsid w:val="02EF42D8"/>
    <w:rsid w:val="02F07AB9"/>
    <w:rsid w:val="02F45380"/>
    <w:rsid w:val="02F46666"/>
    <w:rsid w:val="02F70EC0"/>
    <w:rsid w:val="02F7127C"/>
    <w:rsid w:val="02F72AEC"/>
    <w:rsid w:val="02F81E9F"/>
    <w:rsid w:val="02F87DED"/>
    <w:rsid w:val="02FA2D46"/>
    <w:rsid w:val="02FB6446"/>
    <w:rsid w:val="02FC4EE1"/>
    <w:rsid w:val="02FC62D8"/>
    <w:rsid w:val="02FF5E45"/>
    <w:rsid w:val="03016AC9"/>
    <w:rsid w:val="030302E0"/>
    <w:rsid w:val="030372BF"/>
    <w:rsid w:val="03045450"/>
    <w:rsid w:val="03047DD6"/>
    <w:rsid w:val="03063920"/>
    <w:rsid w:val="0306735E"/>
    <w:rsid w:val="030719E4"/>
    <w:rsid w:val="03076C88"/>
    <w:rsid w:val="030966D0"/>
    <w:rsid w:val="030A35DE"/>
    <w:rsid w:val="030A3C09"/>
    <w:rsid w:val="030A43F2"/>
    <w:rsid w:val="030C6A20"/>
    <w:rsid w:val="030D226D"/>
    <w:rsid w:val="030D368A"/>
    <w:rsid w:val="030D3693"/>
    <w:rsid w:val="030D7DB0"/>
    <w:rsid w:val="030E3C88"/>
    <w:rsid w:val="030F1AC5"/>
    <w:rsid w:val="030F29DC"/>
    <w:rsid w:val="03102815"/>
    <w:rsid w:val="03111FBC"/>
    <w:rsid w:val="031135C2"/>
    <w:rsid w:val="03120910"/>
    <w:rsid w:val="0312656C"/>
    <w:rsid w:val="03131286"/>
    <w:rsid w:val="0313589B"/>
    <w:rsid w:val="031359D5"/>
    <w:rsid w:val="03143BE1"/>
    <w:rsid w:val="03164933"/>
    <w:rsid w:val="031754AB"/>
    <w:rsid w:val="031838A4"/>
    <w:rsid w:val="03187DF8"/>
    <w:rsid w:val="03194919"/>
    <w:rsid w:val="031A6D1C"/>
    <w:rsid w:val="031B1468"/>
    <w:rsid w:val="031B15A7"/>
    <w:rsid w:val="031C2712"/>
    <w:rsid w:val="031D1683"/>
    <w:rsid w:val="031D50A5"/>
    <w:rsid w:val="031E41F1"/>
    <w:rsid w:val="031F3EA8"/>
    <w:rsid w:val="0322256F"/>
    <w:rsid w:val="0322777A"/>
    <w:rsid w:val="032322EF"/>
    <w:rsid w:val="03235AF3"/>
    <w:rsid w:val="0325209D"/>
    <w:rsid w:val="0325711D"/>
    <w:rsid w:val="0326042D"/>
    <w:rsid w:val="03262BDA"/>
    <w:rsid w:val="03264F01"/>
    <w:rsid w:val="03266C59"/>
    <w:rsid w:val="03277835"/>
    <w:rsid w:val="03293DBF"/>
    <w:rsid w:val="032A3A5F"/>
    <w:rsid w:val="032A44DD"/>
    <w:rsid w:val="032A6DFF"/>
    <w:rsid w:val="032A7D93"/>
    <w:rsid w:val="032B16A6"/>
    <w:rsid w:val="032D12BB"/>
    <w:rsid w:val="032D1EBD"/>
    <w:rsid w:val="032E347B"/>
    <w:rsid w:val="032E4A69"/>
    <w:rsid w:val="032E701F"/>
    <w:rsid w:val="032F144D"/>
    <w:rsid w:val="032F48FB"/>
    <w:rsid w:val="032F62DA"/>
    <w:rsid w:val="032F676F"/>
    <w:rsid w:val="032F7CD8"/>
    <w:rsid w:val="03305B4B"/>
    <w:rsid w:val="03305FFE"/>
    <w:rsid w:val="03307E41"/>
    <w:rsid w:val="033147E9"/>
    <w:rsid w:val="03316DD5"/>
    <w:rsid w:val="0332581F"/>
    <w:rsid w:val="033648D6"/>
    <w:rsid w:val="03370EEF"/>
    <w:rsid w:val="03372EC2"/>
    <w:rsid w:val="03383826"/>
    <w:rsid w:val="033862AA"/>
    <w:rsid w:val="0339345C"/>
    <w:rsid w:val="033A0243"/>
    <w:rsid w:val="033A1548"/>
    <w:rsid w:val="033B077E"/>
    <w:rsid w:val="033B3D1A"/>
    <w:rsid w:val="033E1694"/>
    <w:rsid w:val="033E306D"/>
    <w:rsid w:val="034026E5"/>
    <w:rsid w:val="03406E7A"/>
    <w:rsid w:val="0340759D"/>
    <w:rsid w:val="0341280F"/>
    <w:rsid w:val="03414388"/>
    <w:rsid w:val="03430847"/>
    <w:rsid w:val="03433ED1"/>
    <w:rsid w:val="03442B43"/>
    <w:rsid w:val="034458BB"/>
    <w:rsid w:val="034540E7"/>
    <w:rsid w:val="034546C4"/>
    <w:rsid w:val="034877EC"/>
    <w:rsid w:val="034933C2"/>
    <w:rsid w:val="034A0B74"/>
    <w:rsid w:val="034A1108"/>
    <w:rsid w:val="034B29F8"/>
    <w:rsid w:val="034F727D"/>
    <w:rsid w:val="03502041"/>
    <w:rsid w:val="035241C7"/>
    <w:rsid w:val="03534EA6"/>
    <w:rsid w:val="03540D30"/>
    <w:rsid w:val="03543990"/>
    <w:rsid w:val="03572ADE"/>
    <w:rsid w:val="035742BC"/>
    <w:rsid w:val="03595F99"/>
    <w:rsid w:val="035A700C"/>
    <w:rsid w:val="035B5220"/>
    <w:rsid w:val="035C4D07"/>
    <w:rsid w:val="035D642F"/>
    <w:rsid w:val="035F0A0F"/>
    <w:rsid w:val="035F2239"/>
    <w:rsid w:val="03607871"/>
    <w:rsid w:val="036079A1"/>
    <w:rsid w:val="036106DF"/>
    <w:rsid w:val="03642763"/>
    <w:rsid w:val="036911FA"/>
    <w:rsid w:val="03695A61"/>
    <w:rsid w:val="036A512A"/>
    <w:rsid w:val="036A7EDE"/>
    <w:rsid w:val="036B7A91"/>
    <w:rsid w:val="036D0EA9"/>
    <w:rsid w:val="036E7EBB"/>
    <w:rsid w:val="036F04DA"/>
    <w:rsid w:val="036F1855"/>
    <w:rsid w:val="036F64B5"/>
    <w:rsid w:val="036F6A2A"/>
    <w:rsid w:val="03703701"/>
    <w:rsid w:val="03724C18"/>
    <w:rsid w:val="0374083D"/>
    <w:rsid w:val="037A0B7C"/>
    <w:rsid w:val="037B0437"/>
    <w:rsid w:val="037B5966"/>
    <w:rsid w:val="037C02DB"/>
    <w:rsid w:val="037C0F38"/>
    <w:rsid w:val="037E2108"/>
    <w:rsid w:val="037E4EF2"/>
    <w:rsid w:val="037E68EF"/>
    <w:rsid w:val="037E6926"/>
    <w:rsid w:val="037F13A3"/>
    <w:rsid w:val="037F629B"/>
    <w:rsid w:val="037F6524"/>
    <w:rsid w:val="03800BDE"/>
    <w:rsid w:val="038123A3"/>
    <w:rsid w:val="03812F4B"/>
    <w:rsid w:val="0382102F"/>
    <w:rsid w:val="03823679"/>
    <w:rsid w:val="03826649"/>
    <w:rsid w:val="038270D9"/>
    <w:rsid w:val="038326E0"/>
    <w:rsid w:val="0383373B"/>
    <w:rsid w:val="03854D57"/>
    <w:rsid w:val="03860733"/>
    <w:rsid w:val="03860987"/>
    <w:rsid w:val="038927F0"/>
    <w:rsid w:val="038B0228"/>
    <w:rsid w:val="038C4ADC"/>
    <w:rsid w:val="038D6D25"/>
    <w:rsid w:val="038E0033"/>
    <w:rsid w:val="038E03BD"/>
    <w:rsid w:val="038E3370"/>
    <w:rsid w:val="0390074D"/>
    <w:rsid w:val="03901D5F"/>
    <w:rsid w:val="03910855"/>
    <w:rsid w:val="0391798A"/>
    <w:rsid w:val="03920E21"/>
    <w:rsid w:val="03936BED"/>
    <w:rsid w:val="03940322"/>
    <w:rsid w:val="03942A31"/>
    <w:rsid w:val="03951E24"/>
    <w:rsid w:val="0399316E"/>
    <w:rsid w:val="0399497D"/>
    <w:rsid w:val="039A1041"/>
    <w:rsid w:val="039B115B"/>
    <w:rsid w:val="039B389B"/>
    <w:rsid w:val="039E355C"/>
    <w:rsid w:val="03A01383"/>
    <w:rsid w:val="03A01E9D"/>
    <w:rsid w:val="03A0625E"/>
    <w:rsid w:val="03A36552"/>
    <w:rsid w:val="03A435CC"/>
    <w:rsid w:val="03A56890"/>
    <w:rsid w:val="03A56D6A"/>
    <w:rsid w:val="03A7437A"/>
    <w:rsid w:val="03A82CA5"/>
    <w:rsid w:val="03AA01C0"/>
    <w:rsid w:val="03AA10A8"/>
    <w:rsid w:val="03AA35FA"/>
    <w:rsid w:val="03AA54AB"/>
    <w:rsid w:val="03AA71E3"/>
    <w:rsid w:val="03AC1DA1"/>
    <w:rsid w:val="03AC3025"/>
    <w:rsid w:val="03AC6F07"/>
    <w:rsid w:val="03AD0519"/>
    <w:rsid w:val="03AD2D41"/>
    <w:rsid w:val="03AD593B"/>
    <w:rsid w:val="03AD7D3B"/>
    <w:rsid w:val="03AF3C56"/>
    <w:rsid w:val="03AF6E29"/>
    <w:rsid w:val="03B10E58"/>
    <w:rsid w:val="03B11363"/>
    <w:rsid w:val="03B20A9E"/>
    <w:rsid w:val="03B362D6"/>
    <w:rsid w:val="03B40EE6"/>
    <w:rsid w:val="03B41BC5"/>
    <w:rsid w:val="03B428BD"/>
    <w:rsid w:val="03B46ACD"/>
    <w:rsid w:val="03B5758F"/>
    <w:rsid w:val="03B641FB"/>
    <w:rsid w:val="03B93F05"/>
    <w:rsid w:val="03B94048"/>
    <w:rsid w:val="03B976A9"/>
    <w:rsid w:val="03BC15F7"/>
    <w:rsid w:val="03BD2371"/>
    <w:rsid w:val="03BD26D1"/>
    <w:rsid w:val="03BD32F9"/>
    <w:rsid w:val="03C00A9B"/>
    <w:rsid w:val="03C12551"/>
    <w:rsid w:val="03C2134C"/>
    <w:rsid w:val="03C22736"/>
    <w:rsid w:val="03C26E52"/>
    <w:rsid w:val="03C3662C"/>
    <w:rsid w:val="03C40983"/>
    <w:rsid w:val="03C50491"/>
    <w:rsid w:val="03C54E77"/>
    <w:rsid w:val="03C615F1"/>
    <w:rsid w:val="03C66EA1"/>
    <w:rsid w:val="03C913CE"/>
    <w:rsid w:val="03C9324D"/>
    <w:rsid w:val="03CA0DCC"/>
    <w:rsid w:val="03CA17EF"/>
    <w:rsid w:val="03CA2626"/>
    <w:rsid w:val="03CB4A5D"/>
    <w:rsid w:val="03CC4180"/>
    <w:rsid w:val="03CC6AF1"/>
    <w:rsid w:val="03CD612B"/>
    <w:rsid w:val="03CE4C93"/>
    <w:rsid w:val="03CF6E8F"/>
    <w:rsid w:val="03CF7984"/>
    <w:rsid w:val="03D12952"/>
    <w:rsid w:val="03D17213"/>
    <w:rsid w:val="03D26F07"/>
    <w:rsid w:val="03D6122F"/>
    <w:rsid w:val="03D62A0A"/>
    <w:rsid w:val="03D658BA"/>
    <w:rsid w:val="03D65EE4"/>
    <w:rsid w:val="03D70DFC"/>
    <w:rsid w:val="03D75751"/>
    <w:rsid w:val="03D82EB4"/>
    <w:rsid w:val="03DA6318"/>
    <w:rsid w:val="03DB2900"/>
    <w:rsid w:val="03DB6A77"/>
    <w:rsid w:val="03DC2AE8"/>
    <w:rsid w:val="03DD1B49"/>
    <w:rsid w:val="03DD1D73"/>
    <w:rsid w:val="03DE58BA"/>
    <w:rsid w:val="03DE602C"/>
    <w:rsid w:val="03DF2688"/>
    <w:rsid w:val="03DF5EB1"/>
    <w:rsid w:val="03DF65DA"/>
    <w:rsid w:val="03E266A2"/>
    <w:rsid w:val="03E30943"/>
    <w:rsid w:val="03E33071"/>
    <w:rsid w:val="03E36A97"/>
    <w:rsid w:val="03E51258"/>
    <w:rsid w:val="03E534E0"/>
    <w:rsid w:val="03E66BDC"/>
    <w:rsid w:val="03E86A2A"/>
    <w:rsid w:val="03E8796A"/>
    <w:rsid w:val="03E911BA"/>
    <w:rsid w:val="03EA4D79"/>
    <w:rsid w:val="03EA7D55"/>
    <w:rsid w:val="03EC0C2A"/>
    <w:rsid w:val="03EC5F28"/>
    <w:rsid w:val="03EC6A66"/>
    <w:rsid w:val="03ED7F05"/>
    <w:rsid w:val="03EE1B74"/>
    <w:rsid w:val="03F00529"/>
    <w:rsid w:val="03F02DA5"/>
    <w:rsid w:val="03F07ABC"/>
    <w:rsid w:val="03F229A5"/>
    <w:rsid w:val="03F363C3"/>
    <w:rsid w:val="03F512C1"/>
    <w:rsid w:val="03F605FF"/>
    <w:rsid w:val="03F6241C"/>
    <w:rsid w:val="03F705CF"/>
    <w:rsid w:val="03F7522E"/>
    <w:rsid w:val="03FA03DC"/>
    <w:rsid w:val="03FA06AC"/>
    <w:rsid w:val="03FA7FFE"/>
    <w:rsid w:val="03FC31D2"/>
    <w:rsid w:val="03FD6A59"/>
    <w:rsid w:val="03FE12AA"/>
    <w:rsid w:val="03FE4F4A"/>
    <w:rsid w:val="03FF2886"/>
    <w:rsid w:val="03FF2DC6"/>
    <w:rsid w:val="03FF4B5E"/>
    <w:rsid w:val="040101F8"/>
    <w:rsid w:val="040405E8"/>
    <w:rsid w:val="040455F0"/>
    <w:rsid w:val="04052CD6"/>
    <w:rsid w:val="04056534"/>
    <w:rsid w:val="04061BF9"/>
    <w:rsid w:val="040623D7"/>
    <w:rsid w:val="04064D6B"/>
    <w:rsid w:val="040663FA"/>
    <w:rsid w:val="04073C99"/>
    <w:rsid w:val="04077077"/>
    <w:rsid w:val="04097178"/>
    <w:rsid w:val="040A2BBB"/>
    <w:rsid w:val="040C364A"/>
    <w:rsid w:val="040D03E0"/>
    <w:rsid w:val="040D6B63"/>
    <w:rsid w:val="041002FF"/>
    <w:rsid w:val="041038C9"/>
    <w:rsid w:val="04112C3E"/>
    <w:rsid w:val="041236AB"/>
    <w:rsid w:val="041255DE"/>
    <w:rsid w:val="04125A72"/>
    <w:rsid w:val="04132E6E"/>
    <w:rsid w:val="04136957"/>
    <w:rsid w:val="04137B5E"/>
    <w:rsid w:val="04170036"/>
    <w:rsid w:val="0418082B"/>
    <w:rsid w:val="04182BF4"/>
    <w:rsid w:val="04185410"/>
    <w:rsid w:val="04187367"/>
    <w:rsid w:val="041A1A9B"/>
    <w:rsid w:val="041B280B"/>
    <w:rsid w:val="041D3C29"/>
    <w:rsid w:val="041E04CF"/>
    <w:rsid w:val="041E145B"/>
    <w:rsid w:val="041E2D92"/>
    <w:rsid w:val="04222DDC"/>
    <w:rsid w:val="0423281D"/>
    <w:rsid w:val="042402CF"/>
    <w:rsid w:val="04241428"/>
    <w:rsid w:val="04251086"/>
    <w:rsid w:val="04254983"/>
    <w:rsid w:val="04262453"/>
    <w:rsid w:val="0427230D"/>
    <w:rsid w:val="042C4747"/>
    <w:rsid w:val="042E02E2"/>
    <w:rsid w:val="042E35FD"/>
    <w:rsid w:val="042F5BAE"/>
    <w:rsid w:val="043138D1"/>
    <w:rsid w:val="04322DF0"/>
    <w:rsid w:val="04342189"/>
    <w:rsid w:val="04351CCA"/>
    <w:rsid w:val="04357C00"/>
    <w:rsid w:val="04363EF5"/>
    <w:rsid w:val="04365C64"/>
    <w:rsid w:val="0437692F"/>
    <w:rsid w:val="04376A48"/>
    <w:rsid w:val="04380612"/>
    <w:rsid w:val="04390BE5"/>
    <w:rsid w:val="04391AA9"/>
    <w:rsid w:val="043A7545"/>
    <w:rsid w:val="043A7A4E"/>
    <w:rsid w:val="043B1C7A"/>
    <w:rsid w:val="043B7B7A"/>
    <w:rsid w:val="043E0681"/>
    <w:rsid w:val="043E5B24"/>
    <w:rsid w:val="0440476C"/>
    <w:rsid w:val="044052B7"/>
    <w:rsid w:val="0440696C"/>
    <w:rsid w:val="04416752"/>
    <w:rsid w:val="04421E68"/>
    <w:rsid w:val="0442248D"/>
    <w:rsid w:val="04423E11"/>
    <w:rsid w:val="044306C3"/>
    <w:rsid w:val="04471179"/>
    <w:rsid w:val="0449255A"/>
    <w:rsid w:val="044A2729"/>
    <w:rsid w:val="044B10A8"/>
    <w:rsid w:val="044B53B7"/>
    <w:rsid w:val="044C248B"/>
    <w:rsid w:val="044D0214"/>
    <w:rsid w:val="044D7CD4"/>
    <w:rsid w:val="044D7F1F"/>
    <w:rsid w:val="044F4194"/>
    <w:rsid w:val="0450738E"/>
    <w:rsid w:val="04522AB9"/>
    <w:rsid w:val="04522B38"/>
    <w:rsid w:val="04524E79"/>
    <w:rsid w:val="045301F6"/>
    <w:rsid w:val="04531206"/>
    <w:rsid w:val="045434B3"/>
    <w:rsid w:val="04545C7E"/>
    <w:rsid w:val="04545D66"/>
    <w:rsid w:val="04550D97"/>
    <w:rsid w:val="045616DE"/>
    <w:rsid w:val="04563FE9"/>
    <w:rsid w:val="04585158"/>
    <w:rsid w:val="04587F04"/>
    <w:rsid w:val="0459128F"/>
    <w:rsid w:val="045A0FDA"/>
    <w:rsid w:val="045B0166"/>
    <w:rsid w:val="045B1873"/>
    <w:rsid w:val="045B5D3C"/>
    <w:rsid w:val="045C0F3C"/>
    <w:rsid w:val="045E0DB7"/>
    <w:rsid w:val="045E2ABE"/>
    <w:rsid w:val="045F45C8"/>
    <w:rsid w:val="04610261"/>
    <w:rsid w:val="04610B65"/>
    <w:rsid w:val="04616AC4"/>
    <w:rsid w:val="04622A13"/>
    <w:rsid w:val="04641B21"/>
    <w:rsid w:val="04655373"/>
    <w:rsid w:val="04674BFE"/>
    <w:rsid w:val="04686715"/>
    <w:rsid w:val="04692D9D"/>
    <w:rsid w:val="046D3B2C"/>
    <w:rsid w:val="046E4FC0"/>
    <w:rsid w:val="046F17B3"/>
    <w:rsid w:val="046F6F24"/>
    <w:rsid w:val="047110A2"/>
    <w:rsid w:val="047214C1"/>
    <w:rsid w:val="047222D3"/>
    <w:rsid w:val="0473192B"/>
    <w:rsid w:val="047323C1"/>
    <w:rsid w:val="04733B2B"/>
    <w:rsid w:val="04734A31"/>
    <w:rsid w:val="04750473"/>
    <w:rsid w:val="04782BC5"/>
    <w:rsid w:val="04784C6C"/>
    <w:rsid w:val="047904D8"/>
    <w:rsid w:val="04793617"/>
    <w:rsid w:val="047936E8"/>
    <w:rsid w:val="04797A3D"/>
    <w:rsid w:val="047B1CF5"/>
    <w:rsid w:val="047B4EA8"/>
    <w:rsid w:val="047C1D2D"/>
    <w:rsid w:val="047C5FC7"/>
    <w:rsid w:val="047D1717"/>
    <w:rsid w:val="047D7605"/>
    <w:rsid w:val="047E0CA1"/>
    <w:rsid w:val="047E22EB"/>
    <w:rsid w:val="04812FFE"/>
    <w:rsid w:val="04815380"/>
    <w:rsid w:val="048213CA"/>
    <w:rsid w:val="0482159B"/>
    <w:rsid w:val="04841F68"/>
    <w:rsid w:val="04844D3B"/>
    <w:rsid w:val="04857737"/>
    <w:rsid w:val="0486318C"/>
    <w:rsid w:val="04866F9D"/>
    <w:rsid w:val="048736DA"/>
    <w:rsid w:val="048876F5"/>
    <w:rsid w:val="048956F0"/>
    <w:rsid w:val="048B3AA5"/>
    <w:rsid w:val="048C4FC4"/>
    <w:rsid w:val="048C54B6"/>
    <w:rsid w:val="048C606F"/>
    <w:rsid w:val="048F65D1"/>
    <w:rsid w:val="049068DD"/>
    <w:rsid w:val="04906B23"/>
    <w:rsid w:val="04911CB9"/>
    <w:rsid w:val="04911FA1"/>
    <w:rsid w:val="04932B92"/>
    <w:rsid w:val="049474D4"/>
    <w:rsid w:val="049502B4"/>
    <w:rsid w:val="049575E3"/>
    <w:rsid w:val="04963E85"/>
    <w:rsid w:val="049A509E"/>
    <w:rsid w:val="049A5BEB"/>
    <w:rsid w:val="049D3CD4"/>
    <w:rsid w:val="049E07D5"/>
    <w:rsid w:val="049E4688"/>
    <w:rsid w:val="049F5101"/>
    <w:rsid w:val="049F656D"/>
    <w:rsid w:val="04A065BE"/>
    <w:rsid w:val="04A23365"/>
    <w:rsid w:val="04A45173"/>
    <w:rsid w:val="04A4620D"/>
    <w:rsid w:val="04A50408"/>
    <w:rsid w:val="04A55E52"/>
    <w:rsid w:val="04A60B51"/>
    <w:rsid w:val="04A7042F"/>
    <w:rsid w:val="04A73DA3"/>
    <w:rsid w:val="04A9250C"/>
    <w:rsid w:val="04AA4E99"/>
    <w:rsid w:val="04AB7474"/>
    <w:rsid w:val="04AC03C6"/>
    <w:rsid w:val="04AC0EB1"/>
    <w:rsid w:val="04AC1FD3"/>
    <w:rsid w:val="04AC4F89"/>
    <w:rsid w:val="04AD7E8E"/>
    <w:rsid w:val="04AF59D3"/>
    <w:rsid w:val="04AF6E63"/>
    <w:rsid w:val="04B02A34"/>
    <w:rsid w:val="04B07A42"/>
    <w:rsid w:val="04B11767"/>
    <w:rsid w:val="04B20E39"/>
    <w:rsid w:val="04B3549D"/>
    <w:rsid w:val="04B3651B"/>
    <w:rsid w:val="04B37F10"/>
    <w:rsid w:val="04B45A86"/>
    <w:rsid w:val="04B548BF"/>
    <w:rsid w:val="04B734D8"/>
    <w:rsid w:val="04B92AEB"/>
    <w:rsid w:val="04B93B49"/>
    <w:rsid w:val="04B94D97"/>
    <w:rsid w:val="04BB6092"/>
    <w:rsid w:val="04BC3C7E"/>
    <w:rsid w:val="04BC4663"/>
    <w:rsid w:val="04BE3F0A"/>
    <w:rsid w:val="04C01254"/>
    <w:rsid w:val="04C0517F"/>
    <w:rsid w:val="04C0638F"/>
    <w:rsid w:val="04C3537C"/>
    <w:rsid w:val="04C4131B"/>
    <w:rsid w:val="04C5231F"/>
    <w:rsid w:val="04C54A72"/>
    <w:rsid w:val="04C57D3C"/>
    <w:rsid w:val="04C858BF"/>
    <w:rsid w:val="04C873BE"/>
    <w:rsid w:val="04C95636"/>
    <w:rsid w:val="04CA41ED"/>
    <w:rsid w:val="04CA4F9F"/>
    <w:rsid w:val="04CA62C4"/>
    <w:rsid w:val="04CC533C"/>
    <w:rsid w:val="04CD3436"/>
    <w:rsid w:val="04CD35F1"/>
    <w:rsid w:val="04CF2718"/>
    <w:rsid w:val="04D1036B"/>
    <w:rsid w:val="04D110F5"/>
    <w:rsid w:val="04D1523B"/>
    <w:rsid w:val="04D363A6"/>
    <w:rsid w:val="04D50D31"/>
    <w:rsid w:val="04D50D54"/>
    <w:rsid w:val="04DA0626"/>
    <w:rsid w:val="04DB2D1E"/>
    <w:rsid w:val="04DD2C1C"/>
    <w:rsid w:val="04DE7158"/>
    <w:rsid w:val="04DF1728"/>
    <w:rsid w:val="04E1145C"/>
    <w:rsid w:val="04E237F8"/>
    <w:rsid w:val="04E403C2"/>
    <w:rsid w:val="04E4204C"/>
    <w:rsid w:val="04E46871"/>
    <w:rsid w:val="04E52F21"/>
    <w:rsid w:val="04E548D6"/>
    <w:rsid w:val="04E61CA5"/>
    <w:rsid w:val="04E6485F"/>
    <w:rsid w:val="04E672BC"/>
    <w:rsid w:val="04E938D2"/>
    <w:rsid w:val="04EB0640"/>
    <w:rsid w:val="04EB7D2C"/>
    <w:rsid w:val="04EC169B"/>
    <w:rsid w:val="04EC3603"/>
    <w:rsid w:val="04EC539E"/>
    <w:rsid w:val="04ED3813"/>
    <w:rsid w:val="04EE4A3F"/>
    <w:rsid w:val="04EF069F"/>
    <w:rsid w:val="04EF671A"/>
    <w:rsid w:val="04EF786F"/>
    <w:rsid w:val="04F10A99"/>
    <w:rsid w:val="04F13718"/>
    <w:rsid w:val="04F313F9"/>
    <w:rsid w:val="04F44531"/>
    <w:rsid w:val="04F574FF"/>
    <w:rsid w:val="04F72482"/>
    <w:rsid w:val="04F774D2"/>
    <w:rsid w:val="04F87D18"/>
    <w:rsid w:val="04FA1A5B"/>
    <w:rsid w:val="04FB08E0"/>
    <w:rsid w:val="04FB71D2"/>
    <w:rsid w:val="04FC2CDC"/>
    <w:rsid w:val="04FD392D"/>
    <w:rsid w:val="04FE57EC"/>
    <w:rsid w:val="04FE5D16"/>
    <w:rsid w:val="04FF037E"/>
    <w:rsid w:val="04FF5EBB"/>
    <w:rsid w:val="0501135F"/>
    <w:rsid w:val="05020DC8"/>
    <w:rsid w:val="050242AD"/>
    <w:rsid w:val="05024BAF"/>
    <w:rsid w:val="0502794A"/>
    <w:rsid w:val="05030AA4"/>
    <w:rsid w:val="05031A3B"/>
    <w:rsid w:val="05081B53"/>
    <w:rsid w:val="05083B1D"/>
    <w:rsid w:val="050D3ABD"/>
    <w:rsid w:val="050F4C43"/>
    <w:rsid w:val="050F66B5"/>
    <w:rsid w:val="05102C91"/>
    <w:rsid w:val="05110FCA"/>
    <w:rsid w:val="051118D0"/>
    <w:rsid w:val="05111C1A"/>
    <w:rsid w:val="051126CA"/>
    <w:rsid w:val="05124ADC"/>
    <w:rsid w:val="05134A8D"/>
    <w:rsid w:val="05142D69"/>
    <w:rsid w:val="0514552D"/>
    <w:rsid w:val="05151FC0"/>
    <w:rsid w:val="05154B84"/>
    <w:rsid w:val="05156C1E"/>
    <w:rsid w:val="0515715B"/>
    <w:rsid w:val="05185C01"/>
    <w:rsid w:val="05185D83"/>
    <w:rsid w:val="05191A7F"/>
    <w:rsid w:val="05196B06"/>
    <w:rsid w:val="05197F98"/>
    <w:rsid w:val="051A64F5"/>
    <w:rsid w:val="051A71DB"/>
    <w:rsid w:val="051C09A3"/>
    <w:rsid w:val="051C1CAC"/>
    <w:rsid w:val="051C2F48"/>
    <w:rsid w:val="051C4810"/>
    <w:rsid w:val="051E0804"/>
    <w:rsid w:val="051F562D"/>
    <w:rsid w:val="05210164"/>
    <w:rsid w:val="05216546"/>
    <w:rsid w:val="0522299F"/>
    <w:rsid w:val="05254E6A"/>
    <w:rsid w:val="052616D8"/>
    <w:rsid w:val="052826DB"/>
    <w:rsid w:val="052828D7"/>
    <w:rsid w:val="052A52FF"/>
    <w:rsid w:val="052A6240"/>
    <w:rsid w:val="052A7A69"/>
    <w:rsid w:val="052B0D93"/>
    <w:rsid w:val="052B1173"/>
    <w:rsid w:val="052B14E1"/>
    <w:rsid w:val="052B2C79"/>
    <w:rsid w:val="052D204B"/>
    <w:rsid w:val="052E205E"/>
    <w:rsid w:val="052F17F4"/>
    <w:rsid w:val="052F7317"/>
    <w:rsid w:val="05323EA8"/>
    <w:rsid w:val="053324EA"/>
    <w:rsid w:val="053354A5"/>
    <w:rsid w:val="053361EE"/>
    <w:rsid w:val="053456F4"/>
    <w:rsid w:val="05347185"/>
    <w:rsid w:val="053547FB"/>
    <w:rsid w:val="05354C54"/>
    <w:rsid w:val="05370D93"/>
    <w:rsid w:val="05374BFF"/>
    <w:rsid w:val="05386D10"/>
    <w:rsid w:val="053A49DB"/>
    <w:rsid w:val="053A6B64"/>
    <w:rsid w:val="053B18A4"/>
    <w:rsid w:val="053C2C94"/>
    <w:rsid w:val="053D5C4F"/>
    <w:rsid w:val="05422950"/>
    <w:rsid w:val="0542634A"/>
    <w:rsid w:val="05442041"/>
    <w:rsid w:val="0545007B"/>
    <w:rsid w:val="05453CAD"/>
    <w:rsid w:val="05455747"/>
    <w:rsid w:val="054700C6"/>
    <w:rsid w:val="05473674"/>
    <w:rsid w:val="05483C25"/>
    <w:rsid w:val="05494D89"/>
    <w:rsid w:val="0549559F"/>
    <w:rsid w:val="05497665"/>
    <w:rsid w:val="054B0BE9"/>
    <w:rsid w:val="054D7A14"/>
    <w:rsid w:val="054E1ED3"/>
    <w:rsid w:val="05520B1A"/>
    <w:rsid w:val="0552503D"/>
    <w:rsid w:val="0552632F"/>
    <w:rsid w:val="055275D9"/>
    <w:rsid w:val="05534D67"/>
    <w:rsid w:val="05536CD3"/>
    <w:rsid w:val="0554003B"/>
    <w:rsid w:val="05542478"/>
    <w:rsid w:val="055516CD"/>
    <w:rsid w:val="05553549"/>
    <w:rsid w:val="05563A93"/>
    <w:rsid w:val="05576F7B"/>
    <w:rsid w:val="055834FD"/>
    <w:rsid w:val="05594417"/>
    <w:rsid w:val="055A4A08"/>
    <w:rsid w:val="055C0693"/>
    <w:rsid w:val="055C0D2F"/>
    <w:rsid w:val="055C2298"/>
    <w:rsid w:val="055D4CC2"/>
    <w:rsid w:val="055E1B12"/>
    <w:rsid w:val="055E45CA"/>
    <w:rsid w:val="055F320A"/>
    <w:rsid w:val="05600E8A"/>
    <w:rsid w:val="05603571"/>
    <w:rsid w:val="056076E9"/>
    <w:rsid w:val="056164F9"/>
    <w:rsid w:val="0562000D"/>
    <w:rsid w:val="05623AC6"/>
    <w:rsid w:val="05635940"/>
    <w:rsid w:val="0564416C"/>
    <w:rsid w:val="0564439A"/>
    <w:rsid w:val="05646115"/>
    <w:rsid w:val="05650A5E"/>
    <w:rsid w:val="05652370"/>
    <w:rsid w:val="05654685"/>
    <w:rsid w:val="05656DF6"/>
    <w:rsid w:val="056621AB"/>
    <w:rsid w:val="05666D3A"/>
    <w:rsid w:val="0568423F"/>
    <w:rsid w:val="05685168"/>
    <w:rsid w:val="056905C6"/>
    <w:rsid w:val="056B0D50"/>
    <w:rsid w:val="056D423B"/>
    <w:rsid w:val="0570395F"/>
    <w:rsid w:val="05712015"/>
    <w:rsid w:val="05712685"/>
    <w:rsid w:val="05741D0D"/>
    <w:rsid w:val="057503B4"/>
    <w:rsid w:val="05752386"/>
    <w:rsid w:val="057626DA"/>
    <w:rsid w:val="05767658"/>
    <w:rsid w:val="05782BF7"/>
    <w:rsid w:val="057A07EF"/>
    <w:rsid w:val="057A1858"/>
    <w:rsid w:val="057A3078"/>
    <w:rsid w:val="057B485B"/>
    <w:rsid w:val="057D1EF9"/>
    <w:rsid w:val="057E46C6"/>
    <w:rsid w:val="057E528E"/>
    <w:rsid w:val="057F3729"/>
    <w:rsid w:val="058052BA"/>
    <w:rsid w:val="05814E68"/>
    <w:rsid w:val="058260E3"/>
    <w:rsid w:val="05832C02"/>
    <w:rsid w:val="05847049"/>
    <w:rsid w:val="05847100"/>
    <w:rsid w:val="05847E8A"/>
    <w:rsid w:val="05857E1F"/>
    <w:rsid w:val="05860655"/>
    <w:rsid w:val="058678B0"/>
    <w:rsid w:val="058819DF"/>
    <w:rsid w:val="058833E1"/>
    <w:rsid w:val="05887952"/>
    <w:rsid w:val="0589009F"/>
    <w:rsid w:val="058B3A56"/>
    <w:rsid w:val="058B4C4D"/>
    <w:rsid w:val="058B7E87"/>
    <w:rsid w:val="058C79D6"/>
    <w:rsid w:val="058D084D"/>
    <w:rsid w:val="058D7D27"/>
    <w:rsid w:val="058F4597"/>
    <w:rsid w:val="058F6D7F"/>
    <w:rsid w:val="05907F2C"/>
    <w:rsid w:val="05910364"/>
    <w:rsid w:val="059172F2"/>
    <w:rsid w:val="059242FF"/>
    <w:rsid w:val="05937517"/>
    <w:rsid w:val="0595080C"/>
    <w:rsid w:val="05956F20"/>
    <w:rsid w:val="059675B2"/>
    <w:rsid w:val="05967C48"/>
    <w:rsid w:val="05970938"/>
    <w:rsid w:val="05977B09"/>
    <w:rsid w:val="05982C7A"/>
    <w:rsid w:val="05995413"/>
    <w:rsid w:val="059958AD"/>
    <w:rsid w:val="059963E7"/>
    <w:rsid w:val="059A02A5"/>
    <w:rsid w:val="059A3C03"/>
    <w:rsid w:val="059B7773"/>
    <w:rsid w:val="059B7A24"/>
    <w:rsid w:val="059D5BA8"/>
    <w:rsid w:val="05A036E3"/>
    <w:rsid w:val="05A15DE5"/>
    <w:rsid w:val="05A306AA"/>
    <w:rsid w:val="05A32E78"/>
    <w:rsid w:val="05A36F5B"/>
    <w:rsid w:val="05A4129C"/>
    <w:rsid w:val="05A513C3"/>
    <w:rsid w:val="05A56FBF"/>
    <w:rsid w:val="05A603BC"/>
    <w:rsid w:val="05A71EDC"/>
    <w:rsid w:val="05A736C9"/>
    <w:rsid w:val="05A73FCB"/>
    <w:rsid w:val="05A748B4"/>
    <w:rsid w:val="05A84763"/>
    <w:rsid w:val="05A970D5"/>
    <w:rsid w:val="05AA6EA4"/>
    <w:rsid w:val="05AB2541"/>
    <w:rsid w:val="05AC4062"/>
    <w:rsid w:val="05AC6024"/>
    <w:rsid w:val="05AF0A0B"/>
    <w:rsid w:val="05AF6CB2"/>
    <w:rsid w:val="05B00518"/>
    <w:rsid w:val="05B0146B"/>
    <w:rsid w:val="05B16CC6"/>
    <w:rsid w:val="05B22BC1"/>
    <w:rsid w:val="05B2600A"/>
    <w:rsid w:val="05B3466E"/>
    <w:rsid w:val="05B365A3"/>
    <w:rsid w:val="05B37B8C"/>
    <w:rsid w:val="05B45F59"/>
    <w:rsid w:val="05B52193"/>
    <w:rsid w:val="05B52823"/>
    <w:rsid w:val="05B80C75"/>
    <w:rsid w:val="05B94AAC"/>
    <w:rsid w:val="05BA5CCD"/>
    <w:rsid w:val="05BB3E77"/>
    <w:rsid w:val="05BB6E05"/>
    <w:rsid w:val="05BC0DB1"/>
    <w:rsid w:val="05BC5FC6"/>
    <w:rsid w:val="05BD1E31"/>
    <w:rsid w:val="05BD7760"/>
    <w:rsid w:val="05BE40D4"/>
    <w:rsid w:val="05C018AC"/>
    <w:rsid w:val="05C04F9C"/>
    <w:rsid w:val="05C2493B"/>
    <w:rsid w:val="05C27440"/>
    <w:rsid w:val="05C52A66"/>
    <w:rsid w:val="05C570B1"/>
    <w:rsid w:val="05C64114"/>
    <w:rsid w:val="05C80FCD"/>
    <w:rsid w:val="05C81B49"/>
    <w:rsid w:val="05C92518"/>
    <w:rsid w:val="05C92F2B"/>
    <w:rsid w:val="05CB44CF"/>
    <w:rsid w:val="05CB4F30"/>
    <w:rsid w:val="05CC24F4"/>
    <w:rsid w:val="05CC5EFC"/>
    <w:rsid w:val="05CF4989"/>
    <w:rsid w:val="05D0353C"/>
    <w:rsid w:val="05D06F3A"/>
    <w:rsid w:val="05D22575"/>
    <w:rsid w:val="05D30732"/>
    <w:rsid w:val="05D34949"/>
    <w:rsid w:val="05D43664"/>
    <w:rsid w:val="05D444D4"/>
    <w:rsid w:val="05D451E5"/>
    <w:rsid w:val="05D5781D"/>
    <w:rsid w:val="05D654CF"/>
    <w:rsid w:val="05D85D20"/>
    <w:rsid w:val="05DB7D03"/>
    <w:rsid w:val="05DC125C"/>
    <w:rsid w:val="05DC7DFC"/>
    <w:rsid w:val="05DD082E"/>
    <w:rsid w:val="05DD246D"/>
    <w:rsid w:val="05DE6084"/>
    <w:rsid w:val="05E0237B"/>
    <w:rsid w:val="05E205E5"/>
    <w:rsid w:val="05E244DD"/>
    <w:rsid w:val="05E32574"/>
    <w:rsid w:val="05E36AC4"/>
    <w:rsid w:val="05E447D2"/>
    <w:rsid w:val="05E46D42"/>
    <w:rsid w:val="05E662E4"/>
    <w:rsid w:val="05E84017"/>
    <w:rsid w:val="05E84706"/>
    <w:rsid w:val="05EA2F05"/>
    <w:rsid w:val="05EA5FA3"/>
    <w:rsid w:val="05EB4841"/>
    <w:rsid w:val="05EC3E75"/>
    <w:rsid w:val="05EE22B4"/>
    <w:rsid w:val="05EE51B3"/>
    <w:rsid w:val="05EF0D7D"/>
    <w:rsid w:val="05F20942"/>
    <w:rsid w:val="05F23BF6"/>
    <w:rsid w:val="05F30966"/>
    <w:rsid w:val="05F30A0F"/>
    <w:rsid w:val="05F34D4D"/>
    <w:rsid w:val="05F45333"/>
    <w:rsid w:val="05F5130C"/>
    <w:rsid w:val="05F54736"/>
    <w:rsid w:val="05F83CEA"/>
    <w:rsid w:val="05FA1B66"/>
    <w:rsid w:val="05FB414A"/>
    <w:rsid w:val="05FC072D"/>
    <w:rsid w:val="05FC1F71"/>
    <w:rsid w:val="05FF3D80"/>
    <w:rsid w:val="0600615C"/>
    <w:rsid w:val="06007065"/>
    <w:rsid w:val="0603407A"/>
    <w:rsid w:val="06035507"/>
    <w:rsid w:val="06035809"/>
    <w:rsid w:val="06042F56"/>
    <w:rsid w:val="06063F5E"/>
    <w:rsid w:val="060813CF"/>
    <w:rsid w:val="06085338"/>
    <w:rsid w:val="06087AB3"/>
    <w:rsid w:val="060A47FA"/>
    <w:rsid w:val="060D2A54"/>
    <w:rsid w:val="060D3538"/>
    <w:rsid w:val="060E28FC"/>
    <w:rsid w:val="060F7C26"/>
    <w:rsid w:val="06104125"/>
    <w:rsid w:val="06110EED"/>
    <w:rsid w:val="061129BF"/>
    <w:rsid w:val="06115D2E"/>
    <w:rsid w:val="0612606C"/>
    <w:rsid w:val="06132D1F"/>
    <w:rsid w:val="06137EDA"/>
    <w:rsid w:val="06142FC3"/>
    <w:rsid w:val="06155EE0"/>
    <w:rsid w:val="06157E21"/>
    <w:rsid w:val="06161841"/>
    <w:rsid w:val="06165FDA"/>
    <w:rsid w:val="061730AB"/>
    <w:rsid w:val="06180048"/>
    <w:rsid w:val="061821C8"/>
    <w:rsid w:val="06182688"/>
    <w:rsid w:val="06182B66"/>
    <w:rsid w:val="061D4ACA"/>
    <w:rsid w:val="061E1466"/>
    <w:rsid w:val="062019C8"/>
    <w:rsid w:val="0620555C"/>
    <w:rsid w:val="06205A10"/>
    <w:rsid w:val="06221C8B"/>
    <w:rsid w:val="06240B21"/>
    <w:rsid w:val="0624281F"/>
    <w:rsid w:val="062613C6"/>
    <w:rsid w:val="06292C63"/>
    <w:rsid w:val="062A3AE0"/>
    <w:rsid w:val="062C23B8"/>
    <w:rsid w:val="062C3E1C"/>
    <w:rsid w:val="062F1B50"/>
    <w:rsid w:val="062F5BCA"/>
    <w:rsid w:val="062F5C42"/>
    <w:rsid w:val="06304B38"/>
    <w:rsid w:val="0630530A"/>
    <w:rsid w:val="06323397"/>
    <w:rsid w:val="06326C8B"/>
    <w:rsid w:val="06332CFB"/>
    <w:rsid w:val="06334D98"/>
    <w:rsid w:val="063457A2"/>
    <w:rsid w:val="0636440D"/>
    <w:rsid w:val="063823BF"/>
    <w:rsid w:val="063934C2"/>
    <w:rsid w:val="06393EC5"/>
    <w:rsid w:val="063A0CF7"/>
    <w:rsid w:val="063A3A58"/>
    <w:rsid w:val="063C3D47"/>
    <w:rsid w:val="063C44DF"/>
    <w:rsid w:val="063C7874"/>
    <w:rsid w:val="063D7257"/>
    <w:rsid w:val="063E32EC"/>
    <w:rsid w:val="063E3FA7"/>
    <w:rsid w:val="063F3526"/>
    <w:rsid w:val="0640787E"/>
    <w:rsid w:val="06421445"/>
    <w:rsid w:val="06425F99"/>
    <w:rsid w:val="0644288F"/>
    <w:rsid w:val="0644515E"/>
    <w:rsid w:val="0646522C"/>
    <w:rsid w:val="06471D99"/>
    <w:rsid w:val="06494525"/>
    <w:rsid w:val="06497045"/>
    <w:rsid w:val="064A79E8"/>
    <w:rsid w:val="064B5FC6"/>
    <w:rsid w:val="064B7098"/>
    <w:rsid w:val="064C20BE"/>
    <w:rsid w:val="064D7CF0"/>
    <w:rsid w:val="064E7003"/>
    <w:rsid w:val="06503822"/>
    <w:rsid w:val="06503D72"/>
    <w:rsid w:val="0653217D"/>
    <w:rsid w:val="06553D02"/>
    <w:rsid w:val="065710B9"/>
    <w:rsid w:val="06577529"/>
    <w:rsid w:val="06597F8E"/>
    <w:rsid w:val="065A7611"/>
    <w:rsid w:val="065A7D4D"/>
    <w:rsid w:val="065C388D"/>
    <w:rsid w:val="06621C00"/>
    <w:rsid w:val="06636591"/>
    <w:rsid w:val="066A0519"/>
    <w:rsid w:val="066C6867"/>
    <w:rsid w:val="066D21DE"/>
    <w:rsid w:val="066D4083"/>
    <w:rsid w:val="066F6E3E"/>
    <w:rsid w:val="06706701"/>
    <w:rsid w:val="06715092"/>
    <w:rsid w:val="06733D9B"/>
    <w:rsid w:val="06736297"/>
    <w:rsid w:val="06770F6D"/>
    <w:rsid w:val="0677583B"/>
    <w:rsid w:val="06782871"/>
    <w:rsid w:val="06787E06"/>
    <w:rsid w:val="06791591"/>
    <w:rsid w:val="06792313"/>
    <w:rsid w:val="067B6E43"/>
    <w:rsid w:val="067E6BA7"/>
    <w:rsid w:val="067F6321"/>
    <w:rsid w:val="06803C15"/>
    <w:rsid w:val="06814FEE"/>
    <w:rsid w:val="0682513F"/>
    <w:rsid w:val="06825BA4"/>
    <w:rsid w:val="06826DAA"/>
    <w:rsid w:val="06831690"/>
    <w:rsid w:val="06846884"/>
    <w:rsid w:val="0687515F"/>
    <w:rsid w:val="068877AF"/>
    <w:rsid w:val="06890BB7"/>
    <w:rsid w:val="06896558"/>
    <w:rsid w:val="068B011B"/>
    <w:rsid w:val="068B0F63"/>
    <w:rsid w:val="068E63AF"/>
    <w:rsid w:val="068E7992"/>
    <w:rsid w:val="068F081A"/>
    <w:rsid w:val="068F25D5"/>
    <w:rsid w:val="06905886"/>
    <w:rsid w:val="0691618C"/>
    <w:rsid w:val="06936923"/>
    <w:rsid w:val="0694361F"/>
    <w:rsid w:val="0694579C"/>
    <w:rsid w:val="069474B6"/>
    <w:rsid w:val="06953F2C"/>
    <w:rsid w:val="06955910"/>
    <w:rsid w:val="06965375"/>
    <w:rsid w:val="0699137C"/>
    <w:rsid w:val="069970F7"/>
    <w:rsid w:val="06997FFC"/>
    <w:rsid w:val="069C3132"/>
    <w:rsid w:val="069D0C36"/>
    <w:rsid w:val="069F0177"/>
    <w:rsid w:val="06A00C4B"/>
    <w:rsid w:val="06A042F6"/>
    <w:rsid w:val="06A06B5B"/>
    <w:rsid w:val="06A370FE"/>
    <w:rsid w:val="06A45D38"/>
    <w:rsid w:val="06A5017D"/>
    <w:rsid w:val="06A836A6"/>
    <w:rsid w:val="06A943B4"/>
    <w:rsid w:val="06AB646C"/>
    <w:rsid w:val="06AC6E2D"/>
    <w:rsid w:val="06AE40B3"/>
    <w:rsid w:val="06AE5D42"/>
    <w:rsid w:val="06AF54A7"/>
    <w:rsid w:val="06B07237"/>
    <w:rsid w:val="06B12758"/>
    <w:rsid w:val="06B160E0"/>
    <w:rsid w:val="06B240C1"/>
    <w:rsid w:val="06B61F72"/>
    <w:rsid w:val="06B63525"/>
    <w:rsid w:val="06B77454"/>
    <w:rsid w:val="06B86254"/>
    <w:rsid w:val="06B8759F"/>
    <w:rsid w:val="06BA25B6"/>
    <w:rsid w:val="06BA2669"/>
    <w:rsid w:val="06BA3CFA"/>
    <w:rsid w:val="06BB79E4"/>
    <w:rsid w:val="06BC15B7"/>
    <w:rsid w:val="06BE76B0"/>
    <w:rsid w:val="06BF44D6"/>
    <w:rsid w:val="06BF504E"/>
    <w:rsid w:val="06C07699"/>
    <w:rsid w:val="06C22028"/>
    <w:rsid w:val="06C33941"/>
    <w:rsid w:val="06C4395B"/>
    <w:rsid w:val="06C44EB0"/>
    <w:rsid w:val="06C50142"/>
    <w:rsid w:val="06C53FC7"/>
    <w:rsid w:val="06C7377D"/>
    <w:rsid w:val="06C8249A"/>
    <w:rsid w:val="06C85E80"/>
    <w:rsid w:val="06C963F3"/>
    <w:rsid w:val="06C96F70"/>
    <w:rsid w:val="06CA720C"/>
    <w:rsid w:val="06CB206E"/>
    <w:rsid w:val="06CC747D"/>
    <w:rsid w:val="06CD33C9"/>
    <w:rsid w:val="06CE1BF8"/>
    <w:rsid w:val="06CF23CE"/>
    <w:rsid w:val="06CF2FED"/>
    <w:rsid w:val="06CF5F0D"/>
    <w:rsid w:val="06D06AD7"/>
    <w:rsid w:val="06D101F4"/>
    <w:rsid w:val="06D15589"/>
    <w:rsid w:val="06D25D4A"/>
    <w:rsid w:val="06D35027"/>
    <w:rsid w:val="06D51046"/>
    <w:rsid w:val="06D51D2A"/>
    <w:rsid w:val="06D60258"/>
    <w:rsid w:val="06D62363"/>
    <w:rsid w:val="06D66EBD"/>
    <w:rsid w:val="06D71AA0"/>
    <w:rsid w:val="06DA6A6C"/>
    <w:rsid w:val="06DB2B5B"/>
    <w:rsid w:val="06DB357F"/>
    <w:rsid w:val="06DD6407"/>
    <w:rsid w:val="06DE5DB5"/>
    <w:rsid w:val="06E1030B"/>
    <w:rsid w:val="06E13D5D"/>
    <w:rsid w:val="06E1566B"/>
    <w:rsid w:val="06E31D05"/>
    <w:rsid w:val="06E3794E"/>
    <w:rsid w:val="06E50D0F"/>
    <w:rsid w:val="06E5410E"/>
    <w:rsid w:val="06E85C78"/>
    <w:rsid w:val="06E87710"/>
    <w:rsid w:val="06EA7188"/>
    <w:rsid w:val="06EB0C31"/>
    <w:rsid w:val="06EC05C7"/>
    <w:rsid w:val="06EC1A63"/>
    <w:rsid w:val="06EC3A2D"/>
    <w:rsid w:val="06ED2FF0"/>
    <w:rsid w:val="06EE63CB"/>
    <w:rsid w:val="06EF3E23"/>
    <w:rsid w:val="06EF4D17"/>
    <w:rsid w:val="06F06843"/>
    <w:rsid w:val="06F148AA"/>
    <w:rsid w:val="06F544BC"/>
    <w:rsid w:val="06F77E37"/>
    <w:rsid w:val="06F803AB"/>
    <w:rsid w:val="06F807A5"/>
    <w:rsid w:val="06FA0931"/>
    <w:rsid w:val="06FA567A"/>
    <w:rsid w:val="06FB49D6"/>
    <w:rsid w:val="06FB68A5"/>
    <w:rsid w:val="06FC135A"/>
    <w:rsid w:val="06FE71CE"/>
    <w:rsid w:val="07010150"/>
    <w:rsid w:val="07025E1E"/>
    <w:rsid w:val="07030A94"/>
    <w:rsid w:val="07037C02"/>
    <w:rsid w:val="070422CF"/>
    <w:rsid w:val="07042B4F"/>
    <w:rsid w:val="07044381"/>
    <w:rsid w:val="07047B72"/>
    <w:rsid w:val="07066AF1"/>
    <w:rsid w:val="07083B8F"/>
    <w:rsid w:val="07090E2A"/>
    <w:rsid w:val="070A22FE"/>
    <w:rsid w:val="070B1B76"/>
    <w:rsid w:val="070D6661"/>
    <w:rsid w:val="070E310E"/>
    <w:rsid w:val="070F087B"/>
    <w:rsid w:val="07110FF3"/>
    <w:rsid w:val="07114BA0"/>
    <w:rsid w:val="071212D7"/>
    <w:rsid w:val="071253ED"/>
    <w:rsid w:val="0712628C"/>
    <w:rsid w:val="07152762"/>
    <w:rsid w:val="07153A9B"/>
    <w:rsid w:val="0716156E"/>
    <w:rsid w:val="07163991"/>
    <w:rsid w:val="07164EBD"/>
    <w:rsid w:val="07172BB4"/>
    <w:rsid w:val="07184188"/>
    <w:rsid w:val="071877B6"/>
    <w:rsid w:val="0719781A"/>
    <w:rsid w:val="071A0298"/>
    <w:rsid w:val="071C07D8"/>
    <w:rsid w:val="071C73DF"/>
    <w:rsid w:val="071F5342"/>
    <w:rsid w:val="071F62AD"/>
    <w:rsid w:val="07207A06"/>
    <w:rsid w:val="07210C66"/>
    <w:rsid w:val="07211AF2"/>
    <w:rsid w:val="072144DB"/>
    <w:rsid w:val="072371EA"/>
    <w:rsid w:val="072440CC"/>
    <w:rsid w:val="07244D2F"/>
    <w:rsid w:val="07245F7E"/>
    <w:rsid w:val="0726279C"/>
    <w:rsid w:val="07263C0D"/>
    <w:rsid w:val="072815C0"/>
    <w:rsid w:val="07294421"/>
    <w:rsid w:val="072B0A00"/>
    <w:rsid w:val="072B13A6"/>
    <w:rsid w:val="072D221F"/>
    <w:rsid w:val="072E116E"/>
    <w:rsid w:val="072E4543"/>
    <w:rsid w:val="072F78B1"/>
    <w:rsid w:val="07302F8C"/>
    <w:rsid w:val="0731756F"/>
    <w:rsid w:val="07326212"/>
    <w:rsid w:val="07343994"/>
    <w:rsid w:val="073471A5"/>
    <w:rsid w:val="0734777E"/>
    <w:rsid w:val="07372051"/>
    <w:rsid w:val="07372AAD"/>
    <w:rsid w:val="07373D37"/>
    <w:rsid w:val="073778E9"/>
    <w:rsid w:val="07380ADA"/>
    <w:rsid w:val="07382442"/>
    <w:rsid w:val="07394E72"/>
    <w:rsid w:val="073A2F14"/>
    <w:rsid w:val="073B5E8B"/>
    <w:rsid w:val="073C552C"/>
    <w:rsid w:val="073D0612"/>
    <w:rsid w:val="073D23E1"/>
    <w:rsid w:val="07406E1E"/>
    <w:rsid w:val="07415526"/>
    <w:rsid w:val="07415F90"/>
    <w:rsid w:val="07427732"/>
    <w:rsid w:val="07436247"/>
    <w:rsid w:val="07446323"/>
    <w:rsid w:val="074543D7"/>
    <w:rsid w:val="074834BA"/>
    <w:rsid w:val="07487DBA"/>
    <w:rsid w:val="07492CC8"/>
    <w:rsid w:val="07496EA3"/>
    <w:rsid w:val="074A4FF3"/>
    <w:rsid w:val="074B3E18"/>
    <w:rsid w:val="074B43BC"/>
    <w:rsid w:val="074D294A"/>
    <w:rsid w:val="074E4175"/>
    <w:rsid w:val="074E7E3C"/>
    <w:rsid w:val="074F1288"/>
    <w:rsid w:val="074F6847"/>
    <w:rsid w:val="07501D33"/>
    <w:rsid w:val="07514144"/>
    <w:rsid w:val="075229E7"/>
    <w:rsid w:val="07541100"/>
    <w:rsid w:val="07570044"/>
    <w:rsid w:val="07576437"/>
    <w:rsid w:val="075800B6"/>
    <w:rsid w:val="075825F2"/>
    <w:rsid w:val="075869DC"/>
    <w:rsid w:val="07597375"/>
    <w:rsid w:val="075B1144"/>
    <w:rsid w:val="075D13A6"/>
    <w:rsid w:val="075E01A1"/>
    <w:rsid w:val="075E3C92"/>
    <w:rsid w:val="07614EBC"/>
    <w:rsid w:val="07637B9D"/>
    <w:rsid w:val="07644BCA"/>
    <w:rsid w:val="07646BE3"/>
    <w:rsid w:val="07650555"/>
    <w:rsid w:val="07650C67"/>
    <w:rsid w:val="076A165D"/>
    <w:rsid w:val="076B598B"/>
    <w:rsid w:val="076C23EF"/>
    <w:rsid w:val="076D78B0"/>
    <w:rsid w:val="076E565E"/>
    <w:rsid w:val="076F261B"/>
    <w:rsid w:val="076F5B52"/>
    <w:rsid w:val="076F7B59"/>
    <w:rsid w:val="07702E6D"/>
    <w:rsid w:val="07703BA6"/>
    <w:rsid w:val="07717DB4"/>
    <w:rsid w:val="07735176"/>
    <w:rsid w:val="07737A5E"/>
    <w:rsid w:val="0775129D"/>
    <w:rsid w:val="07754019"/>
    <w:rsid w:val="07772210"/>
    <w:rsid w:val="07796B40"/>
    <w:rsid w:val="077B6D9C"/>
    <w:rsid w:val="077C7765"/>
    <w:rsid w:val="077D7744"/>
    <w:rsid w:val="077F62D1"/>
    <w:rsid w:val="0780045E"/>
    <w:rsid w:val="07811857"/>
    <w:rsid w:val="07813383"/>
    <w:rsid w:val="07815354"/>
    <w:rsid w:val="07816E53"/>
    <w:rsid w:val="07824F62"/>
    <w:rsid w:val="078310CD"/>
    <w:rsid w:val="0783344D"/>
    <w:rsid w:val="07835156"/>
    <w:rsid w:val="078559BD"/>
    <w:rsid w:val="07861569"/>
    <w:rsid w:val="07876BDF"/>
    <w:rsid w:val="07884C8D"/>
    <w:rsid w:val="07887713"/>
    <w:rsid w:val="07891830"/>
    <w:rsid w:val="078A1534"/>
    <w:rsid w:val="078B0706"/>
    <w:rsid w:val="078C3797"/>
    <w:rsid w:val="078D7D5C"/>
    <w:rsid w:val="078E1089"/>
    <w:rsid w:val="078E7C38"/>
    <w:rsid w:val="078F2A5D"/>
    <w:rsid w:val="078F445B"/>
    <w:rsid w:val="078F7B31"/>
    <w:rsid w:val="078F7D84"/>
    <w:rsid w:val="07913743"/>
    <w:rsid w:val="079500AC"/>
    <w:rsid w:val="079671A4"/>
    <w:rsid w:val="07970D01"/>
    <w:rsid w:val="07990571"/>
    <w:rsid w:val="07996868"/>
    <w:rsid w:val="079A1604"/>
    <w:rsid w:val="079A38BA"/>
    <w:rsid w:val="079A4C64"/>
    <w:rsid w:val="079B5A91"/>
    <w:rsid w:val="079B75E3"/>
    <w:rsid w:val="079C3AC1"/>
    <w:rsid w:val="079C74AA"/>
    <w:rsid w:val="079D58E4"/>
    <w:rsid w:val="079E584E"/>
    <w:rsid w:val="079E5C2C"/>
    <w:rsid w:val="079E7D91"/>
    <w:rsid w:val="079F207B"/>
    <w:rsid w:val="079F3A86"/>
    <w:rsid w:val="07A02B3D"/>
    <w:rsid w:val="07A05E77"/>
    <w:rsid w:val="07A258A5"/>
    <w:rsid w:val="07A33E85"/>
    <w:rsid w:val="07A4383B"/>
    <w:rsid w:val="07A4414A"/>
    <w:rsid w:val="07A55576"/>
    <w:rsid w:val="07A85BDA"/>
    <w:rsid w:val="07A876B9"/>
    <w:rsid w:val="07A91D88"/>
    <w:rsid w:val="07A95A31"/>
    <w:rsid w:val="07AA19ED"/>
    <w:rsid w:val="07AB349A"/>
    <w:rsid w:val="07AC19F3"/>
    <w:rsid w:val="07AC381E"/>
    <w:rsid w:val="07AC55C1"/>
    <w:rsid w:val="07AF23CC"/>
    <w:rsid w:val="07AF445F"/>
    <w:rsid w:val="07B11F75"/>
    <w:rsid w:val="07B33A8B"/>
    <w:rsid w:val="07B41102"/>
    <w:rsid w:val="07B44323"/>
    <w:rsid w:val="07B542EC"/>
    <w:rsid w:val="07B56EFC"/>
    <w:rsid w:val="07B56F05"/>
    <w:rsid w:val="07B66902"/>
    <w:rsid w:val="07B73B6E"/>
    <w:rsid w:val="07B85289"/>
    <w:rsid w:val="07B94EF9"/>
    <w:rsid w:val="07BC14CA"/>
    <w:rsid w:val="07BC257B"/>
    <w:rsid w:val="07BE472A"/>
    <w:rsid w:val="07BE4F63"/>
    <w:rsid w:val="07BF007D"/>
    <w:rsid w:val="07BF1D41"/>
    <w:rsid w:val="07BF3353"/>
    <w:rsid w:val="07C038FF"/>
    <w:rsid w:val="07C1644D"/>
    <w:rsid w:val="07C169AD"/>
    <w:rsid w:val="07C245A7"/>
    <w:rsid w:val="07C322D6"/>
    <w:rsid w:val="07C43B36"/>
    <w:rsid w:val="07C46245"/>
    <w:rsid w:val="07C52BF9"/>
    <w:rsid w:val="07C71D8C"/>
    <w:rsid w:val="07C72BB5"/>
    <w:rsid w:val="07C74467"/>
    <w:rsid w:val="07C84A57"/>
    <w:rsid w:val="07C87883"/>
    <w:rsid w:val="07C94E87"/>
    <w:rsid w:val="07C97EA3"/>
    <w:rsid w:val="07CA0A55"/>
    <w:rsid w:val="07CC1A2B"/>
    <w:rsid w:val="07CC5589"/>
    <w:rsid w:val="07D05545"/>
    <w:rsid w:val="07D1654B"/>
    <w:rsid w:val="07D1799C"/>
    <w:rsid w:val="07D300A3"/>
    <w:rsid w:val="07D35231"/>
    <w:rsid w:val="07D37E16"/>
    <w:rsid w:val="07D43269"/>
    <w:rsid w:val="07D95C6C"/>
    <w:rsid w:val="07DD6C95"/>
    <w:rsid w:val="07DE071F"/>
    <w:rsid w:val="07DE142E"/>
    <w:rsid w:val="07DF50A6"/>
    <w:rsid w:val="07E0771F"/>
    <w:rsid w:val="07E10648"/>
    <w:rsid w:val="07E13E9E"/>
    <w:rsid w:val="07E15816"/>
    <w:rsid w:val="07E23436"/>
    <w:rsid w:val="07E32AFE"/>
    <w:rsid w:val="07E37747"/>
    <w:rsid w:val="07E41A49"/>
    <w:rsid w:val="07E606A1"/>
    <w:rsid w:val="07E61381"/>
    <w:rsid w:val="07E637B8"/>
    <w:rsid w:val="07E67EC1"/>
    <w:rsid w:val="07E71158"/>
    <w:rsid w:val="07EA0935"/>
    <w:rsid w:val="07EB5AC9"/>
    <w:rsid w:val="07ED0E01"/>
    <w:rsid w:val="07F0093F"/>
    <w:rsid w:val="07F06E3C"/>
    <w:rsid w:val="07F10808"/>
    <w:rsid w:val="07F13D06"/>
    <w:rsid w:val="07F171D7"/>
    <w:rsid w:val="07F313BE"/>
    <w:rsid w:val="07F54003"/>
    <w:rsid w:val="07F6361D"/>
    <w:rsid w:val="07F82356"/>
    <w:rsid w:val="07FA0513"/>
    <w:rsid w:val="07FA1BA0"/>
    <w:rsid w:val="07FB1D0D"/>
    <w:rsid w:val="07FC2EA7"/>
    <w:rsid w:val="0801602A"/>
    <w:rsid w:val="0802219A"/>
    <w:rsid w:val="08027330"/>
    <w:rsid w:val="08035BA5"/>
    <w:rsid w:val="0804625A"/>
    <w:rsid w:val="08046ED7"/>
    <w:rsid w:val="08054756"/>
    <w:rsid w:val="08063006"/>
    <w:rsid w:val="08065815"/>
    <w:rsid w:val="08066395"/>
    <w:rsid w:val="08072700"/>
    <w:rsid w:val="0808573B"/>
    <w:rsid w:val="08092AC2"/>
    <w:rsid w:val="080944B6"/>
    <w:rsid w:val="080973E5"/>
    <w:rsid w:val="080A2E7C"/>
    <w:rsid w:val="080B1D02"/>
    <w:rsid w:val="080B5E0C"/>
    <w:rsid w:val="080C17AC"/>
    <w:rsid w:val="080C41D4"/>
    <w:rsid w:val="080D03A8"/>
    <w:rsid w:val="080D3422"/>
    <w:rsid w:val="080F6B24"/>
    <w:rsid w:val="080F7787"/>
    <w:rsid w:val="08103172"/>
    <w:rsid w:val="08116C2C"/>
    <w:rsid w:val="081200CB"/>
    <w:rsid w:val="08125EBF"/>
    <w:rsid w:val="08131FD9"/>
    <w:rsid w:val="08144F87"/>
    <w:rsid w:val="08176209"/>
    <w:rsid w:val="08180079"/>
    <w:rsid w:val="08184319"/>
    <w:rsid w:val="0819092D"/>
    <w:rsid w:val="081B4417"/>
    <w:rsid w:val="081D2679"/>
    <w:rsid w:val="081D4284"/>
    <w:rsid w:val="081E315B"/>
    <w:rsid w:val="081E6792"/>
    <w:rsid w:val="081E7BAF"/>
    <w:rsid w:val="08202AE5"/>
    <w:rsid w:val="08202D74"/>
    <w:rsid w:val="08214B72"/>
    <w:rsid w:val="08215E11"/>
    <w:rsid w:val="082227AA"/>
    <w:rsid w:val="08235086"/>
    <w:rsid w:val="0824049A"/>
    <w:rsid w:val="08254699"/>
    <w:rsid w:val="08255647"/>
    <w:rsid w:val="08275402"/>
    <w:rsid w:val="082858A4"/>
    <w:rsid w:val="08286F28"/>
    <w:rsid w:val="082A27D9"/>
    <w:rsid w:val="082A6960"/>
    <w:rsid w:val="082A6990"/>
    <w:rsid w:val="082B1353"/>
    <w:rsid w:val="082B41F3"/>
    <w:rsid w:val="082C2369"/>
    <w:rsid w:val="082E2783"/>
    <w:rsid w:val="082F3826"/>
    <w:rsid w:val="082F5ADF"/>
    <w:rsid w:val="083037C2"/>
    <w:rsid w:val="083129F2"/>
    <w:rsid w:val="0831351A"/>
    <w:rsid w:val="0833094A"/>
    <w:rsid w:val="0834665E"/>
    <w:rsid w:val="083610BE"/>
    <w:rsid w:val="083623AA"/>
    <w:rsid w:val="083639E5"/>
    <w:rsid w:val="08365B97"/>
    <w:rsid w:val="0839424B"/>
    <w:rsid w:val="08395A56"/>
    <w:rsid w:val="083C279B"/>
    <w:rsid w:val="083D3ACF"/>
    <w:rsid w:val="083E6026"/>
    <w:rsid w:val="083F0AE2"/>
    <w:rsid w:val="083F328E"/>
    <w:rsid w:val="08401F39"/>
    <w:rsid w:val="08406CA1"/>
    <w:rsid w:val="08407AE5"/>
    <w:rsid w:val="0841658B"/>
    <w:rsid w:val="08430FF2"/>
    <w:rsid w:val="084340CF"/>
    <w:rsid w:val="08436190"/>
    <w:rsid w:val="084560FD"/>
    <w:rsid w:val="08462278"/>
    <w:rsid w:val="08465370"/>
    <w:rsid w:val="084737EC"/>
    <w:rsid w:val="084756E9"/>
    <w:rsid w:val="08476341"/>
    <w:rsid w:val="08476907"/>
    <w:rsid w:val="084866BA"/>
    <w:rsid w:val="084929F1"/>
    <w:rsid w:val="0849505A"/>
    <w:rsid w:val="084A2F42"/>
    <w:rsid w:val="084A5E1D"/>
    <w:rsid w:val="084B0D95"/>
    <w:rsid w:val="084B68F9"/>
    <w:rsid w:val="084C1017"/>
    <w:rsid w:val="084C4AF4"/>
    <w:rsid w:val="084C75CC"/>
    <w:rsid w:val="084D5A2D"/>
    <w:rsid w:val="084F2BD4"/>
    <w:rsid w:val="084F6CC6"/>
    <w:rsid w:val="085034CC"/>
    <w:rsid w:val="08506E33"/>
    <w:rsid w:val="08534213"/>
    <w:rsid w:val="08536A17"/>
    <w:rsid w:val="08545D4C"/>
    <w:rsid w:val="08552997"/>
    <w:rsid w:val="0856293A"/>
    <w:rsid w:val="08572388"/>
    <w:rsid w:val="08580FFC"/>
    <w:rsid w:val="08591527"/>
    <w:rsid w:val="085924FE"/>
    <w:rsid w:val="08593121"/>
    <w:rsid w:val="08593AA2"/>
    <w:rsid w:val="085A2A7E"/>
    <w:rsid w:val="085A59CA"/>
    <w:rsid w:val="085B0281"/>
    <w:rsid w:val="085B37FF"/>
    <w:rsid w:val="085B3B1D"/>
    <w:rsid w:val="085C2D5C"/>
    <w:rsid w:val="085C7DB0"/>
    <w:rsid w:val="085D079A"/>
    <w:rsid w:val="085F1D62"/>
    <w:rsid w:val="085F38F1"/>
    <w:rsid w:val="08605055"/>
    <w:rsid w:val="0860599F"/>
    <w:rsid w:val="08611CE6"/>
    <w:rsid w:val="08620AA5"/>
    <w:rsid w:val="0862769F"/>
    <w:rsid w:val="0864311D"/>
    <w:rsid w:val="08643C85"/>
    <w:rsid w:val="08653568"/>
    <w:rsid w:val="086622B3"/>
    <w:rsid w:val="08670DA7"/>
    <w:rsid w:val="086A2FA8"/>
    <w:rsid w:val="086B1B82"/>
    <w:rsid w:val="086B2998"/>
    <w:rsid w:val="086C019D"/>
    <w:rsid w:val="086C0FB3"/>
    <w:rsid w:val="086D21F0"/>
    <w:rsid w:val="086E0CB6"/>
    <w:rsid w:val="086E3B83"/>
    <w:rsid w:val="086F6109"/>
    <w:rsid w:val="08735DE2"/>
    <w:rsid w:val="08740C6E"/>
    <w:rsid w:val="087461E3"/>
    <w:rsid w:val="08746E04"/>
    <w:rsid w:val="08764617"/>
    <w:rsid w:val="087777E5"/>
    <w:rsid w:val="08782AE0"/>
    <w:rsid w:val="087843CD"/>
    <w:rsid w:val="08795017"/>
    <w:rsid w:val="087B7527"/>
    <w:rsid w:val="087F11EF"/>
    <w:rsid w:val="087F5AAE"/>
    <w:rsid w:val="088210AA"/>
    <w:rsid w:val="088546D2"/>
    <w:rsid w:val="08862A60"/>
    <w:rsid w:val="0887111A"/>
    <w:rsid w:val="08877BB0"/>
    <w:rsid w:val="08880111"/>
    <w:rsid w:val="08887ACC"/>
    <w:rsid w:val="08896D1F"/>
    <w:rsid w:val="088A1E78"/>
    <w:rsid w:val="088A45E7"/>
    <w:rsid w:val="088A7F5F"/>
    <w:rsid w:val="088B0F9B"/>
    <w:rsid w:val="088C16D8"/>
    <w:rsid w:val="088F6BA0"/>
    <w:rsid w:val="089060B4"/>
    <w:rsid w:val="089358CB"/>
    <w:rsid w:val="089666AC"/>
    <w:rsid w:val="089726A3"/>
    <w:rsid w:val="089838EF"/>
    <w:rsid w:val="0898515C"/>
    <w:rsid w:val="089878DA"/>
    <w:rsid w:val="089A44C8"/>
    <w:rsid w:val="089A66E0"/>
    <w:rsid w:val="089B393B"/>
    <w:rsid w:val="089D0029"/>
    <w:rsid w:val="089D4A10"/>
    <w:rsid w:val="089E2403"/>
    <w:rsid w:val="089E5E46"/>
    <w:rsid w:val="089F279B"/>
    <w:rsid w:val="08A2799E"/>
    <w:rsid w:val="08A42164"/>
    <w:rsid w:val="08A5008C"/>
    <w:rsid w:val="08A52AB0"/>
    <w:rsid w:val="08A65BF5"/>
    <w:rsid w:val="08A711DE"/>
    <w:rsid w:val="08A7238C"/>
    <w:rsid w:val="08A763BF"/>
    <w:rsid w:val="08A77259"/>
    <w:rsid w:val="08A822E5"/>
    <w:rsid w:val="08AC3BFB"/>
    <w:rsid w:val="08AD0DB4"/>
    <w:rsid w:val="08AD2DBB"/>
    <w:rsid w:val="08AE731B"/>
    <w:rsid w:val="08AF2FA4"/>
    <w:rsid w:val="08B12453"/>
    <w:rsid w:val="08B17EBC"/>
    <w:rsid w:val="08B2203B"/>
    <w:rsid w:val="08B354F8"/>
    <w:rsid w:val="08B42761"/>
    <w:rsid w:val="08B460CC"/>
    <w:rsid w:val="08B83137"/>
    <w:rsid w:val="08BA27F9"/>
    <w:rsid w:val="08BB45BC"/>
    <w:rsid w:val="08BD3E23"/>
    <w:rsid w:val="08BD60FB"/>
    <w:rsid w:val="08BD7018"/>
    <w:rsid w:val="08BF1706"/>
    <w:rsid w:val="08BF2B9E"/>
    <w:rsid w:val="08BF370D"/>
    <w:rsid w:val="08BF6BA8"/>
    <w:rsid w:val="08C06B34"/>
    <w:rsid w:val="08C13639"/>
    <w:rsid w:val="08C13BA4"/>
    <w:rsid w:val="08C2008A"/>
    <w:rsid w:val="08C443FE"/>
    <w:rsid w:val="08C459F1"/>
    <w:rsid w:val="08C539AF"/>
    <w:rsid w:val="08C60EF5"/>
    <w:rsid w:val="08C659BA"/>
    <w:rsid w:val="08C75CF7"/>
    <w:rsid w:val="08C97CB5"/>
    <w:rsid w:val="08CA101D"/>
    <w:rsid w:val="08CB2E6F"/>
    <w:rsid w:val="08CD1CC5"/>
    <w:rsid w:val="08CE48F8"/>
    <w:rsid w:val="08D02717"/>
    <w:rsid w:val="08D33BE0"/>
    <w:rsid w:val="08D46E06"/>
    <w:rsid w:val="08D53E8D"/>
    <w:rsid w:val="08D61B4D"/>
    <w:rsid w:val="08D62090"/>
    <w:rsid w:val="08D65E58"/>
    <w:rsid w:val="08D80AE9"/>
    <w:rsid w:val="08D83B68"/>
    <w:rsid w:val="08D871B5"/>
    <w:rsid w:val="08DA5353"/>
    <w:rsid w:val="08DA7FAE"/>
    <w:rsid w:val="08DD6BB6"/>
    <w:rsid w:val="08E02773"/>
    <w:rsid w:val="08E03717"/>
    <w:rsid w:val="08E2300B"/>
    <w:rsid w:val="08E23544"/>
    <w:rsid w:val="08E365DD"/>
    <w:rsid w:val="08E40BB0"/>
    <w:rsid w:val="08E6237F"/>
    <w:rsid w:val="08E940C1"/>
    <w:rsid w:val="08E97980"/>
    <w:rsid w:val="08EB29E7"/>
    <w:rsid w:val="08EC2F6A"/>
    <w:rsid w:val="08EC6222"/>
    <w:rsid w:val="08F06A7E"/>
    <w:rsid w:val="08F179B4"/>
    <w:rsid w:val="08F32533"/>
    <w:rsid w:val="08F42EB0"/>
    <w:rsid w:val="08F5796B"/>
    <w:rsid w:val="08F90834"/>
    <w:rsid w:val="08FA0253"/>
    <w:rsid w:val="08FA1684"/>
    <w:rsid w:val="08FA4486"/>
    <w:rsid w:val="08FD29E9"/>
    <w:rsid w:val="08FD5FFF"/>
    <w:rsid w:val="08FE5424"/>
    <w:rsid w:val="08FF04B3"/>
    <w:rsid w:val="08FF12D1"/>
    <w:rsid w:val="08FF44ED"/>
    <w:rsid w:val="08FF4C01"/>
    <w:rsid w:val="09007A09"/>
    <w:rsid w:val="0901069E"/>
    <w:rsid w:val="090333F5"/>
    <w:rsid w:val="090367E5"/>
    <w:rsid w:val="09041FDB"/>
    <w:rsid w:val="090534A1"/>
    <w:rsid w:val="09054413"/>
    <w:rsid w:val="09073214"/>
    <w:rsid w:val="09074D32"/>
    <w:rsid w:val="09077A87"/>
    <w:rsid w:val="09086618"/>
    <w:rsid w:val="090C4C28"/>
    <w:rsid w:val="090C55EC"/>
    <w:rsid w:val="090F542B"/>
    <w:rsid w:val="09102D3C"/>
    <w:rsid w:val="091035C5"/>
    <w:rsid w:val="09107BB4"/>
    <w:rsid w:val="09112D95"/>
    <w:rsid w:val="0911730B"/>
    <w:rsid w:val="09122A75"/>
    <w:rsid w:val="09134440"/>
    <w:rsid w:val="09135ABC"/>
    <w:rsid w:val="09141B76"/>
    <w:rsid w:val="09145ABF"/>
    <w:rsid w:val="09156A74"/>
    <w:rsid w:val="091616A1"/>
    <w:rsid w:val="09166C1E"/>
    <w:rsid w:val="091837BC"/>
    <w:rsid w:val="091863A4"/>
    <w:rsid w:val="091A2081"/>
    <w:rsid w:val="091A5787"/>
    <w:rsid w:val="091A5BEA"/>
    <w:rsid w:val="091B6867"/>
    <w:rsid w:val="091C32AD"/>
    <w:rsid w:val="091C7441"/>
    <w:rsid w:val="091D727B"/>
    <w:rsid w:val="091F165A"/>
    <w:rsid w:val="09213801"/>
    <w:rsid w:val="09230517"/>
    <w:rsid w:val="09236939"/>
    <w:rsid w:val="09244073"/>
    <w:rsid w:val="09247BE6"/>
    <w:rsid w:val="09255A72"/>
    <w:rsid w:val="09256596"/>
    <w:rsid w:val="09261630"/>
    <w:rsid w:val="09273A00"/>
    <w:rsid w:val="09274503"/>
    <w:rsid w:val="0929483A"/>
    <w:rsid w:val="092959CA"/>
    <w:rsid w:val="092A23D4"/>
    <w:rsid w:val="092A5D27"/>
    <w:rsid w:val="092B4D43"/>
    <w:rsid w:val="092C30E4"/>
    <w:rsid w:val="092D2588"/>
    <w:rsid w:val="092F4E69"/>
    <w:rsid w:val="093023A0"/>
    <w:rsid w:val="09334C19"/>
    <w:rsid w:val="093447E3"/>
    <w:rsid w:val="09347DAB"/>
    <w:rsid w:val="093542AA"/>
    <w:rsid w:val="09361B1F"/>
    <w:rsid w:val="09383E5F"/>
    <w:rsid w:val="093904F1"/>
    <w:rsid w:val="093A0D0A"/>
    <w:rsid w:val="093C7562"/>
    <w:rsid w:val="093E6440"/>
    <w:rsid w:val="093F0D49"/>
    <w:rsid w:val="093F5441"/>
    <w:rsid w:val="093F5E85"/>
    <w:rsid w:val="094254CD"/>
    <w:rsid w:val="094339BF"/>
    <w:rsid w:val="0945491C"/>
    <w:rsid w:val="09456286"/>
    <w:rsid w:val="094602A3"/>
    <w:rsid w:val="09462A60"/>
    <w:rsid w:val="0947245A"/>
    <w:rsid w:val="09472FEA"/>
    <w:rsid w:val="0948155A"/>
    <w:rsid w:val="094B1245"/>
    <w:rsid w:val="094B57DA"/>
    <w:rsid w:val="094B7AF4"/>
    <w:rsid w:val="094C1D9D"/>
    <w:rsid w:val="094D1668"/>
    <w:rsid w:val="094E535F"/>
    <w:rsid w:val="0950057D"/>
    <w:rsid w:val="09501577"/>
    <w:rsid w:val="095023FE"/>
    <w:rsid w:val="09530BD5"/>
    <w:rsid w:val="09530BD7"/>
    <w:rsid w:val="095346AD"/>
    <w:rsid w:val="09544D89"/>
    <w:rsid w:val="09566AE3"/>
    <w:rsid w:val="095B3A26"/>
    <w:rsid w:val="095B6A47"/>
    <w:rsid w:val="095C0051"/>
    <w:rsid w:val="095D28EB"/>
    <w:rsid w:val="095D74D4"/>
    <w:rsid w:val="095E0886"/>
    <w:rsid w:val="095E4564"/>
    <w:rsid w:val="095F3E2A"/>
    <w:rsid w:val="096006B2"/>
    <w:rsid w:val="09601F7C"/>
    <w:rsid w:val="09606A26"/>
    <w:rsid w:val="09610691"/>
    <w:rsid w:val="09615163"/>
    <w:rsid w:val="09633950"/>
    <w:rsid w:val="0963733C"/>
    <w:rsid w:val="0966114E"/>
    <w:rsid w:val="096631D1"/>
    <w:rsid w:val="09667DFE"/>
    <w:rsid w:val="09671DC3"/>
    <w:rsid w:val="096A6B9D"/>
    <w:rsid w:val="096E37D5"/>
    <w:rsid w:val="09700C33"/>
    <w:rsid w:val="09701472"/>
    <w:rsid w:val="09717A0F"/>
    <w:rsid w:val="0972460F"/>
    <w:rsid w:val="09726582"/>
    <w:rsid w:val="09732977"/>
    <w:rsid w:val="0973493F"/>
    <w:rsid w:val="09744BFB"/>
    <w:rsid w:val="09750593"/>
    <w:rsid w:val="09753949"/>
    <w:rsid w:val="09787E02"/>
    <w:rsid w:val="09790C11"/>
    <w:rsid w:val="0979492D"/>
    <w:rsid w:val="097A6C34"/>
    <w:rsid w:val="097B1C11"/>
    <w:rsid w:val="097B2F7F"/>
    <w:rsid w:val="097D1FAA"/>
    <w:rsid w:val="097E5162"/>
    <w:rsid w:val="097E6409"/>
    <w:rsid w:val="09802C42"/>
    <w:rsid w:val="09810C3C"/>
    <w:rsid w:val="09817F1E"/>
    <w:rsid w:val="09820104"/>
    <w:rsid w:val="09820C6D"/>
    <w:rsid w:val="0985760B"/>
    <w:rsid w:val="09873871"/>
    <w:rsid w:val="09875A48"/>
    <w:rsid w:val="09880BFE"/>
    <w:rsid w:val="098862A8"/>
    <w:rsid w:val="09892945"/>
    <w:rsid w:val="0989425D"/>
    <w:rsid w:val="098A1898"/>
    <w:rsid w:val="098C2014"/>
    <w:rsid w:val="098C5417"/>
    <w:rsid w:val="098E0E75"/>
    <w:rsid w:val="098E1BA5"/>
    <w:rsid w:val="098E46A5"/>
    <w:rsid w:val="09901265"/>
    <w:rsid w:val="0991536F"/>
    <w:rsid w:val="09915830"/>
    <w:rsid w:val="099254D0"/>
    <w:rsid w:val="09935FA3"/>
    <w:rsid w:val="09945539"/>
    <w:rsid w:val="09946B09"/>
    <w:rsid w:val="09946CA2"/>
    <w:rsid w:val="09967D1B"/>
    <w:rsid w:val="0997154F"/>
    <w:rsid w:val="099845A2"/>
    <w:rsid w:val="09987C75"/>
    <w:rsid w:val="099A3131"/>
    <w:rsid w:val="099C7BFD"/>
    <w:rsid w:val="099E0A11"/>
    <w:rsid w:val="09A0315C"/>
    <w:rsid w:val="09A11F43"/>
    <w:rsid w:val="09A15A46"/>
    <w:rsid w:val="09A26FFC"/>
    <w:rsid w:val="09A3111E"/>
    <w:rsid w:val="09A31F63"/>
    <w:rsid w:val="09A33310"/>
    <w:rsid w:val="09A51B86"/>
    <w:rsid w:val="09A82C3D"/>
    <w:rsid w:val="09A93794"/>
    <w:rsid w:val="09AC19BC"/>
    <w:rsid w:val="09AC5082"/>
    <w:rsid w:val="09AC5B75"/>
    <w:rsid w:val="09AD1A57"/>
    <w:rsid w:val="09AE1883"/>
    <w:rsid w:val="09AF0E3F"/>
    <w:rsid w:val="09AF6317"/>
    <w:rsid w:val="09B53D76"/>
    <w:rsid w:val="09B54C22"/>
    <w:rsid w:val="09B65163"/>
    <w:rsid w:val="09B72FD5"/>
    <w:rsid w:val="09B7745F"/>
    <w:rsid w:val="09B92416"/>
    <w:rsid w:val="09BB30ED"/>
    <w:rsid w:val="09BE3D71"/>
    <w:rsid w:val="09BE57ED"/>
    <w:rsid w:val="09C02ACF"/>
    <w:rsid w:val="09C07477"/>
    <w:rsid w:val="09C12CF8"/>
    <w:rsid w:val="09C168F5"/>
    <w:rsid w:val="09C26AAD"/>
    <w:rsid w:val="09C3108C"/>
    <w:rsid w:val="09C4001E"/>
    <w:rsid w:val="09C41D87"/>
    <w:rsid w:val="09C43B1D"/>
    <w:rsid w:val="09C67D4E"/>
    <w:rsid w:val="09C84516"/>
    <w:rsid w:val="09C8570E"/>
    <w:rsid w:val="09C87902"/>
    <w:rsid w:val="09C87AA9"/>
    <w:rsid w:val="09C90031"/>
    <w:rsid w:val="09C979AA"/>
    <w:rsid w:val="09CA1F29"/>
    <w:rsid w:val="09CA612F"/>
    <w:rsid w:val="09CC0F18"/>
    <w:rsid w:val="09CF5CBD"/>
    <w:rsid w:val="09D0170A"/>
    <w:rsid w:val="09D028BD"/>
    <w:rsid w:val="09D04E6F"/>
    <w:rsid w:val="09D06626"/>
    <w:rsid w:val="09D10B0D"/>
    <w:rsid w:val="09D17801"/>
    <w:rsid w:val="09D3021F"/>
    <w:rsid w:val="09D30FC8"/>
    <w:rsid w:val="09D604C7"/>
    <w:rsid w:val="09D61EDE"/>
    <w:rsid w:val="09D66AFD"/>
    <w:rsid w:val="09D733F4"/>
    <w:rsid w:val="09D76AE1"/>
    <w:rsid w:val="09D76F07"/>
    <w:rsid w:val="09D86D63"/>
    <w:rsid w:val="09DB2A69"/>
    <w:rsid w:val="09DC2CBC"/>
    <w:rsid w:val="09DC6A0C"/>
    <w:rsid w:val="09DD5E52"/>
    <w:rsid w:val="09DE1271"/>
    <w:rsid w:val="09DE26F7"/>
    <w:rsid w:val="09DF6983"/>
    <w:rsid w:val="09E06538"/>
    <w:rsid w:val="09E070E5"/>
    <w:rsid w:val="09E0784A"/>
    <w:rsid w:val="09E114D3"/>
    <w:rsid w:val="09E14C4C"/>
    <w:rsid w:val="09E15B2E"/>
    <w:rsid w:val="09E27936"/>
    <w:rsid w:val="09E305BB"/>
    <w:rsid w:val="09E32552"/>
    <w:rsid w:val="09E43D0A"/>
    <w:rsid w:val="09E466C8"/>
    <w:rsid w:val="09E5471F"/>
    <w:rsid w:val="09E55D95"/>
    <w:rsid w:val="09E655F8"/>
    <w:rsid w:val="09E700D0"/>
    <w:rsid w:val="09E81305"/>
    <w:rsid w:val="09E85234"/>
    <w:rsid w:val="09E85A51"/>
    <w:rsid w:val="09E908D3"/>
    <w:rsid w:val="09EA40C3"/>
    <w:rsid w:val="09EB4F52"/>
    <w:rsid w:val="09EC0F98"/>
    <w:rsid w:val="09ED0490"/>
    <w:rsid w:val="09EF5958"/>
    <w:rsid w:val="09F00921"/>
    <w:rsid w:val="09F01788"/>
    <w:rsid w:val="09F04EEF"/>
    <w:rsid w:val="09F0611D"/>
    <w:rsid w:val="09F17CBE"/>
    <w:rsid w:val="09F30F65"/>
    <w:rsid w:val="09F37778"/>
    <w:rsid w:val="09F41690"/>
    <w:rsid w:val="09F43EDE"/>
    <w:rsid w:val="09F54B9A"/>
    <w:rsid w:val="09F6189E"/>
    <w:rsid w:val="09F779C9"/>
    <w:rsid w:val="09F8326A"/>
    <w:rsid w:val="09F879F5"/>
    <w:rsid w:val="09F9652C"/>
    <w:rsid w:val="09FB5BC0"/>
    <w:rsid w:val="09FB79C4"/>
    <w:rsid w:val="09FC2189"/>
    <w:rsid w:val="09FC6217"/>
    <w:rsid w:val="09FE3059"/>
    <w:rsid w:val="09FF7E1D"/>
    <w:rsid w:val="0A000656"/>
    <w:rsid w:val="0A0074F5"/>
    <w:rsid w:val="0A032774"/>
    <w:rsid w:val="0A036A29"/>
    <w:rsid w:val="0A040CA2"/>
    <w:rsid w:val="0A0663CA"/>
    <w:rsid w:val="0A0914A4"/>
    <w:rsid w:val="0A0944D1"/>
    <w:rsid w:val="0A0A42B0"/>
    <w:rsid w:val="0A0B1478"/>
    <w:rsid w:val="0A0C783D"/>
    <w:rsid w:val="0A0D0E47"/>
    <w:rsid w:val="0A0E3D3C"/>
    <w:rsid w:val="0A117D3C"/>
    <w:rsid w:val="0A13050D"/>
    <w:rsid w:val="0A146DA1"/>
    <w:rsid w:val="0A154705"/>
    <w:rsid w:val="0A1957CB"/>
    <w:rsid w:val="0A195A3E"/>
    <w:rsid w:val="0A1A264A"/>
    <w:rsid w:val="0A1A45F1"/>
    <w:rsid w:val="0A1A7C5B"/>
    <w:rsid w:val="0A1B3D9B"/>
    <w:rsid w:val="0A1C07E6"/>
    <w:rsid w:val="0A1C4754"/>
    <w:rsid w:val="0A1E1C20"/>
    <w:rsid w:val="0A220E61"/>
    <w:rsid w:val="0A222D17"/>
    <w:rsid w:val="0A226FD4"/>
    <w:rsid w:val="0A23523E"/>
    <w:rsid w:val="0A235FB7"/>
    <w:rsid w:val="0A2450BC"/>
    <w:rsid w:val="0A245722"/>
    <w:rsid w:val="0A2531AD"/>
    <w:rsid w:val="0A26744F"/>
    <w:rsid w:val="0A277C35"/>
    <w:rsid w:val="0A281193"/>
    <w:rsid w:val="0A2928F9"/>
    <w:rsid w:val="0A293266"/>
    <w:rsid w:val="0A2C0CDF"/>
    <w:rsid w:val="0A2C2013"/>
    <w:rsid w:val="0A2C35D6"/>
    <w:rsid w:val="0A2D39D3"/>
    <w:rsid w:val="0A2E6254"/>
    <w:rsid w:val="0A2F7010"/>
    <w:rsid w:val="0A352361"/>
    <w:rsid w:val="0A361135"/>
    <w:rsid w:val="0A376298"/>
    <w:rsid w:val="0A377C37"/>
    <w:rsid w:val="0A390D5E"/>
    <w:rsid w:val="0A392AA6"/>
    <w:rsid w:val="0A394B22"/>
    <w:rsid w:val="0A3B2154"/>
    <w:rsid w:val="0A3B37B0"/>
    <w:rsid w:val="0A3C25CE"/>
    <w:rsid w:val="0A414C75"/>
    <w:rsid w:val="0A426662"/>
    <w:rsid w:val="0A433979"/>
    <w:rsid w:val="0A434D90"/>
    <w:rsid w:val="0A440074"/>
    <w:rsid w:val="0A460499"/>
    <w:rsid w:val="0A460786"/>
    <w:rsid w:val="0A4861A6"/>
    <w:rsid w:val="0A490F2D"/>
    <w:rsid w:val="0A491B16"/>
    <w:rsid w:val="0A492CE0"/>
    <w:rsid w:val="0A4B2591"/>
    <w:rsid w:val="0A4D7F30"/>
    <w:rsid w:val="0A4E6625"/>
    <w:rsid w:val="0A4F40A2"/>
    <w:rsid w:val="0A517693"/>
    <w:rsid w:val="0A525CDE"/>
    <w:rsid w:val="0A5371A2"/>
    <w:rsid w:val="0A5517B6"/>
    <w:rsid w:val="0A5711E0"/>
    <w:rsid w:val="0A5721F9"/>
    <w:rsid w:val="0A5762E3"/>
    <w:rsid w:val="0A5801ED"/>
    <w:rsid w:val="0A581898"/>
    <w:rsid w:val="0A585273"/>
    <w:rsid w:val="0A586308"/>
    <w:rsid w:val="0A59332D"/>
    <w:rsid w:val="0A594DDE"/>
    <w:rsid w:val="0A5D05AC"/>
    <w:rsid w:val="0A5D3AB9"/>
    <w:rsid w:val="0A600B4E"/>
    <w:rsid w:val="0A6208C2"/>
    <w:rsid w:val="0A63704C"/>
    <w:rsid w:val="0A642E0E"/>
    <w:rsid w:val="0A663DCB"/>
    <w:rsid w:val="0A672CC6"/>
    <w:rsid w:val="0A673AF3"/>
    <w:rsid w:val="0A690C5E"/>
    <w:rsid w:val="0A6943CE"/>
    <w:rsid w:val="0A6B3F2D"/>
    <w:rsid w:val="0A6C1247"/>
    <w:rsid w:val="0A6D7B38"/>
    <w:rsid w:val="0A6E65AF"/>
    <w:rsid w:val="0A7055E5"/>
    <w:rsid w:val="0A714C73"/>
    <w:rsid w:val="0A72585C"/>
    <w:rsid w:val="0A727FD6"/>
    <w:rsid w:val="0A74020C"/>
    <w:rsid w:val="0A744A55"/>
    <w:rsid w:val="0A76704D"/>
    <w:rsid w:val="0A7C0EFB"/>
    <w:rsid w:val="0A7C58F5"/>
    <w:rsid w:val="0A7D6AA8"/>
    <w:rsid w:val="0A7E7095"/>
    <w:rsid w:val="0A7E763D"/>
    <w:rsid w:val="0A811023"/>
    <w:rsid w:val="0A817F3F"/>
    <w:rsid w:val="0A826A72"/>
    <w:rsid w:val="0A836F66"/>
    <w:rsid w:val="0A8455AD"/>
    <w:rsid w:val="0A856C30"/>
    <w:rsid w:val="0A863508"/>
    <w:rsid w:val="0A864938"/>
    <w:rsid w:val="0A870C6F"/>
    <w:rsid w:val="0A875B6C"/>
    <w:rsid w:val="0A876AF7"/>
    <w:rsid w:val="0A876B61"/>
    <w:rsid w:val="0A882EC4"/>
    <w:rsid w:val="0A8B188C"/>
    <w:rsid w:val="0A8C3917"/>
    <w:rsid w:val="0A8F346D"/>
    <w:rsid w:val="0A93793F"/>
    <w:rsid w:val="0A950F43"/>
    <w:rsid w:val="0A965170"/>
    <w:rsid w:val="0A970B31"/>
    <w:rsid w:val="0A97256E"/>
    <w:rsid w:val="0A975A5A"/>
    <w:rsid w:val="0A9828B6"/>
    <w:rsid w:val="0A991719"/>
    <w:rsid w:val="0A993ABC"/>
    <w:rsid w:val="0A9A2BD5"/>
    <w:rsid w:val="0A9B38A8"/>
    <w:rsid w:val="0A9C0090"/>
    <w:rsid w:val="0A9C5BFF"/>
    <w:rsid w:val="0A9C7374"/>
    <w:rsid w:val="0A9D095F"/>
    <w:rsid w:val="0A9E4945"/>
    <w:rsid w:val="0A9E4F3C"/>
    <w:rsid w:val="0A9F138C"/>
    <w:rsid w:val="0AA038EF"/>
    <w:rsid w:val="0AA07CFF"/>
    <w:rsid w:val="0AA12163"/>
    <w:rsid w:val="0AA2583B"/>
    <w:rsid w:val="0AA27927"/>
    <w:rsid w:val="0AA360F5"/>
    <w:rsid w:val="0AA50038"/>
    <w:rsid w:val="0AA502D7"/>
    <w:rsid w:val="0AA53337"/>
    <w:rsid w:val="0AA53FEA"/>
    <w:rsid w:val="0AA7554F"/>
    <w:rsid w:val="0AA846F0"/>
    <w:rsid w:val="0AAA34C7"/>
    <w:rsid w:val="0AAA398C"/>
    <w:rsid w:val="0AAB5F3D"/>
    <w:rsid w:val="0AAB78F9"/>
    <w:rsid w:val="0AAD4E8A"/>
    <w:rsid w:val="0AAE35C0"/>
    <w:rsid w:val="0AB063A2"/>
    <w:rsid w:val="0AB2099E"/>
    <w:rsid w:val="0AB2372E"/>
    <w:rsid w:val="0AB30D29"/>
    <w:rsid w:val="0AB34379"/>
    <w:rsid w:val="0AB43D5E"/>
    <w:rsid w:val="0AB67DC0"/>
    <w:rsid w:val="0AB85907"/>
    <w:rsid w:val="0AB91450"/>
    <w:rsid w:val="0AB93AB6"/>
    <w:rsid w:val="0AB9648F"/>
    <w:rsid w:val="0ABC2C7C"/>
    <w:rsid w:val="0ABD33C6"/>
    <w:rsid w:val="0ABD461B"/>
    <w:rsid w:val="0ABE79F9"/>
    <w:rsid w:val="0AC2502B"/>
    <w:rsid w:val="0AC2576F"/>
    <w:rsid w:val="0AC27916"/>
    <w:rsid w:val="0AC51B9C"/>
    <w:rsid w:val="0AC54A93"/>
    <w:rsid w:val="0AC7396C"/>
    <w:rsid w:val="0AC74963"/>
    <w:rsid w:val="0AC83B27"/>
    <w:rsid w:val="0AC964C5"/>
    <w:rsid w:val="0ACA5269"/>
    <w:rsid w:val="0ACB0E19"/>
    <w:rsid w:val="0ACB4F8A"/>
    <w:rsid w:val="0ACB66C6"/>
    <w:rsid w:val="0ACC430A"/>
    <w:rsid w:val="0ACF1387"/>
    <w:rsid w:val="0AD061EC"/>
    <w:rsid w:val="0AD30814"/>
    <w:rsid w:val="0AD32DED"/>
    <w:rsid w:val="0AD357A3"/>
    <w:rsid w:val="0AD6528A"/>
    <w:rsid w:val="0AD81B7F"/>
    <w:rsid w:val="0AD81CDD"/>
    <w:rsid w:val="0AD9193E"/>
    <w:rsid w:val="0AD9765E"/>
    <w:rsid w:val="0ADA7122"/>
    <w:rsid w:val="0ADB6448"/>
    <w:rsid w:val="0ADC795B"/>
    <w:rsid w:val="0ADD26A1"/>
    <w:rsid w:val="0ADD4076"/>
    <w:rsid w:val="0ADD630E"/>
    <w:rsid w:val="0ADD7E84"/>
    <w:rsid w:val="0ADE448E"/>
    <w:rsid w:val="0ADE552A"/>
    <w:rsid w:val="0AE0030A"/>
    <w:rsid w:val="0AE0174F"/>
    <w:rsid w:val="0AE230A0"/>
    <w:rsid w:val="0AE26874"/>
    <w:rsid w:val="0AE32227"/>
    <w:rsid w:val="0AE35B78"/>
    <w:rsid w:val="0AE47CE0"/>
    <w:rsid w:val="0AE574C7"/>
    <w:rsid w:val="0AE770E6"/>
    <w:rsid w:val="0AE9101D"/>
    <w:rsid w:val="0AE9248F"/>
    <w:rsid w:val="0AE96005"/>
    <w:rsid w:val="0AE970BD"/>
    <w:rsid w:val="0AE97FF4"/>
    <w:rsid w:val="0AEA4871"/>
    <w:rsid w:val="0AEA639A"/>
    <w:rsid w:val="0AEA742D"/>
    <w:rsid w:val="0AEC2967"/>
    <w:rsid w:val="0AEF471E"/>
    <w:rsid w:val="0AF03611"/>
    <w:rsid w:val="0AF26E02"/>
    <w:rsid w:val="0AF43C5E"/>
    <w:rsid w:val="0AF64F53"/>
    <w:rsid w:val="0AF67A3E"/>
    <w:rsid w:val="0AF72F8E"/>
    <w:rsid w:val="0AF73B24"/>
    <w:rsid w:val="0AF81781"/>
    <w:rsid w:val="0AF96248"/>
    <w:rsid w:val="0AFA5442"/>
    <w:rsid w:val="0AFB2D28"/>
    <w:rsid w:val="0AFB5D79"/>
    <w:rsid w:val="0AFB76F5"/>
    <w:rsid w:val="0AFB7BB2"/>
    <w:rsid w:val="0AFE0C8D"/>
    <w:rsid w:val="0AFF6761"/>
    <w:rsid w:val="0B013E3B"/>
    <w:rsid w:val="0B01459B"/>
    <w:rsid w:val="0B0229F3"/>
    <w:rsid w:val="0B030D95"/>
    <w:rsid w:val="0B071309"/>
    <w:rsid w:val="0B083F4B"/>
    <w:rsid w:val="0B087F03"/>
    <w:rsid w:val="0B0A0A3C"/>
    <w:rsid w:val="0B0A10D7"/>
    <w:rsid w:val="0B0A6369"/>
    <w:rsid w:val="0B0C59E4"/>
    <w:rsid w:val="0B0D44C3"/>
    <w:rsid w:val="0B0E28AC"/>
    <w:rsid w:val="0B0F304A"/>
    <w:rsid w:val="0B103AF5"/>
    <w:rsid w:val="0B105EE1"/>
    <w:rsid w:val="0B130AAD"/>
    <w:rsid w:val="0B1320BB"/>
    <w:rsid w:val="0B143204"/>
    <w:rsid w:val="0B160F1B"/>
    <w:rsid w:val="0B16441C"/>
    <w:rsid w:val="0B173ED0"/>
    <w:rsid w:val="0B1A4DF3"/>
    <w:rsid w:val="0B1C395D"/>
    <w:rsid w:val="0B1E26CD"/>
    <w:rsid w:val="0B1E3F97"/>
    <w:rsid w:val="0B1F1DE6"/>
    <w:rsid w:val="0B206B6E"/>
    <w:rsid w:val="0B214364"/>
    <w:rsid w:val="0B233B3F"/>
    <w:rsid w:val="0B241C93"/>
    <w:rsid w:val="0B251335"/>
    <w:rsid w:val="0B2667CE"/>
    <w:rsid w:val="0B271F0F"/>
    <w:rsid w:val="0B275F39"/>
    <w:rsid w:val="0B280D7D"/>
    <w:rsid w:val="0B2849EF"/>
    <w:rsid w:val="0B2A60D5"/>
    <w:rsid w:val="0B2D203D"/>
    <w:rsid w:val="0B2E1C1F"/>
    <w:rsid w:val="0B2E5519"/>
    <w:rsid w:val="0B2F413B"/>
    <w:rsid w:val="0B3004B6"/>
    <w:rsid w:val="0B303338"/>
    <w:rsid w:val="0B3034FE"/>
    <w:rsid w:val="0B330A1B"/>
    <w:rsid w:val="0B331A17"/>
    <w:rsid w:val="0B3617F7"/>
    <w:rsid w:val="0B3629FD"/>
    <w:rsid w:val="0B365163"/>
    <w:rsid w:val="0B365C6A"/>
    <w:rsid w:val="0B37453A"/>
    <w:rsid w:val="0B390AF3"/>
    <w:rsid w:val="0B396BE4"/>
    <w:rsid w:val="0B397926"/>
    <w:rsid w:val="0B3A5C6C"/>
    <w:rsid w:val="0B3B064F"/>
    <w:rsid w:val="0B3B19B8"/>
    <w:rsid w:val="0B3C4E4D"/>
    <w:rsid w:val="0B3D1B7D"/>
    <w:rsid w:val="0B3D55F1"/>
    <w:rsid w:val="0B3F51AB"/>
    <w:rsid w:val="0B3F5C6E"/>
    <w:rsid w:val="0B402ACB"/>
    <w:rsid w:val="0B402ED2"/>
    <w:rsid w:val="0B404062"/>
    <w:rsid w:val="0B404AF9"/>
    <w:rsid w:val="0B4055B4"/>
    <w:rsid w:val="0B4213F9"/>
    <w:rsid w:val="0B4462DA"/>
    <w:rsid w:val="0B4478E1"/>
    <w:rsid w:val="0B45722C"/>
    <w:rsid w:val="0B470B35"/>
    <w:rsid w:val="0B472097"/>
    <w:rsid w:val="0B4874D7"/>
    <w:rsid w:val="0B4B03F6"/>
    <w:rsid w:val="0B4B775D"/>
    <w:rsid w:val="0B4D2006"/>
    <w:rsid w:val="0B4D666A"/>
    <w:rsid w:val="0B4D68DB"/>
    <w:rsid w:val="0B4D7D30"/>
    <w:rsid w:val="0B4E18D1"/>
    <w:rsid w:val="0B4E7FC7"/>
    <w:rsid w:val="0B4F0759"/>
    <w:rsid w:val="0B4F7425"/>
    <w:rsid w:val="0B502BB4"/>
    <w:rsid w:val="0B510A0A"/>
    <w:rsid w:val="0B511A81"/>
    <w:rsid w:val="0B513EB7"/>
    <w:rsid w:val="0B515088"/>
    <w:rsid w:val="0B531EC9"/>
    <w:rsid w:val="0B53438D"/>
    <w:rsid w:val="0B53662E"/>
    <w:rsid w:val="0B53780D"/>
    <w:rsid w:val="0B537C77"/>
    <w:rsid w:val="0B54475F"/>
    <w:rsid w:val="0B5477BA"/>
    <w:rsid w:val="0B552791"/>
    <w:rsid w:val="0B552AA6"/>
    <w:rsid w:val="0B555429"/>
    <w:rsid w:val="0B561CB4"/>
    <w:rsid w:val="0B5710BA"/>
    <w:rsid w:val="0B576915"/>
    <w:rsid w:val="0B577EB2"/>
    <w:rsid w:val="0B582DD5"/>
    <w:rsid w:val="0B583F2E"/>
    <w:rsid w:val="0B585065"/>
    <w:rsid w:val="0B5901A7"/>
    <w:rsid w:val="0B5A279D"/>
    <w:rsid w:val="0B5A7900"/>
    <w:rsid w:val="0B5A7992"/>
    <w:rsid w:val="0B5C25DE"/>
    <w:rsid w:val="0B5E311A"/>
    <w:rsid w:val="0B5F1DAA"/>
    <w:rsid w:val="0B606D82"/>
    <w:rsid w:val="0B613C14"/>
    <w:rsid w:val="0B6209A6"/>
    <w:rsid w:val="0B621DBC"/>
    <w:rsid w:val="0B6329EF"/>
    <w:rsid w:val="0B633415"/>
    <w:rsid w:val="0B641510"/>
    <w:rsid w:val="0B64312F"/>
    <w:rsid w:val="0B650CEF"/>
    <w:rsid w:val="0B664A6F"/>
    <w:rsid w:val="0B664FEB"/>
    <w:rsid w:val="0B666FFD"/>
    <w:rsid w:val="0B673BE8"/>
    <w:rsid w:val="0B6814AC"/>
    <w:rsid w:val="0B6934A2"/>
    <w:rsid w:val="0B69710A"/>
    <w:rsid w:val="0B6A1AFB"/>
    <w:rsid w:val="0B6B108C"/>
    <w:rsid w:val="0B6B2DE8"/>
    <w:rsid w:val="0B6B5A7E"/>
    <w:rsid w:val="0B6D13F4"/>
    <w:rsid w:val="0B6F1813"/>
    <w:rsid w:val="0B722DA9"/>
    <w:rsid w:val="0B73226F"/>
    <w:rsid w:val="0B734B55"/>
    <w:rsid w:val="0B7614AA"/>
    <w:rsid w:val="0B780B20"/>
    <w:rsid w:val="0B78387E"/>
    <w:rsid w:val="0B78640C"/>
    <w:rsid w:val="0B7B6360"/>
    <w:rsid w:val="0B7B7573"/>
    <w:rsid w:val="0B7F50FA"/>
    <w:rsid w:val="0B814BEB"/>
    <w:rsid w:val="0B820262"/>
    <w:rsid w:val="0B8227F6"/>
    <w:rsid w:val="0B824ECC"/>
    <w:rsid w:val="0B826086"/>
    <w:rsid w:val="0B831D0C"/>
    <w:rsid w:val="0B83767B"/>
    <w:rsid w:val="0B842436"/>
    <w:rsid w:val="0B863BC8"/>
    <w:rsid w:val="0B865C9D"/>
    <w:rsid w:val="0B872198"/>
    <w:rsid w:val="0B872A44"/>
    <w:rsid w:val="0B891D38"/>
    <w:rsid w:val="0B891D5D"/>
    <w:rsid w:val="0B8A2868"/>
    <w:rsid w:val="0B8C3C18"/>
    <w:rsid w:val="0B8C43B5"/>
    <w:rsid w:val="0B8C58CC"/>
    <w:rsid w:val="0B8C6520"/>
    <w:rsid w:val="0B8C679D"/>
    <w:rsid w:val="0B8F0A09"/>
    <w:rsid w:val="0B901160"/>
    <w:rsid w:val="0B905DCC"/>
    <w:rsid w:val="0B91090E"/>
    <w:rsid w:val="0B937447"/>
    <w:rsid w:val="0B93795A"/>
    <w:rsid w:val="0B94133B"/>
    <w:rsid w:val="0B95591C"/>
    <w:rsid w:val="0B960C8A"/>
    <w:rsid w:val="0B97700A"/>
    <w:rsid w:val="0B9770C8"/>
    <w:rsid w:val="0B98106B"/>
    <w:rsid w:val="0B9A3D25"/>
    <w:rsid w:val="0B9C3072"/>
    <w:rsid w:val="0B9D15C6"/>
    <w:rsid w:val="0B9D4823"/>
    <w:rsid w:val="0B9D7CE0"/>
    <w:rsid w:val="0B9E7869"/>
    <w:rsid w:val="0BA0094E"/>
    <w:rsid w:val="0BA032F4"/>
    <w:rsid w:val="0BA046A1"/>
    <w:rsid w:val="0BA20866"/>
    <w:rsid w:val="0BA20AF1"/>
    <w:rsid w:val="0BA25F8A"/>
    <w:rsid w:val="0BA37CB5"/>
    <w:rsid w:val="0BA45BEA"/>
    <w:rsid w:val="0BA56A4E"/>
    <w:rsid w:val="0BA6003E"/>
    <w:rsid w:val="0BA62702"/>
    <w:rsid w:val="0BA734BC"/>
    <w:rsid w:val="0BA823D3"/>
    <w:rsid w:val="0BA83BE5"/>
    <w:rsid w:val="0BA86970"/>
    <w:rsid w:val="0BA970B8"/>
    <w:rsid w:val="0BAA43CA"/>
    <w:rsid w:val="0BAE2A22"/>
    <w:rsid w:val="0BAF7B72"/>
    <w:rsid w:val="0BB1080E"/>
    <w:rsid w:val="0BB10B7C"/>
    <w:rsid w:val="0BB151FA"/>
    <w:rsid w:val="0BB201A2"/>
    <w:rsid w:val="0BB2431D"/>
    <w:rsid w:val="0BB25A99"/>
    <w:rsid w:val="0BB4620A"/>
    <w:rsid w:val="0BB57A5D"/>
    <w:rsid w:val="0BB600DD"/>
    <w:rsid w:val="0BB63ED2"/>
    <w:rsid w:val="0BB711D9"/>
    <w:rsid w:val="0BB72768"/>
    <w:rsid w:val="0BB76780"/>
    <w:rsid w:val="0BBA6B71"/>
    <w:rsid w:val="0BBA717F"/>
    <w:rsid w:val="0BBB40C8"/>
    <w:rsid w:val="0BBB41F9"/>
    <w:rsid w:val="0BBB6542"/>
    <w:rsid w:val="0BC0185A"/>
    <w:rsid w:val="0BC02D56"/>
    <w:rsid w:val="0BC02EDF"/>
    <w:rsid w:val="0BC04662"/>
    <w:rsid w:val="0BC0564B"/>
    <w:rsid w:val="0BC203CF"/>
    <w:rsid w:val="0BC34C90"/>
    <w:rsid w:val="0BC350A6"/>
    <w:rsid w:val="0BC423AD"/>
    <w:rsid w:val="0BC53672"/>
    <w:rsid w:val="0BC55F31"/>
    <w:rsid w:val="0BC733E6"/>
    <w:rsid w:val="0BC74B01"/>
    <w:rsid w:val="0BC75A32"/>
    <w:rsid w:val="0BC813AE"/>
    <w:rsid w:val="0BC81CF4"/>
    <w:rsid w:val="0BC93E4F"/>
    <w:rsid w:val="0BC95D1F"/>
    <w:rsid w:val="0BCA6C72"/>
    <w:rsid w:val="0BCB28B7"/>
    <w:rsid w:val="0BCC587C"/>
    <w:rsid w:val="0BCD6AE6"/>
    <w:rsid w:val="0BD12200"/>
    <w:rsid w:val="0BD13747"/>
    <w:rsid w:val="0BD42F49"/>
    <w:rsid w:val="0BD475AE"/>
    <w:rsid w:val="0BD54F31"/>
    <w:rsid w:val="0BD63A44"/>
    <w:rsid w:val="0BD63CC7"/>
    <w:rsid w:val="0BD67164"/>
    <w:rsid w:val="0BD73F39"/>
    <w:rsid w:val="0BDA5DF6"/>
    <w:rsid w:val="0BDB1064"/>
    <w:rsid w:val="0BDB5C61"/>
    <w:rsid w:val="0BDB6D32"/>
    <w:rsid w:val="0BDB70EF"/>
    <w:rsid w:val="0BDC4683"/>
    <w:rsid w:val="0BDE4318"/>
    <w:rsid w:val="0BDF37D9"/>
    <w:rsid w:val="0BE346E3"/>
    <w:rsid w:val="0BE35E59"/>
    <w:rsid w:val="0BE663CB"/>
    <w:rsid w:val="0BE67317"/>
    <w:rsid w:val="0BE77509"/>
    <w:rsid w:val="0BE81C5F"/>
    <w:rsid w:val="0BEA2CDC"/>
    <w:rsid w:val="0BEA7A55"/>
    <w:rsid w:val="0BEB2B86"/>
    <w:rsid w:val="0BEB3F9F"/>
    <w:rsid w:val="0BED4459"/>
    <w:rsid w:val="0BEE51E1"/>
    <w:rsid w:val="0BF03180"/>
    <w:rsid w:val="0BF21E2F"/>
    <w:rsid w:val="0BF45563"/>
    <w:rsid w:val="0BF46853"/>
    <w:rsid w:val="0BF52DDC"/>
    <w:rsid w:val="0BF57102"/>
    <w:rsid w:val="0BF76DC5"/>
    <w:rsid w:val="0BFA3379"/>
    <w:rsid w:val="0BFD230D"/>
    <w:rsid w:val="0BFD72F4"/>
    <w:rsid w:val="0BFF6EA6"/>
    <w:rsid w:val="0C002C63"/>
    <w:rsid w:val="0C003B5D"/>
    <w:rsid w:val="0C006CA4"/>
    <w:rsid w:val="0C013585"/>
    <w:rsid w:val="0C0149DC"/>
    <w:rsid w:val="0C027EF3"/>
    <w:rsid w:val="0C033024"/>
    <w:rsid w:val="0C046B3A"/>
    <w:rsid w:val="0C056ED3"/>
    <w:rsid w:val="0C066C74"/>
    <w:rsid w:val="0C074C50"/>
    <w:rsid w:val="0C091B90"/>
    <w:rsid w:val="0C0A1793"/>
    <w:rsid w:val="0C0A3890"/>
    <w:rsid w:val="0C0A3F2A"/>
    <w:rsid w:val="0C0C4D99"/>
    <w:rsid w:val="0C0C5D76"/>
    <w:rsid w:val="0C0E271D"/>
    <w:rsid w:val="0C0E423E"/>
    <w:rsid w:val="0C0E53C4"/>
    <w:rsid w:val="0C0F471C"/>
    <w:rsid w:val="0C0F6423"/>
    <w:rsid w:val="0C0F7360"/>
    <w:rsid w:val="0C100ADC"/>
    <w:rsid w:val="0C106B7E"/>
    <w:rsid w:val="0C107C34"/>
    <w:rsid w:val="0C11667A"/>
    <w:rsid w:val="0C12161A"/>
    <w:rsid w:val="0C126DFB"/>
    <w:rsid w:val="0C1363BA"/>
    <w:rsid w:val="0C147AD8"/>
    <w:rsid w:val="0C1500A8"/>
    <w:rsid w:val="0C150944"/>
    <w:rsid w:val="0C1572A5"/>
    <w:rsid w:val="0C180276"/>
    <w:rsid w:val="0C183948"/>
    <w:rsid w:val="0C1A2A59"/>
    <w:rsid w:val="0C1B57C7"/>
    <w:rsid w:val="0C1C5CAB"/>
    <w:rsid w:val="0C1E2CB9"/>
    <w:rsid w:val="0C1F4E62"/>
    <w:rsid w:val="0C223CDE"/>
    <w:rsid w:val="0C2272D8"/>
    <w:rsid w:val="0C242A1B"/>
    <w:rsid w:val="0C2516C6"/>
    <w:rsid w:val="0C256996"/>
    <w:rsid w:val="0C257800"/>
    <w:rsid w:val="0C272121"/>
    <w:rsid w:val="0C287182"/>
    <w:rsid w:val="0C2C7221"/>
    <w:rsid w:val="0C2C7CFA"/>
    <w:rsid w:val="0C2D0242"/>
    <w:rsid w:val="0C2D4B92"/>
    <w:rsid w:val="0C2E1784"/>
    <w:rsid w:val="0C2F32F7"/>
    <w:rsid w:val="0C312077"/>
    <w:rsid w:val="0C313288"/>
    <w:rsid w:val="0C3177E7"/>
    <w:rsid w:val="0C320CCC"/>
    <w:rsid w:val="0C341744"/>
    <w:rsid w:val="0C345BCA"/>
    <w:rsid w:val="0C392382"/>
    <w:rsid w:val="0C3A609D"/>
    <w:rsid w:val="0C3B3B24"/>
    <w:rsid w:val="0C3B4F63"/>
    <w:rsid w:val="0C3B5985"/>
    <w:rsid w:val="0C3B7034"/>
    <w:rsid w:val="0C3D1F80"/>
    <w:rsid w:val="0C3D4987"/>
    <w:rsid w:val="0C3E251B"/>
    <w:rsid w:val="0C3E38B3"/>
    <w:rsid w:val="0C3E7872"/>
    <w:rsid w:val="0C3F6BD6"/>
    <w:rsid w:val="0C40486A"/>
    <w:rsid w:val="0C405838"/>
    <w:rsid w:val="0C4124F1"/>
    <w:rsid w:val="0C413744"/>
    <w:rsid w:val="0C424EAD"/>
    <w:rsid w:val="0C42649A"/>
    <w:rsid w:val="0C434FF4"/>
    <w:rsid w:val="0C437569"/>
    <w:rsid w:val="0C4427B0"/>
    <w:rsid w:val="0C450B57"/>
    <w:rsid w:val="0C454D9D"/>
    <w:rsid w:val="0C456E03"/>
    <w:rsid w:val="0C466C9B"/>
    <w:rsid w:val="0C467990"/>
    <w:rsid w:val="0C4768A5"/>
    <w:rsid w:val="0C48500C"/>
    <w:rsid w:val="0C48703F"/>
    <w:rsid w:val="0C4A6664"/>
    <w:rsid w:val="0C4C3FCE"/>
    <w:rsid w:val="0C4C5D8C"/>
    <w:rsid w:val="0C4E7BB9"/>
    <w:rsid w:val="0C4F1581"/>
    <w:rsid w:val="0C500D6E"/>
    <w:rsid w:val="0C501223"/>
    <w:rsid w:val="0C515830"/>
    <w:rsid w:val="0C535E6D"/>
    <w:rsid w:val="0C540B1D"/>
    <w:rsid w:val="0C550C3F"/>
    <w:rsid w:val="0C561A0E"/>
    <w:rsid w:val="0C562E20"/>
    <w:rsid w:val="0C563DA9"/>
    <w:rsid w:val="0C57441F"/>
    <w:rsid w:val="0C577879"/>
    <w:rsid w:val="0C596958"/>
    <w:rsid w:val="0C5A0E17"/>
    <w:rsid w:val="0C5A0F8F"/>
    <w:rsid w:val="0C5A4A56"/>
    <w:rsid w:val="0C5A4C39"/>
    <w:rsid w:val="0C5D3DE3"/>
    <w:rsid w:val="0C5D6C47"/>
    <w:rsid w:val="0C5E2BD9"/>
    <w:rsid w:val="0C60152A"/>
    <w:rsid w:val="0C604717"/>
    <w:rsid w:val="0C605840"/>
    <w:rsid w:val="0C605BA6"/>
    <w:rsid w:val="0C610170"/>
    <w:rsid w:val="0C63487F"/>
    <w:rsid w:val="0C6367E3"/>
    <w:rsid w:val="0C637AEE"/>
    <w:rsid w:val="0C646A79"/>
    <w:rsid w:val="0C6552CF"/>
    <w:rsid w:val="0C663B81"/>
    <w:rsid w:val="0C692343"/>
    <w:rsid w:val="0C6973A0"/>
    <w:rsid w:val="0C6A1834"/>
    <w:rsid w:val="0C6A5102"/>
    <w:rsid w:val="0C6B1EE2"/>
    <w:rsid w:val="0C6D2048"/>
    <w:rsid w:val="0C6D2071"/>
    <w:rsid w:val="0C6E08A1"/>
    <w:rsid w:val="0C6E12B1"/>
    <w:rsid w:val="0C6E3308"/>
    <w:rsid w:val="0C6F331F"/>
    <w:rsid w:val="0C73465A"/>
    <w:rsid w:val="0C743CCD"/>
    <w:rsid w:val="0C747EE1"/>
    <w:rsid w:val="0C7526D4"/>
    <w:rsid w:val="0C7536A0"/>
    <w:rsid w:val="0C7567D3"/>
    <w:rsid w:val="0C756B11"/>
    <w:rsid w:val="0C7659A9"/>
    <w:rsid w:val="0C794038"/>
    <w:rsid w:val="0C7B1579"/>
    <w:rsid w:val="0C7B302D"/>
    <w:rsid w:val="0C7B3510"/>
    <w:rsid w:val="0C7B4A68"/>
    <w:rsid w:val="0C7B59F0"/>
    <w:rsid w:val="0C7B62D9"/>
    <w:rsid w:val="0C7B7AB8"/>
    <w:rsid w:val="0C7C1703"/>
    <w:rsid w:val="0C7C7321"/>
    <w:rsid w:val="0C7D412B"/>
    <w:rsid w:val="0C7D64C8"/>
    <w:rsid w:val="0C7E5B22"/>
    <w:rsid w:val="0C7F1162"/>
    <w:rsid w:val="0C7F328C"/>
    <w:rsid w:val="0C800C6D"/>
    <w:rsid w:val="0C811679"/>
    <w:rsid w:val="0C812D78"/>
    <w:rsid w:val="0C82547B"/>
    <w:rsid w:val="0C845E28"/>
    <w:rsid w:val="0C870BAB"/>
    <w:rsid w:val="0C874E06"/>
    <w:rsid w:val="0C875498"/>
    <w:rsid w:val="0C8B0453"/>
    <w:rsid w:val="0C8C5512"/>
    <w:rsid w:val="0C8C781A"/>
    <w:rsid w:val="0C8D10E4"/>
    <w:rsid w:val="0C8D488A"/>
    <w:rsid w:val="0C8F1568"/>
    <w:rsid w:val="0C90060B"/>
    <w:rsid w:val="0C905588"/>
    <w:rsid w:val="0C9061A8"/>
    <w:rsid w:val="0C9314F7"/>
    <w:rsid w:val="0C9372D6"/>
    <w:rsid w:val="0C941390"/>
    <w:rsid w:val="0C9449E9"/>
    <w:rsid w:val="0C9500EA"/>
    <w:rsid w:val="0C962D47"/>
    <w:rsid w:val="0C963F6F"/>
    <w:rsid w:val="0C9660C8"/>
    <w:rsid w:val="0C984942"/>
    <w:rsid w:val="0C992A08"/>
    <w:rsid w:val="0C996B19"/>
    <w:rsid w:val="0C9B098C"/>
    <w:rsid w:val="0C9C72F9"/>
    <w:rsid w:val="0C9E222B"/>
    <w:rsid w:val="0CA01799"/>
    <w:rsid w:val="0CA022EB"/>
    <w:rsid w:val="0CA11D84"/>
    <w:rsid w:val="0CA1356B"/>
    <w:rsid w:val="0CA26011"/>
    <w:rsid w:val="0CA4644C"/>
    <w:rsid w:val="0CA52FD0"/>
    <w:rsid w:val="0CA65BD6"/>
    <w:rsid w:val="0CA80E72"/>
    <w:rsid w:val="0CA83BB1"/>
    <w:rsid w:val="0CA9601B"/>
    <w:rsid w:val="0CAC0C29"/>
    <w:rsid w:val="0CAE339C"/>
    <w:rsid w:val="0CAE6773"/>
    <w:rsid w:val="0CB02FB6"/>
    <w:rsid w:val="0CB1027F"/>
    <w:rsid w:val="0CB2215C"/>
    <w:rsid w:val="0CB23486"/>
    <w:rsid w:val="0CB275CA"/>
    <w:rsid w:val="0CB30EB4"/>
    <w:rsid w:val="0CB47212"/>
    <w:rsid w:val="0CB47CA0"/>
    <w:rsid w:val="0CB5611E"/>
    <w:rsid w:val="0CB71B5D"/>
    <w:rsid w:val="0CB82686"/>
    <w:rsid w:val="0CB82AB6"/>
    <w:rsid w:val="0CB902FE"/>
    <w:rsid w:val="0CBA0A7C"/>
    <w:rsid w:val="0CBB00CF"/>
    <w:rsid w:val="0CBB0630"/>
    <w:rsid w:val="0CBB102D"/>
    <w:rsid w:val="0CBD1F5F"/>
    <w:rsid w:val="0CBF1195"/>
    <w:rsid w:val="0CBF7568"/>
    <w:rsid w:val="0CC03124"/>
    <w:rsid w:val="0CC044E0"/>
    <w:rsid w:val="0CC23AB3"/>
    <w:rsid w:val="0CC36133"/>
    <w:rsid w:val="0CC43A74"/>
    <w:rsid w:val="0CC46FA8"/>
    <w:rsid w:val="0CC51971"/>
    <w:rsid w:val="0CC53119"/>
    <w:rsid w:val="0CC54F62"/>
    <w:rsid w:val="0CC65FC0"/>
    <w:rsid w:val="0CC733F0"/>
    <w:rsid w:val="0CC7662F"/>
    <w:rsid w:val="0CC8220A"/>
    <w:rsid w:val="0CCA05E9"/>
    <w:rsid w:val="0CCA2D15"/>
    <w:rsid w:val="0CCA523B"/>
    <w:rsid w:val="0CCA5D39"/>
    <w:rsid w:val="0CCC17B6"/>
    <w:rsid w:val="0CCD48BE"/>
    <w:rsid w:val="0CCE12BA"/>
    <w:rsid w:val="0CCE2B10"/>
    <w:rsid w:val="0CCF4ADA"/>
    <w:rsid w:val="0CCF5068"/>
    <w:rsid w:val="0CD22806"/>
    <w:rsid w:val="0CD30CBA"/>
    <w:rsid w:val="0CD362CB"/>
    <w:rsid w:val="0CD44A25"/>
    <w:rsid w:val="0CD4522D"/>
    <w:rsid w:val="0CD57C0C"/>
    <w:rsid w:val="0CD7011D"/>
    <w:rsid w:val="0CD7131B"/>
    <w:rsid w:val="0CD838C9"/>
    <w:rsid w:val="0CD973B8"/>
    <w:rsid w:val="0CD979E2"/>
    <w:rsid w:val="0CDB11C6"/>
    <w:rsid w:val="0CDC32CA"/>
    <w:rsid w:val="0CDE5B3B"/>
    <w:rsid w:val="0CDF4BAD"/>
    <w:rsid w:val="0CE3007F"/>
    <w:rsid w:val="0CE338A4"/>
    <w:rsid w:val="0CE348DA"/>
    <w:rsid w:val="0CE3589A"/>
    <w:rsid w:val="0CE56A15"/>
    <w:rsid w:val="0CE60220"/>
    <w:rsid w:val="0CE730FD"/>
    <w:rsid w:val="0CE77B1C"/>
    <w:rsid w:val="0CE87F0D"/>
    <w:rsid w:val="0CE96FD6"/>
    <w:rsid w:val="0CEB1783"/>
    <w:rsid w:val="0CEB6F72"/>
    <w:rsid w:val="0CEB732F"/>
    <w:rsid w:val="0CEE1CA9"/>
    <w:rsid w:val="0CF04FC8"/>
    <w:rsid w:val="0CF16F3F"/>
    <w:rsid w:val="0CF41831"/>
    <w:rsid w:val="0CF4758A"/>
    <w:rsid w:val="0CF62F0C"/>
    <w:rsid w:val="0CF831CD"/>
    <w:rsid w:val="0CF8521E"/>
    <w:rsid w:val="0CF86E97"/>
    <w:rsid w:val="0CF95C2C"/>
    <w:rsid w:val="0CF97FE0"/>
    <w:rsid w:val="0CFA7AE7"/>
    <w:rsid w:val="0CFB10EA"/>
    <w:rsid w:val="0CFC4655"/>
    <w:rsid w:val="0CFD05CB"/>
    <w:rsid w:val="0CFE15CB"/>
    <w:rsid w:val="0CFF2ED0"/>
    <w:rsid w:val="0CFF2ED1"/>
    <w:rsid w:val="0D030DFE"/>
    <w:rsid w:val="0D033F19"/>
    <w:rsid w:val="0D063ADD"/>
    <w:rsid w:val="0D0B4156"/>
    <w:rsid w:val="0D0B6123"/>
    <w:rsid w:val="0D0B77D7"/>
    <w:rsid w:val="0D0D4CE5"/>
    <w:rsid w:val="0D0E2654"/>
    <w:rsid w:val="0D0E2FD6"/>
    <w:rsid w:val="0D102B93"/>
    <w:rsid w:val="0D143EE1"/>
    <w:rsid w:val="0D15073F"/>
    <w:rsid w:val="0D164DC1"/>
    <w:rsid w:val="0D166DA3"/>
    <w:rsid w:val="0D197C2A"/>
    <w:rsid w:val="0D1A1207"/>
    <w:rsid w:val="0D1A1A41"/>
    <w:rsid w:val="0D1A4A6E"/>
    <w:rsid w:val="0D1B5BF3"/>
    <w:rsid w:val="0D1C17C9"/>
    <w:rsid w:val="0D1E02A2"/>
    <w:rsid w:val="0D1E3740"/>
    <w:rsid w:val="0D1E4D54"/>
    <w:rsid w:val="0D1F7E1E"/>
    <w:rsid w:val="0D203640"/>
    <w:rsid w:val="0D230E56"/>
    <w:rsid w:val="0D247950"/>
    <w:rsid w:val="0D2515DE"/>
    <w:rsid w:val="0D2529C7"/>
    <w:rsid w:val="0D271959"/>
    <w:rsid w:val="0D283074"/>
    <w:rsid w:val="0D2B1D50"/>
    <w:rsid w:val="0D2B6D06"/>
    <w:rsid w:val="0D2B71CE"/>
    <w:rsid w:val="0D2C6083"/>
    <w:rsid w:val="0D2D55FE"/>
    <w:rsid w:val="0D2E576D"/>
    <w:rsid w:val="0D3020A4"/>
    <w:rsid w:val="0D312965"/>
    <w:rsid w:val="0D325769"/>
    <w:rsid w:val="0D334DAC"/>
    <w:rsid w:val="0D3504B0"/>
    <w:rsid w:val="0D3530DC"/>
    <w:rsid w:val="0D370C60"/>
    <w:rsid w:val="0D371591"/>
    <w:rsid w:val="0D3765D6"/>
    <w:rsid w:val="0D387F85"/>
    <w:rsid w:val="0D3A4BDF"/>
    <w:rsid w:val="0D3A50D4"/>
    <w:rsid w:val="0D3C1E91"/>
    <w:rsid w:val="0D3D231F"/>
    <w:rsid w:val="0D3D3890"/>
    <w:rsid w:val="0D3F3F24"/>
    <w:rsid w:val="0D3F6A96"/>
    <w:rsid w:val="0D4037CE"/>
    <w:rsid w:val="0D405FA7"/>
    <w:rsid w:val="0D407125"/>
    <w:rsid w:val="0D411534"/>
    <w:rsid w:val="0D4209CA"/>
    <w:rsid w:val="0D421839"/>
    <w:rsid w:val="0D423681"/>
    <w:rsid w:val="0D446404"/>
    <w:rsid w:val="0D47351E"/>
    <w:rsid w:val="0D4742F2"/>
    <w:rsid w:val="0D477FB1"/>
    <w:rsid w:val="0D48769B"/>
    <w:rsid w:val="0D494D98"/>
    <w:rsid w:val="0D4B0ABE"/>
    <w:rsid w:val="0D4B21F0"/>
    <w:rsid w:val="0D4C32A7"/>
    <w:rsid w:val="0D4C3444"/>
    <w:rsid w:val="0D4C51F4"/>
    <w:rsid w:val="0D4E05A8"/>
    <w:rsid w:val="0D4E35F9"/>
    <w:rsid w:val="0D4F4F45"/>
    <w:rsid w:val="0D504B26"/>
    <w:rsid w:val="0D514185"/>
    <w:rsid w:val="0D531472"/>
    <w:rsid w:val="0D5323D0"/>
    <w:rsid w:val="0D532DFF"/>
    <w:rsid w:val="0D541BA9"/>
    <w:rsid w:val="0D560150"/>
    <w:rsid w:val="0D57204F"/>
    <w:rsid w:val="0D576C30"/>
    <w:rsid w:val="0D58206E"/>
    <w:rsid w:val="0D5843EF"/>
    <w:rsid w:val="0D596784"/>
    <w:rsid w:val="0D5A06BC"/>
    <w:rsid w:val="0D5A3963"/>
    <w:rsid w:val="0D5A43A4"/>
    <w:rsid w:val="0D5B102F"/>
    <w:rsid w:val="0D5B2367"/>
    <w:rsid w:val="0D5C78A2"/>
    <w:rsid w:val="0D5D6969"/>
    <w:rsid w:val="0D617EE9"/>
    <w:rsid w:val="0D645F54"/>
    <w:rsid w:val="0D65336D"/>
    <w:rsid w:val="0D6566CB"/>
    <w:rsid w:val="0D673E3A"/>
    <w:rsid w:val="0D677ED0"/>
    <w:rsid w:val="0D68249A"/>
    <w:rsid w:val="0D6A2B3C"/>
    <w:rsid w:val="0D6B19FD"/>
    <w:rsid w:val="0D6B52D4"/>
    <w:rsid w:val="0D6C2329"/>
    <w:rsid w:val="0D6C56C4"/>
    <w:rsid w:val="0D6C6E64"/>
    <w:rsid w:val="0D6F2170"/>
    <w:rsid w:val="0D6F502F"/>
    <w:rsid w:val="0D6F67CB"/>
    <w:rsid w:val="0D706B35"/>
    <w:rsid w:val="0D712ED5"/>
    <w:rsid w:val="0D71583D"/>
    <w:rsid w:val="0D716E83"/>
    <w:rsid w:val="0D7175AD"/>
    <w:rsid w:val="0D72660D"/>
    <w:rsid w:val="0D7336B7"/>
    <w:rsid w:val="0D74307C"/>
    <w:rsid w:val="0D763470"/>
    <w:rsid w:val="0D77259C"/>
    <w:rsid w:val="0D781ACD"/>
    <w:rsid w:val="0D783B0D"/>
    <w:rsid w:val="0D7842F7"/>
    <w:rsid w:val="0D792BBE"/>
    <w:rsid w:val="0D7933BE"/>
    <w:rsid w:val="0D79449F"/>
    <w:rsid w:val="0D797623"/>
    <w:rsid w:val="0D7A4123"/>
    <w:rsid w:val="0D7C48E1"/>
    <w:rsid w:val="0D7D0F14"/>
    <w:rsid w:val="0D813021"/>
    <w:rsid w:val="0D82191E"/>
    <w:rsid w:val="0D8256D3"/>
    <w:rsid w:val="0D833368"/>
    <w:rsid w:val="0D8346CC"/>
    <w:rsid w:val="0D8346EA"/>
    <w:rsid w:val="0D841421"/>
    <w:rsid w:val="0D8517FD"/>
    <w:rsid w:val="0D8A7967"/>
    <w:rsid w:val="0D8B54D4"/>
    <w:rsid w:val="0D8D16B6"/>
    <w:rsid w:val="0D8D29C4"/>
    <w:rsid w:val="0D8D75B0"/>
    <w:rsid w:val="0D904121"/>
    <w:rsid w:val="0D9107C2"/>
    <w:rsid w:val="0D92754B"/>
    <w:rsid w:val="0D9403E0"/>
    <w:rsid w:val="0D94266A"/>
    <w:rsid w:val="0D9457F8"/>
    <w:rsid w:val="0D961BFD"/>
    <w:rsid w:val="0D9661F4"/>
    <w:rsid w:val="0D9723CC"/>
    <w:rsid w:val="0D990786"/>
    <w:rsid w:val="0D9943CC"/>
    <w:rsid w:val="0D9A37D2"/>
    <w:rsid w:val="0D9B552B"/>
    <w:rsid w:val="0D9B59BA"/>
    <w:rsid w:val="0DA17B99"/>
    <w:rsid w:val="0DA301DD"/>
    <w:rsid w:val="0DA5121A"/>
    <w:rsid w:val="0DA53BE6"/>
    <w:rsid w:val="0DA55E0D"/>
    <w:rsid w:val="0DA71A92"/>
    <w:rsid w:val="0DA93A38"/>
    <w:rsid w:val="0DA94F57"/>
    <w:rsid w:val="0DAA5872"/>
    <w:rsid w:val="0DAB49ED"/>
    <w:rsid w:val="0DAC50E5"/>
    <w:rsid w:val="0DAD2CD9"/>
    <w:rsid w:val="0DAD41B6"/>
    <w:rsid w:val="0DAD4E1B"/>
    <w:rsid w:val="0DAD53F3"/>
    <w:rsid w:val="0DAF0ED7"/>
    <w:rsid w:val="0DB150BE"/>
    <w:rsid w:val="0DB30A3D"/>
    <w:rsid w:val="0DB41A6C"/>
    <w:rsid w:val="0DB41DEA"/>
    <w:rsid w:val="0DB465D7"/>
    <w:rsid w:val="0DB46B0D"/>
    <w:rsid w:val="0DB54C68"/>
    <w:rsid w:val="0DB82EB5"/>
    <w:rsid w:val="0DB8731C"/>
    <w:rsid w:val="0DBA3B3F"/>
    <w:rsid w:val="0DBF0E6A"/>
    <w:rsid w:val="0DBF2745"/>
    <w:rsid w:val="0DC0395A"/>
    <w:rsid w:val="0DC06BC2"/>
    <w:rsid w:val="0DC07345"/>
    <w:rsid w:val="0DC11F55"/>
    <w:rsid w:val="0DC21942"/>
    <w:rsid w:val="0DC21C5F"/>
    <w:rsid w:val="0DC3323A"/>
    <w:rsid w:val="0DC437C2"/>
    <w:rsid w:val="0DC525AE"/>
    <w:rsid w:val="0DC55F02"/>
    <w:rsid w:val="0DC8108B"/>
    <w:rsid w:val="0DCA2E53"/>
    <w:rsid w:val="0DCA57EC"/>
    <w:rsid w:val="0DCB3E5D"/>
    <w:rsid w:val="0DCB4B93"/>
    <w:rsid w:val="0DCC17ED"/>
    <w:rsid w:val="0DCD0C7A"/>
    <w:rsid w:val="0DCD73CF"/>
    <w:rsid w:val="0DD00648"/>
    <w:rsid w:val="0DD016E1"/>
    <w:rsid w:val="0DD02E84"/>
    <w:rsid w:val="0DD57E2A"/>
    <w:rsid w:val="0DD60565"/>
    <w:rsid w:val="0DD65ED1"/>
    <w:rsid w:val="0DD81485"/>
    <w:rsid w:val="0DD85AED"/>
    <w:rsid w:val="0DDA1145"/>
    <w:rsid w:val="0DDA24C3"/>
    <w:rsid w:val="0DDA6812"/>
    <w:rsid w:val="0DDA6E5F"/>
    <w:rsid w:val="0DDF7CA3"/>
    <w:rsid w:val="0DDF7D0E"/>
    <w:rsid w:val="0DE1464E"/>
    <w:rsid w:val="0DE15442"/>
    <w:rsid w:val="0DE456F7"/>
    <w:rsid w:val="0DE54AE7"/>
    <w:rsid w:val="0DE569C8"/>
    <w:rsid w:val="0DE61F20"/>
    <w:rsid w:val="0DE7584C"/>
    <w:rsid w:val="0DE85D3C"/>
    <w:rsid w:val="0DE91F56"/>
    <w:rsid w:val="0DEA4768"/>
    <w:rsid w:val="0DEB3C31"/>
    <w:rsid w:val="0DEE2484"/>
    <w:rsid w:val="0DEE47BC"/>
    <w:rsid w:val="0DEF45D9"/>
    <w:rsid w:val="0DEF4B78"/>
    <w:rsid w:val="0DF01B9E"/>
    <w:rsid w:val="0DF030F6"/>
    <w:rsid w:val="0DF17D52"/>
    <w:rsid w:val="0DF218D9"/>
    <w:rsid w:val="0DF31400"/>
    <w:rsid w:val="0DF646F5"/>
    <w:rsid w:val="0DF65B00"/>
    <w:rsid w:val="0DF66836"/>
    <w:rsid w:val="0DF71C48"/>
    <w:rsid w:val="0DF73643"/>
    <w:rsid w:val="0DF872AF"/>
    <w:rsid w:val="0DF87490"/>
    <w:rsid w:val="0DF912C0"/>
    <w:rsid w:val="0DF93500"/>
    <w:rsid w:val="0DF977D2"/>
    <w:rsid w:val="0DFB0A8E"/>
    <w:rsid w:val="0DFF7914"/>
    <w:rsid w:val="0E003E44"/>
    <w:rsid w:val="0E004FCC"/>
    <w:rsid w:val="0E00744E"/>
    <w:rsid w:val="0E010C86"/>
    <w:rsid w:val="0E022490"/>
    <w:rsid w:val="0E056F4E"/>
    <w:rsid w:val="0E061620"/>
    <w:rsid w:val="0E0741CC"/>
    <w:rsid w:val="0E083665"/>
    <w:rsid w:val="0E0B00D6"/>
    <w:rsid w:val="0E0B0AF5"/>
    <w:rsid w:val="0E0B2DD4"/>
    <w:rsid w:val="0E0C6B9E"/>
    <w:rsid w:val="0E0C6ED6"/>
    <w:rsid w:val="0E0D3DB4"/>
    <w:rsid w:val="0E0D77AC"/>
    <w:rsid w:val="0E0E3977"/>
    <w:rsid w:val="0E0E3F86"/>
    <w:rsid w:val="0E0E4D52"/>
    <w:rsid w:val="0E0F4E16"/>
    <w:rsid w:val="0E0F5176"/>
    <w:rsid w:val="0E103D10"/>
    <w:rsid w:val="0E1051C7"/>
    <w:rsid w:val="0E113F52"/>
    <w:rsid w:val="0E123A4B"/>
    <w:rsid w:val="0E124C7E"/>
    <w:rsid w:val="0E1264AF"/>
    <w:rsid w:val="0E127B8D"/>
    <w:rsid w:val="0E131724"/>
    <w:rsid w:val="0E1323CC"/>
    <w:rsid w:val="0E1552B7"/>
    <w:rsid w:val="0E183F02"/>
    <w:rsid w:val="0E190144"/>
    <w:rsid w:val="0E1907F8"/>
    <w:rsid w:val="0E1C7250"/>
    <w:rsid w:val="0E1E23E3"/>
    <w:rsid w:val="0E1F4276"/>
    <w:rsid w:val="0E2132D5"/>
    <w:rsid w:val="0E215C4A"/>
    <w:rsid w:val="0E224736"/>
    <w:rsid w:val="0E226538"/>
    <w:rsid w:val="0E241EAF"/>
    <w:rsid w:val="0E250E55"/>
    <w:rsid w:val="0E25661B"/>
    <w:rsid w:val="0E2A2896"/>
    <w:rsid w:val="0E2A3476"/>
    <w:rsid w:val="0E2A4E11"/>
    <w:rsid w:val="0E2B29CD"/>
    <w:rsid w:val="0E2B624A"/>
    <w:rsid w:val="0E2C605B"/>
    <w:rsid w:val="0E2C7A4E"/>
    <w:rsid w:val="0E2E204D"/>
    <w:rsid w:val="0E30583A"/>
    <w:rsid w:val="0E30781A"/>
    <w:rsid w:val="0E312661"/>
    <w:rsid w:val="0E322BD6"/>
    <w:rsid w:val="0E323ADE"/>
    <w:rsid w:val="0E3313FC"/>
    <w:rsid w:val="0E331D29"/>
    <w:rsid w:val="0E334A9B"/>
    <w:rsid w:val="0E344BF5"/>
    <w:rsid w:val="0E35088A"/>
    <w:rsid w:val="0E370AE4"/>
    <w:rsid w:val="0E382424"/>
    <w:rsid w:val="0E390993"/>
    <w:rsid w:val="0E393AE8"/>
    <w:rsid w:val="0E3B1E81"/>
    <w:rsid w:val="0E413795"/>
    <w:rsid w:val="0E4143C8"/>
    <w:rsid w:val="0E426D17"/>
    <w:rsid w:val="0E431223"/>
    <w:rsid w:val="0E436599"/>
    <w:rsid w:val="0E443903"/>
    <w:rsid w:val="0E44758C"/>
    <w:rsid w:val="0E4524B3"/>
    <w:rsid w:val="0E456544"/>
    <w:rsid w:val="0E47049B"/>
    <w:rsid w:val="0E484EEC"/>
    <w:rsid w:val="0E492AA7"/>
    <w:rsid w:val="0E493F91"/>
    <w:rsid w:val="0E4D2FCC"/>
    <w:rsid w:val="0E4D3C6F"/>
    <w:rsid w:val="0E4E5D12"/>
    <w:rsid w:val="0E4F0FB4"/>
    <w:rsid w:val="0E513D76"/>
    <w:rsid w:val="0E550116"/>
    <w:rsid w:val="0E56110E"/>
    <w:rsid w:val="0E566816"/>
    <w:rsid w:val="0E573140"/>
    <w:rsid w:val="0E5A1644"/>
    <w:rsid w:val="0E5A4090"/>
    <w:rsid w:val="0E5A75C6"/>
    <w:rsid w:val="0E5C72D8"/>
    <w:rsid w:val="0E5D2952"/>
    <w:rsid w:val="0E5E0320"/>
    <w:rsid w:val="0E5E2156"/>
    <w:rsid w:val="0E604448"/>
    <w:rsid w:val="0E612A14"/>
    <w:rsid w:val="0E665733"/>
    <w:rsid w:val="0E665EF9"/>
    <w:rsid w:val="0E673477"/>
    <w:rsid w:val="0E695CE4"/>
    <w:rsid w:val="0E6A382B"/>
    <w:rsid w:val="0E6D7218"/>
    <w:rsid w:val="0E6E1037"/>
    <w:rsid w:val="0E6E1FED"/>
    <w:rsid w:val="0E6F401E"/>
    <w:rsid w:val="0E704D2F"/>
    <w:rsid w:val="0E730955"/>
    <w:rsid w:val="0E743784"/>
    <w:rsid w:val="0E761DEF"/>
    <w:rsid w:val="0E7658BE"/>
    <w:rsid w:val="0E765B7C"/>
    <w:rsid w:val="0E773E06"/>
    <w:rsid w:val="0E774435"/>
    <w:rsid w:val="0E785EB1"/>
    <w:rsid w:val="0E7929B0"/>
    <w:rsid w:val="0E7951DE"/>
    <w:rsid w:val="0E7A45E7"/>
    <w:rsid w:val="0E7B02D7"/>
    <w:rsid w:val="0E7B10FF"/>
    <w:rsid w:val="0E7B373F"/>
    <w:rsid w:val="0E7B5AF8"/>
    <w:rsid w:val="0E7C1BAE"/>
    <w:rsid w:val="0E7C439F"/>
    <w:rsid w:val="0E7D1215"/>
    <w:rsid w:val="0E802F93"/>
    <w:rsid w:val="0E815FCD"/>
    <w:rsid w:val="0E821763"/>
    <w:rsid w:val="0E85163A"/>
    <w:rsid w:val="0E855004"/>
    <w:rsid w:val="0E855FA7"/>
    <w:rsid w:val="0E86315E"/>
    <w:rsid w:val="0E875BF1"/>
    <w:rsid w:val="0E8942A2"/>
    <w:rsid w:val="0E8D07A9"/>
    <w:rsid w:val="0E8F50AD"/>
    <w:rsid w:val="0E9042C3"/>
    <w:rsid w:val="0E906F70"/>
    <w:rsid w:val="0E907387"/>
    <w:rsid w:val="0E930118"/>
    <w:rsid w:val="0E9472E1"/>
    <w:rsid w:val="0E9800A3"/>
    <w:rsid w:val="0E981187"/>
    <w:rsid w:val="0E9967C8"/>
    <w:rsid w:val="0E997B3F"/>
    <w:rsid w:val="0E9A345E"/>
    <w:rsid w:val="0E9A5EA6"/>
    <w:rsid w:val="0E9B085E"/>
    <w:rsid w:val="0E9B2A3E"/>
    <w:rsid w:val="0E9C0A80"/>
    <w:rsid w:val="0E9C51E9"/>
    <w:rsid w:val="0E9D1436"/>
    <w:rsid w:val="0E9D57CF"/>
    <w:rsid w:val="0EA21307"/>
    <w:rsid w:val="0EA36239"/>
    <w:rsid w:val="0EA36A67"/>
    <w:rsid w:val="0EA45586"/>
    <w:rsid w:val="0EA45A04"/>
    <w:rsid w:val="0EA5301D"/>
    <w:rsid w:val="0EA64270"/>
    <w:rsid w:val="0EA7350F"/>
    <w:rsid w:val="0EA74BD8"/>
    <w:rsid w:val="0EAA21D6"/>
    <w:rsid w:val="0EAB72BF"/>
    <w:rsid w:val="0EAF02FF"/>
    <w:rsid w:val="0EB23C1F"/>
    <w:rsid w:val="0EB33DEB"/>
    <w:rsid w:val="0EB5558F"/>
    <w:rsid w:val="0EB6228F"/>
    <w:rsid w:val="0EB71068"/>
    <w:rsid w:val="0EB842B5"/>
    <w:rsid w:val="0EB85A28"/>
    <w:rsid w:val="0EB86C3A"/>
    <w:rsid w:val="0EB918D3"/>
    <w:rsid w:val="0EBA1CE1"/>
    <w:rsid w:val="0EBB23BD"/>
    <w:rsid w:val="0EBC7C82"/>
    <w:rsid w:val="0EBD5BA3"/>
    <w:rsid w:val="0EBE2ECD"/>
    <w:rsid w:val="0EBE65FE"/>
    <w:rsid w:val="0EC02476"/>
    <w:rsid w:val="0EC25CD7"/>
    <w:rsid w:val="0EC543DF"/>
    <w:rsid w:val="0EC75695"/>
    <w:rsid w:val="0EC75A69"/>
    <w:rsid w:val="0EC82740"/>
    <w:rsid w:val="0EC866E1"/>
    <w:rsid w:val="0EC92CCA"/>
    <w:rsid w:val="0EC966EC"/>
    <w:rsid w:val="0ECA72D2"/>
    <w:rsid w:val="0ECB1AA5"/>
    <w:rsid w:val="0ECB4F14"/>
    <w:rsid w:val="0ECB6448"/>
    <w:rsid w:val="0ECC71A3"/>
    <w:rsid w:val="0ECE3C50"/>
    <w:rsid w:val="0ECF7576"/>
    <w:rsid w:val="0ED043E4"/>
    <w:rsid w:val="0ED17A12"/>
    <w:rsid w:val="0ED17EFB"/>
    <w:rsid w:val="0ED2437A"/>
    <w:rsid w:val="0ED27CA4"/>
    <w:rsid w:val="0ED35C9D"/>
    <w:rsid w:val="0ED64988"/>
    <w:rsid w:val="0ED7107B"/>
    <w:rsid w:val="0ED93313"/>
    <w:rsid w:val="0ED9453F"/>
    <w:rsid w:val="0EDA0FDD"/>
    <w:rsid w:val="0EDB3026"/>
    <w:rsid w:val="0EDB7168"/>
    <w:rsid w:val="0EDD6048"/>
    <w:rsid w:val="0EDD7B59"/>
    <w:rsid w:val="0EDE0AD1"/>
    <w:rsid w:val="0EDE7568"/>
    <w:rsid w:val="0EDF090E"/>
    <w:rsid w:val="0EE140C8"/>
    <w:rsid w:val="0EE32D00"/>
    <w:rsid w:val="0EE379C3"/>
    <w:rsid w:val="0EE54776"/>
    <w:rsid w:val="0EE60AD7"/>
    <w:rsid w:val="0EE833B1"/>
    <w:rsid w:val="0EEA04E1"/>
    <w:rsid w:val="0EEA43FF"/>
    <w:rsid w:val="0EEA5C1F"/>
    <w:rsid w:val="0EEB10D1"/>
    <w:rsid w:val="0EEC37FB"/>
    <w:rsid w:val="0EED4933"/>
    <w:rsid w:val="0EEE033A"/>
    <w:rsid w:val="0EEE25CE"/>
    <w:rsid w:val="0EEE3CC0"/>
    <w:rsid w:val="0EEE47D8"/>
    <w:rsid w:val="0EEF047A"/>
    <w:rsid w:val="0EF2711F"/>
    <w:rsid w:val="0EF46D24"/>
    <w:rsid w:val="0EF5028B"/>
    <w:rsid w:val="0EF636AA"/>
    <w:rsid w:val="0EF709DC"/>
    <w:rsid w:val="0EF8210B"/>
    <w:rsid w:val="0EF821F4"/>
    <w:rsid w:val="0EF82870"/>
    <w:rsid w:val="0EF91D55"/>
    <w:rsid w:val="0EFA034B"/>
    <w:rsid w:val="0EFA5FC6"/>
    <w:rsid w:val="0EFB264F"/>
    <w:rsid w:val="0EFD74A5"/>
    <w:rsid w:val="0EFE0905"/>
    <w:rsid w:val="0EFE122D"/>
    <w:rsid w:val="0EFE1803"/>
    <w:rsid w:val="0F001526"/>
    <w:rsid w:val="0F021841"/>
    <w:rsid w:val="0F022F45"/>
    <w:rsid w:val="0F037123"/>
    <w:rsid w:val="0F037E8F"/>
    <w:rsid w:val="0F047989"/>
    <w:rsid w:val="0F050C31"/>
    <w:rsid w:val="0F052125"/>
    <w:rsid w:val="0F077C23"/>
    <w:rsid w:val="0F0A0B79"/>
    <w:rsid w:val="0F0A69D2"/>
    <w:rsid w:val="0F0B036F"/>
    <w:rsid w:val="0F0B2E8D"/>
    <w:rsid w:val="0F0F60C0"/>
    <w:rsid w:val="0F1052C1"/>
    <w:rsid w:val="0F12525C"/>
    <w:rsid w:val="0F125ACC"/>
    <w:rsid w:val="0F130823"/>
    <w:rsid w:val="0F13374C"/>
    <w:rsid w:val="0F1358C1"/>
    <w:rsid w:val="0F1461BB"/>
    <w:rsid w:val="0F163607"/>
    <w:rsid w:val="0F1967D2"/>
    <w:rsid w:val="0F1A0EDB"/>
    <w:rsid w:val="0F1A2700"/>
    <w:rsid w:val="0F1A2748"/>
    <w:rsid w:val="0F1A7A1C"/>
    <w:rsid w:val="0F1B0FEB"/>
    <w:rsid w:val="0F1B6F63"/>
    <w:rsid w:val="0F1C3CD1"/>
    <w:rsid w:val="0F1C7874"/>
    <w:rsid w:val="0F1E37CA"/>
    <w:rsid w:val="0F1E4403"/>
    <w:rsid w:val="0F1F4B74"/>
    <w:rsid w:val="0F1F6D75"/>
    <w:rsid w:val="0F2019F6"/>
    <w:rsid w:val="0F202674"/>
    <w:rsid w:val="0F203F97"/>
    <w:rsid w:val="0F206F79"/>
    <w:rsid w:val="0F211624"/>
    <w:rsid w:val="0F214B27"/>
    <w:rsid w:val="0F215EC4"/>
    <w:rsid w:val="0F2203AC"/>
    <w:rsid w:val="0F223D6C"/>
    <w:rsid w:val="0F2303D8"/>
    <w:rsid w:val="0F234013"/>
    <w:rsid w:val="0F25720B"/>
    <w:rsid w:val="0F2573E2"/>
    <w:rsid w:val="0F260358"/>
    <w:rsid w:val="0F2C4B3E"/>
    <w:rsid w:val="0F2F6D63"/>
    <w:rsid w:val="0F322484"/>
    <w:rsid w:val="0F3348E8"/>
    <w:rsid w:val="0F336DD6"/>
    <w:rsid w:val="0F3628AB"/>
    <w:rsid w:val="0F365279"/>
    <w:rsid w:val="0F39428C"/>
    <w:rsid w:val="0F3A2D47"/>
    <w:rsid w:val="0F3B13D7"/>
    <w:rsid w:val="0F3D6DE4"/>
    <w:rsid w:val="0F3F2E1E"/>
    <w:rsid w:val="0F41226A"/>
    <w:rsid w:val="0F41752B"/>
    <w:rsid w:val="0F417F2E"/>
    <w:rsid w:val="0F421107"/>
    <w:rsid w:val="0F435471"/>
    <w:rsid w:val="0F4429A3"/>
    <w:rsid w:val="0F464BAB"/>
    <w:rsid w:val="0F4707CC"/>
    <w:rsid w:val="0F473B30"/>
    <w:rsid w:val="0F483817"/>
    <w:rsid w:val="0F496114"/>
    <w:rsid w:val="0F4A3697"/>
    <w:rsid w:val="0F4A3841"/>
    <w:rsid w:val="0F4A75D3"/>
    <w:rsid w:val="0F4B2CF6"/>
    <w:rsid w:val="0F4C0405"/>
    <w:rsid w:val="0F4C64E1"/>
    <w:rsid w:val="0F4D303D"/>
    <w:rsid w:val="0F4D6A13"/>
    <w:rsid w:val="0F4F3F88"/>
    <w:rsid w:val="0F4F566A"/>
    <w:rsid w:val="0F5078D7"/>
    <w:rsid w:val="0F514156"/>
    <w:rsid w:val="0F5214A8"/>
    <w:rsid w:val="0F544E76"/>
    <w:rsid w:val="0F5510DD"/>
    <w:rsid w:val="0F5656CA"/>
    <w:rsid w:val="0F574ECF"/>
    <w:rsid w:val="0F575C32"/>
    <w:rsid w:val="0F586900"/>
    <w:rsid w:val="0F5A7A67"/>
    <w:rsid w:val="0F5B3892"/>
    <w:rsid w:val="0F5D30AB"/>
    <w:rsid w:val="0F5F1934"/>
    <w:rsid w:val="0F6024F2"/>
    <w:rsid w:val="0F603E2E"/>
    <w:rsid w:val="0F61292C"/>
    <w:rsid w:val="0F613445"/>
    <w:rsid w:val="0F617BF2"/>
    <w:rsid w:val="0F63622D"/>
    <w:rsid w:val="0F6372C5"/>
    <w:rsid w:val="0F6438F0"/>
    <w:rsid w:val="0F674DBB"/>
    <w:rsid w:val="0F681669"/>
    <w:rsid w:val="0F68416F"/>
    <w:rsid w:val="0F6A1614"/>
    <w:rsid w:val="0F6A53AA"/>
    <w:rsid w:val="0F6C3F1C"/>
    <w:rsid w:val="0F6C4FA2"/>
    <w:rsid w:val="0F6C72A1"/>
    <w:rsid w:val="0F6D1228"/>
    <w:rsid w:val="0F6D424B"/>
    <w:rsid w:val="0F6D50E5"/>
    <w:rsid w:val="0F6E1D94"/>
    <w:rsid w:val="0F6E3D29"/>
    <w:rsid w:val="0F7064A6"/>
    <w:rsid w:val="0F713FDB"/>
    <w:rsid w:val="0F735BF1"/>
    <w:rsid w:val="0F743188"/>
    <w:rsid w:val="0F757250"/>
    <w:rsid w:val="0F757FD5"/>
    <w:rsid w:val="0F762DCC"/>
    <w:rsid w:val="0F7B11A2"/>
    <w:rsid w:val="0F7B1E93"/>
    <w:rsid w:val="0F7B6D4D"/>
    <w:rsid w:val="0F7B7E34"/>
    <w:rsid w:val="0F7D461F"/>
    <w:rsid w:val="0F7D5406"/>
    <w:rsid w:val="0F7F09C2"/>
    <w:rsid w:val="0F7F238E"/>
    <w:rsid w:val="0F8029DE"/>
    <w:rsid w:val="0F802EFD"/>
    <w:rsid w:val="0F802FC9"/>
    <w:rsid w:val="0F805FAD"/>
    <w:rsid w:val="0F81247E"/>
    <w:rsid w:val="0F8157FD"/>
    <w:rsid w:val="0F8378DD"/>
    <w:rsid w:val="0F8412BD"/>
    <w:rsid w:val="0F85154C"/>
    <w:rsid w:val="0F861F11"/>
    <w:rsid w:val="0F864EE1"/>
    <w:rsid w:val="0F86665B"/>
    <w:rsid w:val="0F8716F6"/>
    <w:rsid w:val="0F8767A4"/>
    <w:rsid w:val="0F896579"/>
    <w:rsid w:val="0F8B3A45"/>
    <w:rsid w:val="0F8C0E51"/>
    <w:rsid w:val="0F8C786C"/>
    <w:rsid w:val="0F8D17CB"/>
    <w:rsid w:val="0F8D71FF"/>
    <w:rsid w:val="0F8E1B1C"/>
    <w:rsid w:val="0F8E6B89"/>
    <w:rsid w:val="0F921FA1"/>
    <w:rsid w:val="0F9229FF"/>
    <w:rsid w:val="0F9254AD"/>
    <w:rsid w:val="0F942364"/>
    <w:rsid w:val="0F96613D"/>
    <w:rsid w:val="0F96679E"/>
    <w:rsid w:val="0F9A13CF"/>
    <w:rsid w:val="0F9A3600"/>
    <w:rsid w:val="0F9B110F"/>
    <w:rsid w:val="0F9B2BEB"/>
    <w:rsid w:val="0F9B76F7"/>
    <w:rsid w:val="0F9E1126"/>
    <w:rsid w:val="0F9E4C0C"/>
    <w:rsid w:val="0F9E5E6D"/>
    <w:rsid w:val="0FA01467"/>
    <w:rsid w:val="0FA026A0"/>
    <w:rsid w:val="0FA12EDC"/>
    <w:rsid w:val="0FA26CEA"/>
    <w:rsid w:val="0FA36D62"/>
    <w:rsid w:val="0FA41EA3"/>
    <w:rsid w:val="0FA47B58"/>
    <w:rsid w:val="0FA51607"/>
    <w:rsid w:val="0FA71495"/>
    <w:rsid w:val="0FA7341A"/>
    <w:rsid w:val="0FA8181C"/>
    <w:rsid w:val="0FA8440B"/>
    <w:rsid w:val="0FA8590B"/>
    <w:rsid w:val="0FA85C8E"/>
    <w:rsid w:val="0FA9727B"/>
    <w:rsid w:val="0FAA5EAA"/>
    <w:rsid w:val="0FAC3112"/>
    <w:rsid w:val="0FAE3A4D"/>
    <w:rsid w:val="0FAE6A9E"/>
    <w:rsid w:val="0FAF09C5"/>
    <w:rsid w:val="0FAF4FAA"/>
    <w:rsid w:val="0FB00585"/>
    <w:rsid w:val="0FB1408E"/>
    <w:rsid w:val="0FB15953"/>
    <w:rsid w:val="0FB173B3"/>
    <w:rsid w:val="0FB213B8"/>
    <w:rsid w:val="0FB3194F"/>
    <w:rsid w:val="0FB441EC"/>
    <w:rsid w:val="0FB462B9"/>
    <w:rsid w:val="0FB61B4D"/>
    <w:rsid w:val="0FB64787"/>
    <w:rsid w:val="0FB647D9"/>
    <w:rsid w:val="0FB75219"/>
    <w:rsid w:val="0FB80F30"/>
    <w:rsid w:val="0FB811A2"/>
    <w:rsid w:val="0FB840EA"/>
    <w:rsid w:val="0FB912DC"/>
    <w:rsid w:val="0FBA2127"/>
    <w:rsid w:val="0FBB5DC3"/>
    <w:rsid w:val="0FBC059A"/>
    <w:rsid w:val="0FBD7A00"/>
    <w:rsid w:val="0FBE067C"/>
    <w:rsid w:val="0FBF34D7"/>
    <w:rsid w:val="0FC138A1"/>
    <w:rsid w:val="0FC23EB4"/>
    <w:rsid w:val="0FC340BB"/>
    <w:rsid w:val="0FC36E54"/>
    <w:rsid w:val="0FC6289B"/>
    <w:rsid w:val="0FC636AA"/>
    <w:rsid w:val="0FC71DE9"/>
    <w:rsid w:val="0FC7316A"/>
    <w:rsid w:val="0FC77DB6"/>
    <w:rsid w:val="0FC861BF"/>
    <w:rsid w:val="0FC868B8"/>
    <w:rsid w:val="0FCA6FAB"/>
    <w:rsid w:val="0FCA757E"/>
    <w:rsid w:val="0FCB2423"/>
    <w:rsid w:val="0FCC0E13"/>
    <w:rsid w:val="0FCC30CD"/>
    <w:rsid w:val="0FCD4397"/>
    <w:rsid w:val="0FCE448F"/>
    <w:rsid w:val="0FD02D9E"/>
    <w:rsid w:val="0FD03E33"/>
    <w:rsid w:val="0FD07480"/>
    <w:rsid w:val="0FD20978"/>
    <w:rsid w:val="0FD21AD0"/>
    <w:rsid w:val="0FD25EF5"/>
    <w:rsid w:val="0FD6479B"/>
    <w:rsid w:val="0FD66188"/>
    <w:rsid w:val="0FD77D17"/>
    <w:rsid w:val="0FD85A54"/>
    <w:rsid w:val="0FD92A6C"/>
    <w:rsid w:val="0FD93FF1"/>
    <w:rsid w:val="0FD954C0"/>
    <w:rsid w:val="0FDA1508"/>
    <w:rsid w:val="0FDA5381"/>
    <w:rsid w:val="0FDC0CA5"/>
    <w:rsid w:val="0FDE2DD3"/>
    <w:rsid w:val="0FDE568F"/>
    <w:rsid w:val="0FE23367"/>
    <w:rsid w:val="0FE235DE"/>
    <w:rsid w:val="0FE26B48"/>
    <w:rsid w:val="0FE27285"/>
    <w:rsid w:val="0FE277E4"/>
    <w:rsid w:val="0FE37993"/>
    <w:rsid w:val="0FE46604"/>
    <w:rsid w:val="0FE473E1"/>
    <w:rsid w:val="0FE5335A"/>
    <w:rsid w:val="0FE536EE"/>
    <w:rsid w:val="0FE54C17"/>
    <w:rsid w:val="0FE56013"/>
    <w:rsid w:val="0FE57D56"/>
    <w:rsid w:val="0FE64034"/>
    <w:rsid w:val="0FE76D4F"/>
    <w:rsid w:val="0FEC2C02"/>
    <w:rsid w:val="0FEC44B1"/>
    <w:rsid w:val="0FED2AF6"/>
    <w:rsid w:val="0FEE63B2"/>
    <w:rsid w:val="0FF00459"/>
    <w:rsid w:val="0FF02462"/>
    <w:rsid w:val="0FF1474C"/>
    <w:rsid w:val="0FF16014"/>
    <w:rsid w:val="0FF30C17"/>
    <w:rsid w:val="0FF35F16"/>
    <w:rsid w:val="0FF376FD"/>
    <w:rsid w:val="0FF43275"/>
    <w:rsid w:val="0FF50571"/>
    <w:rsid w:val="0FF51CB6"/>
    <w:rsid w:val="0FF75CFF"/>
    <w:rsid w:val="0FF85357"/>
    <w:rsid w:val="0FFA1C47"/>
    <w:rsid w:val="0FFA5281"/>
    <w:rsid w:val="0FFA5CEB"/>
    <w:rsid w:val="0FFA6363"/>
    <w:rsid w:val="0FFA6654"/>
    <w:rsid w:val="0FFB7896"/>
    <w:rsid w:val="0FFD1F8C"/>
    <w:rsid w:val="0FFD7792"/>
    <w:rsid w:val="0FFE0493"/>
    <w:rsid w:val="0FFF4C4C"/>
    <w:rsid w:val="0FFF62B9"/>
    <w:rsid w:val="100019B0"/>
    <w:rsid w:val="10007D1F"/>
    <w:rsid w:val="100331B3"/>
    <w:rsid w:val="1003422B"/>
    <w:rsid w:val="1003567D"/>
    <w:rsid w:val="100617A4"/>
    <w:rsid w:val="10072017"/>
    <w:rsid w:val="100736EA"/>
    <w:rsid w:val="10091149"/>
    <w:rsid w:val="10094DE7"/>
    <w:rsid w:val="10096F1C"/>
    <w:rsid w:val="10097F83"/>
    <w:rsid w:val="100A0CEE"/>
    <w:rsid w:val="100A5FBC"/>
    <w:rsid w:val="100B2DA8"/>
    <w:rsid w:val="100B2FC1"/>
    <w:rsid w:val="100E37AC"/>
    <w:rsid w:val="100E5452"/>
    <w:rsid w:val="10121A4D"/>
    <w:rsid w:val="10125941"/>
    <w:rsid w:val="1014733D"/>
    <w:rsid w:val="10155CF0"/>
    <w:rsid w:val="101730D0"/>
    <w:rsid w:val="10181514"/>
    <w:rsid w:val="101868F3"/>
    <w:rsid w:val="101875B9"/>
    <w:rsid w:val="101A15C5"/>
    <w:rsid w:val="101C0857"/>
    <w:rsid w:val="101D7B0A"/>
    <w:rsid w:val="101F6B23"/>
    <w:rsid w:val="10200A1E"/>
    <w:rsid w:val="102030B9"/>
    <w:rsid w:val="10216A30"/>
    <w:rsid w:val="10232442"/>
    <w:rsid w:val="10233A13"/>
    <w:rsid w:val="10237874"/>
    <w:rsid w:val="10246311"/>
    <w:rsid w:val="102577E5"/>
    <w:rsid w:val="102627C4"/>
    <w:rsid w:val="102715D5"/>
    <w:rsid w:val="1027248F"/>
    <w:rsid w:val="10275A33"/>
    <w:rsid w:val="102B15EA"/>
    <w:rsid w:val="102B41B1"/>
    <w:rsid w:val="102B425C"/>
    <w:rsid w:val="102D0AAD"/>
    <w:rsid w:val="102E1FEE"/>
    <w:rsid w:val="102F7DC7"/>
    <w:rsid w:val="103019D2"/>
    <w:rsid w:val="103042D1"/>
    <w:rsid w:val="10312513"/>
    <w:rsid w:val="103146DE"/>
    <w:rsid w:val="1032246C"/>
    <w:rsid w:val="103467FC"/>
    <w:rsid w:val="10350696"/>
    <w:rsid w:val="10354C54"/>
    <w:rsid w:val="103956BB"/>
    <w:rsid w:val="103A0AEC"/>
    <w:rsid w:val="103C13D2"/>
    <w:rsid w:val="103C7D6F"/>
    <w:rsid w:val="103D131A"/>
    <w:rsid w:val="103D46CF"/>
    <w:rsid w:val="103E4D12"/>
    <w:rsid w:val="103F6993"/>
    <w:rsid w:val="104159F5"/>
    <w:rsid w:val="10421A42"/>
    <w:rsid w:val="10424B0C"/>
    <w:rsid w:val="10426545"/>
    <w:rsid w:val="104324A8"/>
    <w:rsid w:val="10477415"/>
    <w:rsid w:val="10484CFA"/>
    <w:rsid w:val="10496500"/>
    <w:rsid w:val="104A3EC6"/>
    <w:rsid w:val="104B52BA"/>
    <w:rsid w:val="104E2301"/>
    <w:rsid w:val="104F02DD"/>
    <w:rsid w:val="10511098"/>
    <w:rsid w:val="1051730F"/>
    <w:rsid w:val="10531167"/>
    <w:rsid w:val="1054283C"/>
    <w:rsid w:val="105454D2"/>
    <w:rsid w:val="10547FF4"/>
    <w:rsid w:val="10575573"/>
    <w:rsid w:val="105805A9"/>
    <w:rsid w:val="105A2122"/>
    <w:rsid w:val="105A38DB"/>
    <w:rsid w:val="105B1535"/>
    <w:rsid w:val="105B17AD"/>
    <w:rsid w:val="105B6296"/>
    <w:rsid w:val="105E6DE1"/>
    <w:rsid w:val="105F0A6A"/>
    <w:rsid w:val="105F3603"/>
    <w:rsid w:val="10617E68"/>
    <w:rsid w:val="1062701B"/>
    <w:rsid w:val="10650172"/>
    <w:rsid w:val="10661CC0"/>
    <w:rsid w:val="10662EB4"/>
    <w:rsid w:val="10671108"/>
    <w:rsid w:val="106727E0"/>
    <w:rsid w:val="106778D6"/>
    <w:rsid w:val="10686E7D"/>
    <w:rsid w:val="1068747C"/>
    <w:rsid w:val="10691381"/>
    <w:rsid w:val="10694E5F"/>
    <w:rsid w:val="10695163"/>
    <w:rsid w:val="106B44F2"/>
    <w:rsid w:val="106D07C1"/>
    <w:rsid w:val="106E17E8"/>
    <w:rsid w:val="1070785C"/>
    <w:rsid w:val="10714096"/>
    <w:rsid w:val="107141F2"/>
    <w:rsid w:val="10730C65"/>
    <w:rsid w:val="10734321"/>
    <w:rsid w:val="107409C0"/>
    <w:rsid w:val="10741559"/>
    <w:rsid w:val="1075073F"/>
    <w:rsid w:val="10750EFD"/>
    <w:rsid w:val="10773CD0"/>
    <w:rsid w:val="10775C43"/>
    <w:rsid w:val="107853A9"/>
    <w:rsid w:val="10792DF6"/>
    <w:rsid w:val="10795860"/>
    <w:rsid w:val="107A19FE"/>
    <w:rsid w:val="107B6A44"/>
    <w:rsid w:val="107C0F18"/>
    <w:rsid w:val="107C269D"/>
    <w:rsid w:val="107C44D2"/>
    <w:rsid w:val="107D5461"/>
    <w:rsid w:val="107D688D"/>
    <w:rsid w:val="107E5BC3"/>
    <w:rsid w:val="1080355A"/>
    <w:rsid w:val="10810FCC"/>
    <w:rsid w:val="10816523"/>
    <w:rsid w:val="10825E2A"/>
    <w:rsid w:val="108331CF"/>
    <w:rsid w:val="108418BE"/>
    <w:rsid w:val="10864000"/>
    <w:rsid w:val="10871F2F"/>
    <w:rsid w:val="10891437"/>
    <w:rsid w:val="1089707F"/>
    <w:rsid w:val="108A07E6"/>
    <w:rsid w:val="108A1EEB"/>
    <w:rsid w:val="108A5AD7"/>
    <w:rsid w:val="108C178D"/>
    <w:rsid w:val="108D683E"/>
    <w:rsid w:val="108D78E9"/>
    <w:rsid w:val="108E486E"/>
    <w:rsid w:val="108E651C"/>
    <w:rsid w:val="108E7CD2"/>
    <w:rsid w:val="108F6035"/>
    <w:rsid w:val="108F69EC"/>
    <w:rsid w:val="108F70A8"/>
    <w:rsid w:val="109030A8"/>
    <w:rsid w:val="10903B96"/>
    <w:rsid w:val="109105D2"/>
    <w:rsid w:val="109122C7"/>
    <w:rsid w:val="109127D2"/>
    <w:rsid w:val="1091286A"/>
    <w:rsid w:val="10915E40"/>
    <w:rsid w:val="10921786"/>
    <w:rsid w:val="1093516E"/>
    <w:rsid w:val="10945C87"/>
    <w:rsid w:val="109575AC"/>
    <w:rsid w:val="10966B1C"/>
    <w:rsid w:val="109800D7"/>
    <w:rsid w:val="10991EA0"/>
    <w:rsid w:val="10996C5E"/>
    <w:rsid w:val="109A2384"/>
    <w:rsid w:val="109A6CF4"/>
    <w:rsid w:val="109B6AAF"/>
    <w:rsid w:val="109D131F"/>
    <w:rsid w:val="109F0BAD"/>
    <w:rsid w:val="10A12A88"/>
    <w:rsid w:val="10A46C86"/>
    <w:rsid w:val="10A66DCC"/>
    <w:rsid w:val="10A71B3C"/>
    <w:rsid w:val="10A81457"/>
    <w:rsid w:val="10A96179"/>
    <w:rsid w:val="10AA3894"/>
    <w:rsid w:val="10AB3BEC"/>
    <w:rsid w:val="10AB48D1"/>
    <w:rsid w:val="10AC00D8"/>
    <w:rsid w:val="10AC3B3C"/>
    <w:rsid w:val="10AC4CA8"/>
    <w:rsid w:val="10AD61A4"/>
    <w:rsid w:val="10B0419B"/>
    <w:rsid w:val="10B10A0D"/>
    <w:rsid w:val="10B116E8"/>
    <w:rsid w:val="10B16430"/>
    <w:rsid w:val="10B254D5"/>
    <w:rsid w:val="10B56FCB"/>
    <w:rsid w:val="10B57D5B"/>
    <w:rsid w:val="10B827F1"/>
    <w:rsid w:val="10B83263"/>
    <w:rsid w:val="10B87C2A"/>
    <w:rsid w:val="10B96A73"/>
    <w:rsid w:val="10B9750A"/>
    <w:rsid w:val="10BA23EA"/>
    <w:rsid w:val="10BB2E79"/>
    <w:rsid w:val="10BD5C5E"/>
    <w:rsid w:val="10BE5E46"/>
    <w:rsid w:val="10BF4320"/>
    <w:rsid w:val="10C04C2C"/>
    <w:rsid w:val="10C05BE0"/>
    <w:rsid w:val="10C13168"/>
    <w:rsid w:val="10C2514A"/>
    <w:rsid w:val="10C307EA"/>
    <w:rsid w:val="10C328D2"/>
    <w:rsid w:val="10C454C1"/>
    <w:rsid w:val="10C522CE"/>
    <w:rsid w:val="10C56882"/>
    <w:rsid w:val="10C65AEF"/>
    <w:rsid w:val="10C74F83"/>
    <w:rsid w:val="10C86E7B"/>
    <w:rsid w:val="10CC08F7"/>
    <w:rsid w:val="10CD1E87"/>
    <w:rsid w:val="10CD3422"/>
    <w:rsid w:val="10CE2BCD"/>
    <w:rsid w:val="10CE5C45"/>
    <w:rsid w:val="10CE764E"/>
    <w:rsid w:val="10CF43AD"/>
    <w:rsid w:val="10D0497D"/>
    <w:rsid w:val="10D10E21"/>
    <w:rsid w:val="10D20A64"/>
    <w:rsid w:val="10D25ED8"/>
    <w:rsid w:val="10D3282F"/>
    <w:rsid w:val="10D415C5"/>
    <w:rsid w:val="10D423C6"/>
    <w:rsid w:val="10D45504"/>
    <w:rsid w:val="10D65EB9"/>
    <w:rsid w:val="10D66181"/>
    <w:rsid w:val="10D72952"/>
    <w:rsid w:val="10D80980"/>
    <w:rsid w:val="10DA17CC"/>
    <w:rsid w:val="10DE7684"/>
    <w:rsid w:val="10E02537"/>
    <w:rsid w:val="10E269F1"/>
    <w:rsid w:val="10E26A67"/>
    <w:rsid w:val="10E331CB"/>
    <w:rsid w:val="10E408DB"/>
    <w:rsid w:val="10E45CFF"/>
    <w:rsid w:val="10E5415E"/>
    <w:rsid w:val="10E742F0"/>
    <w:rsid w:val="10E744D7"/>
    <w:rsid w:val="10E840BE"/>
    <w:rsid w:val="10E92902"/>
    <w:rsid w:val="10EA3C90"/>
    <w:rsid w:val="10EC3F42"/>
    <w:rsid w:val="10ED5698"/>
    <w:rsid w:val="10EE3BBD"/>
    <w:rsid w:val="10EE576C"/>
    <w:rsid w:val="10EE601E"/>
    <w:rsid w:val="10EF252A"/>
    <w:rsid w:val="10F10211"/>
    <w:rsid w:val="10F17C8A"/>
    <w:rsid w:val="10F222A3"/>
    <w:rsid w:val="10F23288"/>
    <w:rsid w:val="10F26C68"/>
    <w:rsid w:val="10F33F2E"/>
    <w:rsid w:val="10F40A5C"/>
    <w:rsid w:val="10F45413"/>
    <w:rsid w:val="10F47267"/>
    <w:rsid w:val="10F776DC"/>
    <w:rsid w:val="10FC027B"/>
    <w:rsid w:val="10FD4576"/>
    <w:rsid w:val="10FE5467"/>
    <w:rsid w:val="10FE588B"/>
    <w:rsid w:val="10FF1EAB"/>
    <w:rsid w:val="10FF72FA"/>
    <w:rsid w:val="11007C66"/>
    <w:rsid w:val="11013697"/>
    <w:rsid w:val="11016A3F"/>
    <w:rsid w:val="1102766E"/>
    <w:rsid w:val="11027D58"/>
    <w:rsid w:val="11050ACA"/>
    <w:rsid w:val="11055951"/>
    <w:rsid w:val="110613C4"/>
    <w:rsid w:val="110646BF"/>
    <w:rsid w:val="11073202"/>
    <w:rsid w:val="11074218"/>
    <w:rsid w:val="11077B56"/>
    <w:rsid w:val="110A2DA6"/>
    <w:rsid w:val="110A3225"/>
    <w:rsid w:val="110B0A0C"/>
    <w:rsid w:val="110B231D"/>
    <w:rsid w:val="110B7BB7"/>
    <w:rsid w:val="110E461C"/>
    <w:rsid w:val="110F45AF"/>
    <w:rsid w:val="11104212"/>
    <w:rsid w:val="11107071"/>
    <w:rsid w:val="111217FB"/>
    <w:rsid w:val="11190CC5"/>
    <w:rsid w:val="111B2CEF"/>
    <w:rsid w:val="111B78BF"/>
    <w:rsid w:val="111C4301"/>
    <w:rsid w:val="111D2004"/>
    <w:rsid w:val="111D58DF"/>
    <w:rsid w:val="111E6D58"/>
    <w:rsid w:val="111F3F0E"/>
    <w:rsid w:val="11212E58"/>
    <w:rsid w:val="11213922"/>
    <w:rsid w:val="11222234"/>
    <w:rsid w:val="112256EC"/>
    <w:rsid w:val="11233B76"/>
    <w:rsid w:val="11235A10"/>
    <w:rsid w:val="1123705F"/>
    <w:rsid w:val="11263E6C"/>
    <w:rsid w:val="112738E8"/>
    <w:rsid w:val="11277602"/>
    <w:rsid w:val="112958BF"/>
    <w:rsid w:val="11296765"/>
    <w:rsid w:val="112B51A3"/>
    <w:rsid w:val="112C2A79"/>
    <w:rsid w:val="112C7205"/>
    <w:rsid w:val="112D03D4"/>
    <w:rsid w:val="112D571C"/>
    <w:rsid w:val="112D75F2"/>
    <w:rsid w:val="112E2375"/>
    <w:rsid w:val="112E427F"/>
    <w:rsid w:val="11300A96"/>
    <w:rsid w:val="11304997"/>
    <w:rsid w:val="113051F2"/>
    <w:rsid w:val="113064F7"/>
    <w:rsid w:val="11306F9B"/>
    <w:rsid w:val="113136DC"/>
    <w:rsid w:val="11324657"/>
    <w:rsid w:val="113276E9"/>
    <w:rsid w:val="11336CB0"/>
    <w:rsid w:val="11344394"/>
    <w:rsid w:val="11351F40"/>
    <w:rsid w:val="11354FBB"/>
    <w:rsid w:val="11355FE5"/>
    <w:rsid w:val="11356B2A"/>
    <w:rsid w:val="113573BE"/>
    <w:rsid w:val="11364E1C"/>
    <w:rsid w:val="11365128"/>
    <w:rsid w:val="1137592C"/>
    <w:rsid w:val="11376E00"/>
    <w:rsid w:val="1137799E"/>
    <w:rsid w:val="11390331"/>
    <w:rsid w:val="113908FB"/>
    <w:rsid w:val="11391FF1"/>
    <w:rsid w:val="113A2EC5"/>
    <w:rsid w:val="113A3172"/>
    <w:rsid w:val="113B44EC"/>
    <w:rsid w:val="113B5DF3"/>
    <w:rsid w:val="113E656A"/>
    <w:rsid w:val="113E7720"/>
    <w:rsid w:val="11411A8A"/>
    <w:rsid w:val="11417503"/>
    <w:rsid w:val="11422BE4"/>
    <w:rsid w:val="11424AE7"/>
    <w:rsid w:val="11427F33"/>
    <w:rsid w:val="11432F93"/>
    <w:rsid w:val="1144732A"/>
    <w:rsid w:val="11451350"/>
    <w:rsid w:val="114715C8"/>
    <w:rsid w:val="11472C49"/>
    <w:rsid w:val="114774C6"/>
    <w:rsid w:val="11480BAD"/>
    <w:rsid w:val="1149072E"/>
    <w:rsid w:val="11493043"/>
    <w:rsid w:val="114A2981"/>
    <w:rsid w:val="114C7330"/>
    <w:rsid w:val="114E2471"/>
    <w:rsid w:val="114F1492"/>
    <w:rsid w:val="114F7A0E"/>
    <w:rsid w:val="11504B99"/>
    <w:rsid w:val="11533CD3"/>
    <w:rsid w:val="115346B5"/>
    <w:rsid w:val="11546891"/>
    <w:rsid w:val="11550C69"/>
    <w:rsid w:val="11551A52"/>
    <w:rsid w:val="11555685"/>
    <w:rsid w:val="11561326"/>
    <w:rsid w:val="115660FB"/>
    <w:rsid w:val="11576C4A"/>
    <w:rsid w:val="115A1F7B"/>
    <w:rsid w:val="115A279C"/>
    <w:rsid w:val="115A4593"/>
    <w:rsid w:val="115A5C38"/>
    <w:rsid w:val="115B06EA"/>
    <w:rsid w:val="115B256F"/>
    <w:rsid w:val="115C2D95"/>
    <w:rsid w:val="115D19FC"/>
    <w:rsid w:val="115E5C90"/>
    <w:rsid w:val="115F2AED"/>
    <w:rsid w:val="115F6C93"/>
    <w:rsid w:val="1160026A"/>
    <w:rsid w:val="11614787"/>
    <w:rsid w:val="11616876"/>
    <w:rsid w:val="11622A49"/>
    <w:rsid w:val="1164043F"/>
    <w:rsid w:val="11666033"/>
    <w:rsid w:val="116662DE"/>
    <w:rsid w:val="116B0BDD"/>
    <w:rsid w:val="116D4E4C"/>
    <w:rsid w:val="116D7CBA"/>
    <w:rsid w:val="116E064E"/>
    <w:rsid w:val="116F2A08"/>
    <w:rsid w:val="1170626C"/>
    <w:rsid w:val="1170749A"/>
    <w:rsid w:val="1172181A"/>
    <w:rsid w:val="117255FB"/>
    <w:rsid w:val="117441E6"/>
    <w:rsid w:val="11765524"/>
    <w:rsid w:val="117725F3"/>
    <w:rsid w:val="11792B99"/>
    <w:rsid w:val="117A69B7"/>
    <w:rsid w:val="117B1DA8"/>
    <w:rsid w:val="117B4BC5"/>
    <w:rsid w:val="117C584A"/>
    <w:rsid w:val="117F662B"/>
    <w:rsid w:val="11800F3C"/>
    <w:rsid w:val="11810F3C"/>
    <w:rsid w:val="11811BCE"/>
    <w:rsid w:val="118241F5"/>
    <w:rsid w:val="118275AA"/>
    <w:rsid w:val="11827862"/>
    <w:rsid w:val="11851084"/>
    <w:rsid w:val="11887651"/>
    <w:rsid w:val="118910B8"/>
    <w:rsid w:val="11892DA6"/>
    <w:rsid w:val="118957CE"/>
    <w:rsid w:val="118A09CC"/>
    <w:rsid w:val="118B01D2"/>
    <w:rsid w:val="118B6855"/>
    <w:rsid w:val="118B754A"/>
    <w:rsid w:val="118C12C4"/>
    <w:rsid w:val="118D3BC4"/>
    <w:rsid w:val="118D7CED"/>
    <w:rsid w:val="118E6B32"/>
    <w:rsid w:val="118E7152"/>
    <w:rsid w:val="118F4CA5"/>
    <w:rsid w:val="11900F18"/>
    <w:rsid w:val="1190749B"/>
    <w:rsid w:val="11923BDD"/>
    <w:rsid w:val="11924D72"/>
    <w:rsid w:val="11936E18"/>
    <w:rsid w:val="119375B7"/>
    <w:rsid w:val="11937D13"/>
    <w:rsid w:val="11944F1C"/>
    <w:rsid w:val="11946A7A"/>
    <w:rsid w:val="11947594"/>
    <w:rsid w:val="11951E4E"/>
    <w:rsid w:val="119520A2"/>
    <w:rsid w:val="1195639A"/>
    <w:rsid w:val="11985851"/>
    <w:rsid w:val="119906B7"/>
    <w:rsid w:val="119A0C1A"/>
    <w:rsid w:val="119A742F"/>
    <w:rsid w:val="119C6FA0"/>
    <w:rsid w:val="119D1431"/>
    <w:rsid w:val="11A17A3A"/>
    <w:rsid w:val="11A20701"/>
    <w:rsid w:val="11A34627"/>
    <w:rsid w:val="11A361C2"/>
    <w:rsid w:val="11A43ACA"/>
    <w:rsid w:val="11A700FA"/>
    <w:rsid w:val="11A73F11"/>
    <w:rsid w:val="11A86FF8"/>
    <w:rsid w:val="11A93014"/>
    <w:rsid w:val="11AA31AC"/>
    <w:rsid w:val="11AA60CC"/>
    <w:rsid w:val="11AB5617"/>
    <w:rsid w:val="11AC4B3E"/>
    <w:rsid w:val="11AF0375"/>
    <w:rsid w:val="11B16F7E"/>
    <w:rsid w:val="11B27864"/>
    <w:rsid w:val="11B32996"/>
    <w:rsid w:val="11B33744"/>
    <w:rsid w:val="11B34A35"/>
    <w:rsid w:val="11B5465D"/>
    <w:rsid w:val="11B6194B"/>
    <w:rsid w:val="11B64DC2"/>
    <w:rsid w:val="11B6596E"/>
    <w:rsid w:val="11B828C3"/>
    <w:rsid w:val="11BA79F0"/>
    <w:rsid w:val="11BE159B"/>
    <w:rsid w:val="11BE78D3"/>
    <w:rsid w:val="11BF423F"/>
    <w:rsid w:val="11C00C69"/>
    <w:rsid w:val="11C018C1"/>
    <w:rsid w:val="11C0351F"/>
    <w:rsid w:val="11C05084"/>
    <w:rsid w:val="11C13FA3"/>
    <w:rsid w:val="11C61284"/>
    <w:rsid w:val="11C61AF5"/>
    <w:rsid w:val="11C82DE9"/>
    <w:rsid w:val="11C8378A"/>
    <w:rsid w:val="11CA2B6D"/>
    <w:rsid w:val="11CA345C"/>
    <w:rsid w:val="11CB1947"/>
    <w:rsid w:val="11CB3AC2"/>
    <w:rsid w:val="11CB5A71"/>
    <w:rsid w:val="11CD0B9F"/>
    <w:rsid w:val="11CE3CE4"/>
    <w:rsid w:val="11CE3E6D"/>
    <w:rsid w:val="11CE7AFA"/>
    <w:rsid w:val="11D0775E"/>
    <w:rsid w:val="11D32EEA"/>
    <w:rsid w:val="11D3371B"/>
    <w:rsid w:val="11D33F7D"/>
    <w:rsid w:val="11D4645C"/>
    <w:rsid w:val="11D61C48"/>
    <w:rsid w:val="11D62B31"/>
    <w:rsid w:val="11D730ED"/>
    <w:rsid w:val="11D75348"/>
    <w:rsid w:val="11D820FF"/>
    <w:rsid w:val="11DA3DAE"/>
    <w:rsid w:val="11E0205D"/>
    <w:rsid w:val="11E058AD"/>
    <w:rsid w:val="11E105D4"/>
    <w:rsid w:val="11E12FF2"/>
    <w:rsid w:val="11E24C85"/>
    <w:rsid w:val="11E257BA"/>
    <w:rsid w:val="11E332E6"/>
    <w:rsid w:val="11E33ABD"/>
    <w:rsid w:val="11E42971"/>
    <w:rsid w:val="11E70B5E"/>
    <w:rsid w:val="11E72FDE"/>
    <w:rsid w:val="11E75171"/>
    <w:rsid w:val="11E90808"/>
    <w:rsid w:val="11E97953"/>
    <w:rsid w:val="11EB01F1"/>
    <w:rsid w:val="11EB3536"/>
    <w:rsid w:val="11EB525B"/>
    <w:rsid w:val="11EC6449"/>
    <w:rsid w:val="11EC7B25"/>
    <w:rsid w:val="11ED3218"/>
    <w:rsid w:val="11ED6662"/>
    <w:rsid w:val="11EF630B"/>
    <w:rsid w:val="11EF74DA"/>
    <w:rsid w:val="11F0526E"/>
    <w:rsid w:val="11F0764D"/>
    <w:rsid w:val="11F34785"/>
    <w:rsid w:val="11F4470B"/>
    <w:rsid w:val="11F7650B"/>
    <w:rsid w:val="11F858AE"/>
    <w:rsid w:val="11F872A6"/>
    <w:rsid w:val="11F92334"/>
    <w:rsid w:val="11F94325"/>
    <w:rsid w:val="11F97535"/>
    <w:rsid w:val="11FD2B64"/>
    <w:rsid w:val="11FE22F2"/>
    <w:rsid w:val="11FF018F"/>
    <w:rsid w:val="11FF2823"/>
    <w:rsid w:val="11FF2B92"/>
    <w:rsid w:val="11FF45B1"/>
    <w:rsid w:val="11FF5EF3"/>
    <w:rsid w:val="120005B5"/>
    <w:rsid w:val="12004FAD"/>
    <w:rsid w:val="120144BA"/>
    <w:rsid w:val="12026B38"/>
    <w:rsid w:val="120459B4"/>
    <w:rsid w:val="12050BEF"/>
    <w:rsid w:val="1205528D"/>
    <w:rsid w:val="120726D7"/>
    <w:rsid w:val="12076722"/>
    <w:rsid w:val="120917A0"/>
    <w:rsid w:val="12096D3A"/>
    <w:rsid w:val="120B2198"/>
    <w:rsid w:val="120B293B"/>
    <w:rsid w:val="120B3384"/>
    <w:rsid w:val="120B4DD5"/>
    <w:rsid w:val="120B683E"/>
    <w:rsid w:val="120C10D5"/>
    <w:rsid w:val="120C3CB1"/>
    <w:rsid w:val="120C3DB1"/>
    <w:rsid w:val="120D2D04"/>
    <w:rsid w:val="120D35B7"/>
    <w:rsid w:val="120E215A"/>
    <w:rsid w:val="120F0067"/>
    <w:rsid w:val="120F50C4"/>
    <w:rsid w:val="12107C10"/>
    <w:rsid w:val="12110637"/>
    <w:rsid w:val="1211460B"/>
    <w:rsid w:val="1211592F"/>
    <w:rsid w:val="12153A0D"/>
    <w:rsid w:val="12194AA3"/>
    <w:rsid w:val="121B7365"/>
    <w:rsid w:val="121C58BB"/>
    <w:rsid w:val="121D1DC8"/>
    <w:rsid w:val="121D5C4B"/>
    <w:rsid w:val="121E1FF4"/>
    <w:rsid w:val="121E4584"/>
    <w:rsid w:val="121F3E0E"/>
    <w:rsid w:val="121F4048"/>
    <w:rsid w:val="1220098A"/>
    <w:rsid w:val="12206378"/>
    <w:rsid w:val="12207B02"/>
    <w:rsid w:val="122507C1"/>
    <w:rsid w:val="12273B52"/>
    <w:rsid w:val="12274F25"/>
    <w:rsid w:val="1228057A"/>
    <w:rsid w:val="1228076E"/>
    <w:rsid w:val="12293A62"/>
    <w:rsid w:val="122B135E"/>
    <w:rsid w:val="122B2738"/>
    <w:rsid w:val="122B2FE6"/>
    <w:rsid w:val="122B4628"/>
    <w:rsid w:val="122C12D4"/>
    <w:rsid w:val="122D19CB"/>
    <w:rsid w:val="122D2F2D"/>
    <w:rsid w:val="122D6846"/>
    <w:rsid w:val="122E1339"/>
    <w:rsid w:val="122E4E54"/>
    <w:rsid w:val="122E7A98"/>
    <w:rsid w:val="122F2DA4"/>
    <w:rsid w:val="12316CDB"/>
    <w:rsid w:val="12325900"/>
    <w:rsid w:val="123349EF"/>
    <w:rsid w:val="1234080C"/>
    <w:rsid w:val="12350C55"/>
    <w:rsid w:val="12360411"/>
    <w:rsid w:val="12364DF1"/>
    <w:rsid w:val="12374197"/>
    <w:rsid w:val="12385E5A"/>
    <w:rsid w:val="12386582"/>
    <w:rsid w:val="1238724F"/>
    <w:rsid w:val="123B3D86"/>
    <w:rsid w:val="123D5D57"/>
    <w:rsid w:val="123E28DA"/>
    <w:rsid w:val="124010DB"/>
    <w:rsid w:val="12411EC2"/>
    <w:rsid w:val="12412274"/>
    <w:rsid w:val="12415D7E"/>
    <w:rsid w:val="124279AF"/>
    <w:rsid w:val="12431B7D"/>
    <w:rsid w:val="1245047E"/>
    <w:rsid w:val="124605B4"/>
    <w:rsid w:val="12477F79"/>
    <w:rsid w:val="12484082"/>
    <w:rsid w:val="1249587E"/>
    <w:rsid w:val="124A3534"/>
    <w:rsid w:val="124A7E0F"/>
    <w:rsid w:val="124C1430"/>
    <w:rsid w:val="124C35DF"/>
    <w:rsid w:val="124D0E65"/>
    <w:rsid w:val="124D2D78"/>
    <w:rsid w:val="124D6576"/>
    <w:rsid w:val="124E024F"/>
    <w:rsid w:val="124E65C2"/>
    <w:rsid w:val="124F20A2"/>
    <w:rsid w:val="124F5271"/>
    <w:rsid w:val="12502210"/>
    <w:rsid w:val="1250707B"/>
    <w:rsid w:val="12513A04"/>
    <w:rsid w:val="12534558"/>
    <w:rsid w:val="12543CF0"/>
    <w:rsid w:val="1254504D"/>
    <w:rsid w:val="125501E1"/>
    <w:rsid w:val="1257186F"/>
    <w:rsid w:val="12573640"/>
    <w:rsid w:val="12592712"/>
    <w:rsid w:val="12597F39"/>
    <w:rsid w:val="125A1BE7"/>
    <w:rsid w:val="125B46AD"/>
    <w:rsid w:val="125D0EAF"/>
    <w:rsid w:val="125E3DF9"/>
    <w:rsid w:val="125F05EA"/>
    <w:rsid w:val="1260607D"/>
    <w:rsid w:val="12607F83"/>
    <w:rsid w:val="12611F23"/>
    <w:rsid w:val="12617C48"/>
    <w:rsid w:val="126348BF"/>
    <w:rsid w:val="126348D5"/>
    <w:rsid w:val="12667544"/>
    <w:rsid w:val="1268520A"/>
    <w:rsid w:val="126A2199"/>
    <w:rsid w:val="126A4B6A"/>
    <w:rsid w:val="126A6D13"/>
    <w:rsid w:val="126E4EF3"/>
    <w:rsid w:val="126E55D2"/>
    <w:rsid w:val="126F0158"/>
    <w:rsid w:val="126F51B0"/>
    <w:rsid w:val="127021BE"/>
    <w:rsid w:val="127031DA"/>
    <w:rsid w:val="127138C3"/>
    <w:rsid w:val="12715227"/>
    <w:rsid w:val="12721DD0"/>
    <w:rsid w:val="12742A51"/>
    <w:rsid w:val="12755239"/>
    <w:rsid w:val="12755D93"/>
    <w:rsid w:val="1275767E"/>
    <w:rsid w:val="127903F0"/>
    <w:rsid w:val="127A2FFA"/>
    <w:rsid w:val="127A78DC"/>
    <w:rsid w:val="127C30DF"/>
    <w:rsid w:val="127D21C7"/>
    <w:rsid w:val="127D436D"/>
    <w:rsid w:val="127E61E7"/>
    <w:rsid w:val="12803E6C"/>
    <w:rsid w:val="12804B5E"/>
    <w:rsid w:val="12807DAA"/>
    <w:rsid w:val="12821958"/>
    <w:rsid w:val="12832027"/>
    <w:rsid w:val="128367CC"/>
    <w:rsid w:val="1285087C"/>
    <w:rsid w:val="128679E9"/>
    <w:rsid w:val="12876977"/>
    <w:rsid w:val="12881835"/>
    <w:rsid w:val="12883FBC"/>
    <w:rsid w:val="1288486C"/>
    <w:rsid w:val="1288569C"/>
    <w:rsid w:val="128C37D5"/>
    <w:rsid w:val="128D2E43"/>
    <w:rsid w:val="128E15F5"/>
    <w:rsid w:val="128E4D0A"/>
    <w:rsid w:val="128F352E"/>
    <w:rsid w:val="128F5956"/>
    <w:rsid w:val="12903E86"/>
    <w:rsid w:val="12914F6E"/>
    <w:rsid w:val="1294140A"/>
    <w:rsid w:val="12945862"/>
    <w:rsid w:val="12962452"/>
    <w:rsid w:val="12965054"/>
    <w:rsid w:val="12967F52"/>
    <w:rsid w:val="129737D1"/>
    <w:rsid w:val="12976406"/>
    <w:rsid w:val="1298428A"/>
    <w:rsid w:val="12991ABA"/>
    <w:rsid w:val="129B16E6"/>
    <w:rsid w:val="129B6C40"/>
    <w:rsid w:val="129B702A"/>
    <w:rsid w:val="129C2112"/>
    <w:rsid w:val="129C32FB"/>
    <w:rsid w:val="129D06E1"/>
    <w:rsid w:val="129D4306"/>
    <w:rsid w:val="129E101F"/>
    <w:rsid w:val="129E2E1B"/>
    <w:rsid w:val="129E2F84"/>
    <w:rsid w:val="129F4990"/>
    <w:rsid w:val="12A10296"/>
    <w:rsid w:val="12A13EDF"/>
    <w:rsid w:val="12A13F6F"/>
    <w:rsid w:val="12A3769B"/>
    <w:rsid w:val="12A51802"/>
    <w:rsid w:val="12A51AF6"/>
    <w:rsid w:val="12A51B2B"/>
    <w:rsid w:val="12A5214D"/>
    <w:rsid w:val="12A53333"/>
    <w:rsid w:val="12A57ABA"/>
    <w:rsid w:val="12A62439"/>
    <w:rsid w:val="12A62999"/>
    <w:rsid w:val="12A637EA"/>
    <w:rsid w:val="12A81489"/>
    <w:rsid w:val="12A82AF4"/>
    <w:rsid w:val="12A846ED"/>
    <w:rsid w:val="12A860E8"/>
    <w:rsid w:val="12A86257"/>
    <w:rsid w:val="12A8795F"/>
    <w:rsid w:val="12A939D1"/>
    <w:rsid w:val="12AA4E98"/>
    <w:rsid w:val="12AC7064"/>
    <w:rsid w:val="12AD5C80"/>
    <w:rsid w:val="12AF370C"/>
    <w:rsid w:val="12AF642A"/>
    <w:rsid w:val="12B02CB8"/>
    <w:rsid w:val="12B045B7"/>
    <w:rsid w:val="12B110E9"/>
    <w:rsid w:val="12B20B19"/>
    <w:rsid w:val="12B24124"/>
    <w:rsid w:val="12B274F0"/>
    <w:rsid w:val="12B47F3B"/>
    <w:rsid w:val="12B51831"/>
    <w:rsid w:val="12B71E34"/>
    <w:rsid w:val="12B82D40"/>
    <w:rsid w:val="12B8510A"/>
    <w:rsid w:val="12B93BCA"/>
    <w:rsid w:val="12BA437E"/>
    <w:rsid w:val="12BD6364"/>
    <w:rsid w:val="12BE7870"/>
    <w:rsid w:val="12BF5026"/>
    <w:rsid w:val="12C10056"/>
    <w:rsid w:val="12C11CA5"/>
    <w:rsid w:val="12C459D5"/>
    <w:rsid w:val="12C505C9"/>
    <w:rsid w:val="12C66929"/>
    <w:rsid w:val="12C67247"/>
    <w:rsid w:val="12CA067D"/>
    <w:rsid w:val="12CA5ADC"/>
    <w:rsid w:val="12CF4259"/>
    <w:rsid w:val="12CF78EE"/>
    <w:rsid w:val="12D006F9"/>
    <w:rsid w:val="12D20661"/>
    <w:rsid w:val="12D23C2A"/>
    <w:rsid w:val="12D35A9C"/>
    <w:rsid w:val="12D800B0"/>
    <w:rsid w:val="12D8389C"/>
    <w:rsid w:val="12DA1AE3"/>
    <w:rsid w:val="12DA551B"/>
    <w:rsid w:val="12DA6A95"/>
    <w:rsid w:val="12DB650F"/>
    <w:rsid w:val="12DC39A0"/>
    <w:rsid w:val="12DC3AAD"/>
    <w:rsid w:val="12DD1CFF"/>
    <w:rsid w:val="12DF637C"/>
    <w:rsid w:val="12E04DF2"/>
    <w:rsid w:val="12E12E71"/>
    <w:rsid w:val="12E14D8E"/>
    <w:rsid w:val="12E1709D"/>
    <w:rsid w:val="12E17CAA"/>
    <w:rsid w:val="12E20F40"/>
    <w:rsid w:val="12E24663"/>
    <w:rsid w:val="12E429AD"/>
    <w:rsid w:val="12E467AE"/>
    <w:rsid w:val="12E61FB4"/>
    <w:rsid w:val="12E62669"/>
    <w:rsid w:val="12E92D2B"/>
    <w:rsid w:val="12EA314B"/>
    <w:rsid w:val="12EC7F7F"/>
    <w:rsid w:val="12ED138C"/>
    <w:rsid w:val="12ED7DDE"/>
    <w:rsid w:val="12EE108E"/>
    <w:rsid w:val="12EF5DCD"/>
    <w:rsid w:val="12F0349E"/>
    <w:rsid w:val="12F10A82"/>
    <w:rsid w:val="12F16A12"/>
    <w:rsid w:val="12F22BA2"/>
    <w:rsid w:val="12F232D0"/>
    <w:rsid w:val="12F34115"/>
    <w:rsid w:val="12F3642F"/>
    <w:rsid w:val="12F40DF9"/>
    <w:rsid w:val="12F43673"/>
    <w:rsid w:val="12F45C39"/>
    <w:rsid w:val="12F472F7"/>
    <w:rsid w:val="12F81BF8"/>
    <w:rsid w:val="12F84FED"/>
    <w:rsid w:val="12F938A2"/>
    <w:rsid w:val="12FB3348"/>
    <w:rsid w:val="12FC5B4B"/>
    <w:rsid w:val="12FE1012"/>
    <w:rsid w:val="12FF07BD"/>
    <w:rsid w:val="12FF2C5A"/>
    <w:rsid w:val="12FF3C77"/>
    <w:rsid w:val="12FF7E19"/>
    <w:rsid w:val="13012D23"/>
    <w:rsid w:val="1301721E"/>
    <w:rsid w:val="13017C41"/>
    <w:rsid w:val="1302386F"/>
    <w:rsid w:val="130351CD"/>
    <w:rsid w:val="1303643D"/>
    <w:rsid w:val="130474D8"/>
    <w:rsid w:val="1307383B"/>
    <w:rsid w:val="13077722"/>
    <w:rsid w:val="130901DC"/>
    <w:rsid w:val="130B4DE9"/>
    <w:rsid w:val="130C041E"/>
    <w:rsid w:val="130C4302"/>
    <w:rsid w:val="130D1165"/>
    <w:rsid w:val="130D3978"/>
    <w:rsid w:val="130D46A4"/>
    <w:rsid w:val="130D78EC"/>
    <w:rsid w:val="130F3896"/>
    <w:rsid w:val="130F5D53"/>
    <w:rsid w:val="1311034A"/>
    <w:rsid w:val="1311410E"/>
    <w:rsid w:val="13117A16"/>
    <w:rsid w:val="131279B4"/>
    <w:rsid w:val="1313563F"/>
    <w:rsid w:val="1314627A"/>
    <w:rsid w:val="1315553D"/>
    <w:rsid w:val="13165EA6"/>
    <w:rsid w:val="13182844"/>
    <w:rsid w:val="13192DB7"/>
    <w:rsid w:val="131A10C3"/>
    <w:rsid w:val="131A61A4"/>
    <w:rsid w:val="131C204E"/>
    <w:rsid w:val="131D63AE"/>
    <w:rsid w:val="131D7F00"/>
    <w:rsid w:val="131E0D3D"/>
    <w:rsid w:val="131F7989"/>
    <w:rsid w:val="13200087"/>
    <w:rsid w:val="132070C9"/>
    <w:rsid w:val="1321152D"/>
    <w:rsid w:val="13237DCA"/>
    <w:rsid w:val="13240976"/>
    <w:rsid w:val="13265D02"/>
    <w:rsid w:val="132673D3"/>
    <w:rsid w:val="13275A02"/>
    <w:rsid w:val="132A0B89"/>
    <w:rsid w:val="132C77EA"/>
    <w:rsid w:val="132D4593"/>
    <w:rsid w:val="132D57EA"/>
    <w:rsid w:val="132E430E"/>
    <w:rsid w:val="132E58D3"/>
    <w:rsid w:val="13316D34"/>
    <w:rsid w:val="13317338"/>
    <w:rsid w:val="13323CE7"/>
    <w:rsid w:val="1333484D"/>
    <w:rsid w:val="13344047"/>
    <w:rsid w:val="13344685"/>
    <w:rsid w:val="13362394"/>
    <w:rsid w:val="13370703"/>
    <w:rsid w:val="133758E9"/>
    <w:rsid w:val="13381F22"/>
    <w:rsid w:val="133A00E3"/>
    <w:rsid w:val="133C4B6D"/>
    <w:rsid w:val="133C5101"/>
    <w:rsid w:val="133E401B"/>
    <w:rsid w:val="133E4434"/>
    <w:rsid w:val="133E6515"/>
    <w:rsid w:val="133E731D"/>
    <w:rsid w:val="133F1EC8"/>
    <w:rsid w:val="13402197"/>
    <w:rsid w:val="134103BC"/>
    <w:rsid w:val="13410F72"/>
    <w:rsid w:val="13417F3E"/>
    <w:rsid w:val="13426006"/>
    <w:rsid w:val="13426CCE"/>
    <w:rsid w:val="134360C6"/>
    <w:rsid w:val="134427E2"/>
    <w:rsid w:val="134562EB"/>
    <w:rsid w:val="13464C3D"/>
    <w:rsid w:val="13464EAA"/>
    <w:rsid w:val="13473540"/>
    <w:rsid w:val="13486F7C"/>
    <w:rsid w:val="134A192C"/>
    <w:rsid w:val="134A2AF7"/>
    <w:rsid w:val="134B5F52"/>
    <w:rsid w:val="134B7111"/>
    <w:rsid w:val="134C5036"/>
    <w:rsid w:val="134C6CC3"/>
    <w:rsid w:val="134D17B1"/>
    <w:rsid w:val="134F6841"/>
    <w:rsid w:val="13506CB4"/>
    <w:rsid w:val="13527EFB"/>
    <w:rsid w:val="1354243C"/>
    <w:rsid w:val="135625EF"/>
    <w:rsid w:val="1356327A"/>
    <w:rsid w:val="135807D3"/>
    <w:rsid w:val="135A4406"/>
    <w:rsid w:val="135B3EF4"/>
    <w:rsid w:val="135C3709"/>
    <w:rsid w:val="135D70F9"/>
    <w:rsid w:val="135F078A"/>
    <w:rsid w:val="13615595"/>
    <w:rsid w:val="13637C69"/>
    <w:rsid w:val="13644D29"/>
    <w:rsid w:val="13662ECC"/>
    <w:rsid w:val="13675FC8"/>
    <w:rsid w:val="13681540"/>
    <w:rsid w:val="13696C2D"/>
    <w:rsid w:val="136A19DD"/>
    <w:rsid w:val="136A6610"/>
    <w:rsid w:val="136B3F2A"/>
    <w:rsid w:val="136C0305"/>
    <w:rsid w:val="136C25FA"/>
    <w:rsid w:val="136D43A0"/>
    <w:rsid w:val="136E342E"/>
    <w:rsid w:val="136F393C"/>
    <w:rsid w:val="1370395D"/>
    <w:rsid w:val="13710B1A"/>
    <w:rsid w:val="13714D72"/>
    <w:rsid w:val="137150C1"/>
    <w:rsid w:val="137216A4"/>
    <w:rsid w:val="13726830"/>
    <w:rsid w:val="137276A5"/>
    <w:rsid w:val="13736349"/>
    <w:rsid w:val="13743497"/>
    <w:rsid w:val="13755D29"/>
    <w:rsid w:val="1375702D"/>
    <w:rsid w:val="13775E66"/>
    <w:rsid w:val="137865DD"/>
    <w:rsid w:val="137A4BBC"/>
    <w:rsid w:val="137B0C20"/>
    <w:rsid w:val="137B3D49"/>
    <w:rsid w:val="137D5656"/>
    <w:rsid w:val="137E6912"/>
    <w:rsid w:val="138025CA"/>
    <w:rsid w:val="13812297"/>
    <w:rsid w:val="138220EC"/>
    <w:rsid w:val="13823E40"/>
    <w:rsid w:val="138257DE"/>
    <w:rsid w:val="13826402"/>
    <w:rsid w:val="138273AD"/>
    <w:rsid w:val="13833414"/>
    <w:rsid w:val="13835164"/>
    <w:rsid w:val="13836BD9"/>
    <w:rsid w:val="1384314F"/>
    <w:rsid w:val="13852623"/>
    <w:rsid w:val="138533C7"/>
    <w:rsid w:val="13862995"/>
    <w:rsid w:val="138665F0"/>
    <w:rsid w:val="13896121"/>
    <w:rsid w:val="1389645E"/>
    <w:rsid w:val="138A3358"/>
    <w:rsid w:val="138B6987"/>
    <w:rsid w:val="138C1EB4"/>
    <w:rsid w:val="138C4832"/>
    <w:rsid w:val="13904E3F"/>
    <w:rsid w:val="13915B9C"/>
    <w:rsid w:val="1392014F"/>
    <w:rsid w:val="13932D8B"/>
    <w:rsid w:val="13982D5C"/>
    <w:rsid w:val="13996801"/>
    <w:rsid w:val="139A2CC7"/>
    <w:rsid w:val="139A4436"/>
    <w:rsid w:val="139A6707"/>
    <w:rsid w:val="139A7D9E"/>
    <w:rsid w:val="139D4544"/>
    <w:rsid w:val="139E0AFA"/>
    <w:rsid w:val="139F388D"/>
    <w:rsid w:val="13A334E1"/>
    <w:rsid w:val="13A6008E"/>
    <w:rsid w:val="13A84332"/>
    <w:rsid w:val="13A96A66"/>
    <w:rsid w:val="13A97FF1"/>
    <w:rsid w:val="13AE6619"/>
    <w:rsid w:val="13B03F72"/>
    <w:rsid w:val="13B14C50"/>
    <w:rsid w:val="13B24200"/>
    <w:rsid w:val="13B32A60"/>
    <w:rsid w:val="13B33F53"/>
    <w:rsid w:val="13B512A7"/>
    <w:rsid w:val="13B53ABF"/>
    <w:rsid w:val="13B6086D"/>
    <w:rsid w:val="13B61169"/>
    <w:rsid w:val="13B63EA5"/>
    <w:rsid w:val="13B6667B"/>
    <w:rsid w:val="13B80553"/>
    <w:rsid w:val="13B877EF"/>
    <w:rsid w:val="13BA3DEE"/>
    <w:rsid w:val="13BB5FC9"/>
    <w:rsid w:val="13BC70AC"/>
    <w:rsid w:val="13BC79B1"/>
    <w:rsid w:val="13BD4BAC"/>
    <w:rsid w:val="13BD6146"/>
    <w:rsid w:val="13BD755E"/>
    <w:rsid w:val="13BE2CF3"/>
    <w:rsid w:val="13BE334F"/>
    <w:rsid w:val="13BE3B89"/>
    <w:rsid w:val="13BF0560"/>
    <w:rsid w:val="13BF4049"/>
    <w:rsid w:val="13C01D90"/>
    <w:rsid w:val="13C25F1D"/>
    <w:rsid w:val="13C52D3C"/>
    <w:rsid w:val="13C63931"/>
    <w:rsid w:val="13C82DA4"/>
    <w:rsid w:val="13C94812"/>
    <w:rsid w:val="13CC2D01"/>
    <w:rsid w:val="13CC58CF"/>
    <w:rsid w:val="13CD4CDB"/>
    <w:rsid w:val="13CE2179"/>
    <w:rsid w:val="13CF4523"/>
    <w:rsid w:val="13D0374E"/>
    <w:rsid w:val="13D058A2"/>
    <w:rsid w:val="13D1690A"/>
    <w:rsid w:val="13D357D7"/>
    <w:rsid w:val="13D50D45"/>
    <w:rsid w:val="13D57CAA"/>
    <w:rsid w:val="13D6271D"/>
    <w:rsid w:val="13D635AC"/>
    <w:rsid w:val="13D63A06"/>
    <w:rsid w:val="13D648F5"/>
    <w:rsid w:val="13D70128"/>
    <w:rsid w:val="13D74B42"/>
    <w:rsid w:val="13D83A56"/>
    <w:rsid w:val="13D9777A"/>
    <w:rsid w:val="13DA5D65"/>
    <w:rsid w:val="13DB4BB3"/>
    <w:rsid w:val="13DC23DD"/>
    <w:rsid w:val="13DC27A8"/>
    <w:rsid w:val="13DC7E85"/>
    <w:rsid w:val="13DD57CC"/>
    <w:rsid w:val="13DE184C"/>
    <w:rsid w:val="13DE1A05"/>
    <w:rsid w:val="13DF1D6E"/>
    <w:rsid w:val="13E02D2D"/>
    <w:rsid w:val="13E04141"/>
    <w:rsid w:val="13E268AE"/>
    <w:rsid w:val="13E32ECC"/>
    <w:rsid w:val="13E35C25"/>
    <w:rsid w:val="13E5246C"/>
    <w:rsid w:val="13E56C86"/>
    <w:rsid w:val="13E64909"/>
    <w:rsid w:val="13E730A9"/>
    <w:rsid w:val="13E8068E"/>
    <w:rsid w:val="13E90361"/>
    <w:rsid w:val="13E9359C"/>
    <w:rsid w:val="13E97C23"/>
    <w:rsid w:val="13EB1372"/>
    <w:rsid w:val="13EC1401"/>
    <w:rsid w:val="13EC28EF"/>
    <w:rsid w:val="13EE38CB"/>
    <w:rsid w:val="13EE67C6"/>
    <w:rsid w:val="13EE79B6"/>
    <w:rsid w:val="13EF7C04"/>
    <w:rsid w:val="13F02873"/>
    <w:rsid w:val="13F03F72"/>
    <w:rsid w:val="13F0651A"/>
    <w:rsid w:val="13F06FB9"/>
    <w:rsid w:val="13F15336"/>
    <w:rsid w:val="13F15945"/>
    <w:rsid w:val="13F176FA"/>
    <w:rsid w:val="13F57B72"/>
    <w:rsid w:val="13F70588"/>
    <w:rsid w:val="13F77BE7"/>
    <w:rsid w:val="13F93969"/>
    <w:rsid w:val="13FA2C9C"/>
    <w:rsid w:val="13FB4397"/>
    <w:rsid w:val="13FC1239"/>
    <w:rsid w:val="13FC2C76"/>
    <w:rsid w:val="13FD3F92"/>
    <w:rsid w:val="13FE257B"/>
    <w:rsid w:val="13FF58A1"/>
    <w:rsid w:val="14003214"/>
    <w:rsid w:val="1403023F"/>
    <w:rsid w:val="1403207C"/>
    <w:rsid w:val="14036931"/>
    <w:rsid w:val="14037FD5"/>
    <w:rsid w:val="140621CE"/>
    <w:rsid w:val="14073500"/>
    <w:rsid w:val="14074F0A"/>
    <w:rsid w:val="140765C2"/>
    <w:rsid w:val="140840C0"/>
    <w:rsid w:val="140A0B9C"/>
    <w:rsid w:val="140A5FB6"/>
    <w:rsid w:val="140C20B5"/>
    <w:rsid w:val="140F3CBA"/>
    <w:rsid w:val="14104FB4"/>
    <w:rsid w:val="14114E74"/>
    <w:rsid w:val="14117001"/>
    <w:rsid w:val="14125673"/>
    <w:rsid w:val="14127114"/>
    <w:rsid w:val="141317A1"/>
    <w:rsid w:val="14146D1B"/>
    <w:rsid w:val="14147F05"/>
    <w:rsid w:val="1415315C"/>
    <w:rsid w:val="1416400E"/>
    <w:rsid w:val="14171C2C"/>
    <w:rsid w:val="14176380"/>
    <w:rsid w:val="1419521C"/>
    <w:rsid w:val="141B4E3A"/>
    <w:rsid w:val="141C5BF3"/>
    <w:rsid w:val="141C716B"/>
    <w:rsid w:val="141C76B5"/>
    <w:rsid w:val="141D6E61"/>
    <w:rsid w:val="141E1AB7"/>
    <w:rsid w:val="1420472C"/>
    <w:rsid w:val="14204F92"/>
    <w:rsid w:val="142152E1"/>
    <w:rsid w:val="142502CD"/>
    <w:rsid w:val="14270E0A"/>
    <w:rsid w:val="14273625"/>
    <w:rsid w:val="1427646F"/>
    <w:rsid w:val="14276D76"/>
    <w:rsid w:val="14292258"/>
    <w:rsid w:val="14292313"/>
    <w:rsid w:val="1429581F"/>
    <w:rsid w:val="142C32ED"/>
    <w:rsid w:val="142C59FA"/>
    <w:rsid w:val="142C636E"/>
    <w:rsid w:val="142D4FD3"/>
    <w:rsid w:val="142E618A"/>
    <w:rsid w:val="142E6D65"/>
    <w:rsid w:val="14316531"/>
    <w:rsid w:val="14321B9C"/>
    <w:rsid w:val="143331A4"/>
    <w:rsid w:val="1435691C"/>
    <w:rsid w:val="14357CBB"/>
    <w:rsid w:val="14367D35"/>
    <w:rsid w:val="14373CF5"/>
    <w:rsid w:val="14374634"/>
    <w:rsid w:val="143812FC"/>
    <w:rsid w:val="14382A5C"/>
    <w:rsid w:val="143A7DB9"/>
    <w:rsid w:val="143B6961"/>
    <w:rsid w:val="143B7DC4"/>
    <w:rsid w:val="143C3D4E"/>
    <w:rsid w:val="14415496"/>
    <w:rsid w:val="14421FC2"/>
    <w:rsid w:val="14424481"/>
    <w:rsid w:val="14434210"/>
    <w:rsid w:val="144441F9"/>
    <w:rsid w:val="14447028"/>
    <w:rsid w:val="144547E7"/>
    <w:rsid w:val="14464875"/>
    <w:rsid w:val="14470FF0"/>
    <w:rsid w:val="144714B3"/>
    <w:rsid w:val="14480269"/>
    <w:rsid w:val="14487B30"/>
    <w:rsid w:val="14494B90"/>
    <w:rsid w:val="144A40CC"/>
    <w:rsid w:val="144B0A97"/>
    <w:rsid w:val="144C662F"/>
    <w:rsid w:val="144D0DCE"/>
    <w:rsid w:val="144D10AB"/>
    <w:rsid w:val="144E2F6D"/>
    <w:rsid w:val="144E2F7B"/>
    <w:rsid w:val="144F62D7"/>
    <w:rsid w:val="14515742"/>
    <w:rsid w:val="14516B8A"/>
    <w:rsid w:val="14516C1C"/>
    <w:rsid w:val="1453070F"/>
    <w:rsid w:val="14561B44"/>
    <w:rsid w:val="14576C8E"/>
    <w:rsid w:val="145807CC"/>
    <w:rsid w:val="14582472"/>
    <w:rsid w:val="145848A4"/>
    <w:rsid w:val="14585C64"/>
    <w:rsid w:val="145B2685"/>
    <w:rsid w:val="145B624B"/>
    <w:rsid w:val="145B78D2"/>
    <w:rsid w:val="145D01F1"/>
    <w:rsid w:val="145D5AE1"/>
    <w:rsid w:val="145D72E2"/>
    <w:rsid w:val="145E0395"/>
    <w:rsid w:val="145F235C"/>
    <w:rsid w:val="145F4D01"/>
    <w:rsid w:val="146052F0"/>
    <w:rsid w:val="146104BF"/>
    <w:rsid w:val="14615F28"/>
    <w:rsid w:val="1461603D"/>
    <w:rsid w:val="14632D5B"/>
    <w:rsid w:val="14672F81"/>
    <w:rsid w:val="14675192"/>
    <w:rsid w:val="14676FC0"/>
    <w:rsid w:val="1468601B"/>
    <w:rsid w:val="14690ACD"/>
    <w:rsid w:val="146969E7"/>
    <w:rsid w:val="14697A5D"/>
    <w:rsid w:val="146B668D"/>
    <w:rsid w:val="146C3218"/>
    <w:rsid w:val="146C3436"/>
    <w:rsid w:val="146C7AAB"/>
    <w:rsid w:val="146D52F2"/>
    <w:rsid w:val="146E1694"/>
    <w:rsid w:val="146E4BD8"/>
    <w:rsid w:val="146F7CAF"/>
    <w:rsid w:val="147164B7"/>
    <w:rsid w:val="1473127A"/>
    <w:rsid w:val="14734FE2"/>
    <w:rsid w:val="1473534B"/>
    <w:rsid w:val="14742FFC"/>
    <w:rsid w:val="1474378E"/>
    <w:rsid w:val="14744481"/>
    <w:rsid w:val="14755E43"/>
    <w:rsid w:val="147561FE"/>
    <w:rsid w:val="14756357"/>
    <w:rsid w:val="147636F5"/>
    <w:rsid w:val="1478241E"/>
    <w:rsid w:val="14790DEC"/>
    <w:rsid w:val="14793A40"/>
    <w:rsid w:val="147A6D70"/>
    <w:rsid w:val="147B5726"/>
    <w:rsid w:val="147C4EE4"/>
    <w:rsid w:val="147C6F73"/>
    <w:rsid w:val="147D542C"/>
    <w:rsid w:val="147D6D34"/>
    <w:rsid w:val="147D7F36"/>
    <w:rsid w:val="147E00D4"/>
    <w:rsid w:val="147E0847"/>
    <w:rsid w:val="147E1E6C"/>
    <w:rsid w:val="147E5B2A"/>
    <w:rsid w:val="147F4328"/>
    <w:rsid w:val="14806203"/>
    <w:rsid w:val="1481448C"/>
    <w:rsid w:val="14815017"/>
    <w:rsid w:val="14834CF3"/>
    <w:rsid w:val="14835A41"/>
    <w:rsid w:val="148477A3"/>
    <w:rsid w:val="148611AC"/>
    <w:rsid w:val="14864CC0"/>
    <w:rsid w:val="148655BC"/>
    <w:rsid w:val="14880B51"/>
    <w:rsid w:val="14890305"/>
    <w:rsid w:val="148A1083"/>
    <w:rsid w:val="148B5F38"/>
    <w:rsid w:val="148D7A19"/>
    <w:rsid w:val="148D7E2C"/>
    <w:rsid w:val="148F3C8D"/>
    <w:rsid w:val="14913A1F"/>
    <w:rsid w:val="14923807"/>
    <w:rsid w:val="149238F5"/>
    <w:rsid w:val="1493592B"/>
    <w:rsid w:val="14936FD4"/>
    <w:rsid w:val="149479EA"/>
    <w:rsid w:val="14962832"/>
    <w:rsid w:val="149928C6"/>
    <w:rsid w:val="14997396"/>
    <w:rsid w:val="14997EA7"/>
    <w:rsid w:val="149B2852"/>
    <w:rsid w:val="149B77FA"/>
    <w:rsid w:val="149B7CE7"/>
    <w:rsid w:val="149E79F7"/>
    <w:rsid w:val="149F00DE"/>
    <w:rsid w:val="149F40CC"/>
    <w:rsid w:val="14A0523A"/>
    <w:rsid w:val="14A16D5C"/>
    <w:rsid w:val="14A32A78"/>
    <w:rsid w:val="14A7544D"/>
    <w:rsid w:val="14A75591"/>
    <w:rsid w:val="14A8229A"/>
    <w:rsid w:val="14A908C6"/>
    <w:rsid w:val="14A911C2"/>
    <w:rsid w:val="14AD0760"/>
    <w:rsid w:val="14AE4139"/>
    <w:rsid w:val="14AE4EF2"/>
    <w:rsid w:val="14B0268A"/>
    <w:rsid w:val="14B07B76"/>
    <w:rsid w:val="14B27869"/>
    <w:rsid w:val="14B47B6C"/>
    <w:rsid w:val="14B66A2F"/>
    <w:rsid w:val="14B67F2E"/>
    <w:rsid w:val="14B8083F"/>
    <w:rsid w:val="14B83E99"/>
    <w:rsid w:val="14B94388"/>
    <w:rsid w:val="14B96846"/>
    <w:rsid w:val="14BB3BFD"/>
    <w:rsid w:val="14BC0D51"/>
    <w:rsid w:val="14BC127F"/>
    <w:rsid w:val="14BC33B9"/>
    <w:rsid w:val="14BC3965"/>
    <w:rsid w:val="14C06FAE"/>
    <w:rsid w:val="14C07191"/>
    <w:rsid w:val="14C0727C"/>
    <w:rsid w:val="14C20643"/>
    <w:rsid w:val="14C258DF"/>
    <w:rsid w:val="14C434D3"/>
    <w:rsid w:val="14C4424A"/>
    <w:rsid w:val="14C563C9"/>
    <w:rsid w:val="14C56C64"/>
    <w:rsid w:val="14C639E6"/>
    <w:rsid w:val="14C644B6"/>
    <w:rsid w:val="14C71304"/>
    <w:rsid w:val="14C81531"/>
    <w:rsid w:val="14C95782"/>
    <w:rsid w:val="14CA7970"/>
    <w:rsid w:val="14CB3B4F"/>
    <w:rsid w:val="14CB63E2"/>
    <w:rsid w:val="14CB6E64"/>
    <w:rsid w:val="14CC3CA3"/>
    <w:rsid w:val="14CC6161"/>
    <w:rsid w:val="14CD6C53"/>
    <w:rsid w:val="14D14CF5"/>
    <w:rsid w:val="14D231E9"/>
    <w:rsid w:val="14D47361"/>
    <w:rsid w:val="14D47BA0"/>
    <w:rsid w:val="14D515D8"/>
    <w:rsid w:val="14D97417"/>
    <w:rsid w:val="14DB5F7C"/>
    <w:rsid w:val="14DB613C"/>
    <w:rsid w:val="14DB7B45"/>
    <w:rsid w:val="14DD0DFB"/>
    <w:rsid w:val="14DD32B8"/>
    <w:rsid w:val="14DE02B3"/>
    <w:rsid w:val="14DE2890"/>
    <w:rsid w:val="14DF6F6B"/>
    <w:rsid w:val="14E04F42"/>
    <w:rsid w:val="14E06DBD"/>
    <w:rsid w:val="14E10F6D"/>
    <w:rsid w:val="14E2062A"/>
    <w:rsid w:val="14E20686"/>
    <w:rsid w:val="14E3009A"/>
    <w:rsid w:val="14E41353"/>
    <w:rsid w:val="14E4410B"/>
    <w:rsid w:val="14E51EEB"/>
    <w:rsid w:val="14E54FAA"/>
    <w:rsid w:val="14E660B7"/>
    <w:rsid w:val="14E666E7"/>
    <w:rsid w:val="14E72E1E"/>
    <w:rsid w:val="14E943BA"/>
    <w:rsid w:val="14E95C5F"/>
    <w:rsid w:val="14EA356E"/>
    <w:rsid w:val="14EB1187"/>
    <w:rsid w:val="14EB3917"/>
    <w:rsid w:val="14EB680A"/>
    <w:rsid w:val="14ED4FE1"/>
    <w:rsid w:val="14ED7D61"/>
    <w:rsid w:val="14EF3EB9"/>
    <w:rsid w:val="14EF5BD4"/>
    <w:rsid w:val="14F014D2"/>
    <w:rsid w:val="14F0679F"/>
    <w:rsid w:val="14F10DFB"/>
    <w:rsid w:val="14F16044"/>
    <w:rsid w:val="14F170B3"/>
    <w:rsid w:val="14F17F36"/>
    <w:rsid w:val="14F23C0E"/>
    <w:rsid w:val="14F25809"/>
    <w:rsid w:val="14F32E44"/>
    <w:rsid w:val="14F4675C"/>
    <w:rsid w:val="14F51148"/>
    <w:rsid w:val="14FC63EF"/>
    <w:rsid w:val="14FD28FE"/>
    <w:rsid w:val="14FE420E"/>
    <w:rsid w:val="14FF32B0"/>
    <w:rsid w:val="15025CEC"/>
    <w:rsid w:val="15032B84"/>
    <w:rsid w:val="150377D2"/>
    <w:rsid w:val="15042145"/>
    <w:rsid w:val="150462EB"/>
    <w:rsid w:val="15095061"/>
    <w:rsid w:val="150C05F5"/>
    <w:rsid w:val="150C06BE"/>
    <w:rsid w:val="150C4924"/>
    <w:rsid w:val="150C50E4"/>
    <w:rsid w:val="150D330D"/>
    <w:rsid w:val="15102B7F"/>
    <w:rsid w:val="15104DE6"/>
    <w:rsid w:val="15112ACD"/>
    <w:rsid w:val="15141CF7"/>
    <w:rsid w:val="15146443"/>
    <w:rsid w:val="15146E55"/>
    <w:rsid w:val="151560CB"/>
    <w:rsid w:val="15166BA1"/>
    <w:rsid w:val="151672AC"/>
    <w:rsid w:val="1516771F"/>
    <w:rsid w:val="15170DCC"/>
    <w:rsid w:val="15174B3D"/>
    <w:rsid w:val="15177AA7"/>
    <w:rsid w:val="15180B03"/>
    <w:rsid w:val="1518764F"/>
    <w:rsid w:val="15192C15"/>
    <w:rsid w:val="151B4530"/>
    <w:rsid w:val="151D3762"/>
    <w:rsid w:val="151D55B3"/>
    <w:rsid w:val="151E20D0"/>
    <w:rsid w:val="151E324D"/>
    <w:rsid w:val="151E6260"/>
    <w:rsid w:val="152007D5"/>
    <w:rsid w:val="1525349B"/>
    <w:rsid w:val="15254172"/>
    <w:rsid w:val="1526114D"/>
    <w:rsid w:val="15264ABB"/>
    <w:rsid w:val="15272161"/>
    <w:rsid w:val="152920EC"/>
    <w:rsid w:val="152A557B"/>
    <w:rsid w:val="152B3F5B"/>
    <w:rsid w:val="152C451A"/>
    <w:rsid w:val="152D099B"/>
    <w:rsid w:val="152D3896"/>
    <w:rsid w:val="152E4C2D"/>
    <w:rsid w:val="152E6138"/>
    <w:rsid w:val="152F2A39"/>
    <w:rsid w:val="152F5972"/>
    <w:rsid w:val="152F6B95"/>
    <w:rsid w:val="153054FE"/>
    <w:rsid w:val="15323798"/>
    <w:rsid w:val="153254B2"/>
    <w:rsid w:val="153313C6"/>
    <w:rsid w:val="15336670"/>
    <w:rsid w:val="15342F8E"/>
    <w:rsid w:val="15361EA8"/>
    <w:rsid w:val="15366875"/>
    <w:rsid w:val="15371C16"/>
    <w:rsid w:val="153A4903"/>
    <w:rsid w:val="153A49BE"/>
    <w:rsid w:val="153B7C6B"/>
    <w:rsid w:val="153E0E1A"/>
    <w:rsid w:val="153E7FD8"/>
    <w:rsid w:val="153F4C1C"/>
    <w:rsid w:val="1541017E"/>
    <w:rsid w:val="15413A16"/>
    <w:rsid w:val="154345D3"/>
    <w:rsid w:val="15443D42"/>
    <w:rsid w:val="15452F44"/>
    <w:rsid w:val="1546345F"/>
    <w:rsid w:val="154738C7"/>
    <w:rsid w:val="15481B27"/>
    <w:rsid w:val="1549038E"/>
    <w:rsid w:val="154913C4"/>
    <w:rsid w:val="154953B1"/>
    <w:rsid w:val="15495FA6"/>
    <w:rsid w:val="154C07AA"/>
    <w:rsid w:val="154D2A40"/>
    <w:rsid w:val="154E0138"/>
    <w:rsid w:val="154E10CC"/>
    <w:rsid w:val="154E7897"/>
    <w:rsid w:val="154F203A"/>
    <w:rsid w:val="154F255A"/>
    <w:rsid w:val="154F3E5C"/>
    <w:rsid w:val="154F526E"/>
    <w:rsid w:val="15530406"/>
    <w:rsid w:val="15534509"/>
    <w:rsid w:val="15541750"/>
    <w:rsid w:val="155452B3"/>
    <w:rsid w:val="1554606C"/>
    <w:rsid w:val="15551DC6"/>
    <w:rsid w:val="15562CF5"/>
    <w:rsid w:val="155636C7"/>
    <w:rsid w:val="15575E9D"/>
    <w:rsid w:val="15581F72"/>
    <w:rsid w:val="15582535"/>
    <w:rsid w:val="15584823"/>
    <w:rsid w:val="15595432"/>
    <w:rsid w:val="155B515D"/>
    <w:rsid w:val="155B6B69"/>
    <w:rsid w:val="155C4DC1"/>
    <w:rsid w:val="156018D0"/>
    <w:rsid w:val="15604521"/>
    <w:rsid w:val="15624ECD"/>
    <w:rsid w:val="15632399"/>
    <w:rsid w:val="15633C0A"/>
    <w:rsid w:val="156344E8"/>
    <w:rsid w:val="1563785F"/>
    <w:rsid w:val="156426A9"/>
    <w:rsid w:val="15644464"/>
    <w:rsid w:val="1566467A"/>
    <w:rsid w:val="1567437A"/>
    <w:rsid w:val="156924E4"/>
    <w:rsid w:val="156A41B1"/>
    <w:rsid w:val="156C7B9D"/>
    <w:rsid w:val="156D4BF2"/>
    <w:rsid w:val="15700011"/>
    <w:rsid w:val="15702F88"/>
    <w:rsid w:val="15703532"/>
    <w:rsid w:val="157048E1"/>
    <w:rsid w:val="157100E1"/>
    <w:rsid w:val="15716E5A"/>
    <w:rsid w:val="1571749A"/>
    <w:rsid w:val="15727A72"/>
    <w:rsid w:val="1574069D"/>
    <w:rsid w:val="15764AF3"/>
    <w:rsid w:val="15776667"/>
    <w:rsid w:val="15776FB2"/>
    <w:rsid w:val="15777B74"/>
    <w:rsid w:val="15781B93"/>
    <w:rsid w:val="157A37B9"/>
    <w:rsid w:val="157B1BB9"/>
    <w:rsid w:val="157B3E47"/>
    <w:rsid w:val="157B4303"/>
    <w:rsid w:val="157B7161"/>
    <w:rsid w:val="157C7441"/>
    <w:rsid w:val="157D57BD"/>
    <w:rsid w:val="157E00E0"/>
    <w:rsid w:val="15813A63"/>
    <w:rsid w:val="158222BC"/>
    <w:rsid w:val="15825F61"/>
    <w:rsid w:val="158310CE"/>
    <w:rsid w:val="1583729C"/>
    <w:rsid w:val="15837A19"/>
    <w:rsid w:val="158461C6"/>
    <w:rsid w:val="15855B1F"/>
    <w:rsid w:val="15865CB5"/>
    <w:rsid w:val="15866845"/>
    <w:rsid w:val="158921B2"/>
    <w:rsid w:val="15893D37"/>
    <w:rsid w:val="158951C3"/>
    <w:rsid w:val="158A4829"/>
    <w:rsid w:val="158A6A83"/>
    <w:rsid w:val="158B4527"/>
    <w:rsid w:val="158B59DC"/>
    <w:rsid w:val="158C39D1"/>
    <w:rsid w:val="158D3A7F"/>
    <w:rsid w:val="158D3F21"/>
    <w:rsid w:val="158E6ECA"/>
    <w:rsid w:val="158E72E0"/>
    <w:rsid w:val="15905126"/>
    <w:rsid w:val="159316DF"/>
    <w:rsid w:val="15944D9D"/>
    <w:rsid w:val="159702DF"/>
    <w:rsid w:val="15970908"/>
    <w:rsid w:val="159729FC"/>
    <w:rsid w:val="15987935"/>
    <w:rsid w:val="1599052D"/>
    <w:rsid w:val="159940EE"/>
    <w:rsid w:val="159A46E4"/>
    <w:rsid w:val="159A5981"/>
    <w:rsid w:val="159B1B9D"/>
    <w:rsid w:val="159B461A"/>
    <w:rsid w:val="159B6A71"/>
    <w:rsid w:val="159C0BAA"/>
    <w:rsid w:val="159C0BFE"/>
    <w:rsid w:val="159C227E"/>
    <w:rsid w:val="159C3652"/>
    <w:rsid w:val="159D0190"/>
    <w:rsid w:val="159D4780"/>
    <w:rsid w:val="159E1959"/>
    <w:rsid w:val="159F4DB2"/>
    <w:rsid w:val="15A0534B"/>
    <w:rsid w:val="15A12D8D"/>
    <w:rsid w:val="15A21297"/>
    <w:rsid w:val="15A93AF9"/>
    <w:rsid w:val="15A95C4E"/>
    <w:rsid w:val="15AE6F97"/>
    <w:rsid w:val="15B127D1"/>
    <w:rsid w:val="15B17DFE"/>
    <w:rsid w:val="15B246F5"/>
    <w:rsid w:val="15B33D7D"/>
    <w:rsid w:val="15B34C69"/>
    <w:rsid w:val="15B34F99"/>
    <w:rsid w:val="15B35B79"/>
    <w:rsid w:val="15B41706"/>
    <w:rsid w:val="15B5251F"/>
    <w:rsid w:val="15B55D65"/>
    <w:rsid w:val="15B605E5"/>
    <w:rsid w:val="15B636BA"/>
    <w:rsid w:val="15B72C08"/>
    <w:rsid w:val="15B80E33"/>
    <w:rsid w:val="15B90DF2"/>
    <w:rsid w:val="15BB52BE"/>
    <w:rsid w:val="15BC1C2B"/>
    <w:rsid w:val="15BC2C95"/>
    <w:rsid w:val="15BD5EAF"/>
    <w:rsid w:val="15BE7DD2"/>
    <w:rsid w:val="15BF4E1D"/>
    <w:rsid w:val="15BF71B8"/>
    <w:rsid w:val="15C038C2"/>
    <w:rsid w:val="15C058AF"/>
    <w:rsid w:val="15C0784C"/>
    <w:rsid w:val="15C116DD"/>
    <w:rsid w:val="15C17216"/>
    <w:rsid w:val="15C21A06"/>
    <w:rsid w:val="15C26423"/>
    <w:rsid w:val="15C2769D"/>
    <w:rsid w:val="15C34263"/>
    <w:rsid w:val="15C43FE8"/>
    <w:rsid w:val="15C547EB"/>
    <w:rsid w:val="15C57FEA"/>
    <w:rsid w:val="15C61573"/>
    <w:rsid w:val="15C62C93"/>
    <w:rsid w:val="15C66783"/>
    <w:rsid w:val="15C75866"/>
    <w:rsid w:val="15C8713B"/>
    <w:rsid w:val="15CA0A0B"/>
    <w:rsid w:val="15CB2B6E"/>
    <w:rsid w:val="15CC49E5"/>
    <w:rsid w:val="15CC7E09"/>
    <w:rsid w:val="15CD11BE"/>
    <w:rsid w:val="15CD31A5"/>
    <w:rsid w:val="15CE3690"/>
    <w:rsid w:val="15CE57E9"/>
    <w:rsid w:val="15CF5F71"/>
    <w:rsid w:val="15D11C8A"/>
    <w:rsid w:val="15D12CDB"/>
    <w:rsid w:val="15D208FD"/>
    <w:rsid w:val="15D2478C"/>
    <w:rsid w:val="15D25689"/>
    <w:rsid w:val="15D33621"/>
    <w:rsid w:val="15D44330"/>
    <w:rsid w:val="15D57C87"/>
    <w:rsid w:val="15D7218C"/>
    <w:rsid w:val="15D83C35"/>
    <w:rsid w:val="15D87C3A"/>
    <w:rsid w:val="15D96974"/>
    <w:rsid w:val="15DA1387"/>
    <w:rsid w:val="15DA413F"/>
    <w:rsid w:val="15DB2B30"/>
    <w:rsid w:val="15DD330F"/>
    <w:rsid w:val="15DD356A"/>
    <w:rsid w:val="15DE3084"/>
    <w:rsid w:val="15DF09D5"/>
    <w:rsid w:val="15DF5405"/>
    <w:rsid w:val="15E145CE"/>
    <w:rsid w:val="15E25651"/>
    <w:rsid w:val="15E30778"/>
    <w:rsid w:val="15E35A9E"/>
    <w:rsid w:val="15E459B2"/>
    <w:rsid w:val="15E508B3"/>
    <w:rsid w:val="15E50FE6"/>
    <w:rsid w:val="15E64497"/>
    <w:rsid w:val="15E64673"/>
    <w:rsid w:val="15E84490"/>
    <w:rsid w:val="15E86511"/>
    <w:rsid w:val="15EA1615"/>
    <w:rsid w:val="15EA470C"/>
    <w:rsid w:val="15EC1CCB"/>
    <w:rsid w:val="15ED303E"/>
    <w:rsid w:val="15EF2EC6"/>
    <w:rsid w:val="15F133E4"/>
    <w:rsid w:val="15F1786F"/>
    <w:rsid w:val="15F270E5"/>
    <w:rsid w:val="15F41F7C"/>
    <w:rsid w:val="15F66CA2"/>
    <w:rsid w:val="15FA4484"/>
    <w:rsid w:val="15FB7181"/>
    <w:rsid w:val="15FC07BC"/>
    <w:rsid w:val="15FC2297"/>
    <w:rsid w:val="15FC37B4"/>
    <w:rsid w:val="15FC6654"/>
    <w:rsid w:val="16006335"/>
    <w:rsid w:val="16006871"/>
    <w:rsid w:val="1601360C"/>
    <w:rsid w:val="16032FC9"/>
    <w:rsid w:val="16040D6D"/>
    <w:rsid w:val="160524B3"/>
    <w:rsid w:val="1606618C"/>
    <w:rsid w:val="160820B9"/>
    <w:rsid w:val="160D0856"/>
    <w:rsid w:val="160E272B"/>
    <w:rsid w:val="160E650D"/>
    <w:rsid w:val="160F1ED4"/>
    <w:rsid w:val="161036F3"/>
    <w:rsid w:val="16117F11"/>
    <w:rsid w:val="161210D9"/>
    <w:rsid w:val="16154C57"/>
    <w:rsid w:val="161578D3"/>
    <w:rsid w:val="16170231"/>
    <w:rsid w:val="16175528"/>
    <w:rsid w:val="161975F7"/>
    <w:rsid w:val="161A6DC6"/>
    <w:rsid w:val="161B24ED"/>
    <w:rsid w:val="161B2AD3"/>
    <w:rsid w:val="161C2889"/>
    <w:rsid w:val="161C3ADC"/>
    <w:rsid w:val="161E1651"/>
    <w:rsid w:val="161E6D0D"/>
    <w:rsid w:val="1620625A"/>
    <w:rsid w:val="1622171C"/>
    <w:rsid w:val="16223DAB"/>
    <w:rsid w:val="16237DBE"/>
    <w:rsid w:val="16242F7E"/>
    <w:rsid w:val="16254EF1"/>
    <w:rsid w:val="16257956"/>
    <w:rsid w:val="16276DAA"/>
    <w:rsid w:val="16277FEA"/>
    <w:rsid w:val="16282320"/>
    <w:rsid w:val="1629525B"/>
    <w:rsid w:val="162973B5"/>
    <w:rsid w:val="162B1504"/>
    <w:rsid w:val="162E37B3"/>
    <w:rsid w:val="162E3815"/>
    <w:rsid w:val="162F074C"/>
    <w:rsid w:val="162F2B69"/>
    <w:rsid w:val="162F5722"/>
    <w:rsid w:val="16301FF2"/>
    <w:rsid w:val="16306328"/>
    <w:rsid w:val="16307606"/>
    <w:rsid w:val="16311FF2"/>
    <w:rsid w:val="1633150E"/>
    <w:rsid w:val="16331610"/>
    <w:rsid w:val="16336F52"/>
    <w:rsid w:val="163459EA"/>
    <w:rsid w:val="16374CC2"/>
    <w:rsid w:val="16385DD6"/>
    <w:rsid w:val="163917A2"/>
    <w:rsid w:val="16393215"/>
    <w:rsid w:val="16395FF5"/>
    <w:rsid w:val="163A4424"/>
    <w:rsid w:val="163B553C"/>
    <w:rsid w:val="163C4714"/>
    <w:rsid w:val="163D2EB3"/>
    <w:rsid w:val="16407BCE"/>
    <w:rsid w:val="164137DA"/>
    <w:rsid w:val="1641617A"/>
    <w:rsid w:val="164631DC"/>
    <w:rsid w:val="1647343F"/>
    <w:rsid w:val="16477DF1"/>
    <w:rsid w:val="164B3423"/>
    <w:rsid w:val="164B3B57"/>
    <w:rsid w:val="164B650B"/>
    <w:rsid w:val="164D34FD"/>
    <w:rsid w:val="164D5A46"/>
    <w:rsid w:val="164E3742"/>
    <w:rsid w:val="164E6A70"/>
    <w:rsid w:val="164F03D2"/>
    <w:rsid w:val="164F2609"/>
    <w:rsid w:val="16504264"/>
    <w:rsid w:val="16511CF6"/>
    <w:rsid w:val="16513EEA"/>
    <w:rsid w:val="16523DC0"/>
    <w:rsid w:val="16525953"/>
    <w:rsid w:val="16526EAE"/>
    <w:rsid w:val="16531451"/>
    <w:rsid w:val="1654190B"/>
    <w:rsid w:val="1654594C"/>
    <w:rsid w:val="16545ECF"/>
    <w:rsid w:val="16550095"/>
    <w:rsid w:val="16560EBF"/>
    <w:rsid w:val="16567802"/>
    <w:rsid w:val="16567B77"/>
    <w:rsid w:val="16576077"/>
    <w:rsid w:val="16597635"/>
    <w:rsid w:val="165A42C3"/>
    <w:rsid w:val="165B0249"/>
    <w:rsid w:val="165B54BD"/>
    <w:rsid w:val="165B5AE5"/>
    <w:rsid w:val="165C61FD"/>
    <w:rsid w:val="165D2F71"/>
    <w:rsid w:val="16615E29"/>
    <w:rsid w:val="16620FF2"/>
    <w:rsid w:val="166473CD"/>
    <w:rsid w:val="16650E28"/>
    <w:rsid w:val="16675817"/>
    <w:rsid w:val="16683608"/>
    <w:rsid w:val="16684628"/>
    <w:rsid w:val="166B14D2"/>
    <w:rsid w:val="166B5F94"/>
    <w:rsid w:val="166B7621"/>
    <w:rsid w:val="166C61E4"/>
    <w:rsid w:val="166D2DB1"/>
    <w:rsid w:val="166E2632"/>
    <w:rsid w:val="166E3BD3"/>
    <w:rsid w:val="166E7391"/>
    <w:rsid w:val="167021BC"/>
    <w:rsid w:val="16740134"/>
    <w:rsid w:val="16741087"/>
    <w:rsid w:val="167500E4"/>
    <w:rsid w:val="167504A0"/>
    <w:rsid w:val="16753764"/>
    <w:rsid w:val="16763217"/>
    <w:rsid w:val="16764681"/>
    <w:rsid w:val="16771281"/>
    <w:rsid w:val="16783432"/>
    <w:rsid w:val="16793437"/>
    <w:rsid w:val="167A1148"/>
    <w:rsid w:val="167B2614"/>
    <w:rsid w:val="167C1174"/>
    <w:rsid w:val="167C6A01"/>
    <w:rsid w:val="167D5938"/>
    <w:rsid w:val="167E1B86"/>
    <w:rsid w:val="167F0864"/>
    <w:rsid w:val="16817611"/>
    <w:rsid w:val="16825B96"/>
    <w:rsid w:val="16825CBA"/>
    <w:rsid w:val="168277B3"/>
    <w:rsid w:val="168318F6"/>
    <w:rsid w:val="16832E6F"/>
    <w:rsid w:val="168478AE"/>
    <w:rsid w:val="1686410A"/>
    <w:rsid w:val="16883C79"/>
    <w:rsid w:val="16885E24"/>
    <w:rsid w:val="16890494"/>
    <w:rsid w:val="16894C57"/>
    <w:rsid w:val="16896E31"/>
    <w:rsid w:val="168A3B23"/>
    <w:rsid w:val="168B1154"/>
    <w:rsid w:val="168C6323"/>
    <w:rsid w:val="168D2722"/>
    <w:rsid w:val="168F1F2A"/>
    <w:rsid w:val="16900E36"/>
    <w:rsid w:val="169113A2"/>
    <w:rsid w:val="169125C6"/>
    <w:rsid w:val="16932F51"/>
    <w:rsid w:val="16935E1D"/>
    <w:rsid w:val="16941424"/>
    <w:rsid w:val="16942E60"/>
    <w:rsid w:val="169B08DB"/>
    <w:rsid w:val="169B5C77"/>
    <w:rsid w:val="169C70EB"/>
    <w:rsid w:val="169F1068"/>
    <w:rsid w:val="16A03E2B"/>
    <w:rsid w:val="16A0505D"/>
    <w:rsid w:val="16A127B1"/>
    <w:rsid w:val="16A22441"/>
    <w:rsid w:val="16A40906"/>
    <w:rsid w:val="16A70F58"/>
    <w:rsid w:val="16A71563"/>
    <w:rsid w:val="16A77FDF"/>
    <w:rsid w:val="16A8400A"/>
    <w:rsid w:val="16AA30A0"/>
    <w:rsid w:val="16AA33C0"/>
    <w:rsid w:val="16AC307C"/>
    <w:rsid w:val="16AD26E5"/>
    <w:rsid w:val="16AD3F03"/>
    <w:rsid w:val="16AF65E3"/>
    <w:rsid w:val="16B0683D"/>
    <w:rsid w:val="16B13DC9"/>
    <w:rsid w:val="16B17594"/>
    <w:rsid w:val="16B319D4"/>
    <w:rsid w:val="16B605E9"/>
    <w:rsid w:val="16B72F8A"/>
    <w:rsid w:val="16B868FC"/>
    <w:rsid w:val="16B877CB"/>
    <w:rsid w:val="16B97A39"/>
    <w:rsid w:val="16BA3634"/>
    <w:rsid w:val="16BB391F"/>
    <w:rsid w:val="16BB4985"/>
    <w:rsid w:val="16BD0419"/>
    <w:rsid w:val="16BD44BF"/>
    <w:rsid w:val="16BE226C"/>
    <w:rsid w:val="16BF0844"/>
    <w:rsid w:val="16C00DAB"/>
    <w:rsid w:val="16C07D7B"/>
    <w:rsid w:val="16C136E5"/>
    <w:rsid w:val="16C13D87"/>
    <w:rsid w:val="16C2485C"/>
    <w:rsid w:val="16C274F2"/>
    <w:rsid w:val="16C465CD"/>
    <w:rsid w:val="16C46C8F"/>
    <w:rsid w:val="16C64783"/>
    <w:rsid w:val="16C71A6C"/>
    <w:rsid w:val="16C74247"/>
    <w:rsid w:val="16C97AB8"/>
    <w:rsid w:val="16CA2B20"/>
    <w:rsid w:val="16CA78A1"/>
    <w:rsid w:val="16CB7FDE"/>
    <w:rsid w:val="16CD2B7E"/>
    <w:rsid w:val="16CF2A50"/>
    <w:rsid w:val="16D03A3A"/>
    <w:rsid w:val="16D05231"/>
    <w:rsid w:val="16D06420"/>
    <w:rsid w:val="16D2144F"/>
    <w:rsid w:val="16D30477"/>
    <w:rsid w:val="16D31544"/>
    <w:rsid w:val="16D37964"/>
    <w:rsid w:val="16D45E8F"/>
    <w:rsid w:val="16D62C6E"/>
    <w:rsid w:val="16D6654F"/>
    <w:rsid w:val="16D76DE3"/>
    <w:rsid w:val="16D95275"/>
    <w:rsid w:val="16DA50C8"/>
    <w:rsid w:val="16DB10B7"/>
    <w:rsid w:val="16DB1DA1"/>
    <w:rsid w:val="16DB67C5"/>
    <w:rsid w:val="16DD7AB8"/>
    <w:rsid w:val="16DE070F"/>
    <w:rsid w:val="16DE6F07"/>
    <w:rsid w:val="16DF7CC8"/>
    <w:rsid w:val="16E035B6"/>
    <w:rsid w:val="16E07362"/>
    <w:rsid w:val="16E1017B"/>
    <w:rsid w:val="16E11081"/>
    <w:rsid w:val="16E25197"/>
    <w:rsid w:val="16E27BF7"/>
    <w:rsid w:val="16E3481C"/>
    <w:rsid w:val="16E40103"/>
    <w:rsid w:val="16E623A4"/>
    <w:rsid w:val="16E6326A"/>
    <w:rsid w:val="16E66CA8"/>
    <w:rsid w:val="16E7748C"/>
    <w:rsid w:val="16EA69EE"/>
    <w:rsid w:val="16EE106F"/>
    <w:rsid w:val="16EE323A"/>
    <w:rsid w:val="16EE38DF"/>
    <w:rsid w:val="16EF1B9D"/>
    <w:rsid w:val="16EF556F"/>
    <w:rsid w:val="16F01A3E"/>
    <w:rsid w:val="16F23C77"/>
    <w:rsid w:val="16F361C8"/>
    <w:rsid w:val="16F53EF0"/>
    <w:rsid w:val="16F604D4"/>
    <w:rsid w:val="16F64256"/>
    <w:rsid w:val="16F94DF5"/>
    <w:rsid w:val="16FB5980"/>
    <w:rsid w:val="16FC63E8"/>
    <w:rsid w:val="16FD0367"/>
    <w:rsid w:val="16FE3C84"/>
    <w:rsid w:val="16FF3929"/>
    <w:rsid w:val="16FF4764"/>
    <w:rsid w:val="170100F7"/>
    <w:rsid w:val="17010772"/>
    <w:rsid w:val="17025F6F"/>
    <w:rsid w:val="170334AB"/>
    <w:rsid w:val="17043444"/>
    <w:rsid w:val="17044E49"/>
    <w:rsid w:val="17045380"/>
    <w:rsid w:val="17045F4B"/>
    <w:rsid w:val="1704626F"/>
    <w:rsid w:val="1707321E"/>
    <w:rsid w:val="170769D7"/>
    <w:rsid w:val="17081095"/>
    <w:rsid w:val="17082519"/>
    <w:rsid w:val="17090094"/>
    <w:rsid w:val="170A3375"/>
    <w:rsid w:val="170A44BD"/>
    <w:rsid w:val="170A76F8"/>
    <w:rsid w:val="170B201D"/>
    <w:rsid w:val="170B2D33"/>
    <w:rsid w:val="170D21AF"/>
    <w:rsid w:val="170D5363"/>
    <w:rsid w:val="170D6D1B"/>
    <w:rsid w:val="170D779F"/>
    <w:rsid w:val="170F1FA0"/>
    <w:rsid w:val="170F38D9"/>
    <w:rsid w:val="170F5AAA"/>
    <w:rsid w:val="17137E86"/>
    <w:rsid w:val="171477F7"/>
    <w:rsid w:val="17165AC6"/>
    <w:rsid w:val="1716604D"/>
    <w:rsid w:val="17167E2B"/>
    <w:rsid w:val="171747C9"/>
    <w:rsid w:val="17180673"/>
    <w:rsid w:val="171900C5"/>
    <w:rsid w:val="171926A6"/>
    <w:rsid w:val="171A15A3"/>
    <w:rsid w:val="171A354F"/>
    <w:rsid w:val="171D2330"/>
    <w:rsid w:val="171D771F"/>
    <w:rsid w:val="171E30BB"/>
    <w:rsid w:val="171E379B"/>
    <w:rsid w:val="171E6E96"/>
    <w:rsid w:val="171E71C7"/>
    <w:rsid w:val="171F35C9"/>
    <w:rsid w:val="17214184"/>
    <w:rsid w:val="172154E7"/>
    <w:rsid w:val="17221DC8"/>
    <w:rsid w:val="17224752"/>
    <w:rsid w:val="17234ADB"/>
    <w:rsid w:val="172369CB"/>
    <w:rsid w:val="1723752A"/>
    <w:rsid w:val="17240425"/>
    <w:rsid w:val="17246EA5"/>
    <w:rsid w:val="17250DA1"/>
    <w:rsid w:val="172577D0"/>
    <w:rsid w:val="17263905"/>
    <w:rsid w:val="172656E9"/>
    <w:rsid w:val="17283DFC"/>
    <w:rsid w:val="17291FA6"/>
    <w:rsid w:val="172A3FB6"/>
    <w:rsid w:val="172C492E"/>
    <w:rsid w:val="172C6EB8"/>
    <w:rsid w:val="17300C75"/>
    <w:rsid w:val="1730644C"/>
    <w:rsid w:val="17307BC8"/>
    <w:rsid w:val="17312749"/>
    <w:rsid w:val="173128E3"/>
    <w:rsid w:val="17322E6B"/>
    <w:rsid w:val="1732584D"/>
    <w:rsid w:val="17336401"/>
    <w:rsid w:val="17353404"/>
    <w:rsid w:val="173561BC"/>
    <w:rsid w:val="1736465F"/>
    <w:rsid w:val="173668CC"/>
    <w:rsid w:val="17382D64"/>
    <w:rsid w:val="173A2B91"/>
    <w:rsid w:val="173B02C3"/>
    <w:rsid w:val="173D1EC1"/>
    <w:rsid w:val="173E4D36"/>
    <w:rsid w:val="173F4B63"/>
    <w:rsid w:val="1742614A"/>
    <w:rsid w:val="174462F9"/>
    <w:rsid w:val="17453BEE"/>
    <w:rsid w:val="17455A2F"/>
    <w:rsid w:val="1745756B"/>
    <w:rsid w:val="17467470"/>
    <w:rsid w:val="17474B76"/>
    <w:rsid w:val="17475835"/>
    <w:rsid w:val="17482503"/>
    <w:rsid w:val="174829F8"/>
    <w:rsid w:val="174856BC"/>
    <w:rsid w:val="17497DB0"/>
    <w:rsid w:val="174A3913"/>
    <w:rsid w:val="174A6694"/>
    <w:rsid w:val="175106C4"/>
    <w:rsid w:val="17512BE0"/>
    <w:rsid w:val="175166F5"/>
    <w:rsid w:val="17521E02"/>
    <w:rsid w:val="17526B0E"/>
    <w:rsid w:val="1757309A"/>
    <w:rsid w:val="17573BFC"/>
    <w:rsid w:val="17592382"/>
    <w:rsid w:val="175945DD"/>
    <w:rsid w:val="17595917"/>
    <w:rsid w:val="175A2766"/>
    <w:rsid w:val="175A57A6"/>
    <w:rsid w:val="175A6AE6"/>
    <w:rsid w:val="175B22D0"/>
    <w:rsid w:val="175E6DB7"/>
    <w:rsid w:val="175E72FE"/>
    <w:rsid w:val="17600D67"/>
    <w:rsid w:val="17602EFE"/>
    <w:rsid w:val="176160F5"/>
    <w:rsid w:val="1762003F"/>
    <w:rsid w:val="17620280"/>
    <w:rsid w:val="17620B74"/>
    <w:rsid w:val="17622B4B"/>
    <w:rsid w:val="17624EDE"/>
    <w:rsid w:val="17627374"/>
    <w:rsid w:val="1763158E"/>
    <w:rsid w:val="176359EA"/>
    <w:rsid w:val="17636653"/>
    <w:rsid w:val="1764671C"/>
    <w:rsid w:val="17694698"/>
    <w:rsid w:val="176A13D1"/>
    <w:rsid w:val="176C18A3"/>
    <w:rsid w:val="176D6FA5"/>
    <w:rsid w:val="176E26B3"/>
    <w:rsid w:val="176F254F"/>
    <w:rsid w:val="176F4AFA"/>
    <w:rsid w:val="176F6064"/>
    <w:rsid w:val="176F623A"/>
    <w:rsid w:val="17702FE0"/>
    <w:rsid w:val="177226BD"/>
    <w:rsid w:val="17731169"/>
    <w:rsid w:val="17734EAE"/>
    <w:rsid w:val="17737CE3"/>
    <w:rsid w:val="177402DB"/>
    <w:rsid w:val="1775169D"/>
    <w:rsid w:val="177666F2"/>
    <w:rsid w:val="177733A0"/>
    <w:rsid w:val="17785C30"/>
    <w:rsid w:val="177941D2"/>
    <w:rsid w:val="177A19AB"/>
    <w:rsid w:val="177A1B40"/>
    <w:rsid w:val="177A3827"/>
    <w:rsid w:val="177A6D20"/>
    <w:rsid w:val="177E0F8D"/>
    <w:rsid w:val="177E2460"/>
    <w:rsid w:val="177E55BF"/>
    <w:rsid w:val="177F1E0C"/>
    <w:rsid w:val="177F490B"/>
    <w:rsid w:val="177F5F2A"/>
    <w:rsid w:val="177F77B1"/>
    <w:rsid w:val="178558F4"/>
    <w:rsid w:val="17855CD3"/>
    <w:rsid w:val="17861314"/>
    <w:rsid w:val="17865AE6"/>
    <w:rsid w:val="1787741A"/>
    <w:rsid w:val="1788261D"/>
    <w:rsid w:val="178842AA"/>
    <w:rsid w:val="178971E7"/>
    <w:rsid w:val="17897457"/>
    <w:rsid w:val="178C0A19"/>
    <w:rsid w:val="178D25A5"/>
    <w:rsid w:val="178D5145"/>
    <w:rsid w:val="17907443"/>
    <w:rsid w:val="17907B0B"/>
    <w:rsid w:val="179171EF"/>
    <w:rsid w:val="179215B2"/>
    <w:rsid w:val="17923075"/>
    <w:rsid w:val="17943B41"/>
    <w:rsid w:val="179519B0"/>
    <w:rsid w:val="17952571"/>
    <w:rsid w:val="1796254E"/>
    <w:rsid w:val="17985545"/>
    <w:rsid w:val="17985608"/>
    <w:rsid w:val="179908C6"/>
    <w:rsid w:val="17993948"/>
    <w:rsid w:val="179A2258"/>
    <w:rsid w:val="179A7C67"/>
    <w:rsid w:val="179B1504"/>
    <w:rsid w:val="179B2992"/>
    <w:rsid w:val="179D20BE"/>
    <w:rsid w:val="17A001EB"/>
    <w:rsid w:val="17A05EB9"/>
    <w:rsid w:val="17A0779F"/>
    <w:rsid w:val="17A41908"/>
    <w:rsid w:val="17A50911"/>
    <w:rsid w:val="17A766A8"/>
    <w:rsid w:val="17A8724A"/>
    <w:rsid w:val="17A9094F"/>
    <w:rsid w:val="17A9170B"/>
    <w:rsid w:val="17AB0352"/>
    <w:rsid w:val="17AD7CA2"/>
    <w:rsid w:val="17B02800"/>
    <w:rsid w:val="17B12471"/>
    <w:rsid w:val="17B12AA6"/>
    <w:rsid w:val="17B14CEF"/>
    <w:rsid w:val="17B1727B"/>
    <w:rsid w:val="17B215FF"/>
    <w:rsid w:val="17B3666C"/>
    <w:rsid w:val="17B467ED"/>
    <w:rsid w:val="17B622B0"/>
    <w:rsid w:val="17B70BC3"/>
    <w:rsid w:val="17B76250"/>
    <w:rsid w:val="17B76334"/>
    <w:rsid w:val="17B8055F"/>
    <w:rsid w:val="17B86896"/>
    <w:rsid w:val="17B969C4"/>
    <w:rsid w:val="17BA50A2"/>
    <w:rsid w:val="17BB191C"/>
    <w:rsid w:val="17BB4211"/>
    <w:rsid w:val="17BC5980"/>
    <w:rsid w:val="17BD6FE5"/>
    <w:rsid w:val="17BE004A"/>
    <w:rsid w:val="17BE6939"/>
    <w:rsid w:val="17BF0DD7"/>
    <w:rsid w:val="17BF4AF5"/>
    <w:rsid w:val="17C01DC1"/>
    <w:rsid w:val="17C040EC"/>
    <w:rsid w:val="17C05F2F"/>
    <w:rsid w:val="17C063A1"/>
    <w:rsid w:val="17C25EDD"/>
    <w:rsid w:val="17C36FE9"/>
    <w:rsid w:val="17C44115"/>
    <w:rsid w:val="17C526AA"/>
    <w:rsid w:val="17C60315"/>
    <w:rsid w:val="17C72DFB"/>
    <w:rsid w:val="17C87211"/>
    <w:rsid w:val="17CB4445"/>
    <w:rsid w:val="17CC1C9F"/>
    <w:rsid w:val="17CC34D1"/>
    <w:rsid w:val="17CD2693"/>
    <w:rsid w:val="17D23DF1"/>
    <w:rsid w:val="17D27ED7"/>
    <w:rsid w:val="17D30996"/>
    <w:rsid w:val="17D31C77"/>
    <w:rsid w:val="17D3568A"/>
    <w:rsid w:val="17D44A04"/>
    <w:rsid w:val="17D457FD"/>
    <w:rsid w:val="17D622DF"/>
    <w:rsid w:val="17D758BD"/>
    <w:rsid w:val="17DA09D4"/>
    <w:rsid w:val="17DC0B48"/>
    <w:rsid w:val="17DC7F18"/>
    <w:rsid w:val="17DE5129"/>
    <w:rsid w:val="17DE7483"/>
    <w:rsid w:val="17DF45F4"/>
    <w:rsid w:val="17E1575E"/>
    <w:rsid w:val="17E22AB4"/>
    <w:rsid w:val="17E35A4A"/>
    <w:rsid w:val="17E4102B"/>
    <w:rsid w:val="17E45A99"/>
    <w:rsid w:val="17E70501"/>
    <w:rsid w:val="17E766EE"/>
    <w:rsid w:val="17EA1B6A"/>
    <w:rsid w:val="17EA5EF0"/>
    <w:rsid w:val="17ED4191"/>
    <w:rsid w:val="17EE2BBC"/>
    <w:rsid w:val="17EF2291"/>
    <w:rsid w:val="17F02210"/>
    <w:rsid w:val="17F0660E"/>
    <w:rsid w:val="17F35A1B"/>
    <w:rsid w:val="17F416BF"/>
    <w:rsid w:val="17F426AC"/>
    <w:rsid w:val="17F667B5"/>
    <w:rsid w:val="17F66F33"/>
    <w:rsid w:val="17F727B2"/>
    <w:rsid w:val="17F87CC7"/>
    <w:rsid w:val="17F91A05"/>
    <w:rsid w:val="17F925FA"/>
    <w:rsid w:val="17F92A72"/>
    <w:rsid w:val="17FB0005"/>
    <w:rsid w:val="17FC3676"/>
    <w:rsid w:val="17FD24FB"/>
    <w:rsid w:val="17FE342F"/>
    <w:rsid w:val="17FF5486"/>
    <w:rsid w:val="17FF78CE"/>
    <w:rsid w:val="180005B0"/>
    <w:rsid w:val="180133D0"/>
    <w:rsid w:val="1801537B"/>
    <w:rsid w:val="180164C5"/>
    <w:rsid w:val="180208F4"/>
    <w:rsid w:val="1802478D"/>
    <w:rsid w:val="180404EF"/>
    <w:rsid w:val="180441FE"/>
    <w:rsid w:val="18044AFB"/>
    <w:rsid w:val="18051C98"/>
    <w:rsid w:val="18061192"/>
    <w:rsid w:val="18062B73"/>
    <w:rsid w:val="18071D30"/>
    <w:rsid w:val="18072256"/>
    <w:rsid w:val="18075E07"/>
    <w:rsid w:val="18091E7F"/>
    <w:rsid w:val="18092DFF"/>
    <w:rsid w:val="18093748"/>
    <w:rsid w:val="180C33A0"/>
    <w:rsid w:val="180C5F51"/>
    <w:rsid w:val="180D0002"/>
    <w:rsid w:val="180D1C5B"/>
    <w:rsid w:val="180D7166"/>
    <w:rsid w:val="180E4605"/>
    <w:rsid w:val="180E557E"/>
    <w:rsid w:val="180E6C46"/>
    <w:rsid w:val="180F20F6"/>
    <w:rsid w:val="18100D38"/>
    <w:rsid w:val="181261D9"/>
    <w:rsid w:val="1813169F"/>
    <w:rsid w:val="18142AC3"/>
    <w:rsid w:val="1814466D"/>
    <w:rsid w:val="18147845"/>
    <w:rsid w:val="181606D2"/>
    <w:rsid w:val="181650A2"/>
    <w:rsid w:val="18173480"/>
    <w:rsid w:val="181A2CFE"/>
    <w:rsid w:val="181A3AAB"/>
    <w:rsid w:val="181A43D5"/>
    <w:rsid w:val="181B10CF"/>
    <w:rsid w:val="181B22CC"/>
    <w:rsid w:val="181B28A5"/>
    <w:rsid w:val="181D3EAB"/>
    <w:rsid w:val="181E05D9"/>
    <w:rsid w:val="181E20ED"/>
    <w:rsid w:val="181E2472"/>
    <w:rsid w:val="181E3301"/>
    <w:rsid w:val="181E6053"/>
    <w:rsid w:val="18205492"/>
    <w:rsid w:val="18206D6F"/>
    <w:rsid w:val="18225A7D"/>
    <w:rsid w:val="18244140"/>
    <w:rsid w:val="182538FB"/>
    <w:rsid w:val="1826098F"/>
    <w:rsid w:val="1827503A"/>
    <w:rsid w:val="18284DF0"/>
    <w:rsid w:val="18291542"/>
    <w:rsid w:val="182B06BF"/>
    <w:rsid w:val="182B489E"/>
    <w:rsid w:val="182B66BB"/>
    <w:rsid w:val="182B6CCB"/>
    <w:rsid w:val="182C10DF"/>
    <w:rsid w:val="182C7205"/>
    <w:rsid w:val="182D0361"/>
    <w:rsid w:val="182D40FC"/>
    <w:rsid w:val="182E27C3"/>
    <w:rsid w:val="182E4312"/>
    <w:rsid w:val="182E5676"/>
    <w:rsid w:val="182F4577"/>
    <w:rsid w:val="182F5181"/>
    <w:rsid w:val="183062C9"/>
    <w:rsid w:val="183134EF"/>
    <w:rsid w:val="18316649"/>
    <w:rsid w:val="183306A2"/>
    <w:rsid w:val="18332A85"/>
    <w:rsid w:val="18333852"/>
    <w:rsid w:val="183512DB"/>
    <w:rsid w:val="18352684"/>
    <w:rsid w:val="18354B78"/>
    <w:rsid w:val="1836379D"/>
    <w:rsid w:val="183700EC"/>
    <w:rsid w:val="183711E2"/>
    <w:rsid w:val="18390368"/>
    <w:rsid w:val="18394B01"/>
    <w:rsid w:val="183A1C29"/>
    <w:rsid w:val="183A7CBC"/>
    <w:rsid w:val="183B2434"/>
    <w:rsid w:val="183B59C6"/>
    <w:rsid w:val="183B7963"/>
    <w:rsid w:val="183D6492"/>
    <w:rsid w:val="183D6AF2"/>
    <w:rsid w:val="183D7C84"/>
    <w:rsid w:val="183E410A"/>
    <w:rsid w:val="183E5118"/>
    <w:rsid w:val="183F7790"/>
    <w:rsid w:val="184177DB"/>
    <w:rsid w:val="18420F04"/>
    <w:rsid w:val="18433B42"/>
    <w:rsid w:val="18443DDB"/>
    <w:rsid w:val="18446D3A"/>
    <w:rsid w:val="184616C6"/>
    <w:rsid w:val="18486C22"/>
    <w:rsid w:val="18496A10"/>
    <w:rsid w:val="184B007F"/>
    <w:rsid w:val="184C5231"/>
    <w:rsid w:val="184C7822"/>
    <w:rsid w:val="184E1DF0"/>
    <w:rsid w:val="184E5791"/>
    <w:rsid w:val="184E6FEC"/>
    <w:rsid w:val="18513818"/>
    <w:rsid w:val="185172BF"/>
    <w:rsid w:val="185174EF"/>
    <w:rsid w:val="1853755E"/>
    <w:rsid w:val="18537A75"/>
    <w:rsid w:val="18545C09"/>
    <w:rsid w:val="18547253"/>
    <w:rsid w:val="185554B0"/>
    <w:rsid w:val="18574EF4"/>
    <w:rsid w:val="18577387"/>
    <w:rsid w:val="185B447B"/>
    <w:rsid w:val="185B74AB"/>
    <w:rsid w:val="185B764C"/>
    <w:rsid w:val="185C66DC"/>
    <w:rsid w:val="185D7CD3"/>
    <w:rsid w:val="185F5FF1"/>
    <w:rsid w:val="185F678B"/>
    <w:rsid w:val="185F7712"/>
    <w:rsid w:val="1860376F"/>
    <w:rsid w:val="18620ECA"/>
    <w:rsid w:val="1862728D"/>
    <w:rsid w:val="18631C3A"/>
    <w:rsid w:val="186355DB"/>
    <w:rsid w:val="186373D0"/>
    <w:rsid w:val="18643FD7"/>
    <w:rsid w:val="18644328"/>
    <w:rsid w:val="18650829"/>
    <w:rsid w:val="18661625"/>
    <w:rsid w:val="18673D01"/>
    <w:rsid w:val="186744D0"/>
    <w:rsid w:val="18674BA9"/>
    <w:rsid w:val="186A33C4"/>
    <w:rsid w:val="186A5AA3"/>
    <w:rsid w:val="186E51A7"/>
    <w:rsid w:val="186F4D4A"/>
    <w:rsid w:val="187009C7"/>
    <w:rsid w:val="187261CF"/>
    <w:rsid w:val="18727D3B"/>
    <w:rsid w:val="18734C5B"/>
    <w:rsid w:val="187357D6"/>
    <w:rsid w:val="1873794E"/>
    <w:rsid w:val="1874144F"/>
    <w:rsid w:val="187535E0"/>
    <w:rsid w:val="1876350E"/>
    <w:rsid w:val="18763D51"/>
    <w:rsid w:val="187640E3"/>
    <w:rsid w:val="187759A9"/>
    <w:rsid w:val="18780A1A"/>
    <w:rsid w:val="18782927"/>
    <w:rsid w:val="187A276B"/>
    <w:rsid w:val="187A37AA"/>
    <w:rsid w:val="187C5B16"/>
    <w:rsid w:val="187D34BA"/>
    <w:rsid w:val="187D3697"/>
    <w:rsid w:val="187E4212"/>
    <w:rsid w:val="18803FAF"/>
    <w:rsid w:val="18811FC9"/>
    <w:rsid w:val="188156B8"/>
    <w:rsid w:val="188170D7"/>
    <w:rsid w:val="18824EF2"/>
    <w:rsid w:val="188326C0"/>
    <w:rsid w:val="18834365"/>
    <w:rsid w:val="18842C7C"/>
    <w:rsid w:val="188559EF"/>
    <w:rsid w:val="18856A28"/>
    <w:rsid w:val="18864809"/>
    <w:rsid w:val="1887068E"/>
    <w:rsid w:val="18872CAD"/>
    <w:rsid w:val="18873410"/>
    <w:rsid w:val="18890A70"/>
    <w:rsid w:val="18890D35"/>
    <w:rsid w:val="188A2613"/>
    <w:rsid w:val="188A5B50"/>
    <w:rsid w:val="188A6E30"/>
    <w:rsid w:val="188C1B9F"/>
    <w:rsid w:val="188C4338"/>
    <w:rsid w:val="188D377A"/>
    <w:rsid w:val="188E672C"/>
    <w:rsid w:val="188E73FC"/>
    <w:rsid w:val="188F76CC"/>
    <w:rsid w:val="18913BAC"/>
    <w:rsid w:val="18916C60"/>
    <w:rsid w:val="189272B6"/>
    <w:rsid w:val="18931594"/>
    <w:rsid w:val="18936532"/>
    <w:rsid w:val="18940A92"/>
    <w:rsid w:val="18944875"/>
    <w:rsid w:val="18962CC7"/>
    <w:rsid w:val="18964BFF"/>
    <w:rsid w:val="189702AE"/>
    <w:rsid w:val="1897226B"/>
    <w:rsid w:val="189722F6"/>
    <w:rsid w:val="18973C99"/>
    <w:rsid w:val="18993DCD"/>
    <w:rsid w:val="18994F00"/>
    <w:rsid w:val="1899556D"/>
    <w:rsid w:val="189B305C"/>
    <w:rsid w:val="189C34CF"/>
    <w:rsid w:val="189E35AD"/>
    <w:rsid w:val="189E5EDA"/>
    <w:rsid w:val="189F0323"/>
    <w:rsid w:val="189F0F93"/>
    <w:rsid w:val="18A04252"/>
    <w:rsid w:val="18A127C3"/>
    <w:rsid w:val="18A137CE"/>
    <w:rsid w:val="18A244DE"/>
    <w:rsid w:val="18A24796"/>
    <w:rsid w:val="18A26E74"/>
    <w:rsid w:val="18A729DB"/>
    <w:rsid w:val="18A73A0A"/>
    <w:rsid w:val="18A741B5"/>
    <w:rsid w:val="18A74879"/>
    <w:rsid w:val="18A900DA"/>
    <w:rsid w:val="18A912AC"/>
    <w:rsid w:val="18AA2300"/>
    <w:rsid w:val="18AA7B7D"/>
    <w:rsid w:val="18AB1F57"/>
    <w:rsid w:val="18AF7097"/>
    <w:rsid w:val="18B13476"/>
    <w:rsid w:val="18B135B0"/>
    <w:rsid w:val="18B14D2F"/>
    <w:rsid w:val="18B15EE0"/>
    <w:rsid w:val="18B36071"/>
    <w:rsid w:val="18B44F69"/>
    <w:rsid w:val="18B507AD"/>
    <w:rsid w:val="18B532CB"/>
    <w:rsid w:val="18B630C6"/>
    <w:rsid w:val="18B75600"/>
    <w:rsid w:val="18B82428"/>
    <w:rsid w:val="18B83568"/>
    <w:rsid w:val="18B93B09"/>
    <w:rsid w:val="18B94A3C"/>
    <w:rsid w:val="18BB2CAA"/>
    <w:rsid w:val="18BD4547"/>
    <w:rsid w:val="18C12939"/>
    <w:rsid w:val="18C1506F"/>
    <w:rsid w:val="18C24AE5"/>
    <w:rsid w:val="18C36D65"/>
    <w:rsid w:val="18C400F2"/>
    <w:rsid w:val="18C50CE8"/>
    <w:rsid w:val="18C638FF"/>
    <w:rsid w:val="18C926E1"/>
    <w:rsid w:val="18C9581A"/>
    <w:rsid w:val="18CA036D"/>
    <w:rsid w:val="18CB7938"/>
    <w:rsid w:val="18D00308"/>
    <w:rsid w:val="18D10C51"/>
    <w:rsid w:val="18D123B7"/>
    <w:rsid w:val="18D13410"/>
    <w:rsid w:val="18D146FF"/>
    <w:rsid w:val="18D152F2"/>
    <w:rsid w:val="18D41C80"/>
    <w:rsid w:val="18D56FBF"/>
    <w:rsid w:val="18D56FD4"/>
    <w:rsid w:val="18D635FA"/>
    <w:rsid w:val="18D65040"/>
    <w:rsid w:val="18D677E3"/>
    <w:rsid w:val="18D761A8"/>
    <w:rsid w:val="18D95138"/>
    <w:rsid w:val="18DA0919"/>
    <w:rsid w:val="18DB0A37"/>
    <w:rsid w:val="18DB3EEC"/>
    <w:rsid w:val="18DC4FFA"/>
    <w:rsid w:val="18DC6628"/>
    <w:rsid w:val="18DC75C9"/>
    <w:rsid w:val="18DE6DC3"/>
    <w:rsid w:val="18DE7705"/>
    <w:rsid w:val="18DF298C"/>
    <w:rsid w:val="18E02AEC"/>
    <w:rsid w:val="18E056C0"/>
    <w:rsid w:val="18E50BAA"/>
    <w:rsid w:val="18E549B9"/>
    <w:rsid w:val="18E556BF"/>
    <w:rsid w:val="18E63DD5"/>
    <w:rsid w:val="18E759C9"/>
    <w:rsid w:val="18E84CC1"/>
    <w:rsid w:val="18E85806"/>
    <w:rsid w:val="18E90D15"/>
    <w:rsid w:val="18E969B6"/>
    <w:rsid w:val="18EA3F3B"/>
    <w:rsid w:val="18ED431E"/>
    <w:rsid w:val="18ED4FF1"/>
    <w:rsid w:val="18ED58CB"/>
    <w:rsid w:val="18EE1C94"/>
    <w:rsid w:val="18EE37AF"/>
    <w:rsid w:val="18F05CE4"/>
    <w:rsid w:val="18F06F29"/>
    <w:rsid w:val="18F12966"/>
    <w:rsid w:val="18F1775A"/>
    <w:rsid w:val="18F20721"/>
    <w:rsid w:val="18F31512"/>
    <w:rsid w:val="18F33777"/>
    <w:rsid w:val="18F41A32"/>
    <w:rsid w:val="18F424F5"/>
    <w:rsid w:val="18F558C8"/>
    <w:rsid w:val="18F56559"/>
    <w:rsid w:val="18F73CBD"/>
    <w:rsid w:val="18FA2F76"/>
    <w:rsid w:val="18FA3232"/>
    <w:rsid w:val="18FB0DB8"/>
    <w:rsid w:val="18FC36B2"/>
    <w:rsid w:val="18FC3CF6"/>
    <w:rsid w:val="18FD0360"/>
    <w:rsid w:val="18FF2227"/>
    <w:rsid w:val="19001B31"/>
    <w:rsid w:val="19003C6E"/>
    <w:rsid w:val="19012E97"/>
    <w:rsid w:val="190131C3"/>
    <w:rsid w:val="190200A9"/>
    <w:rsid w:val="19056CDA"/>
    <w:rsid w:val="19065AC6"/>
    <w:rsid w:val="1907191F"/>
    <w:rsid w:val="19072A61"/>
    <w:rsid w:val="19087477"/>
    <w:rsid w:val="19094A74"/>
    <w:rsid w:val="19096728"/>
    <w:rsid w:val="19096903"/>
    <w:rsid w:val="190A3FE3"/>
    <w:rsid w:val="190A586E"/>
    <w:rsid w:val="190B712F"/>
    <w:rsid w:val="190C5580"/>
    <w:rsid w:val="190E3F55"/>
    <w:rsid w:val="190F5168"/>
    <w:rsid w:val="19116779"/>
    <w:rsid w:val="191240D4"/>
    <w:rsid w:val="19130AA4"/>
    <w:rsid w:val="19144D2B"/>
    <w:rsid w:val="191540D9"/>
    <w:rsid w:val="19162E78"/>
    <w:rsid w:val="19170274"/>
    <w:rsid w:val="19180A75"/>
    <w:rsid w:val="19182933"/>
    <w:rsid w:val="191850C9"/>
    <w:rsid w:val="1919282D"/>
    <w:rsid w:val="191A07F4"/>
    <w:rsid w:val="191A5CEE"/>
    <w:rsid w:val="191A7B50"/>
    <w:rsid w:val="191B4D3A"/>
    <w:rsid w:val="191C51C2"/>
    <w:rsid w:val="191D7DB1"/>
    <w:rsid w:val="191E4425"/>
    <w:rsid w:val="191F1F6E"/>
    <w:rsid w:val="191F6036"/>
    <w:rsid w:val="191F64EF"/>
    <w:rsid w:val="192005F1"/>
    <w:rsid w:val="19212EAC"/>
    <w:rsid w:val="1921396C"/>
    <w:rsid w:val="1922476A"/>
    <w:rsid w:val="19270E05"/>
    <w:rsid w:val="192835A8"/>
    <w:rsid w:val="192906DD"/>
    <w:rsid w:val="192A1BC9"/>
    <w:rsid w:val="192A37BE"/>
    <w:rsid w:val="192A6367"/>
    <w:rsid w:val="192B4E46"/>
    <w:rsid w:val="192C7239"/>
    <w:rsid w:val="192E31C5"/>
    <w:rsid w:val="192F149B"/>
    <w:rsid w:val="19302221"/>
    <w:rsid w:val="19316C9E"/>
    <w:rsid w:val="19323942"/>
    <w:rsid w:val="19331D79"/>
    <w:rsid w:val="19336582"/>
    <w:rsid w:val="19345F3D"/>
    <w:rsid w:val="193463F1"/>
    <w:rsid w:val="1935122A"/>
    <w:rsid w:val="19361140"/>
    <w:rsid w:val="193735C6"/>
    <w:rsid w:val="1939354A"/>
    <w:rsid w:val="19397CD6"/>
    <w:rsid w:val="193A06C4"/>
    <w:rsid w:val="193B2EEA"/>
    <w:rsid w:val="193B375D"/>
    <w:rsid w:val="193B79D8"/>
    <w:rsid w:val="193E30B0"/>
    <w:rsid w:val="19407B7B"/>
    <w:rsid w:val="19411DD3"/>
    <w:rsid w:val="19412CE6"/>
    <w:rsid w:val="19413731"/>
    <w:rsid w:val="19417C12"/>
    <w:rsid w:val="194235E6"/>
    <w:rsid w:val="194251EB"/>
    <w:rsid w:val="19444266"/>
    <w:rsid w:val="19446AF1"/>
    <w:rsid w:val="194505FE"/>
    <w:rsid w:val="194552BB"/>
    <w:rsid w:val="194672D2"/>
    <w:rsid w:val="19477BD2"/>
    <w:rsid w:val="1948148E"/>
    <w:rsid w:val="19481FE2"/>
    <w:rsid w:val="194920C9"/>
    <w:rsid w:val="194E031F"/>
    <w:rsid w:val="194E61CD"/>
    <w:rsid w:val="195038B6"/>
    <w:rsid w:val="19513EAF"/>
    <w:rsid w:val="19524324"/>
    <w:rsid w:val="19526877"/>
    <w:rsid w:val="19531B92"/>
    <w:rsid w:val="195414AD"/>
    <w:rsid w:val="19553AE8"/>
    <w:rsid w:val="19555E25"/>
    <w:rsid w:val="19561BFC"/>
    <w:rsid w:val="195713F4"/>
    <w:rsid w:val="19577FFC"/>
    <w:rsid w:val="19583A85"/>
    <w:rsid w:val="19585853"/>
    <w:rsid w:val="19591956"/>
    <w:rsid w:val="195A349F"/>
    <w:rsid w:val="195A4B08"/>
    <w:rsid w:val="19626D3D"/>
    <w:rsid w:val="19652EEB"/>
    <w:rsid w:val="196659E4"/>
    <w:rsid w:val="1967365E"/>
    <w:rsid w:val="196C1720"/>
    <w:rsid w:val="196C5871"/>
    <w:rsid w:val="196E32C9"/>
    <w:rsid w:val="196E4F50"/>
    <w:rsid w:val="196E57E7"/>
    <w:rsid w:val="197122D7"/>
    <w:rsid w:val="19723863"/>
    <w:rsid w:val="19723DA6"/>
    <w:rsid w:val="197273DC"/>
    <w:rsid w:val="197278EC"/>
    <w:rsid w:val="197745D7"/>
    <w:rsid w:val="19782A39"/>
    <w:rsid w:val="19785CAC"/>
    <w:rsid w:val="19786777"/>
    <w:rsid w:val="19787BFA"/>
    <w:rsid w:val="1979101B"/>
    <w:rsid w:val="1979606C"/>
    <w:rsid w:val="1979655E"/>
    <w:rsid w:val="19796E0A"/>
    <w:rsid w:val="197A24E5"/>
    <w:rsid w:val="197A4168"/>
    <w:rsid w:val="197B0324"/>
    <w:rsid w:val="197D51B5"/>
    <w:rsid w:val="197D624D"/>
    <w:rsid w:val="19827797"/>
    <w:rsid w:val="1983765C"/>
    <w:rsid w:val="198423BD"/>
    <w:rsid w:val="198601AA"/>
    <w:rsid w:val="19861471"/>
    <w:rsid w:val="19861897"/>
    <w:rsid w:val="19867DB2"/>
    <w:rsid w:val="198804EA"/>
    <w:rsid w:val="198901FC"/>
    <w:rsid w:val="19890368"/>
    <w:rsid w:val="198C0AD3"/>
    <w:rsid w:val="198C0BFD"/>
    <w:rsid w:val="198C3294"/>
    <w:rsid w:val="198C3C2F"/>
    <w:rsid w:val="198C4F8E"/>
    <w:rsid w:val="198D6F85"/>
    <w:rsid w:val="198E05F5"/>
    <w:rsid w:val="198F61F5"/>
    <w:rsid w:val="1991461A"/>
    <w:rsid w:val="19915750"/>
    <w:rsid w:val="199175F1"/>
    <w:rsid w:val="199300BA"/>
    <w:rsid w:val="1993725E"/>
    <w:rsid w:val="19944332"/>
    <w:rsid w:val="199717AE"/>
    <w:rsid w:val="19977F01"/>
    <w:rsid w:val="19980B68"/>
    <w:rsid w:val="19981E33"/>
    <w:rsid w:val="1999058F"/>
    <w:rsid w:val="19992058"/>
    <w:rsid w:val="199A7E4C"/>
    <w:rsid w:val="199B3558"/>
    <w:rsid w:val="199D74A4"/>
    <w:rsid w:val="199E0277"/>
    <w:rsid w:val="19A01EA7"/>
    <w:rsid w:val="19A0661B"/>
    <w:rsid w:val="19A1186E"/>
    <w:rsid w:val="19A11B47"/>
    <w:rsid w:val="19A25981"/>
    <w:rsid w:val="19A601AB"/>
    <w:rsid w:val="19A61B39"/>
    <w:rsid w:val="19A70979"/>
    <w:rsid w:val="19A74B58"/>
    <w:rsid w:val="19A86FEF"/>
    <w:rsid w:val="19A874D9"/>
    <w:rsid w:val="19A96350"/>
    <w:rsid w:val="19AA0461"/>
    <w:rsid w:val="19AB4A4A"/>
    <w:rsid w:val="19AB6B50"/>
    <w:rsid w:val="19AB7692"/>
    <w:rsid w:val="19AC03D8"/>
    <w:rsid w:val="19AC6BF7"/>
    <w:rsid w:val="19AE62E2"/>
    <w:rsid w:val="19AF241D"/>
    <w:rsid w:val="19AF391F"/>
    <w:rsid w:val="19B115DB"/>
    <w:rsid w:val="19B21848"/>
    <w:rsid w:val="19B6754E"/>
    <w:rsid w:val="19B7329D"/>
    <w:rsid w:val="19B95C11"/>
    <w:rsid w:val="19B97605"/>
    <w:rsid w:val="19BA4190"/>
    <w:rsid w:val="19BB64B7"/>
    <w:rsid w:val="19BB6E10"/>
    <w:rsid w:val="19BC7C7C"/>
    <w:rsid w:val="19BD6013"/>
    <w:rsid w:val="19BD7981"/>
    <w:rsid w:val="19BE540B"/>
    <w:rsid w:val="19BF298B"/>
    <w:rsid w:val="19BF40D7"/>
    <w:rsid w:val="19C00729"/>
    <w:rsid w:val="19C10D4A"/>
    <w:rsid w:val="19C11F08"/>
    <w:rsid w:val="19C134EF"/>
    <w:rsid w:val="19C22C78"/>
    <w:rsid w:val="19C249EA"/>
    <w:rsid w:val="19C26D7F"/>
    <w:rsid w:val="19C42354"/>
    <w:rsid w:val="19C51802"/>
    <w:rsid w:val="19C7382B"/>
    <w:rsid w:val="19C77287"/>
    <w:rsid w:val="19C91688"/>
    <w:rsid w:val="19CB66DF"/>
    <w:rsid w:val="19CC2B1C"/>
    <w:rsid w:val="19CD750A"/>
    <w:rsid w:val="19D06B08"/>
    <w:rsid w:val="19D62551"/>
    <w:rsid w:val="19D66905"/>
    <w:rsid w:val="19D74600"/>
    <w:rsid w:val="19D85D79"/>
    <w:rsid w:val="19D93BBA"/>
    <w:rsid w:val="19DA2C87"/>
    <w:rsid w:val="19DB2749"/>
    <w:rsid w:val="19DE5737"/>
    <w:rsid w:val="19DE5C70"/>
    <w:rsid w:val="19DE632C"/>
    <w:rsid w:val="19DF1921"/>
    <w:rsid w:val="19E03948"/>
    <w:rsid w:val="19E043F6"/>
    <w:rsid w:val="19E21C5E"/>
    <w:rsid w:val="19E3328C"/>
    <w:rsid w:val="19E35CB4"/>
    <w:rsid w:val="19E411DF"/>
    <w:rsid w:val="19E41BC5"/>
    <w:rsid w:val="19E44AD0"/>
    <w:rsid w:val="19E55C3F"/>
    <w:rsid w:val="19E747F5"/>
    <w:rsid w:val="19E80B13"/>
    <w:rsid w:val="19EA00A0"/>
    <w:rsid w:val="19EB0900"/>
    <w:rsid w:val="19EC0E0E"/>
    <w:rsid w:val="19EC29D8"/>
    <w:rsid w:val="19EC4572"/>
    <w:rsid w:val="19EE32BD"/>
    <w:rsid w:val="19EE409D"/>
    <w:rsid w:val="19EF27FB"/>
    <w:rsid w:val="19F038C2"/>
    <w:rsid w:val="19F068EF"/>
    <w:rsid w:val="19F32CD3"/>
    <w:rsid w:val="19F35CE1"/>
    <w:rsid w:val="19F375F3"/>
    <w:rsid w:val="19F737C0"/>
    <w:rsid w:val="19F74432"/>
    <w:rsid w:val="19F86554"/>
    <w:rsid w:val="19F87281"/>
    <w:rsid w:val="19F91AF9"/>
    <w:rsid w:val="19F9401C"/>
    <w:rsid w:val="19F96476"/>
    <w:rsid w:val="19FA2A47"/>
    <w:rsid w:val="19FB2698"/>
    <w:rsid w:val="19FB4213"/>
    <w:rsid w:val="19FE155C"/>
    <w:rsid w:val="19FE2244"/>
    <w:rsid w:val="19FF4541"/>
    <w:rsid w:val="1A004B53"/>
    <w:rsid w:val="1A017E65"/>
    <w:rsid w:val="1A033C35"/>
    <w:rsid w:val="1A0516C2"/>
    <w:rsid w:val="1A067EE5"/>
    <w:rsid w:val="1A075D47"/>
    <w:rsid w:val="1A0942F4"/>
    <w:rsid w:val="1A096B03"/>
    <w:rsid w:val="1A09779E"/>
    <w:rsid w:val="1A0A297B"/>
    <w:rsid w:val="1A0A5BBB"/>
    <w:rsid w:val="1A0A6625"/>
    <w:rsid w:val="1A0B5DB8"/>
    <w:rsid w:val="1A0E0D19"/>
    <w:rsid w:val="1A0F294D"/>
    <w:rsid w:val="1A0F43D0"/>
    <w:rsid w:val="1A100E04"/>
    <w:rsid w:val="1A10476C"/>
    <w:rsid w:val="1A114734"/>
    <w:rsid w:val="1A117591"/>
    <w:rsid w:val="1A1203F5"/>
    <w:rsid w:val="1A132C7C"/>
    <w:rsid w:val="1A132E2F"/>
    <w:rsid w:val="1A157BCF"/>
    <w:rsid w:val="1A170883"/>
    <w:rsid w:val="1A181878"/>
    <w:rsid w:val="1A187EB0"/>
    <w:rsid w:val="1A19495D"/>
    <w:rsid w:val="1A1954ED"/>
    <w:rsid w:val="1A195C74"/>
    <w:rsid w:val="1A1A0597"/>
    <w:rsid w:val="1A1A0DDA"/>
    <w:rsid w:val="1A1A3BDA"/>
    <w:rsid w:val="1A1A7106"/>
    <w:rsid w:val="1A1B2306"/>
    <w:rsid w:val="1A1B3C0B"/>
    <w:rsid w:val="1A1C3405"/>
    <w:rsid w:val="1A1C6A56"/>
    <w:rsid w:val="1A1D365D"/>
    <w:rsid w:val="1A1D6B46"/>
    <w:rsid w:val="1A1E4FD7"/>
    <w:rsid w:val="1A1F5851"/>
    <w:rsid w:val="1A1F5D40"/>
    <w:rsid w:val="1A23068E"/>
    <w:rsid w:val="1A257366"/>
    <w:rsid w:val="1A28208E"/>
    <w:rsid w:val="1A287FCA"/>
    <w:rsid w:val="1A290C03"/>
    <w:rsid w:val="1A2A00BE"/>
    <w:rsid w:val="1A2A702A"/>
    <w:rsid w:val="1A2C0E66"/>
    <w:rsid w:val="1A2C7AD6"/>
    <w:rsid w:val="1A2D3ADA"/>
    <w:rsid w:val="1A2E1B3B"/>
    <w:rsid w:val="1A2E3D22"/>
    <w:rsid w:val="1A2E76B1"/>
    <w:rsid w:val="1A2F0F12"/>
    <w:rsid w:val="1A2F13E8"/>
    <w:rsid w:val="1A2F1F15"/>
    <w:rsid w:val="1A330CD1"/>
    <w:rsid w:val="1A3327E1"/>
    <w:rsid w:val="1A333373"/>
    <w:rsid w:val="1A3348FA"/>
    <w:rsid w:val="1A342E52"/>
    <w:rsid w:val="1A392D94"/>
    <w:rsid w:val="1A3979E6"/>
    <w:rsid w:val="1A3A3560"/>
    <w:rsid w:val="1A3C48A7"/>
    <w:rsid w:val="1A3F48EA"/>
    <w:rsid w:val="1A3F4C20"/>
    <w:rsid w:val="1A3F6246"/>
    <w:rsid w:val="1A400283"/>
    <w:rsid w:val="1A404921"/>
    <w:rsid w:val="1A404A13"/>
    <w:rsid w:val="1A4065F5"/>
    <w:rsid w:val="1A412097"/>
    <w:rsid w:val="1A425452"/>
    <w:rsid w:val="1A45009B"/>
    <w:rsid w:val="1A466C87"/>
    <w:rsid w:val="1A4732F4"/>
    <w:rsid w:val="1A4733C2"/>
    <w:rsid w:val="1A475B58"/>
    <w:rsid w:val="1A491970"/>
    <w:rsid w:val="1A4A57A0"/>
    <w:rsid w:val="1A4A6546"/>
    <w:rsid w:val="1A4B25B5"/>
    <w:rsid w:val="1A4B75B1"/>
    <w:rsid w:val="1A4C5A3F"/>
    <w:rsid w:val="1A4D31D0"/>
    <w:rsid w:val="1A4E3193"/>
    <w:rsid w:val="1A4E34E2"/>
    <w:rsid w:val="1A4F7034"/>
    <w:rsid w:val="1A504D3E"/>
    <w:rsid w:val="1A510268"/>
    <w:rsid w:val="1A513D22"/>
    <w:rsid w:val="1A530AF8"/>
    <w:rsid w:val="1A53407C"/>
    <w:rsid w:val="1A56067D"/>
    <w:rsid w:val="1A560F1E"/>
    <w:rsid w:val="1A561BBC"/>
    <w:rsid w:val="1A564DE2"/>
    <w:rsid w:val="1A5D45E3"/>
    <w:rsid w:val="1A5D4801"/>
    <w:rsid w:val="1A5D70B6"/>
    <w:rsid w:val="1A5E1963"/>
    <w:rsid w:val="1A5E2958"/>
    <w:rsid w:val="1A6004A9"/>
    <w:rsid w:val="1A6026BF"/>
    <w:rsid w:val="1A61430A"/>
    <w:rsid w:val="1A636203"/>
    <w:rsid w:val="1A6514AA"/>
    <w:rsid w:val="1A656805"/>
    <w:rsid w:val="1A673030"/>
    <w:rsid w:val="1A686415"/>
    <w:rsid w:val="1A6A3F10"/>
    <w:rsid w:val="1A6B080E"/>
    <w:rsid w:val="1A6B0B75"/>
    <w:rsid w:val="1A6F061F"/>
    <w:rsid w:val="1A7156B4"/>
    <w:rsid w:val="1A720905"/>
    <w:rsid w:val="1A724CA3"/>
    <w:rsid w:val="1A73164A"/>
    <w:rsid w:val="1A762651"/>
    <w:rsid w:val="1A7760E1"/>
    <w:rsid w:val="1A780E63"/>
    <w:rsid w:val="1A78230D"/>
    <w:rsid w:val="1A783070"/>
    <w:rsid w:val="1A7875C7"/>
    <w:rsid w:val="1A791A0F"/>
    <w:rsid w:val="1A7A4C97"/>
    <w:rsid w:val="1A7A7A5E"/>
    <w:rsid w:val="1A7B397B"/>
    <w:rsid w:val="1A7D2B06"/>
    <w:rsid w:val="1A7D2C1E"/>
    <w:rsid w:val="1A7E3555"/>
    <w:rsid w:val="1A7F661F"/>
    <w:rsid w:val="1A80089F"/>
    <w:rsid w:val="1A8040A3"/>
    <w:rsid w:val="1A805A6F"/>
    <w:rsid w:val="1A805ED2"/>
    <w:rsid w:val="1A822950"/>
    <w:rsid w:val="1A8261CF"/>
    <w:rsid w:val="1A8276F3"/>
    <w:rsid w:val="1A830BA4"/>
    <w:rsid w:val="1A836766"/>
    <w:rsid w:val="1A845858"/>
    <w:rsid w:val="1A852565"/>
    <w:rsid w:val="1A861580"/>
    <w:rsid w:val="1A864BE2"/>
    <w:rsid w:val="1A8707A2"/>
    <w:rsid w:val="1A872F57"/>
    <w:rsid w:val="1A881AC8"/>
    <w:rsid w:val="1A887ACF"/>
    <w:rsid w:val="1A891201"/>
    <w:rsid w:val="1A89451A"/>
    <w:rsid w:val="1A8A715E"/>
    <w:rsid w:val="1A8B4767"/>
    <w:rsid w:val="1A8B47CE"/>
    <w:rsid w:val="1A8C248B"/>
    <w:rsid w:val="1A8E7EF4"/>
    <w:rsid w:val="1A8F6475"/>
    <w:rsid w:val="1A8F75AD"/>
    <w:rsid w:val="1A903AFB"/>
    <w:rsid w:val="1A916B5B"/>
    <w:rsid w:val="1A931EF0"/>
    <w:rsid w:val="1A9462F7"/>
    <w:rsid w:val="1A96280A"/>
    <w:rsid w:val="1A965642"/>
    <w:rsid w:val="1A967A74"/>
    <w:rsid w:val="1A993322"/>
    <w:rsid w:val="1A9A1D56"/>
    <w:rsid w:val="1A9A20FC"/>
    <w:rsid w:val="1A9B3BDB"/>
    <w:rsid w:val="1A9B5781"/>
    <w:rsid w:val="1A9C0273"/>
    <w:rsid w:val="1A9D1E81"/>
    <w:rsid w:val="1A9E64AB"/>
    <w:rsid w:val="1AA07F67"/>
    <w:rsid w:val="1AA17AB6"/>
    <w:rsid w:val="1AA3326A"/>
    <w:rsid w:val="1AA42987"/>
    <w:rsid w:val="1AA60A2E"/>
    <w:rsid w:val="1AA70FE6"/>
    <w:rsid w:val="1AA81B41"/>
    <w:rsid w:val="1AA869F3"/>
    <w:rsid w:val="1AA95567"/>
    <w:rsid w:val="1AAA159F"/>
    <w:rsid w:val="1AAA33A7"/>
    <w:rsid w:val="1AAA3471"/>
    <w:rsid w:val="1AAB23CA"/>
    <w:rsid w:val="1AAC39CF"/>
    <w:rsid w:val="1AAC4D82"/>
    <w:rsid w:val="1AAF0E5E"/>
    <w:rsid w:val="1AAF5923"/>
    <w:rsid w:val="1AB12C7C"/>
    <w:rsid w:val="1AB23650"/>
    <w:rsid w:val="1AB326E7"/>
    <w:rsid w:val="1AB5265E"/>
    <w:rsid w:val="1AB602A9"/>
    <w:rsid w:val="1AB64D88"/>
    <w:rsid w:val="1AB83BC0"/>
    <w:rsid w:val="1AB86841"/>
    <w:rsid w:val="1ABB3098"/>
    <w:rsid w:val="1ABB60F5"/>
    <w:rsid w:val="1ABD22DA"/>
    <w:rsid w:val="1ABE3B50"/>
    <w:rsid w:val="1AC124CA"/>
    <w:rsid w:val="1AC1424E"/>
    <w:rsid w:val="1AC17439"/>
    <w:rsid w:val="1AC31ECE"/>
    <w:rsid w:val="1AC559CA"/>
    <w:rsid w:val="1AC56101"/>
    <w:rsid w:val="1AC615C3"/>
    <w:rsid w:val="1AC6486A"/>
    <w:rsid w:val="1AC70920"/>
    <w:rsid w:val="1AC71523"/>
    <w:rsid w:val="1AC94917"/>
    <w:rsid w:val="1ACA1BAC"/>
    <w:rsid w:val="1ACB0AE1"/>
    <w:rsid w:val="1ACC14CB"/>
    <w:rsid w:val="1ACC7DE6"/>
    <w:rsid w:val="1ACE4240"/>
    <w:rsid w:val="1ACF6F49"/>
    <w:rsid w:val="1ACF7D9B"/>
    <w:rsid w:val="1AD0039B"/>
    <w:rsid w:val="1AD10A88"/>
    <w:rsid w:val="1AD27836"/>
    <w:rsid w:val="1AD354A7"/>
    <w:rsid w:val="1AD419B9"/>
    <w:rsid w:val="1AD50184"/>
    <w:rsid w:val="1AD91F97"/>
    <w:rsid w:val="1AD97E8F"/>
    <w:rsid w:val="1ADA1A01"/>
    <w:rsid w:val="1ADB5094"/>
    <w:rsid w:val="1ADD0187"/>
    <w:rsid w:val="1ADD6C5A"/>
    <w:rsid w:val="1ADF494A"/>
    <w:rsid w:val="1ADF7B52"/>
    <w:rsid w:val="1AE102EA"/>
    <w:rsid w:val="1AE138B6"/>
    <w:rsid w:val="1AE14CCD"/>
    <w:rsid w:val="1AE1788E"/>
    <w:rsid w:val="1AE33142"/>
    <w:rsid w:val="1AE422B5"/>
    <w:rsid w:val="1AE640C2"/>
    <w:rsid w:val="1AE67B11"/>
    <w:rsid w:val="1AE73B9C"/>
    <w:rsid w:val="1AE73D56"/>
    <w:rsid w:val="1AE862D2"/>
    <w:rsid w:val="1AE93C11"/>
    <w:rsid w:val="1AEA2550"/>
    <w:rsid w:val="1AEB0698"/>
    <w:rsid w:val="1AEC6857"/>
    <w:rsid w:val="1AEC7054"/>
    <w:rsid w:val="1AED47F8"/>
    <w:rsid w:val="1AEF6107"/>
    <w:rsid w:val="1AF068C6"/>
    <w:rsid w:val="1AF135AA"/>
    <w:rsid w:val="1AF14FAD"/>
    <w:rsid w:val="1AF17F94"/>
    <w:rsid w:val="1AF245FD"/>
    <w:rsid w:val="1AF35E37"/>
    <w:rsid w:val="1AF42F04"/>
    <w:rsid w:val="1AF4576B"/>
    <w:rsid w:val="1AF55688"/>
    <w:rsid w:val="1AF6002C"/>
    <w:rsid w:val="1AF64D09"/>
    <w:rsid w:val="1AF82A8D"/>
    <w:rsid w:val="1AF841EC"/>
    <w:rsid w:val="1AFA0DA6"/>
    <w:rsid w:val="1AFA418D"/>
    <w:rsid w:val="1AFB2FBA"/>
    <w:rsid w:val="1AFB543C"/>
    <w:rsid w:val="1AFB60CB"/>
    <w:rsid w:val="1AFC1187"/>
    <w:rsid w:val="1AFD797B"/>
    <w:rsid w:val="1AFF27F8"/>
    <w:rsid w:val="1B00176C"/>
    <w:rsid w:val="1B001F96"/>
    <w:rsid w:val="1B021EF3"/>
    <w:rsid w:val="1B031FF1"/>
    <w:rsid w:val="1B03201F"/>
    <w:rsid w:val="1B033765"/>
    <w:rsid w:val="1B034977"/>
    <w:rsid w:val="1B035589"/>
    <w:rsid w:val="1B0374B9"/>
    <w:rsid w:val="1B0376D1"/>
    <w:rsid w:val="1B0459FB"/>
    <w:rsid w:val="1B055155"/>
    <w:rsid w:val="1B065100"/>
    <w:rsid w:val="1B06722A"/>
    <w:rsid w:val="1B082AD8"/>
    <w:rsid w:val="1B083AE8"/>
    <w:rsid w:val="1B086FA3"/>
    <w:rsid w:val="1B09178D"/>
    <w:rsid w:val="1B0B3D45"/>
    <w:rsid w:val="1B0B76D0"/>
    <w:rsid w:val="1B0C7819"/>
    <w:rsid w:val="1B0E17EF"/>
    <w:rsid w:val="1B102B02"/>
    <w:rsid w:val="1B1043D7"/>
    <w:rsid w:val="1B104FBE"/>
    <w:rsid w:val="1B122B58"/>
    <w:rsid w:val="1B137ACC"/>
    <w:rsid w:val="1B141306"/>
    <w:rsid w:val="1B14734D"/>
    <w:rsid w:val="1B163CD5"/>
    <w:rsid w:val="1B1709D4"/>
    <w:rsid w:val="1B181A31"/>
    <w:rsid w:val="1B187FC7"/>
    <w:rsid w:val="1B1935A3"/>
    <w:rsid w:val="1B1A7F7F"/>
    <w:rsid w:val="1B1D0761"/>
    <w:rsid w:val="1B1D4B14"/>
    <w:rsid w:val="1B1E53F5"/>
    <w:rsid w:val="1B1F0870"/>
    <w:rsid w:val="1B1F4A58"/>
    <w:rsid w:val="1B1F4A59"/>
    <w:rsid w:val="1B224545"/>
    <w:rsid w:val="1B226CEB"/>
    <w:rsid w:val="1B234319"/>
    <w:rsid w:val="1B2353F3"/>
    <w:rsid w:val="1B237CA7"/>
    <w:rsid w:val="1B241E54"/>
    <w:rsid w:val="1B242D3C"/>
    <w:rsid w:val="1B252EEC"/>
    <w:rsid w:val="1B253BFE"/>
    <w:rsid w:val="1B272BB5"/>
    <w:rsid w:val="1B283D33"/>
    <w:rsid w:val="1B293607"/>
    <w:rsid w:val="1B2B0518"/>
    <w:rsid w:val="1B2B2969"/>
    <w:rsid w:val="1B2D4F65"/>
    <w:rsid w:val="1B2D5E0C"/>
    <w:rsid w:val="1B2E3390"/>
    <w:rsid w:val="1B2E6E70"/>
    <w:rsid w:val="1B2F1EFF"/>
    <w:rsid w:val="1B306062"/>
    <w:rsid w:val="1B3113EF"/>
    <w:rsid w:val="1B312523"/>
    <w:rsid w:val="1B3229E4"/>
    <w:rsid w:val="1B32550D"/>
    <w:rsid w:val="1B325DF1"/>
    <w:rsid w:val="1B33480A"/>
    <w:rsid w:val="1B340B9B"/>
    <w:rsid w:val="1B351745"/>
    <w:rsid w:val="1B3739FB"/>
    <w:rsid w:val="1B3939CB"/>
    <w:rsid w:val="1B397FE4"/>
    <w:rsid w:val="1B3A5934"/>
    <w:rsid w:val="1B3B2613"/>
    <w:rsid w:val="1B3C06E8"/>
    <w:rsid w:val="1B3C1B1E"/>
    <w:rsid w:val="1B3C4E48"/>
    <w:rsid w:val="1B3C6AE1"/>
    <w:rsid w:val="1B3D4ED9"/>
    <w:rsid w:val="1B402D98"/>
    <w:rsid w:val="1B403801"/>
    <w:rsid w:val="1B415598"/>
    <w:rsid w:val="1B4346C9"/>
    <w:rsid w:val="1B465331"/>
    <w:rsid w:val="1B4653C9"/>
    <w:rsid w:val="1B4713F7"/>
    <w:rsid w:val="1B487F31"/>
    <w:rsid w:val="1B495107"/>
    <w:rsid w:val="1B4D21D4"/>
    <w:rsid w:val="1B4D4A37"/>
    <w:rsid w:val="1B4E558B"/>
    <w:rsid w:val="1B4F5B15"/>
    <w:rsid w:val="1B4F60A6"/>
    <w:rsid w:val="1B4F61F1"/>
    <w:rsid w:val="1B506B91"/>
    <w:rsid w:val="1B512B7A"/>
    <w:rsid w:val="1B517350"/>
    <w:rsid w:val="1B527002"/>
    <w:rsid w:val="1B541F38"/>
    <w:rsid w:val="1B543918"/>
    <w:rsid w:val="1B557ACB"/>
    <w:rsid w:val="1B566070"/>
    <w:rsid w:val="1B5671B3"/>
    <w:rsid w:val="1B570FF4"/>
    <w:rsid w:val="1B57520A"/>
    <w:rsid w:val="1B580786"/>
    <w:rsid w:val="1B587CEF"/>
    <w:rsid w:val="1B5917B9"/>
    <w:rsid w:val="1B5A15FB"/>
    <w:rsid w:val="1B5A53AC"/>
    <w:rsid w:val="1B5B4D5D"/>
    <w:rsid w:val="1B5B5317"/>
    <w:rsid w:val="1B5C0966"/>
    <w:rsid w:val="1B5D343B"/>
    <w:rsid w:val="1B5D759F"/>
    <w:rsid w:val="1B5E10FE"/>
    <w:rsid w:val="1B5E300C"/>
    <w:rsid w:val="1B5E5F32"/>
    <w:rsid w:val="1B5F0E31"/>
    <w:rsid w:val="1B5F3442"/>
    <w:rsid w:val="1B603AD2"/>
    <w:rsid w:val="1B614130"/>
    <w:rsid w:val="1B6272E9"/>
    <w:rsid w:val="1B6310FA"/>
    <w:rsid w:val="1B631801"/>
    <w:rsid w:val="1B635920"/>
    <w:rsid w:val="1B635936"/>
    <w:rsid w:val="1B636CA6"/>
    <w:rsid w:val="1B637994"/>
    <w:rsid w:val="1B6465D5"/>
    <w:rsid w:val="1B6504A0"/>
    <w:rsid w:val="1B667143"/>
    <w:rsid w:val="1B670F96"/>
    <w:rsid w:val="1B677E65"/>
    <w:rsid w:val="1B684251"/>
    <w:rsid w:val="1B694561"/>
    <w:rsid w:val="1B6A709A"/>
    <w:rsid w:val="1B6A7CB4"/>
    <w:rsid w:val="1B6D1AA2"/>
    <w:rsid w:val="1B6E0711"/>
    <w:rsid w:val="1B6E4AF2"/>
    <w:rsid w:val="1B6F22D3"/>
    <w:rsid w:val="1B70794D"/>
    <w:rsid w:val="1B717BC5"/>
    <w:rsid w:val="1B720724"/>
    <w:rsid w:val="1B721452"/>
    <w:rsid w:val="1B7357DD"/>
    <w:rsid w:val="1B744890"/>
    <w:rsid w:val="1B7451AB"/>
    <w:rsid w:val="1B761B87"/>
    <w:rsid w:val="1B7651EF"/>
    <w:rsid w:val="1B785DEE"/>
    <w:rsid w:val="1B791D81"/>
    <w:rsid w:val="1B79544D"/>
    <w:rsid w:val="1B7A0284"/>
    <w:rsid w:val="1B7A22A6"/>
    <w:rsid w:val="1B7A3E63"/>
    <w:rsid w:val="1B7A44A6"/>
    <w:rsid w:val="1B7A44F0"/>
    <w:rsid w:val="1B7A6A58"/>
    <w:rsid w:val="1B7B1D56"/>
    <w:rsid w:val="1B7B4795"/>
    <w:rsid w:val="1B7C075C"/>
    <w:rsid w:val="1B7C74B3"/>
    <w:rsid w:val="1B7D1EC0"/>
    <w:rsid w:val="1B7D21F1"/>
    <w:rsid w:val="1B7E38D4"/>
    <w:rsid w:val="1B7E7DF7"/>
    <w:rsid w:val="1B7F581A"/>
    <w:rsid w:val="1B813710"/>
    <w:rsid w:val="1B814C4A"/>
    <w:rsid w:val="1B8174DB"/>
    <w:rsid w:val="1B862AA8"/>
    <w:rsid w:val="1B8649DC"/>
    <w:rsid w:val="1B88116E"/>
    <w:rsid w:val="1B8A621C"/>
    <w:rsid w:val="1B8C1F2B"/>
    <w:rsid w:val="1B8C2244"/>
    <w:rsid w:val="1B8C25B6"/>
    <w:rsid w:val="1B8D19A8"/>
    <w:rsid w:val="1B8D6A1C"/>
    <w:rsid w:val="1B8F3057"/>
    <w:rsid w:val="1B8F560C"/>
    <w:rsid w:val="1B902015"/>
    <w:rsid w:val="1B9032ED"/>
    <w:rsid w:val="1B907B47"/>
    <w:rsid w:val="1B907F02"/>
    <w:rsid w:val="1B952091"/>
    <w:rsid w:val="1B954D7A"/>
    <w:rsid w:val="1B9604D8"/>
    <w:rsid w:val="1B96764E"/>
    <w:rsid w:val="1B980494"/>
    <w:rsid w:val="1B984289"/>
    <w:rsid w:val="1B98597E"/>
    <w:rsid w:val="1B986933"/>
    <w:rsid w:val="1B986FBD"/>
    <w:rsid w:val="1B987103"/>
    <w:rsid w:val="1B995919"/>
    <w:rsid w:val="1B9970EB"/>
    <w:rsid w:val="1B9A4300"/>
    <w:rsid w:val="1B9B68FD"/>
    <w:rsid w:val="1B9C4CB8"/>
    <w:rsid w:val="1B9F6B64"/>
    <w:rsid w:val="1BA15352"/>
    <w:rsid w:val="1BA164C8"/>
    <w:rsid w:val="1BA16762"/>
    <w:rsid w:val="1BA33C57"/>
    <w:rsid w:val="1BA3674D"/>
    <w:rsid w:val="1BA367BB"/>
    <w:rsid w:val="1BA40970"/>
    <w:rsid w:val="1BA73123"/>
    <w:rsid w:val="1BA845D4"/>
    <w:rsid w:val="1BA84C45"/>
    <w:rsid w:val="1BA872B6"/>
    <w:rsid w:val="1BA95361"/>
    <w:rsid w:val="1BAA2F58"/>
    <w:rsid w:val="1BAA4D8E"/>
    <w:rsid w:val="1BAC1CBD"/>
    <w:rsid w:val="1BAC49DD"/>
    <w:rsid w:val="1BAD48A2"/>
    <w:rsid w:val="1BAF19A6"/>
    <w:rsid w:val="1BB01895"/>
    <w:rsid w:val="1BB124A2"/>
    <w:rsid w:val="1BB21EA1"/>
    <w:rsid w:val="1BB23A7A"/>
    <w:rsid w:val="1BB271C7"/>
    <w:rsid w:val="1BB44748"/>
    <w:rsid w:val="1BB47996"/>
    <w:rsid w:val="1BB638CC"/>
    <w:rsid w:val="1BB66BD0"/>
    <w:rsid w:val="1BB747CC"/>
    <w:rsid w:val="1BB751C8"/>
    <w:rsid w:val="1BBA2384"/>
    <w:rsid w:val="1BBA494D"/>
    <w:rsid w:val="1BBC0096"/>
    <w:rsid w:val="1BBC63E6"/>
    <w:rsid w:val="1BBD160C"/>
    <w:rsid w:val="1BBF2115"/>
    <w:rsid w:val="1BBF30FE"/>
    <w:rsid w:val="1BC06FA7"/>
    <w:rsid w:val="1BC12587"/>
    <w:rsid w:val="1BC14A81"/>
    <w:rsid w:val="1BC2559A"/>
    <w:rsid w:val="1BC30742"/>
    <w:rsid w:val="1BC32085"/>
    <w:rsid w:val="1BC40A4C"/>
    <w:rsid w:val="1BC45A92"/>
    <w:rsid w:val="1BC50AF7"/>
    <w:rsid w:val="1BC63291"/>
    <w:rsid w:val="1BC733C4"/>
    <w:rsid w:val="1BC733EA"/>
    <w:rsid w:val="1BC76518"/>
    <w:rsid w:val="1BC81017"/>
    <w:rsid w:val="1BC9255A"/>
    <w:rsid w:val="1BCA32D3"/>
    <w:rsid w:val="1BCB4150"/>
    <w:rsid w:val="1BCB5370"/>
    <w:rsid w:val="1BCB5615"/>
    <w:rsid w:val="1BCC374C"/>
    <w:rsid w:val="1BCE2701"/>
    <w:rsid w:val="1BD03B5D"/>
    <w:rsid w:val="1BD11E8E"/>
    <w:rsid w:val="1BD16D67"/>
    <w:rsid w:val="1BD21B1C"/>
    <w:rsid w:val="1BD2644E"/>
    <w:rsid w:val="1BD268FC"/>
    <w:rsid w:val="1BD33BBA"/>
    <w:rsid w:val="1BD41604"/>
    <w:rsid w:val="1BD54C10"/>
    <w:rsid w:val="1BD74EC2"/>
    <w:rsid w:val="1BD9244F"/>
    <w:rsid w:val="1BD9471E"/>
    <w:rsid w:val="1BD97C83"/>
    <w:rsid w:val="1BDA231C"/>
    <w:rsid w:val="1BDD2D6F"/>
    <w:rsid w:val="1BE00CB2"/>
    <w:rsid w:val="1BE0325E"/>
    <w:rsid w:val="1BE05A70"/>
    <w:rsid w:val="1BE361D7"/>
    <w:rsid w:val="1BE43A0E"/>
    <w:rsid w:val="1BE919AE"/>
    <w:rsid w:val="1BE923C0"/>
    <w:rsid w:val="1BE950DF"/>
    <w:rsid w:val="1BE97DF3"/>
    <w:rsid w:val="1BEC0ABE"/>
    <w:rsid w:val="1BEC12EA"/>
    <w:rsid w:val="1BED7DF6"/>
    <w:rsid w:val="1BEE212A"/>
    <w:rsid w:val="1BF014CB"/>
    <w:rsid w:val="1BF05136"/>
    <w:rsid w:val="1BF110B6"/>
    <w:rsid w:val="1BF22871"/>
    <w:rsid w:val="1BF239E4"/>
    <w:rsid w:val="1BF25F2E"/>
    <w:rsid w:val="1BF30FD9"/>
    <w:rsid w:val="1BF3567D"/>
    <w:rsid w:val="1BF43D14"/>
    <w:rsid w:val="1BF4466B"/>
    <w:rsid w:val="1BF47E68"/>
    <w:rsid w:val="1BF50388"/>
    <w:rsid w:val="1BF53816"/>
    <w:rsid w:val="1BF72454"/>
    <w:rsid w:val="1BF77EAD"/>
    <w:rsid w:val="1BFA4752"/>
    <w:rsid w:val="1BFA62EB"/>
    <w:rsid w:val="1BFB2EDE"/>
    <w:rsid w:val="1BFB53EF"/>
    <w:rsid w:val="1BFC53E1"/>
    <w:rsid w:val="1BFC7C2C"/>
    <w:rsid w:val="1BFF1E14"/>
    <w:rsid w:val="1C0057D7"/>
    <w:rsid w:val="1C00784A"/>
    <w:rsid w:val="1C01218D"/>
    <w:rsid w:val="1C014CFD"/>
    <w:rsid w:val="1C015DAC"/>
    <w:rsid w:val="1C030BE6"/>
    <w:rsid w:val="1C036101"/>
    <w:rsid w:val="1C0640DD"/>
    <w:rsid w:val="1C073A81"/>
    <w:rsid w:val="1C08551B"/>
    <w:rsid w:val="1C095CA0"/>
    <w:rsid w:val="1C0B5B12"/>
    <w:rsid w:val="1C0D1EF5"/>
    <w:rsid w:val="1C0D6F73"/>
    <w:rsid w:val="1C0E77DB"/>
    <w:rsid w:val="1C102BC1"/>
    <w:rsid w:val="1C110F5C"/>
    <w:rsid w:val="1C113826"/>
    <w:rsid w:val="1C114BA5"/>
    <w:rsid w:val="1C1312C6"/>
    <w:rsid w:val="1C151FF6"/>
    <w:rsid w:val="1C1654A3"/>
    <w:rsid w:val="1C1702D3"/>
    <w:rsid w:val="1C1824BC"/>
    <w:rsid w:val="1C182AB9"/>
    <w:rsid w:val="1C185370"/>
    <w:rsid w:val="1C193837"/>
    <w:rsid w:val="1C1D0679"/>
    <w:rsid w:val="1C1D248B"/>
    <w:rsid w:val="1C1E6006"/>
    <w:rsid w:val="1C204D26"/>
    <w:rsid w:val="1C2169F7"/>
    <w:rsid w:val="1C222FE0"/>
    <w:rsid w:val="1C225CF4"/>
    <w:rsid w:val="1C231C21"/>
    <w:rsid w:val="1C233300"/>
    <w:rsid w:val="1C237871"/>
    <w:rsid w:val="1C247391"/>
    <w:rsid w:val="1C262204"/>
    <w:rsid w:val="1C270629"/>
    <w:rsid w:val="1C274432"/>
    <w:rsid w:val="1C28309E"/>
    <w:rsid w:val="1C283BF7"/>
    <w:rsid w:val="1C2B701E"/>
    <w:rsid w:val="1C2E0B52"/>
    <w:rsid w:val="1C2E1941"/>
    <w:rsid w:val="1C2E35CB"/>
    <w:rsid w:val="1C2E42B4"/>
    <w:rsid w:val="1C2E70EA"/>
    <w:rsid w:val="1C2E73F5"/>
    <w:rsid w:val="1C30147C"/>
    <w:rsid w:val="1C302260"/>
    <w:rsid w:val="1C3127D5"/>
    <w:rsid w:val="1C31382E"/>
    <w:rsid w:val="1C313A7E"/>
    <w:rsid w:val="1C337180"/>
    <w:rsid w:val="1C342F81"/>
    <w:rsid w:val="1C344A6C"/>
    <w:rsid w:val="1C352E01"/>
    <w:rsid w:val="1C357200"/>
    <w:rsid w:val="1C3648B8"/>
    <w:rsid w:val="1C366ABF"/>
    <w:rsid w:val="1C366B29"/>
    <w:rsid w:val="1C3771FA"/>
    <w:rsid w:val="1C38662D"/>
    <w:rsid w:val="1C3866FF"/>
    <w:rsid w:val="1C390EA0"/>
    <w:rsid w:val="1C3A29DE"/>
    <w:rsid w:val="1C3A5518"/>
    <w:rsid w:val="1C3B2A90"/>
    <w:rsid w:val="1C3B6E08"/>
    <w:rsid w:val="1C3C57AB"/>
    <w:rsid w:val="1C3F06B4"/>
    <w:rsid w:val="1C401B46"/>
    <w:rsid w:val="1C404541"/>
    <w:rsid w:val="1C4069E4"/>
    <w:rsid w:val="1C413897"/>
    <w:rsid w:val="1C41562E"/>
    <w:rsid w:val="1C4203F1"/>
    <w:rsid w:val="1C4224C0"/>
    <w:rsid w:val="1C431BFC"/>
    <w:rsid w:val="1C443F21"/>
    <w:rsid w:val="1C4541E8"/>
    <w:rsid w:val="1C46289E"/>
    <w:rsid w:val="1C483F99"/>
    <w:rsid w:val="1C4877C5"/>
    <w:rsid w:val="1C490730"/>
    <w:rsid w:val="1C4A0A83"/>
    <w:rsid w:val="1C4C5392"/>
    <w:rsid w:val="1C4D1E83"/>
    <w:rsid w:val="1C4D50F9"/>
    <w:rsid w:val="1C501787"/>
    <w:rsid w:val="1C503600"/>
    <w:rsid w:val="1C537F84"/>
    <w:rsid w:val="1C541A92"/>
    <w:rsid w:val="1C54353E"/>
    <w:rsid w:val="1C5458C1"/>
    <w:rsid w:val="1C546F27"/>
    <w:rsid w:val="1C5823F6"/>
    <w:rsid w:val="1C5A234F"/>
    <w:rsid w:val="1C5B4207"/>
    <w:rsid w:val="1C5D1DFA"/>
    <w:rsid w:val="1C5D2B42"/>
    <w:rsid w:val="1C5F6794"/>
    <w:rsid w:val="1C5F7B8D"/>
    <w:rsid w:val="1C601043"/>
    <w:rsid w:val="1C606583"/>
    <w:rsid w:val="1C6079E1"/>
    <w:rsid w:val="1C610882"/>
    <w:rsid w:val="1C6176E1"/>
    <w:rsid w:val="1C62116A"/>
    <w:rsid w:val="1C631E84"/>
    <w:rsid w:val="1C63571B"/>
    <w:rsid w:val="1C642465"/>
    <w:rsid w:val="1C666CAD"/>
    <w:rsid w:val="1C6712EC"/>
    <w:rsid w:val="1C693A6C"/>
    <w:rsid w:val="1C6B6689"/>
    <w:rsid w:val="1C6F5C56"/>
    <w:rsid w:val="1C704AA1"/>
    <w:rsid w:val="1C716A80"/>
    <w:rsid w:val="1C72147C"/>
    <w:rsid w:val="1C725D37"/>
    <w:rsid w:val="1C73617F"/>
    <w:rsid w:val="1C737D1E"/>
    <w:rsid w:val="1C743BE2"/>
    <w:rsid w:val="1C744652"/>
    <w:rsid w:val="1C795976"/>
    <w:rsid w:val="1C7A34A0"/>
    <w:rsid w:val="1C7B5CA1"/>
    <w:rsid w:val="1C7B7995"/>
    <w:rsid w:val="1C7C5FFB"/>
    <w:rsid w:val="1C7C7F16"/>
    <w:rsid w:val="1C7D1E5D"/>
    <w:rsid w:val="1C7E5AEA"/>
    <w:rsid w:val="1C7E7360"/>
    <w:rsid w:val="1C802E08"/>
    <w:rsid w:val="1C806D38"/>
    <w:rsid w:val="1C822E02"/>
    <w:rsid w:val="1C8513FF"/>
    <w:rsid w:val="1C853454"/>
    <w:rsid w:val="1C85793F"/>
    <w:rsid w:val="1C87723F"/>
    <w:rsid w:val="1C880C25"/>
    <w:rsid w:val="1C89060E"/>
    <w:rsid w:val="1C924FA2"/>
    <w:rsid w:val="1C94073D"/>
    <w:rsid w:val="1C942853"/>
    <w:rsid w:val="1C94756F"/>
    <w:rsid w:val="1C95582D"/>
    <w:rsid w:val="1C9747BD"/>
    <w:rsid w:val="1C976F6B"/>
    <w:rsid w:val="1C981C9F"/>
    <w:rsid w:val="1C9951B0"/>
    <w:rsid w:val="1C99588A"/>
    <w:rsid w:val="1C9B35CD"/>
    <w:rsid w:val="1C9C791F"/>
    <w:rsid w:val="1C9D5571"/>
    <w:rsid w:val="1C9E3C3C"/>
    <w:rsid w:val="1C9E6694"/>
    <w:rsid w:val="1C9F00F5"/>
    <w:rsid w:val="1C9F268D"/>
    <w:rsid w:val="1C9F3B40"/>
    <w:rsid w:val="1CA27B15"/>
    <w:rsid w:val="1CA45E5D"/>
    <w:rsid w:val="1CA502F1"/>
    <w:rsid w:val="1CA80F4A"/>
    <w:rsid w:val="1CA9274A"/>
    <w:rsid w:val="1CAA2487"/>
    <w:rsid w:val="1CAB1516"/>
    <w:rsid w:val="1CAC44F0"/>
    <w:rsid w:val="1CAE0253"/>
    <w:rsid w:val="1CAF39A2"/>
    <w:rsid w:val="1CB02924"/>
    <w:rsid w:val="1CB2364E"/>
    <w:rsid w:val="1CB25D62"/>
    <w:rsid w:val="1CB27093"/>
    <w:rsid w:val="1CB40F92"/>
    <w:rsid w:val="1CB45B4E"/>
    <w:rsid w:val="1CB6003E"/>
    <w:rsid w:val="1CB6131D"/>
    <w:rsid w:val="1CB76003"/>
    <w:rsid w:val="1CB94BB7"/>
    <w:rsid w:val="1CBB2985"/>
    <w:rsid w:val="1CBD43F0"/>
    <w:rsid w:val="1CBD733D"/>
    <w:rsid w:val="1CC00FC2"/>
    <w:rsid w:val="1CC216F1"/>
    <w:rsid w:val="1CC279F0"/>
    <w:rsid w:val="1CC41E0F"/>
    <w:rsid w:val="1CC51C09"/>
    <w:rsid w:val="1CC67E12"/>
    <w:rsid w:val="1CC73232"/>
    <w:rsid w:val="1CC81E77"/>
    <w:rsid w:val="1CC91E82"/>
    <w:rsid w:val="1CCA33D8"/>
    <w:rsid w:val="1CCD26B3"/>
    <w:rsid w:val="1CCE756C"/>
    <w:rsid w:val="1CCF6346"/>
    <w:rsid w:val="1CD14C61"/>
    <w:rsid w:val="1CD1568E"/>
    <w:rsid w:val="1CD30F90"/>
    <w:rsid w:val="1CD37CCF"/>
    <w:rsid w:val="1CD51AA9"/>
    <w:rsid w:val="1CD53A61"/>
    <w:rsid w:val="1CD6584F"/>
    <w:rsid w:val="1CD77107"/>
    <w:rsid w:val="1CD875A9"/>
    <w:rsid w:val="1CDA2E0B"/>
    <w:rsid w:val="1CDA2F2F"/>
    <w:rsid w:val="1CDD0B4D"/>
    <w:rsid w:val="1CDF3DDD"/>
    <w:rsid w:val="1CE04DC6"/>
    <w:rsid w:val="1CE112A2"/>
    <w:rsid w:val="1CE276A3"/>
    <w:rsid w:val="1CE41A21"/>
    <w:rsid w:val="1CE43A63"/>
    <w:rsid w:val="1CE509F1"/>
    <w:rsid w:val="1CE50CD7"/>
    <w:rsid w:val="1CE63CC0"/>
    <w:rsid w:val="1CE67009"/>
    <w:rsid w:val="1CE718DB"/>
    <w:rsid w:val="1CE76E50"/>
    <w:rsid w:val="1CE93428"/>
    <w:rsid w:val="1CEA635E"/>
    <w:rsid w:val="1CEB6B65"/>
    <w:rsid w:val="1CEB6DC6"/>
    <w:rsid w:val="1CED6B1B"/>
    <w:rsid w:val="1CEE4ADE"/>
    <w:rsid w:val="1CEF47FB"/>
    <w:rsid w:val="1CF01D6F"/>
    <w:rsid w:val="1CF04B03"/>
    <w:rsid w:val="1CF26069"/>
    <w:rsid w:val="1CF40FD7"/>
    <w:rsid w:val="1CF55E97"/>
    <w:rsid w:val="1CF73AB3"/>
    <w:rsid w:val="1CF81074"/>
    <w:rsid w:val="1CF82104"/>
    <w:rsid w:val="1CF83C92"/>
    <w:rsid w:val="1CF948BE"/>
    <w:rsid w:val="1CFA0DC6"/>
    <w:rsid w:val="1CFB0215"/>
    <w:rsid w:val="1CFB04C5"/>
    <w:rsid w:val="1CFB21A8"/>
    <w:rsid w:val="1CFB4FEA"/>
    <w:rsid w:val="1CFC0591"/>
    <w:rsid w:val="1CFD2BE3"/>
    <w:rsid w:val="1CFD2DAB"/>
    <w:rsid w:val="1CFD3EC5"/>
    <w:rsid w:val="1CFE3E25"/>
    <w:rsid w:val="1CFE59E5"/>
    <w:rsid w:val="1CFF6D03"/>
    <w:rsid w:val="1D014742"/>
    <w:rsid w:val="1D014803"/>
    <w:rsid w:val="1D02357D"/>
    <w:rsid w:val="1D031F9B"/>
    <w:rsid w:val="1D04366C"/>
    <w:rsid w:val="1D051C78"/>
    <w:rsid w:val="1D05532D"/>
    <w:rsid w:val="1D057AA5"/>
    <w:rsid w:val="1D0662CC"/>
    <w:rsid w:val="1D07443C"/>
    <w:rsid w:val="1D0773E7"/>
    <w:rsid w:val="1D090211"/>
    <w:rsid w:val="1D09037A"/>
    <w:rsid w:val="1D0A2A42"/>
    <w:rsid w:val="1D0B787D"/>
    <w:rsid w:val="1D0D0F57"/>
    <w:rsid w:val="1D0D7755"/>
    <w:rsid w:val="1D0E0D31"/>
    <w:rsid w:val="1D0E6497"/>
    <w:rsid w:val="1D11055B"/>
    <w:rsid w:val="1D114159"/>
    <w:rsid w:val="1D121248"/>
    <w:rsid w:val="1D12153D"/>
    <w:rsid w:val="1D127CCD"/>
    <w:rsid w:val="1D1422D6"/>
    <w:rsid w:val="1D1464B9"/>
    <w:rsid w:val="1D1502E7"/>
    <w:rsid w:val="1D16114B"/>
    <w:rsid w:val="1D176776"/>
    <w:rsid w:val="1D1773FD"/>
    <w:rsid w:val="1D185909"/>
    <w:rsid w:val="1D1A6D6F"/>
    <w:rsid w:val="1D1B1055"/>
    <w:rsid w:val="1D1C0104"/>
    <w:rsid w:val="1D1C5065"/>
    <w:rsid w:val="1D1D1FDD"/>
    <w:rsid w:val="1D1D2F4D"/>
    <w:rsid w:val="1D204D29"/>
    <w:rsid w:val="1D215F2A"/>
    <w:rsid w:val="1D264C5C"/>
    <w:rsid w:val="1D2758BB"/>
    <w:rsid w:val="1D275BF6"/>
    <w:rsid w:val="1D277E8D"/>
    <w:rsid w:val="1D290D74"/>
    <w:rsid w:val="1D290F76"/>
    <w:rsid w:val="1D296E9B"/>
    <w:rsid w:val="1D2A017D"/>
    <w:rsid w:val="1D2B04F2"/>
    <w:rsid w:val="1D2B254B"/>
    <w:rsid w:val="1D2D4495"/>
    <w:rsid w:val="1D2E0C79"/>
    <w:rsid w:val="1D2E12C1"/>
    <w:rsid w:val="1D2E21F1"/>
    <w:rsid w:val="1D2F4CCD"/>
    <w:rsid w:val="1D3213FA"/>
    <w:rsid w:val="1D322E4F"/>
    <w:rsid w:val="1D323A60"/>
    <w:rsid w:val="1D327252"/>
    <w:rsid w:val="1D353678"/>
    <w:rsid w:val="1D353A5C"/>
    <w:rsid w:val="1D3569FA"/>
    <w:rsid w:val="1D361FF5"/>
    <w:rsid w:val="1D37025D"/>
    <w:rsid w:val="1D3802A4"/>
    <w:rsid w:val="1D381233"/>
    <w:rsid w:val="1D38256E"/>
    <w:rsid w:val="1D391F3E"/>
    <w:rsid w:val="1D3B7BAB"/>
    <w:rsid w:val="1D3C65C5"/>
    <w:rsid w:val="1D3E1124"/>
    <w:rsid w:val="1D3E5C92"/>
    <w:rsid w:val="1D3F1286"/>
    <w:rsid w:val="1D3F3C20"/>
    <w:rsid w:val="1D412FC0"/>
    <w:rsid w:val="1D413FAA"/>
    <w:rsid w:val="1D420471"/>
    <w:rsid w:val="1D4405E5"/>
    <w:rsid w:val="1D452B3A"/>
    <w:rsid w:val="1D452E56"/>
    <w:rsid w:val="1D452FA8"/>
    <w:rsid w:val="1D461362"/>
    <w:rsid w:val="1D470A43"/>
    <w:rsid w:val="1D480846"/>
    <w:rsid w:val="1D4B579E"/>
    <w:rsid w:val="1D4B5AB7"/>
    <w:rsid w:val="1D507C0C"/>
    <w:rsid w:val="1D5220DF"/>
    <w:rsid w:val="1D5307EC"/>
    <w:rsid w:val="1D542720"/>
    <w:rsid w:val="1D553161"/>
    <w:rsid w:val="1D564C6D"/>
    <w:rsid w:val="1D571AAF"/>
    <w:rsid w:val="1D5A2FD4"/>
    <w:rsid w:val="1D5A4FFC"/>
    <w:rsid w:val="1D5B5818"/>
    <w:rsid w:val="1D5C1A7F"/>
    <w:rsid w:val="1D5D7B24"/>
    <w:rsid w:val="1D5E733A"/>
    <w:rsid w:val="1D5F5A06"/>
    <w:rsid w:val="1D5F77B4"/>
    <w:rsid w:val="1D6006E8"/>
    <w:rsid w:val="1D603234"/>
    <w:rsid w:val="1D613DB5"/>
    <w:rsid w:val="1D643433"/>
    <w:rsid w:val="1D651DA9"/>
    <w:rsid w:val="1D652E7F"/>
    <w:rsid w:val="1D666DB9"/>
    <w:rsid w:val="1D675A77"/>
    <w:rsid w:val="1D68029C"/>
    <w:rsid w:val="1D697025"/>
    <w:rsid w:val="1D6B059A"/>
    <w:rsid w:val="1D6C6C77"/>
    <w:rsid w:val="1D6E0529"/>
    <w:rsid w:val="1D6E1A8A"/>
    <w:rsid w:val="1D70088B"/>
    <w:rsid w:val="1D7019C1"/>
    <w:rsid w:val="1D706233"/>
    <w:rsid w:val="1D713A10"/>
    <w:rsid w:val="1D7341C6"/>
    <w:rsid w:val="1D76522A"/>
    <w:rsid w:val="1D765C62"/>
    <w:rsid w:val="1D771D29"/>
    <w:rsid w:val="1D7859D2"/>
    <w:rsid w:val="1D7864B2"/>
    <w:rsid w:val="1D791A94"/>
    <w:rsid w:val="1D792960"/>
    <w:rsid w:val="1D793F96"/>
    <w:rsid w:val="1D7A4BAB"/>
    <w:rsid w:val="1D7A6579"/>
    <w:rsid w:val="1D7D04AC"/>
    <w:rsid w:val="1D7D3508"/>
    <w:rsid w:val="1D7D4ED0"/>
    <w:rsid w:val="1D7E2C3B"/>
    <w:rsid w:val="1D7E6D15"/>
    <w:rsid w:val="1D7F07F7"/>
    <w:rsid w:val="1D7F431B"/>
    <w:rsid w:val="1D7F4A79"/>
    <w:rsid w:val="1D7F5B4B"/>
    <w:rsid w:val="1D82258A"/>
    <w:rsid w:val="1D8229EF"/>
    <w:rsid w:val="1D834E90"/>
    <w:rsid w:val="1D845D37"/>
    <w:rsid w:val="1D847893"/>
    <w:rsid w:val="1D8815C8"/>
    <w:rsid w:val="1D896E82"/>
    <w:rsid w:val="1D897AD3"/>
    <w:rsid w:val="1D8A0C6D"/>
    <w:rsid w:val="1D8A5BA3"/>
    <w:rsid w:val="1D8D7E44"/>
    <w:rsid w:val="1D8E5A2A"/>
    <w:rsid w:val="1D900510"/>
    <w:rsid w:val="1D906FD1"/>
    <w:rsid w:val="1D9138E3"/>
    <w:rsid w:val="1D915490"/>
    <w:rsid w:val="1D953560"/>
    <w:rsid w:val="1D95416B"/>
    <w:rsid w:val="1D95562B"/>
    <w:rsid w:val="1D976F2D"/>
    <w:rsid w:val="1D980C9C"/>
    <w:rsid w:val="1D99374C"/>
    <w:rsid w:val="1D99636F"/>
    <w:rsid w:val="1D9D2010"/>
    <w:rsid w:val="1D9D6174"/>
    <w:rsid w:val="1D9E4E0D"/>
    <w:rsid w:val="1DA06B55"/>
    <w:rsid w:val="1DA14175"/>
    <w:rsid w:val="1DA16EB3"/>
    <w:rsid w:val="1DA63576"/>
    <w:rsid w:val="1DA63600"/>
    <w:rsid w:val="1DA71A9B"/>
    <w:rsid w:val="1DA86B6E"/>
    <w:rsid w:val="1DA93E15"/>
    <w:rsid w:val="1DA95680"/>
    <w:rsid w:val="1DAA4A69"/>
    <w:rsid w:val="1DAB58A5"/>
    <w:rsid w:val="1DAD6772"/>
    <w:rsid w:val="1DAD7CA9"/>
    <w:rsid w:val="1DAE00AB"/>
    <w:rsid w:val="1DAE7B68"/>
    <w:rsid w:val="1DAF084D"/>
    <w:rsid w:val="1DAF63AB"/>
    <w:rsid w:val="1DB063DD"/>
    <w:rsid w:val="1DB157AA"/>
    <w:rsid w:val="1DB5196E"/>
    <w:rsid w:val="1DB57D38"/>
    <w:rsid w:val="1DB640EC"/>
    <w:rsid w:val="1DB714F5"/>
    <w:rsid w:val="1DB7537C"/>
    <w:rsid w:val="1DB952D7"/>
    <w:rsid w:val="1DBA2DAE"/>
    <w:rsid w:val="1DBB0986"/>
    <w:rsid w:val="1DBC67D5"/>
    <w:rsid w:val="1DBD7F78"/>
    <w:rsid w:val="1DBF2D30"/>
    <w:rsid w:val="1DC00D05"/>
    <w:rsid w:val="1DC05B82"/>
    <w:rsid w:val="1DC27181"/>
    <w:rsid w:val="1DC508CE"/>
    <w:rsid w:val="1DC60628"/>
    <w:rsid w:val="1DC65AB5"/>
    <w:rsid w:val="1DC75214"/>
    <w:rsid w:val="1DC77E8D"/>
    <w:rsid w:val="1DC82339"/>
    <w:rsid w:val="1DC8703E"/>
    <w:rsid w:val="1DC9301D"/>
    <w:rsid w:val="1DC93A15"/>
    <w:rsid w:val="1DC9508A"/>
    <w:rsid w:val="1DCA3D41"/>
    <w:rsid w:val="1DCB5E20"/>
    <w:rsid w:val="1DCD0F10"/>
    <w:rsid w:val="1DCD47E2"/>
    <w:rsid w:val="1DCE3955"/>
    <w:rsid w:val="1DCE7AED"/>
    <w:rsid w:val="1DCF1C0B"/>
    <w:rsid w:val="1DD006A0"/>
    <w:rsid w:val="1DD160A6"/>
    <w:rsid w:val="1DD17E76"/>
    <w:rsid w:val="1DD261D8"/>
    <w:rsid w:val="1DD3634A"/>
    <w:rsid w:val="1DD368C9"/>
    <w:rsid w:val="1DD571BD"/>
    <w:rsid w:val="1DD65E75"/>
    <w:rsid w:val="1DD67908"/>
    <w:rsid w:val="1DD70E93"/>
    <w:rsid w:val="1DD7358E"/>
    <w:rsid w:val="1DD74D89"/>
    <w:rsid w:val="1DD763FD"/>
    <w:rsid w:val="1DD769FA"/>
    <w:rsid w:val="1DD850A0"/>
    <w:rsid w:val="1DD95FDF"/>
    <w:rsid w:val="1DDA0CD8"/>
    <w:rsid w:val="1DDB7DF3"/>
    <w:rsid w:val="1DDC0E05"/>
    <w:rsid w:val="1DDC6EE0"/>
    <w:rsid w:val="1DDE12D5"/>
    <w:rsid w:val="1DDF06AE"/>
    <w:rsid w:val="1DDF4451"/>
    <w:rsid w:val="1DE261E1"/>
    <w:rsid w:val="1DE26607"/>
    <w:rsid w:val="1DE52D4F"/>
    <w:rsid w:val="1DE63ED0"/>
    <w:rsid w:val="1DE668EB"/>
    <w:rsid w:val="1DE71515"/>
    <w:rsid w:val="1DE72D94"/>
    <w:rsid w:val="1DE745DD"/>
    <w:rsid w:val="1DE830B3"/>
    <w:rsid w:val="1DE9627A"/>
    <w:rsid w:val="1DEA4225"/>
    <w:rsid w:val="1DEA78C7"/>
    <w:rsid w:val="1DEC2861"/>
    <w:rsid w:val="1DEC54EC"/>
    <w:rsid w:val="1DEC6FA3"/>
    <w:rsid w:val="1DEC729A"/>
    <w:rsid w:val="1DEE7E94"/>
    <w:rsid w:val="1DEF33A4"/>
    <w:rsid w:val="1DEF3E31"/>
    <w:rsid w:val="1DF00EA8"/>
    <w:rsid w:val="1DF07C88"/>
    <w:rsid w:val="1DF25F43"/>
    <w:rsid w:val="1DF26214"/>
    <w:rsid w:val="1DF34C8A"/>
    <w:rsid w:val="1DF36450"/>
    <w:rsid w:val="1DF55CA9"/>
    <w:rsid w:val="1DF734D6"/>
    <w:rsid w:val="1DF75BFA"/>
    <w:rsid w:val="1DF84D95"/>
    <w:rsid w:val="1DF865B9"/>
    <w:rsid w:val="1DF952EC"/>
    <w:rsid w:val="1DFA2098"/>
    <w:rsid w:val="1DFB572F"/>
    <w:rsid w:val="1DFC0E08"/>
    <w:rsid w:val="1DFC1672"/>
    <w:rsid w:val="1DFC3EA9"/>
    <w:rsid w:val="1DFC5AEE"/>
    <w:rsid w:val="1DFD6A00"/>
    <w:rsid w:val="1DFE61A2"/>
    <w:rsid w:val="1DFF0539"/>
    <w:rsid w:val="1DFF3A6A"/>
    <w:rsid w:val="1E0068A1"/>
    <w:rsid w:val="1E01086B"/>
    <w:rsid w:val="1E01263D"/>
    <w:rsid w:val="1E0151A2"/>
    <w:rsid w:val="1E033AF2"/>
    <w:rsid w:val="1E04376D"/>
    <w:rsid w:val="1E047127"/>
    <w:rsid w:val="1E047661"/>
    <w:rsid w:val="1E056DBB"/>
    <w:rsid w:val="1E057D63"/>
    <w:rsid w:val="1E081AA0"/>
    <w:rsid w:val="1E090190"/>
    <w:rsid w:val="1E09779B"/>
    <w:rsid w:val="1E0A0373"/>
    <w:rsid w:val="1E0A1680"/>
    <w:rsid w:val="1E0B3330"/>
    <w:rsid w:val="1E0C1559"/>
    <w:rsid w:val="1E0C246B"/>
    <w:rsid w:val="1E0D50C0"/>
    <w:rsid w:val="1E0E00D0"/>
    <w:rsid w:val="1E1141C2"/>
    <w:rsid w:val="1E115BEE"/>
    <w:rsid w:val="1E117F3F"/>
    <w:rsid w:val="1E125921"/>
    <w:rsid w:val="1E125EC8"/>
    <w:rsid w:val="1E13695D"/>
    <w:rsid w:val="1E1547AD"/>
    <w:rsid w:val="1E162091"/>
    <w:rsid w:val="1E18008F"/>
    <w:rsid w:val="1E18448E"/>
    <w:rsid w:val="1E18727C"/>
    <w:rsid w:val="1E19372F"/>
    <w:rsid w:val="1E19404C"/>
    <w:rsid w:val="1E1A0FCE"/>
    <w:rsid w:val="1E1A47E3"/>
    <w:rsid w:val="1E1A48B2"/>
    <w:rsid w:val="1E1A48EE"/>
    <w:rsid w:val="1E1A5E47"/>
    <w:rsid w:val="1E1B34EE"/>
    <w:rsid w:val="1E1B5404"/>
    <w:rsid w:val="1E1B73A1"/>
    <w:rsid w:val="1E1C7453"/>
    <w:rsid w:val="1E1E51A3"/>
    <w:rsid w:val="1E202521"/>
    <w:rsid w:val="1E20293C"/>
    <w:rsid w:val="1E220707"/>
    <w:rsid w:val="1E222CBC"/>
    <w:rsid w:val="1E23005A"/>
    <w:rsid w:val="1E23433D"/>
    <w:rsid w:val="1E252249"/>
    <w:rsid w:val="1E2751B3"/>
    <w:rsid w:val="1E2827C7"/>
    <w:rsid w:val="1E292DBB"/>
    <w:rsid w:val="1E296163"/>
    <w:rsid w:val="1E2D4A87"/>
    <w:rsid w:val="1E2D687E"/>
    <w:rsid w:val="1E2E3D1B"/>
    <w:rsid w:val="1E2E5344"/>
    <w:rsid w:val="1E2F2D97"/>
    <w:rsid w:val="1E313C20"/>
    <w:rsid w:val="1E320DBD"/>
    <w:rsid w:val="1E322D1F"/>
    <w:rsid w:val="1E323D70"/>
    <w:rsid w:val="1E32416C"/>
    <w:rsid w:val="1E340F3F"/>
    <w:rsid w:val="1E36000F"/>
    <w:rsid w:val="1E3643A4"/>
    <w:rsid w:val="1E371CF0"/>
    <w:rsid w:val="1E397E3E"/>
    <w:rsid w:val="1E3A25E1"/>
    <w:rsid w:val="1E3C168A"/>
    <w:rsid w:val="1E3D298A"/>
    <w:rsid w:val="1E3D5313"/>
    <w:rsid w:val="1E3E6FF3"/>
    <w:rsid w:val="1E3F38EC"/>
    <w:rsid w:val="1E3F4AE2"/>
    <w:rsid w:val="1E3F74CC"/>
    <w:rsid w:val="1E414861"/>
    <w:rsid w:val="1E442749"/>
    <w:rsid w:val="1E442FEB"/>
    <w:rsid w:val="1E455E73"/>
    <w:rsid w:val="1E4569AA"/>
    <w:rsid w:val="1E473923"/>
    <w:rsid w:val="1E482DAA"/>
    <w:rsid w:val="1E492436"/>
    <w:rsid w:val="1E495E39"/>
    <w:rsid w:val="1E4B3655"/>
    <w:rsid w:val="1E4C00C6"/>
    <w:rsid w:val="1E4D028D"/>
    <w:rsid w:val="1E4E45F4"/>
    <w:rsid w:val="1E4E7AAC"/>
    <w:rsid w:val="1E4F02B7"/>
    <w:rsid w:val="1E50731B"/>
    <w:rsid w:val="1E52011B"/>
    <w:rsid w:val="1E524A20"/>
    <w:rsid w:val="1E540D07"/>
    <w:rsid w:val="1E547FA9"/>
    <w:rsid w:val="1E5553BE"/>
    <w:rsid w:val="1E5613A9"/>
    <w:rsid w:val="1E566E09"/>
    <w:rsid w:val="1E583A41"/>
    <w:rsid w:val="1E5A24BD"/>
    <w:rsid w:val="1E5A79BB"/>
    <w:rsid w:val="1E5B326A"/>
    <w:rsid w:val="1E5B5496"/>
    <w:rsid w:val="1E5B7211"/>
    <w:rsid w:val="1E5C31B6"/>
    <w:rsid w:val="1E5C335B"/>
    <w:rsid w:val="1E5C74F6"/>
    <w:rsid w:val="1E5D00F0"/>
    <w:rsid w:val="1E5D6C7C"/>
    <w:rsid w:val="1E5F2A07"/>
    <w:rsid w:val="1E5F2D41"/>
    <w:rsid w:val="1E5F7E0E"/>
    <w:rsid w:val="1E6008A1"/>
    <w:rsid w:val="1E605865"/>
    <w:rsid w:val="1E613616"/>
    <w:rsid w:val="1E617701"/>
    <w:rsid w:val="1E6312CA"/>
    <w:rsid w:val="1E6343A9"/>
    <w:rsid w:val="1E6377F1"/>
    <w:rsid w:val="1E64545C"/>
    <w:rsid w:val="1E651FC1"/>
    <w:rsid w:val="1E661360"/>
    <w:rsid w:val="1E682982"/>
    <w:rsid w:val="1E68496D"/>
    <w:rsid w:val="1E686136"/>
    <w:rsid w:val="1E687213"/>
    <w:rsid w:val="1E693CDD"/>
    <w:rsid w:val="1E6A5F6A"/>
    <w:rsid w:val="1E6A61A8"/>
    <w:rsid w:val="1E6B6C6A"/>
    <w:rsid w:val="1E6C0CD1"/>
    <w:rsid w:val="1E6C3F37"/>
    <w:rsid w:val="1E6C648A"/>
    <w:rsid w:val="1E6D07B7"/>
    <w:rsid w:val="1E6D5BD6"/>
    <w:rsid w:val="1E6E2316"/>
    <w:rsid w:val="1E6F08C0"/>
    <w:rsid w:val="1E710522"/>
    <w:rsid w:val="1E717DFF"/>
    <w:rsid w:val="1E7203A4"/>
    <w:rsid w:val="1E7203E1"/>
    <w:rsid w:val="1E72286E"/>
    <w:rsid w:val="1E736EB3"/>
    <w:rsid w:val="1E744AEE"/>
    <w:rsid w:val="1E75022A"/>
    <w:rsid w:val="1E76230C"/>
    <w:rsid w:val="1E762E86"/>
    <w:rsid w:val="1E771DED"/>
    <w:rsid w:val="1E780DB0"/>
    <w:rsid w:val="1E792281"/>
    <w:rsid w:val="1E7A0408"/>
    <w:rsid w:val="1E7A513B"/>
    <w:rsid w:val="1E7B063F"/>
    <w:rsid w:val="1E7B77DA"/>
    <w:rsid w:val="1E7C2454"/>
    <w:rsid w:val="1E7C3701"/>
    <w:rsid w:val="1E7F010E"/>
    <w:rsid w:val="1E7F2822"/>
    <w:rsid w:val="1E806833"/>
    <w:rsid w:val="1E825272"/>
    <w:rsid w:val="1E827105"/>
    <w:rsid w:val="1E8372CA"/>
    <w:rsid w:val="1E846A02"/>
    <w:rsid w:val="1E852E90"/>
    <w:rsid w:val="1E854E21"/>
    <w:rsid w:val="1E857888"/>
    <w:rsid w:val="1E871500"/>
    <w:rsid w:val="1E872BBB"/>
    <w:rsid w:val="1E897EFE"/>
    <w:rsid w:val="1E8B5C2A"/>
    <w:rsid w:val="1E8C2FFD"/>
    <w:rsid w:val="1E8D3558"/>
    <w:rsid w:val="1E8E6D54"/>
    <w:rsid w:val="1E8F2CAA"/>
    <w:rsid w:val="1E907D41"/>
    <w:rsid w:val="1E912A82"/>
    <w:rsid w:val="1E92685D"/>
    <w:rsid w:val="1E927F58"/>
    <w:rsid w:val="1E93405C"/>
    <w:rsid w:val="1E93431A"/>
    <w:rsid w:val="1E95025E"/>
    <w:rsid w:val="1E96404E"/>
    <w:rsid w:val="1E9674C7"/>
    <w:rsid w:val="1E97231F"/>
    <w:rsid w:val="1E977C71"/>
    <w:rsid w:val="1E9C2E95"/>
    <w:rsid w:val="1E9D1F50"/>
    <w:rsid w:val="1E9D2EC0"/>
    <w:rsid w:val="1E9D3D0B"/>
    <w:rsid w:val="1E9D4D51"/>
    <w:rsid w:val="1E9F6368"/>
    <w:rsid w:val="1EA34ADB"/>
    <w:rsid w:val="1EA43ED3"/>
    <w:rsid w:val="1EA46A41"/>
    <w:rsid w:val="1EA518B6"/>
    <w:rsid w:val="1EA64D4E"/>
    <w:rsid w:val="1EA70165"/>
    <w:rsid w:val="1EA70B7E"/>
    <w:rsid w:val="1EA715E7"/>
    <w:rsid w:val="1EA738BD"/>
    <w:rsid w:val="1EA73D7B"/>
    <w:rsid w:val="1EA7648D"/>
    <w:rsid w:val="1EA86640"/>
    <w:rsid w:val="1EA90CE7"/>
    <w:rsid w:val="1EA93136"/>
    <w:rsid w:val="1EA9403E"/>
    <w:rsid w:val="1EA97B70"/>
    <w:rsid w:val="1EAC2BC6"/>
    <w:rsid w:val="1EAC325A"/>
    <w:rsid w:val="1EAD1FA4"/>
    <w:rsid w:val="1EB067E8"/>
    <w:rsid w:val="1EB12291"/>
    <w:rsid w:val="1EB16A1A"/>
    <w:rsid w:val="1EB47272"/>
    <w:rsid w:val="1EB61C52"/>
    <w:rsid w:val="1EB95C0D"/>
    <w:rsid w:val="1EBD6426"/>
    <w:rsid w:val="1EBE3810"/>
    <w:rsid w:val="1EC44749"/>
    <w:rsid w:val="1EC532BA"/>
    <w:rsid w:val="1EC6022D"/>
    <w:rsid w:val="1EC66FE9"/>
    <w:rsid w:val="1EC7193E"/>
    <w:rsid w:val="1EC81B06"/>
    <w:rsid w:val="1EC90C01"/>
    <w:rsid w:val="1EC92E8B"/>
    <w:rsid w:val="1EC97A6C"/>
    <w:rsid w:val="1ECA2DFF"/>
    <w:rsid w:val="1ECB0E01"/>
    <w:rsid w:val="1ECB1D2B"/>
    <w:rsid w:val="1ECB5101"/>
    <w:rsid w:val="1ECD1252"/>
    <w:rsid w:val="1ECD353C"/>
    <w:rsid w:val="1ECF0394"/>
    <w:rsid w:val="1ECF3011"/>
    <w:rsid w:val="1ECF56B2"/>
    <w:rsid w:val="1ED31ADF"/>
    <w:rsid w:val="1ED3746A"/>
    <w:rsid w:val="1ED4269E"/>
    <w:rsid w:val="1ED5448F"/>
    <w:rsid w:val="1ED82063"/>
    <w:rsid w:val="1ED83BFE"/>
    <w:rsid w:val="1ED8770C"/>
    <w:rsid w:val="1ED907A8"/>
    <w:rsid w:val="1ED97235"/>
    <w:rsid w:val="1EDB18E6"/>
    <w:rsid w:val="1EDB30B2"/>
    <w:rsid w:val="1EDB3532"/>
    <w:rsid w:val="1EDB47EE"/>
    <w:rsid w:val="1EDB7DCD"/>
    <w:rsid w:val="1EDC6E06"/>
    <w:rsid w:val="1EDE1E8D"/>
    <w:rsid w:val="1EDE4B46"/>
    <w:rsid w:val="1EDF4499"/>
    <w:rsid w:val="1EDF4C6C"/>
    <w:rsid w:val="1EDF61ED"/>
    <w:rsid w:val="1EE272B1"/>
    <w:rsid w:val="1EE3630F"/>
    <w:rsid w:val="1EE367C6"/>
    <w:rsid w:val="1EE4273A"/>
    <w:rsid w:val="1EE62954"/>
    <w:rsid w:val="1EE7613C"/>
    <w:rsid w:val="1EE76CC8"/>
    <w:rsid w:val="1EEA00B0"/>
    <w:rsid w:val="1EEA204A"/>
    <w:rsid w:val="1EEA654E"/>
    <w:rsid w:val="1EEB0CFA"/>
    <w:rsid w:val="1EEB7629"/>
    <w:rsid w:val="1EEE0DF0"/>
    <w:rsid w:val="1EEE2316"/>
    <w:rsid w:val="1EEE381E"/>
    <w:rsid w:val="1EEE6A83"/>
    <w:rsid w:val="1EEF0B19"/>
    <w:rsid w:val="1EF012ED"/>
    <w:rsid w:val="1EF059F1"/>
    <w:rsid w:val="1EF06BCF"/>
    <w:rsid w:val="1EF3302A"/>
    <w:rsid w:val="1EF3776C"/>
    <w:rsid w:val="1EF42D4D"/>
    <w:rsid w:val="1EF45B66"/>
    <w:rsid w:val="1EF51471"/>
    <w:rsid w:val="1EF52CAC"/>
    <w:rsid w:val="1EF61ACB"/>
    <w:rsid w:val="1EF66A34"/>
    <w:rsid w:val="1EF70785"/>
    <w:rsid w:val="1EF71D4B"/>
    <w:rsid w:val="1EF748E2"/>
    <w:rsid w:val="1EF80FDF"/>
    <w:rsid w:val="1EF869B9"/>
    <w:rsid w:val="1EFA411F"/>
    <w:rsid w:val="1EFB00F2"/>
    <w:rsid w:val="1EFD3ECC"/>
    <w:rsid w:val="1EFF41AA"/>
    <w:rsid w:val="1F001510"/>
    <w:rsid w:val="1F014CC6"/>
    <w:rsid w:val="1F026649"/>
    <w:rsid w:val="1F027D8D"/>
    <w:rsid w:val="1F05350E"/>
    <w:rsid w:val="1F084CC5"/>
    <w:rsid w:val="1F08794F"/>
    <w:rsid w:val="1F0975C0"/>
    <w:rsid w:val="1F0B0316"/>
    <w:rsid w:val="1F0B4A90"/>
    <w:rsid w:val="1F0C4573"/>
    <w:rsid w:val="1F0D42CD"/>
    <w:rsid w:val="1F0D454C"/>
    <w:rsid w:val="1F0F79D8"/>
    <w:rsid w:val="1F1106EB"/>
    <w:rsid w:val="1F1248BF"/>
    <w:rsid w:val="1F125FDD"/>
    <w:rsid w:val="1F130081"/>
    <w:rsid w:val="1F13155B"/>
    <w:rsid w:val="1F141195"/>
    <w:rsid w:val="1F14710E"/>
    <w:rsid w:val="1F152FDA"/>
    <w:rsid w:val="1F167F68"/>
    <w:rsid w:val="1F17080A"/>
    <w:rsid w:val="1F1A7E37"/>
    <w:rsid w:val="1F1C387F"/>
    <w:rsid w:val="1F1D11F9"/>
    <w:rsid w:val="1F1D4641"/>
    <w:rsid w:val="1F1D6AE6"/>
    <w:rsid w:val="1F1E1493"/>
    <w:rsid w:val="1F1F008E"/>
    <w:rsid w:val="1F1F3C4D"/>
    <w:rsid w:val="1F1F7037"/>
    <w:rsid w:val="1F1F752F"/>
    <w:rsid w:val="1F1F78AF"/>
    <w:rsid w:val="1F2105F3"/>
    <w:rsid w:val="1F234173"/>
    <w:rsid w:val="1F243DE4"/>
    <w:rsid w:val="1F24734C"/>
    <w:rsid w:val="1F250399"/>
    <w:rsid w:val="1F285BD4"/>
    <w:rsid w:val="1F2A4802"/>
    <w:rsid w:val="1F2A63E5"/>
    <w:rsid w:val="1F2B2FAE"/>
    <w:rsid w:val="1F2B3779"/>
    <w:rsid w:val="1F2C0AA6"/>
    <w:rsid w:val="1F2E5E52"/>
    <w:rsid w:val="1F301734"/>
    <w:rsid w:val="1F3031B6"/>
    <w:rsid w:val="1F30519E"/>
    <w:rsid w:val="1F32168E"/>
    <w:rsid w:val="1F3303AE"/>
    <w:rsid w:val="1F342D18"/>
    <w:rsid w:val="1F3524A5"/>
    <w:rsid w:val="1F3621E9"/>
    <w:rsid w:val="1F380C6D"/>
    <w:rsid w:val="1F3A1452"/>
    <w:rsid w:val="1F3B763C"/>
    <w:rsid w:val="1F3B7BBC"/>
    <w:rsid w:val="1F3C1A48"/>
    <w:rsid w:val="1F3C2FE6"/>
    <w:rsid w:val="1F3E3AEB"/>
    <w:rsid w:val="1F3F6C40"/>
    <w:rsid w:val="1F3F6C9F"/>
    <w:rsid w:val="1F40661E"/>
    <w:rsid w:val="1F41033E"/>
    <w:rsid w:val="1F416E8F"/>
    <w:rsid w:val="1F417168"/>
    <w:rsid w:val="1F4317C2"/>
    <w:rsid w:val="1F4327E9"/>
    <w:rsid w:val="1F470E61"/>
    <w:rsid w:val="1F492BB3"/>
    <w:rsid w:val="1F4B07F0"/>
    <w:rsid w:val="1F4C502B"/>
    <w:rsid w:val="1F4D4E5E"/>
    <w:rsid w:val="1F4E2BDC"/>
    <w:rsid w:val="1F4E3DA4"/>
    <w:rsid w:val="1F4E5A38"/>
    <w:rsid w:val="1F4E6B31"/>
    <w:rsid w:val="1F51384E"/>
    <w:rsid w:val="1F526005"/>
    <w:rsid w:val="1F530B66"/>
    <w:rsid w:val="1F532ED1"/>
    <w:rsid w:val="1F5354B4"/>
    <w:rsid w:val="1F542071"/>
    <w:rsid w:val="1F556E0F"/>
    <w:rsid w:val="1F563C58"/>
    <w:rsid w:val="1F56636C"/>
    <w:rsid w:val="1F5718BD"/>
    <w:rsid w:val="1F5720D1"/>
    <w:rsid w:val="1F584F4E"/>
    <w:rsid w:val="1F5850A5"/>
    <w:rsid w:val="1F590673"/>
    <w:rsid w:val="1F59400B"/>
    <w:rsid w:val="1F5C2097"/>
    <w:rsid w:val="1F5C396E"/>
    <w:rsid w:val="1F5D2DB1"/>
    <w:rsid w:val="1F5D4350"/>
    <w:rsid w:val="1F5E26E0"/>
    <w:rsid w:val="1F5E6877"/>
    <w:rsid w:val="1F600748"/>
    <w:rsid w:val="1F605C65"/>
    <w:rsid w:val="1F6074B4"/>
    <w:rsid w:val="1F6115C2"/>
    <w:rsid w:val="1F633ED1"/>
    <w:rsid w:val="1F6410B2"/>
    <w:rsid w:val="1F64244F"/>
    <w:rsid w:val="1F64446D"/>
    <w:rsid w:val="1F6542D8"/>
    <w:rsid w:val="1F674433"/>
    <w:rsid w:val="1F683FDA"/>
    <w:rsid w:val="1F6941AF"/>
    <w:rsid w:val="1F6A680B"/>
    <w:rsid w:val="1F6B7004"/>
    <w:rsid w:val="1F6C0A8C"/>
    <w:rsid w:val="1F6C10CB"/>
    <w:rsid w:val="1F6C12B9"/>
    <w:rsid w:val="1F6C71B9"/>
    <w:rsid w:val="1F6D2572"/>
    <w:rsid w:val="1F6D4177"/>
    <w:rsid w:val="1F6D57EE"/>
    <w:rsid w:val="1F6D7536"/>
    <w:rsid w:val="1F6D7890"/>
    <w:rsid w:val="1F6E3092"/>
    <w:rsid w:val="1F6F48D3"/>
    <w:rsid w:val="1F70702F"/>
    <w:rsid w:val="1F712935"/>
    <w:rsid w:val="1F72509D"/>
    <w:rsid w:val="1F725F85"/>
    <w:rsid w:val="1F746174"/>
    <w:rsid w:val="1F7A2A5A"/>
    <w:rsid w:val="1F7A7919"/>
    <w:rsid w:val="1F7C0B2E"/>
    <w:rsid w:val="1F7C1B4A"/>
    <w:rsid w:val="1F7C2437"/>
    <w:rsid w:val="1F7E025A"/>
    <w:rsid w:val="1F7E3373"/>
    <w:rsid w:val="1F7F0D55"/>
    <w:rsid w:val="1F7F4847"/>
    <w:rsid w:val="1F7F4CFE"/>
    <w:rsid w:val="1F81267C"/>
    <w:rsid w:val="1F812DB1"/>
    <w:rsid w:val="1F813EF2"/>
    <w:rsid w:val="1F8336BD"/>
    <w:rsid w:val="1F833C2E"/>
    <w:rsid w:val="1F851CD0"/>
    <w:rsid w:val="1F855F20"/>
    <w:rsid w:val="1F86727A"/>
    <w:rsid w:val="1F8762EE"/>
    <w:rsid w:val="1F8801CB"/>
    <w:rsid w:val="1F887176"/>
    <w:rsid w:val="1F8920D7"/>
    <w:rsid w:val="1F892935"/>
    <w:rsid w:val="1F8A3658"/>
    <w:rsid w:val="1F8A76E7"/>
    <w:rsid w:val="1F8B1A72"/>
    <w:rsid w:val="1F8D474B"/>
    <w:rsid w:val="1F8E1770"/>
    <w:rsid w:val="1F906EA4"/>
    <w:rsid w:val="1F921234"/>
    <w:rsid w:val="1F92520B"/>
    <w:rsid w:val="1F937B24"/>
    <w:rsid w:val="1F941D00"/>
    <w:rsid w:val="1F953BA8"/>
    <w:rsid w:val="1F9553CF"/>
    <w:rsid w:val="1F957744"/>
    <w:rsid w:val="1F967C23"/>
    <w:rsid w:val="1F971AEB"/>
    <w:rsid w:val="1F982C21"/>
    <w:rsid w:val="1F9A2DD1"/>
    <w:rsid w:val="1F9A75DA"/>
    <w:rsid w:val="1F9B6E6D"/>
    <w:rsid w:val="1F9C2602"/>
    <w:rsid w:val="1F9C5605"/>
    <w:rsid w:val="1F9F09FC"/>
    <w:rsid w:val="1F9F51A6"/>
    <w:rsid w:val="1FA03592"/>
    <w:rsid w:val="1FA16752"/>
    <w:rsid w:val="1FA267A3"/>
    <w:rsid w:val="1FA60016"/>
    <w:rsid w:val="1FA7433A"/>
    <w:rsid w:val="1FA77301"/>
    <w:rsid w:val="1FA8074C"/>
    <w:rsid w:val="1FA866BA"/>
    <w:rsid w:val="1FA934DE"/>
    <w:rsid w:val="1FAB0164"/>
    <w:rsid w:val="1FAB022B"/>
    <w:rsid w:val="1FAC6EF1"/>
    <w:rsid w:val="1FB03493"/>
    <w:rsid w:val="1FB04548"/>
    <w:rsid w:val="1FB076D8"/>
    <w:rsid w:val="1FB13EE5"/>
    <w:rsid w:val="1FB1655F"/>
    <w:rsid w:val="1FB2602E"/>
    <w:rsid w:val="1FB514E9"/>
    <w:rsid w:val="1FB57757"/>
    <w:rsid w:val="1FB71188"/>
    <w:rsid w:val="1FB77038"/>
    <w:rsid w:val="1FB8606B"/>
    <w:rsid w:val="1FBA1E3C"/>
    <w:rsid w:val="1FBA26F5"/>
    <w:rsid w:val="1FBB38B5"/>
    <w:rsid w:val="1FBC3267"/>
    <w:rsid w:val="1FBC358D"/>
    <w:rsid w:val="1FBC3E16"/>
    <w:rsid w:val="1FBE7869"/>
    <w:rsid w:val="1FBF2C3A"/>
    <w:rsid w:val="1FBF6EA3"/>
    <w:rsid w:val="1FC356AC"/>
    <w:rsid w:val="1FC41436"/>
    <w:rsid w:val="1FC53C95"/>
    <w:rsid w:val="1FC61394"/>
    <w:rsid w:val="1FC63E26"/>
    <w:rsid w:val="1FC826FE"/>
    <w:rsid w:val="1FC91070"/>
    <w:rsid w:val="1FC9500F"/>
    <w:rsid w:val="1FCA53B9"/>
    <w:rsid w:val="1FCA5876"/>
    <w:rsid w:val="1FCA7C2F"/>
    <w:rsid w:val="1FCB3A72"/>
    <w:rsid w:val="1FCB53EB"/>
    <w:rsid w:val="1FCC0E28"/>
    <w:rsid w:val="1FCC6BC7"/>
    <w:rsid w:val="1FCD11B4"/>
    <w:rsid w:val="1FCD3D70"/>
    <w:rsid w:val="1FCF1B90"/>
    <w:rsid w:val="1FD14630"/>
    <w:rsid w:val="1FD7350B"/>
    <w:rsid w:val="1FD73639"/>
    <w:rsid w:val="1FD758C5"/>
    <w:rsid w:val="1FD8522B"/>
    <w:rsid w:val="1FDA5F2D"/>
    <w:rsid w:val="1FDB391B"/>
    <w:rsid w:val="1FDC542C"/>
    <w:rsid w:val="1FDF58F7"/>
    <w:rsid w:val="1FE14C07"/>
    <w:rsid w:val="1FE15013"/>
    <w:rsid w:val="1FE36DA4"/>
    <w:rsid w:val="1FE53F05"/>
    <w:rsid w:val="1FE575A1"/>
    <w:rsid w:val="1FE57C5B"/>
    <w:rsid w:val="1FE60AEC"/>
    <w:rsid w:val="1FE66272"/>
    <w:rsid w:val="1FE70DE8"/>
    <w:rsid w:val="1FE8597D"/>
    <w:rsid w:val="1FE90017"/>
    <w:rsid w:val="1FE97C35"/>
    <w:rsid w:val="1FEA50FE"/>
    <w:rsid w:val="1FEA66A5"/>
    <w:rsid w:val="1FED28AE"/>
    <w:rsid w:val="1FEF595B"/>
    <w:rsid w:val="1FF016EA"/>
    <w:rsid w:val="1FF047FA"/>
    <w:rsid w:val="1FF10801"/>
    <w:rsid w:val="1FF217E2"/>
    <w:rsid w:val="1FF217F7"/>
    <w:rsid w:val="1FF26DF2"/>
    <w:rsid w:val="1FF43830"/>
    <w:rsid w:val="1FF54191"/>
    <w:rsid w:val="1FF56379"/>
    <w:rsid w:val="1FF57E6A"/>
    <w:rsid w:val="1FF64C58"/>
    <w:rsid w:val="1FF74C4D"/>
    <w:rsid w:val="1FF75816"/>
    <w:rsid w:val="1FF840A8"/>
    <w:rsid w:val="1FF90E40"/>
    <w:rsid w:val="1FFB44D2"/>
    <w:rsid w:val="1FFD637A"/>
    <w:rsid w:val="1FFE0F1C"/>
    <w:rsid w:val="1FFE296F"/>
    <w:rsid w:val="1FFE7336"/>
    <w:rsid w:val="1FFF4956"/>
    <w:rsid w:val="200015DA"/>
    <w:rsid w:val="20024D30"/>
    <w:rsid w:val="200268D7"/>
    <w:rsid w:val="200464D7"/>
    <w:rsid w:val="20051807"/>
    <w:rsid w:val="20052A1E"/>
    <w:rsid w:val="20067927"/>
    <w:rsid w:val="2009185E"/>
    <w:rsid w:val="200B461B"/>
    <w:rsid w:val="200D53BB"/>
    <w:rsid w:val="200F0D2D"/>
    <w:rsid w:val="200F77E2"/>
    <w:rsid w:val="201304B8"/>
    <w:rsid w:val="20134992"/>
    <w:rsid w:val="20134E54"/>
    <w:rsid w:val="20136D56"/>
    <w:rsid w:val="20140F41"/>
    <w:rsid w:val="20147391"/>
    <w:rsid w:val="20174BBA"/>
    <w:rsid w:val="2018410D"/>
    <w:rsid w:val="20194C07"/>
    <w:rsid w:val="201A1722"/>
    <w:rsid w:val="201A550D"/>
    <w:rsid w:val="201B6094"/>
    <w:rsid w:val="201B6103"/>
    <w:rsid w:val="201C0642"/>
    <w:rsid w:val="201D2FC0"/>
    <w:rsid w:val="201E51C0"/>
    <w:rsid w:val="201E6154"/>
    <w:rsid w:val="20206A07"/>
    <w:rsid w:val="20250EE3"/>
    <w:rsid w:val="20254337"/>
    <w:rsid w:val="20256E16"/>
    <w:rsid w:val="20264E1E"/>
    <w:rsid w:val="20270058"/>
    <w:rsid w:val="20270A5D"/>
    <w:rsid w:val="20271C0B"/>
    <w:rsid w:val="2027526C"/>
    <w:rsid w:val="202813EB"/>
    <w:rsid w:val="202858A2"/>
    <w:rsid w:val="202909C4"/>
    <w:rsid w:val="202A3793"/>
    <w:rsid w:val="202A539A"/>
    <w:rsid w:val="202C0180"/>
    <w:rsid w:val="202C01E8"/>
    <w:rsid w:val="202C1A2C"/>
    <w:rsid w:val="202C6073"/>
    <w:rsid w:val="202D4DAD"/>
    <w:rsid w:val="202D5062"/>
    <w:rsid w:val="202E380B"/>
    <w:rsid w:val="202F10ED"/>
    <w:rsid w:val="20330D93"/>
    <w:rsid w:val="20333998"/>
    <w:rsid w:val="20341B1E"/>
    <w:rsid w:val="20352236"/>
    <w:rsid w:val="203523E4"/>
    <w:rsid w:val="20363E73"/>
    <w:rsid w:val="2037273E"/>
    <w:rsid w:val="203765F4"/>
    <w:rsid w:val="2038285A"/>
    <w:rsid w:val="20390748"/>
    <w:rsid w:val="203959E3"/>
    <w:rsid w:val="20396090"/>
    <w:rsid w:val="203A6317"/>
    <w:rsid w:val="203B18C5"/>
    <w:rsid w:val="203C73B0"/>
    <w:rsid w:val="203D1DE5"/>
    <w:rsid w:val="203D3519"/>
    <w:rsid w:val="203D3918"/>
    <w:rsid w:val="203F3EF4"/>
    <w:rsid w:val="20420190"/>
    <w:rsid w:val="204275E4"/>
    <w:rsid w:val="204361B2"/>
    <w:rsid w:val="20443ECF"/>
    <w:rsid w:val="20450EAD"/>
    <w:rsid w:val="204570F6"/>
    <w:rsid w:val="2046629F"/>
    <w:rsid w:val="204669E1"/>
    <w:rsid w:val="2047254A"/>
    <w:rsid w:val="20491512"/>
    <w:rsid w:val="204A54D9"/>
    <w:rsid w:val="204A6957"/>
    <w:rsid w:val="204D4DDD"/>
    <w:rsid w:val="204D577D"/>
    <w:rsid w:val="204E27D5"/>
    <w:rsid w:val="204F1DD1"/>
    <w:rsid w:val="204F4731"/>
    <w:rsid w:val="205053B7"/>
    <w:rsid w:val="20540475"/>
    <w:rsid w:val="20541126"/>
    <w:rsid w:val="2054131F"/>
    <w:rsid w:val="205474B5"/>
    <w:rsid w:val="20552F43"/>
    <w:rsid w:val="20582F84"/>
    <w:rsid w:val="205927A0"/>
    <w:rsid w:val="205A5467"/>
    <w:rsid w:val="205E6904"/>
    <w:rsid w:val="205F14C5"/>
    <w:rsid w:val="205F5FB1"/>
    <w:rsid w:val="205F7A54"/>
    <w:rsid w:val="2060639C"/>
    <w:rsid w:val="20607F2F"/>
    <w:rsid w:val="20610184"/>
    <w:rsid w:val="20644F91"/>
    <w:rsid w:val="2065383D"/>
    <w:rsid w:val="20670E5A"/>
    <w:rsid w:val="20684BD2"/>
    <w:rsid w:val="20695BDC"/>
    <w:rsid w:val="206979A9"/>
    <w:rsid w:val="206A2307"/>
    <w:rsid w:val="206A7496"/>
    <w:rsid w:val="206B68F0"/>
    <w:rsid w:val="206C352E"/>
    <w:rsid w:val="206C6B20"/>
    <w:rsid w:val="207004C2"/>
    <w:rsid w:val="207011D8"/>
    <w:rsid w:val="207047DA"/>
    <w:rsid w:val="20705983"/>
    <w:rsid w:val="20713A86"/>
    <w:rsid w:val="20714CAB"/>
    <w:rsid w:val="20717ECC"/>
    <w:rsid w:val="2072057A"/>
    <w:rsid w:val="2072357F"/>
    <w:rsid w:val="20724D34"/>
    <w:rsid w:val="207379F1"/>
    <w:rsid w:val="20743C6E"/>
    <w:rsid w:val="20756AC6"/>
    <w:rsid w:val="20775A1C"/>
    <w:rsid w:val="207E43F5"/>
    <w:rsid w:val="207E6E62"/>
    <w:rsid w:val="207F493D"/>
    <w:rsid w:val="207F7A36"/>
    <w:rsid w:val="2080086A"/>
    <w:rsid w:val="20803077"/>
    <w:rsid w:val="20803D6A"/>
    <w:rsid w:val="208204AF"/>
    <w:rsid w:val="208318B8"/>
    <w:rsid w:val="2084463B"/>
    <w:rsid w:val="208506E4"/>
    <w:rsid w:val="20853BC5"/>
    <w:rsid w:val="20860A52"/>
    <w:rsid w:val="20867663"/>
    <w:rsid w:val="20890D77"/>
    <w:rsid w:val="20892F03"/>
    <w:rsid w:val="208966AD"/>
    <w:rsid w:val="208A2801"/>
    <w:rsid w:val="208D03E8"/>
    <w:rsid w:val="208E1E90"/>
    <w:rsid w:val="208E6BE5"/>
    <w:rsid w:val="208F214F"/>
    <w:rsid w:val="208F2B62"/>
    <w:rsid w:val="208F4770"/>
    <w:rsid w:val="208F4AAC"/>
    <w:rsid w:val="20906E4D"/>
    <w:rsid w:val="20931C4F"/>
    <w:rsid w:val="20940F41"/>
    <w:rsid w:val="20940FF0"/>
    <w:rsid w:val="20941DA5"/>
    <w:rsid w:val="2096572D"/>
    <w:rsid w:val="20970919"/>
    <w:rsid w:val="20983A31"/>
    <w:rsid w:val="20986806"/>
    <w:rsid w:val="209868C2"/>
    <w:rsid w:val="2098712A"/>
    <w:rsid w:val="2098724A"/>
    <w:rsid w:val="20987D85"/>
    <w:rsid w:val="20990D94"/>
    <w:rsid w:val="209A5016"/>
    <w:rsid w:val="209B07DC"/>
    <w:rsid w:val="209B4FA7"/>
    <w:rsid w:val="209B6232"/>
    <w:rsid w:val="209D1BA3"/>
    <w:rsid w:val="209D3BB6"/>
    <w:rsid w:val="209E1F2D"/>
    <w:rsid w:val="20A11D82"/>
    <w:rsid w:val="20A16281"/>
    <w:rsid w:val="20A209AE"/>
    <w:rsid w:val="20A45D59"/>
    <w:rsid w:val="20A53106"/>
    <w:rsid w:val="20A60C80"/>
    <w:rsid w:val="20A742A6"/>
    <w:rsid w:val="20A94669"/>
    <w:rsid w:val="20AC1DD9"/>
    <w:rsid w:val="20AC2396"/>
    <w:rsid w:val="20AD78CE"/>
    <w:rsid w:val="20AE05F2"/>
    <w:rsid w:val="20AE2D1A"/>
    <w:rsid w:val="20AF0828"/>
    <w:rsid w:val="20AF45DC"/>
    <w:rsid w:val="20B033CE"/>
    <w:rsid w:val="20B215E0"/>
    <w:rsid w:val="20B337A9"/>
    <w:rsid w:val="20B34401"/>
    <w:rsid w:val="20B36159"/>
    <w:rsid w:val="20B5633A"/>
    <w:rsid w:val="20B63727"/>
    <w:rsid w:val="20B706C8"/>
    <w:rsid w:val="20B95A5E"/>
    <w:rsid w:val="20B978E0"/>
    <w:rsid w:val="20B97E79"/>
    <w:rsid w:val="20BA790F"/>
    <w:rsid w:val="20BB0156"/>
    <w:rsid w:val="20BB178F"/>
    <w:rsid w:val="20BB54C1"/>
    <w:rsid w:val="20BC2C08"/>
    <w:rsid w:val="20BC59D7"/>
    <w:rsid w:val="20BD6DA6"/>
    <w:rsid w:val="20BE4114"/>
    <w:rsid w:val="20C01F7A"/>
    <w:rsid w:val="20C02DF6"/>
    <w:rsid w:val="20C12946"/>
    <w:rsid w:val="20C12CEC"/>
    <w:rsid w:val="20C1770C"/>
    <w:rsid w:val="20C244DD"/>
    <w:rsid w:val="20C31631"/>
    <w:rsid w:val="20C31E08"/>
    <w:rsid w:val="20C66869"/>
    <w:rsid w:val="20C7028B"/>
    <w:rsid w:val="20CA763A"/>
    <w:rsid w:val="20CB5D13"/>
    <w:rsid w:val="20CD0E7C"/>
    <w:rsid w:val="20CF2D88"/>
    <w:rsid w:val="20D02A32"/>
    <w:rsid w:val="20D11AFE"/>
    <w:rsid w:val="20D20FB6"/>
    <w:rsid w:val="20D22847"/>
    <w:rsid w:val="20D233FC"/>
    <w:rsid w:val="20D40959"/>
    <w:rsid w:val="20D42D51"/>
    <w:rsid w:val="20D440FA"/>
    <w:rsid w:val="20D47AFA"/>
    <w:rsid w:val="20D67106"/>
    <w:rsid w:val="20D720E5"/>
    <w:rsid w:val="20D750B9"/>
    <w:rsid w:val="20D753B5"/>
    <w:rsid w:val="20D802CF"/>
    <w:rsid w:val="20D802F9"/>
    <w:rsid w:val="20D8340E"/>
    <w:rsid w:val="20D86E98"/>
    <w:rsid w:val="20D912C0"/>
    <w:rsid w:val="20D96AB0"/>
    <w:rsid w:val="20DB0121"/>
    <w:rsid w:val="20DB7344"/>
    <w:rsid w:val="20DC438A"/>
    <w:rsid w:val="20DC4592"/>
    <w:rsid w:val="20DD178F"/>
    <w:rsid w:val="20DE0937"/>
    <w:rsid w:val="20E30152"/>
    <w:rsid w:val="20E30F60"/>
    <w:rsid w:val="20E31DEB"/>
    <w:rsid w:val="20E37583"/>
    <w:rsid w:val="20E421C6"/>
    <w:rsid w:val="20E46A72"/>
    <w:rsid w:val="20E50204"/>
    <w:rsid w:val="20E56F3A"/>
    <w:rsid w:val="20E60869"/>
    <w:rsid w:val="20E6658C"/>
    <w:rsid w:val="20E67D84"/>
    <w:rsid w:val="20E928DD"/>
    <w:rsid w:val="20EA2CDE"/>
    <w:rsid w:val="20EB2874"/>
    <w:rsid w:val="20EB4D85"/>
    <w:rsid w:val="20EC2908"/>
    <w:rsid w:val="20EC75B1"/>
    <w:rsid w:val="20EE076B"/>
    <w:rsid w:val="20EF6F66"/>
    <w:rsid w:val="20EF742A"/>
    <w:rsid w:val="20F06655"/>
    <w:rsid w:val="20F071D5"/>
    <w:rsid w:val="20F14BC7"/>
    <w:rsid w:val="20F20F5B"/>
    <w:rsid w:val="20F24003"/>
    <w:rsid w:val="20F326ED"/>
    <w:rsid w:val="20F352F3"/>
    <w:rsid w:val="20F46465"/>
    <w:rsid w:val="20F479D0"/>
    <w:rsid w:val="20F54848"/>
    <w:rsid w:val="20F5718B"/>
    <w:rsid w:val="20F81BEF"/>
    <w:rsid w:val="20F827BA"/>
    <w:rsid w:val="20FA7C41"/>
    <w:rsid w:val="20FB77F4"/>
    <w:rsid w:val="20FC022D"/>
    <w:rsid w:val="20FC2CC4"/>
    <w:rsid w:val="20FC59AF"/>
    <w:rsid w:val="20FD2B45"/>
    <w:rsid w:val="20FD39C4"/>
    <w:rsid w:val="20FD7FCC"/>
    <w:rsid w:val="20FE1BD4"/>
    <w:rsid w:val="20FE423D"/>
    <w:rsid w:val="20FF5BE5"/>
    <w:rsid w:val="21010748"/>
    <w:rsid w:val="21011A83"/>
    <w:rsid w:val="2102680E"/>
    <w:rsid w:val="21032B0D"/>
    <w:rsid w:val="210369DD"/>
    <w:rsid w:val="210457B7"/>
    <w:rsid w:val="21045C02"/>
    <w:rsid w:val="210721B3"/>
    <w:rsid w:val="2107268F"/>
    <w:rsid w:val="21080873"/>
    <w:rsid w:val="21087E57"/>
    <w:rsid w:val="2109090B"/>
    <w:rsid w:val="21090D21"/>
    <w:rsid w:val="2109540C"/>
    <w:rsid w:val="210A1CE9"/>
    <w:rsid w:val="210A5AAC"/>
    <w:rsid w:val="210E752C"/>
    <w:rsid w:val="210F4667"/>
    <w:rsid w:val="210F7B10"/>
    <w:rsid w:val="211008C5"/>
    <w:rsid w:val="21103012"/>
    <w:rsid w:val="21123F83"/>
    <w:rsid w:val="21130EE4"/>
    <w:rsid w:val="21143AEC"/>
    <w:rsid w:val="21151A57"/>
    <w:rsid w:val="2115331C"/>
    <w:rsid w:val="211613D4"/>
    <w:rsid w:val="211A0026"/>
    <w:rsid w:val="211A1646"/>
    <w:rsid w:val="211B4908"/>
    <w:rsid w:val="211B7253"/>
    <w:rsid w:val="211C1CAB"/>
    <w:rsid w:val="211C453C"/>
    <w:rsid w:val="211D1129"/>
    <w:rsid w:val="211D3BCD"/>
    <w:rsid w:val="211D54EC"/>
    <w:rsid w:val="211E3E1C"/>
    <w:rsid w:val="2123343E"/>
    <w:rsid w:val="21234B35"/>
    <w:rsid w:val="21236527"/>
    <w:rsid w:val="21241356"/>
    <w:rsid w:val="21246B77"/>
    <w:rsid w:val="212712FF"/>
    <w:rsid w:val="21286B15"/>
    <w:rsid w:val="21287B93"/>
    <w:rsid w:val="2129084D"/>
    <w:rsid w:val="212B2771"/>
    <w:rsid w:val="212C1C92"/>
    <w:rsid w:val="212C673F"/>
    <w:rsid w:val="212D663C"/>
    <w:rsid w:val="212F71C9"/>
    <w:rsid w:val="212F78D7"/>
    <w:rsid w:val="21302C1A"/>
    <w:rsid w:val="2132007F"/>
    <w:rsid w:val="2132225A"/>
    <w:rsid w:val="21333A05"/>
    <w:rsid w:val="21337507"/>
    <w:rsid w:val="21340435"/>
    <w:rsid w:val="21343778"/>
    <w:rsid w:val="21353B9F"/>
    <w:rsid w:val="21373FF3"/>
    <w:rsid w:val="21377824"/>
    <w:rsid w:val="21380A48"/>
    <w:rsid w:val="2139116D"/>
    <w:rsid w:val="21393CA2"/>
    <w:rsid w:val="213B0270"/>
    <w:rsid w:val="213C585C"/>
    <w:rsid w:val="213C6DD6"/>
    <w:rsid w:val="213E6730"/>
    <w:rsid w:val="213E725A"/>
    <w:rsid w:val="213F250B"/>
    <w:rsid w:val="21414DAE"/>
    <w:rsid w:val="214166EE"/>
    <w:rsid w:val="2146249F"/>
    <w:rsid w:val="21474DB0"/>
    <w:rsid w:val="214814DD"/>
    <w:rsid w:val="21487AF6"/>
    <w:rsid w:val="214967B1"/>
    <w:rsid w:val="214A03FF"/>
    <w:rsid w:val="214A4070"/>
    <w:rsid w:val="214B3AFF"/>
    <w:rsid w:val="214D7998"/>
    <w:rsid w:val="214F1916"/>
    <w:rsid w:val="214F2783"/>
    <w:rsid w:val="214F3620"/>
    <w:rsid w:val="214F718A"/>
    <w:rsid w:val="21511586"/>
    <w:rsid w:val="21536F1C"/>
    <w:rsid w:val="21537630"/>
    <w:rsid w:val="215475B5"/>
    <w:rsid w:val="21560158"/>
    <w:rsid w:val="215601FE"/>
    <w:rsid w:val="21576793"/>
    <w:rsid w:val="21586626"/>
    <w:rsid w:val="21595CF3"/>
    <w:rsid w:val="21596A9B"/>
    <w:rsid w:val="215A275E"/>
    <w:rsid w:val="215C13BC"/>
    <w:rsid w:val="215C2BF6"/>
    <w:rsid w:val="215D0283"/>
    <w:rsid w:val="215D0E4B"/>
    <w:rsid w:val="215D776D"/>
    <w:rsid w:val="215E0226"/>
    <w:rsid w:val="215E1B1A"/>
    <w:rsid w:val="215E2D46"/>
    <w:rsid w:val="21605073"/>
    <w:rsid w:val="21611BA9"/>
    <w:rsid w:val="216169AD"/>
    <w:rsid w:val="21622EA9"/>
    <w:rsid w:val="21623A41"/>
    <w:rsid w:val="21632BC8"/>
    <w:rsid w:val="216435EB"/>
    <w:rsid w:val="216B4BF9"/>
    <w:rsid w:val="216C5B3B"/>
    <w:rsid w:val="21701766"/>
    <w:rsid w:val="217030BF"/>
    <w:rsid w:val="21740CBC"/>
    <w:rsid w:val="217441A3"/>
    <w:rsid w:val="217472AC"/>
    <w:rsid w:val="2175244F"/>
    <w:rsid w:val="2175641A"/>
    <w:rsid w:val="217579AE"/>
    <w:rsid w:val="21766614"/>
    <w:rsid w:val="21777BE8"/>
    <w:rsid w:val="21796FC3"/>
    <w:rsid w:val="217A7508"/>
    <w:rsid w:val="217B061C"/>
    <w:rsid w:val="217B3033"/>
    <w:rsid w:val="217F42CA"/>
    <w:rsid w:val="218047BF"/>
    <w:rsid w:val="21804D60"/>
    <w:rsid w:val="21817155"/>
    <w:rsid w:val="2182206D"/>
    <w:rsid w:val="21823861"/>
    <w:rsid w:val="21823BDC"/>
    <w:rsid w:val="21833D87"/>
    <w:rsid w:val="21872627"/>
    <w:rsid w:val="218831C3"/>
    <w:rsid w:val="218A10FC"/>
    <w:rsid w:val="218A6E2D"/>
    <w:rsid w:val="218B77ED"/>
    <w:rsid w:val="218D1296"/>
    <w:rsid w:val="218D288D"/>
    <w:rsid w:val="218E7A75"/>
    <w:rsid w:val="218F01A4"/>
    <w:rsid w:val="218F3820"/>
    <w:rsid w:val="21931EA7"/>
    <w:rsid w:val="2193735B"/>
    <w:rsid w:val="219407D1"/>
    <w:rsid w:val="219467CC"/>
    <w:rsid w:val="219537A4"/>
    <w:rsid w:val="219729E3"/>
    <w:rsid w:val="21984345"/>
    <w:rsid w:val="2199554F"/>
    <w:rsid w:val="21995DE8"/>
    <w:rsid w:val="21995FAA"/>
    <w:rsid w:val="219B4986"/>
    <w:rsid w:val="219B49C1"/>
    <w:rsid w:val="219D4B8A"/>
    <w:rsid w:val="219E008B"/>
    <w:rsid w:val="219E545D"/>
    <w:rsid w:val="219F0FB7"/>
    <w:rsid w:val="219F2B3B"/>
    <w:rsid w:val="219F6D0B"/>
    <w:rsid w:val="21A1003F"/>
    <w:rsid w:val="21A33253"/>
    <w:rsid w:val="21A40912"/>
    <w:rsid w:val="21A41B6F"/>
    <w:rsid w:val="21A47CD4"/>
    <w:rsid w:val="21A64CEB"/>
    <w:rsid w:val="21A70D52"/>
    <w:rsid w:val="21A87827"/>
    <w:rsid w:val="21A944D2"/>
    <w:rsid w:val="21AA26F5"/>
    <w:rsid w:val="21AA2BF3"/>
    <w:rsid w:val="21AB0164"/>
    <w:rsid w:val="21AB3EE8"/>
    <w:rsid w:val="21AD54B4"/>
    <w:rsid w:val="21AD7F97"/>
    <w:rsid w:val="21AE0821"/>
    <w:rsid w:val="21AE3FC9"/>
    <w:rsid w:val="21B00620"/>
    <w:rsid w:val="21B26CAB"/>
    <w:rsid w:val="21B34BAD"/>
    <w:rsid w:val="21B41676"/>
    <w:rsid w:val="21B4409C"/>
    <w:rsid w:val="21B52099"/>
    <w:rsid w:val="21B53699"/>
    <w:rsid w:val="21B62110"/>
    <w:rsid w:val="21B66667"/>
    <w:rsid w:val="21B77621"/>
    <w:rsid w:val="21B77BBF"/>
    <w:rsid w:val="21B87A53"/>
    <w:rsid w:val="21BA3DB7"/>
    <w:rsid w:val="21BA5177"/>
    <w:rsid w:val="21BB085A"/>
    <w:rsid w:val="21BB20AD"/>
    <w:rsid w:val="21BD4654"/>
    <w:rsid w:val="21BD4BD8"/>
    <w:rsid w:val="21BD58B6"/>
    <w:rsid w:val="21C01148"/>
    <w:rsid w:val="21C122BF"/>
    <w:rsid w:val="21C21EC5"/>
    <w:rsid w:val="21C61605"/>
    <w:rsid w:val="21C63188"/>
    <w:rsid w:val="21C64C66"/>
    <w:rsid w:val="21C7278A"/>
    <w:rsid w:val="21CA03C8"/>
    <w:rsid w:val="21CA66CB"/>
    <w:rsid w:val="21CB366A"/>
    <w:rsid w:val="21CB60F8"/>
    <w:rsid w:val="21CB76C7"/>
    <w:rsid w:val="21CD6AB6"/>
    <w:rsid w:val="21CF108A"/>
    <w:rsid w:val="21CF27F3"/>
    <w:rsid w:val="21D13615"/>
    <w:rsid w:val="21D14A95"/>
    <w:rsid w:val="21D15EB5"/>
    <w:rsid w:val="21D16E44"/>
    <w:rsid w:val="21D20A21"/>
    <w:rsid w:val="21D2768E"/>
    <w:rsid w:val="21D30EF5"/>
    <w:rsid w:val="21D33DFF"/>
    <w:rsid w:val="21D35DCC"/>
    <w:rsid w:val="21D473AE"/>
    <w:rsid w:val="21D544E9"/>
    <w:rsid w:val="21D5551E"/>
    <w:rsid w:val="21D57A2C"/>
    <w:rsid w:val="21D61CA1"/>
    <w:rsid w:val="21D625F5"/>
    <w:rsid w:val="21D63A68"/>
    <w:rsid w:val="21D710BD"/>
    <w:rsid w:val="21D7343B"/>
    <w:rsid w:val="21D7383F"/>
    <w:rsid w:val="21D82265"/>
    <w:rsid w:val="21D82EB8"/>
    <w:rsid w:val="21D93B5C"/>
    <w:rsid w:val="21DA0376"/>
    <w:rsid w:val="21DA5D11"/>
    <w:rsid w:val="21DB0F0A"/>
    <w:rsid w:val="21DC633E"/>
    <w:rsid w:val="21DE20A9"/>
    <w:rsid w:val="21DF11EA"/>
    <w:rsid w:val="21DF41CF"/>
    <w:rsid w:val="21E15816"/>
    <w:rsid w:val="21E2341E"/>
    <w:rsid w:val="21E4758A"/>
    <w:rsid w:val="21E50D98"/>
    <w:rsid w:val="21E6190E"/>
    <w:rsid w:val="21E6317B"/>
    <w:rsid w:val="21E9445E"/>
    <w:rsid w:val="21E95F71"/>
    <w:rsid w:val="21EA1F75"/>
    <w:rsid w:val="21EC3AA5"/>
    <w:rsid w:val="21ED32F7"/>
    <w:rsid w:val="21ED424D"/>
    <w:rsid w:val="21EF092F"/>
    <w:rsid w:val="21EF3A06"/>
    <w:rsid w:val="21F15DDC"/>
    <w:rsid w:val="21F20A86"/>
    <w:rsid w:val="21F336EE"/>
    <w:rsid w:val="21F34A02"/>
    <w:rsid w:val="21F350E5"/>
    <w:rsid w:val="21F474A8"/>
    <w:rsid w:val="21F52495"/>
    <w:rsid w:val="21F63EFF"/>
    <w:rsid w:val="21F67658"/>
    <w:rsid w:val="21F67EEA"/>
    <w:rsid w:val="21F82969"/>
    <w:rsid w:val="21F96348"/>
    <w:rsid w:val="21FB2637"/>
    <w:rsid w:val="21FC6B3B"/>
    <w:rsid w:val="21FD5E53"/>
    <w:rsid w:val="21FE1720"/>
    <w:rsid w:val="21FF547D"/>
    <w:rsid w:val="22000E79"/>
    <w:rsid w:val="22026FE5"/>
    <w:rsid w:val="22031EF3"/>
    <w:rsid w:val="220415D0"/>
    <w:rsid w:val="22041D0B"/>
    <w:rsid w:val="220442A3"/>
    <w:rsid w:val="22051855"/>
    <w:rsid w:val="2206130D"/>
    <w:rsid w:val="220737A2"/>
    <w:rsid w:val="2208241E"/>
    <w:rsid w:val="22094156"/>
    <w:rsid w:val="22094730"/>
    <w:rsid w:val="22095C4B"/>
    <w:rsid w:val="220B0EDF"/>
    <w:rsid w:val="220B76B0"/>
    <w:rsid w:val="220C3D93"/>
    <w:rsid w:val="220C5F7E"/>
    <w:rsid w:val="220F6AC3"/>
    <w:rsid w:val="22111D88"/>
    <w:rsid w:val="2211262C"/>
    <w:rsid w:val="22137138"/>
    <w:rsid w:val="221424A5"/>
    <w:rsid w:val="22143294"/>
    <w:rsid w:val="22146EDA"/>
    <w:rsid w:val="221478D1"/>
    <w:rsid w:val="22157543"/>
    <w:rsid w:val="22166B6C"/>
    <w:rsid w:val="22196F9C"/>
    <w:rsid w:val="221B25E5"/>
    <w:rsid w:val="221B5355"/>
    <w:rsid w:val="221C26E7"/>
    <w:rsid w:val="221C4B93"/>
    <w:rsid w:val="221D7E6A"/>
    <w:rsid w:val="221E1076"/>
    <w:rsid w:val="221E1D0B"/>
    <w:rsid w:val="221F2623"/>
    <w:rsid w:val="222058D2"/>
    <w:rsid w:val="222114DC"/>
    <w:rsid w:val="2221541E"/>
    <w:rsid w:val="22263212"/>
    <w:rsid w:val="22274B4A"/>
    <w:rsid w:val="22274D44"/>
    <w:rsid w:val="222907A1"/>
    <w:rsid w:val="2229451D"/>
    <w:rsid w:val="222A5209"/>
    <w:rsid w:val="222A58D8"/>
    <w:rsid w:val="222D38DC"/>
    <w:rsid w:val="222F75E5"/>
    <w:rsid w:val="22301FFC"/>
    <w:rsid w:val="223126A2"/>
    <w:rsid w:val="223256C4"/>
    <w:rsid w:val="22325F20"/>
    <w:rsid w:val="223405DD"/>
    <w:rsid w:val="2234162A"/>
    <w:rsid w:val="223467AA"/>
    <w:rsid w:val="22346E69"/>
    <w:rsid w:val="223474AC"/>
    <w:rsid w:val="22354D53"/>
    <w:rsid w:val="223663C4"/>
    <w:rsid w:val="22374FD2"/>
    <w:rsid w:val="22392FF3"/>
    <w:rsid w:val="223952C0"/>
    <w:rsid w:val="2239638F"/>
    <w:rsid w:val="2239716E"/>
    <w:rsid w:val="223A08D3"/>
    <w:rsid w:val="223A0DA2"/>
    <w:rsid w:val="223A3693"/>
    <w:rsid w:val="223A60BE"/>
    <w:rsid w:val="223B0E6D"/>
    <w:rsid w:val="223C635D"/>
    <w:rsid w:val="223D1AE3"/>
    <w:rsid w:val="223F05E7"/>
    <w:rsid w:val="223F1357"/>
    <w:rsid w:val="224004B9"/>
    <w:rsid w:val="2240161A"/>
    <w:rsid w:val="22416D47"/>
    <w:rsid w:val="22417F8E"/>
    <w:rsid w:val="22436CE4"/>
    <w:rsid w:val="22460EAC"/>
    <w:rsid w:val="224636CD"/>
    <w:rsid w:val="22473488"/>
    <w:rsid w:val="2248354A"/>
    <w:rsid w:val="22487BB1"/>
    <w:rsid w:val="224A27E1"/>
    <w:rsid w:val="224B32C7"/>
    <w:rsid w:val="224B5EE3"/>
    <w:rsid w:val="224C31BE"/>
    <w:rsid w:val="224C6559"/>
    <w:rsid w:val="224D2374"/>
    <w:rsid w:val="224E0C68"/>
    <w:rsid w:val="224E1926"/>
    <w:rsid w:val="224F2218"/>
    <w:rsid w:val="224F2E55"/>
    <w:rsid w:val="22512177"/>
    <w:rsid w:val="22513B6F"/>
    <w:rsid w:val="225153C5"/>
    <w:rsid w:val="225231D1"/>
    <w:rsid w:val="225249F0"/>
    <w:rsid w:val="22533760"/>
    <w:rsid w:val="22546CAC"/>
    <w:rsid w:val="22547FE6"/>
    <w:rsid w:val="225550D3"/>
    <w:rsid w:val="22555236"/>
    <w:rsid w:val="22567DEC"/>
    <w:rsid w:val="22570E7B"/>
    <w:rsid w:val="22576CAC"/>
    <w:rsid w:val="2258696C"/>
    <w:rsid w:val="225869CF"/>
    <w:rsid w:val="225957D8"/>
    <w:rsid w:val="225A08CA"/>
    <w:rsid w:val="225A0FA8"/>
    <w:rsid w:val="225B2FC3"/>
    <w:rsid w:val="225C225F"/>
    <w:rsid w:val="225D0AAE"/>
    <w:rsid w:val="225D7198"/>
    <w:rsid w:val="2260474B"/>
    <w:rsid w:val="226106CE"/>
    <w:rsid w:val="22627E6B"/>
    <w:rsid w:val="22630154"/>
    <w:rsid w:val="22633853"/>
    <w:rsid w:val="22637ABB"/>
    <w:rsid w:val="2265009E"/>
    <w:rsid w:val="22650CA1"/>
    <w:rsid w:val="2265586D"/>
    <w:rsid w:val="226B7030"/>
    <w:rsid w:val="226C3DC9"/>
    <w:rsid w:val="226D64CF"/>
    <w:rsid w:val="226E0468"/>
    <w:rsid w:val="226F16DC"/>
    <w:rsid w:val="226F537B"/>
    <w:rsid w:val="227058F7"/>
    <w:rsid w:val="22705B44"/>
    <w:rsid w:val="2272507C"/>
    <w:rsid w:val="2273604B"/>
    <w:rsid w:val="22746D83"/>
    <w:rsid w:val="22776674"/>
    <w:rsid w:val="22784696"/>
    <w:rsid w:val="2278681C"/>
    <w:rsid w:val="22791BA7"/>
    <w:rsid w:val="227A6B41"/>
    <w:rsid w:val="227C14F1"/>
    <w:rsid w:val="227D4EE0"/>
    <w:rsid w:val="227E0A20"/>
    <w:rsid w:val="227E12F8"/>
    <w:rsid w:val="228043A3"/>
    <w:rsid w:val="2281410A"/>
    <w:rsid w:val="22817F91"/>
    <w:rsid w:val="22821F7B"/>
    <w:rsid w:val="228277FB"/>
    <w:rsid w:val="22835A2B"/>
    <w:rsid w:val="22847225"/>
    <w:rsid w:val="22847DBA"/>
    <w:rsid w:val="22847F2D"/>
    <w:rsid w:val="22852665"/>
    <w:rsid w:val="22854166"/>
    <w:rsid w:val="228555BF"/>
    <w:rsid w:val="22871B09"/>
    <w:rsid w:val="22896F24"/>
    <w:rsid w:val="228972B9"/>
    <w:rsid w:val="228A0016"/>
    <w:rsid w:val="228A084E"/>
    <w:rsid w:val="228A23D3"/>
    <w:rsid w:val="228C0430"/>
    <w:rsid w:val="228C4553"/>
    <w:rsid w:val="228C7347"/>
    <w:rsid w:val="228D7655"/>
    <w:rsid w:val="22906BE1"/>
    <w:rsid w:val="2292541A"/>
    <w:rsid w:val="22934A12"/>
    <w:rsid w:val="22960F16"/>
    <w:rsid w:val="22963F61"/>
    <w:rsid w:val="22964094"/>
    <w:rsid w:val="2297352F"/>
    <w:rsid w:val="22975F39"/>
    <w:rsid w:val="22983E31"/>
    <w:rsid w:val="22984916"/>
    <w:rsid w:val="229A0790"/>
    <w:rsid w:val="229A205A"/>
    <w:rsid w:val="229A40EC"/>
    <w:rsid w:val="229A4525"/>
    <w:rsid w:val="229C6D88"/>
    <w:rsid w:val="229E332A"/>
    <w:rsid w:val="229E3B73"/>
    <w:rsid w:val="229E7A19"/>
    <w:rsid w:val="22A10950"/>
    <w:rsid w:val="22A1203F"/>
    <w:rsid w:val="22A1593A"/>
    <w:rsid w:val="22A159E8"/>
    <w:rsid w:val="22A44038"/>
    <w:rsid w:val="22A46AFB"/>
    <w:rsid w:val="22A6533B"/>
    <w:rsid w:val="22A747D2"/>
    <w:rsid w:val="22A84AF3"/>
    <w:rsid w:val="22A862D1"/>
    <w:rsid w:val="22AA2506"/>
    <w:rsid w:val="22AA4893"/>
    <w:rsid w:val="22AB1D29"/>
    <w:rsid w:val="22AD6A4D"/>
    <w:rsid w:val="22AE2DB3"/>
    <w:rsid w:val="22AE5E97"/>
    <w:rsid w:val="22B14E4E"/>
    <w:rsid w:val="22B326B9"/>
    <w:rsid w:val="22B35238"/>
    <w:rsid w:val="22B36329"/>
    <w:rsid w:val="22B47275"/>
    <w:rsid w:val="22B64EAE"/>
    <w:rsid w:val="22B66B55"/>
    <w:rsid w:val="22BA2A87"/>
    <w:rsid w:val="22BA7D28"/>
    <w:rsid w:val="22BE1A40"/>
    <w:rsid w:val="22BE3F82"/>
    <w:rsid w:val="22BE612A"/>
    <w:rsid w:val="22BE6864"/>
    <w:rsid w:val="22BF11C2"/>
    <w:rsid w:val="22BF1BA7"/>
    <w:rsid w:val="22BF3A57"/>
    <w:rsid w:val="22BF4F13"/>
    <w:rsid w:val="22C05519"/>
    <w:rsid w:val="22C06F22"/>
    <w:rsid w:val="22C16384"/>
    <w:rsid w:val="22C250C7"/>
    <w:rsid w:val="22C41690"/>
    <w:rsid w:val="22C576D7"/>
    <w:rsid w:val="22C6007E"/>
    <w:rsid w:val="22C67B2B"/>
    <w:rsid w:val="22C71C12"/>
    <w:rsid w:val="22C72618"/>
    <w:rsid w:val="22C758FC"/>
    <w:rsid w:val="22C80939"/>
    <w:rsid w:val="22C834AB"/>
    <w:rsid w:val="22C9564A"/>
    <w:rsid w:val="22CA7A72"/>
    <w:rsid w:val="22CD4D62"/>
    <w:rsid w:val="22D019A0"/>
    <w:rsid w:val="22D23C29"/>
    <w:rsid w:val="22D250AF"/>
    <w:rsid w:val="22D54CF7"/>
    <w:rsid w:val="22D60519"/>
    <w:rsid w:val="22D61287"/>
    <w:rsid w:val="22D753A0"/>
    <w:rsid w:val="22D874CD"/>
    <w:rsid w:val="22D92BEC"/>
    <w:rsid w:val="22DB4CBE"/>
    <w:rsid w:val="22DC0D5E"/>
    <w:rsid w:val="22DC1877"/>
    <w:rsid w:val="22DE608F"/>
    <w:rsid w:val="22E25328"/>
    <w:rsid w:val="22E30542"/>
    <w:rsid w:val="22E36F12"/>
    <w:rsid w:val="22E53339"/>
    <w:rsid w:val="22E72DBB"/>
    <w:rsid w:val="22E81454"/>
    <w:rsid w:val="22EA39D1"/>
    <w:rsid w:val="22EC0664"/>
    <w:rsid w:val="22EC0CF1"/>
    <w:rsid w:val="22EE5215"/>
    <w:rsid w:val="22F23532"/>
    <w:rsid w:val="22F30ACC"/>
    <w:rsid w:val="22F310A1"/>
    <w:rsid w:val="22F34742"/>
    <w:rsid w:val="22F47BAF"/>
    <w:rsid w:val="22F52DA0"/>
    <w:rsid w:val="22F655DF"/>
    <w:rsid w:val="22F6682D"/>
    <w:rsid w:val="22F85DD7"/>
    <w:rsid w:val="22F9321B"/>
    <w:rsid w:val="22F95CD8"/>
    <w:rsid w:val="22FA6789"/>
    <w:rsid w:val="22FC044F"/>
    <w:rsid w:val="22FC2459"/>
    <w:rsid w:val="22FC4869"/>
    <w:rsid w:val="22FC75F4"/>
    <w:rsid w:val="22FE2BBB"/>
    <w:rsid w:val="22FE559A"/>
    <w:rsid w:val="23032AF9"/>
    <w:rsid w:val="23066A9B"/>
    <w:rsid w:val="23067D86"/>
    <w:rsid w:val="23086596"/>
    <w:rsid w:val="230A0C9F"/>
    <w:rsid w:val="230A4EED"/>
    <w:rsid w:val="230B4E65"/>
    <w:rsid w:val="230C7CA6"/>
    <w:rsid w:val="230D223B"/>
    <w:rsid w:val="23113A54"/>
    <w:rsid w:val="23120618"/>
    <w:rsid w:val="23132D09"/>
    <w:rsid w:val="23141C51"/>
    <w:rsid w:val="23144974"/>
    <w:rsid w:val="2315029C"/>
    <w:rsid w:val="23151041"/>
    <w:rsid w:val="2316490B"/>
    <w:rsid w:val="23172195"/>
    <w:rsid w:val="231815AB"/>
    <w:rsid w:val="23183EBB"/>
    <w:rsid w:val="231878C1"/>
    <w:rsid w:val="231A0405"/>
    <w:rsid w:val="231B1EC4"/>
    <w:rsid w:val="231C3B47"/>
    <w:rsid w:val="231E73C9"/>
    <w:rsid w:val="231F0A1E"/>
    <w:rsid w:val="231F53EA"/>
    <w:rsid w:val="23203075"/>
    <w:rsid w:val="232043C3"/>
    <w:rsid w:val="232120F4"/>
    <w:rsid w:val="23220544"/>
    <w:rsid w:val="23235766"/>
    <w:rsid w:val="23247295"/>
    <w:rsid w:val="23247F9D"/>
    <w:rsid w:val="23250C2A"/>
    <w:rsid w:val="232553DD"/>
    <w:rsid w:val="23272059"/>
    <w:rsid w:val="232727C5"/>
    <w:rsid w:val="232773A9"/>
    <w:rsid w:val="23292DA2"/>
    <w:rsid w:val="2329336A"/>
    <w:rsid w:val="23295B83"/>
    <w:rsid w:val="232B0177"/>
    <w:rsid w:val="232D083A"/>
    <w:rsid w:val="232D3B20"/>
    <w:rsid w:val="232E537A"/>
    <w:rsid w:val="232F064D"/>
    <w:rsid w:val="232F074F"/>
    <w:rsid w:val="233022BA"/>
    <w:rsid w:val="23306DE6"/>
    <w:rsid w:val="23317AAC"/>
    <w:rsid w:val="23333F35"/>
    <w:rsid w:val="23357983"/>
    <w:rsid w:val="23363BA9"/>
    <w:rsid w:val="233642B8"/>
    <w:rsid w:val="233646BD"/>
    <w:rsid w:val="23367D37"/>
    <w:rsid w:val="23382DF4"/>
    <w:rsid w:val="233B270A"/>
    <w:rsid w:val="233B3D95"/>
    <w:rsid w:val="233C1162"/>
    <w:rsid w:val="233D5859"/>
    <w:rsid w:val="2340700E"/>
    <w:rsid w:val="23425F23"/>
    <w:rsid w:val="23427C70"/>
    <w:rsid w:val="234373C0"/>
    <w:rsid w:val="23444AE1"/>
    <w:rsid w:val="23472244"/>
    <w:rsid w:val="234764C4"/>
    <w:rsid w:val="23486B53"/>
    <w:rsid w:val="23495675"/>
    <w:rsid w:val="234972E5"/>
    <w:rsid w:val="234A14BE"/>
    <w:rsid w:val="234B0E8A"/>
    <w:rsid w:val="234B2A5D"/>
    <w:rsid w:val="234B7654"/>
    <w:rsid w:val="234C009C"/>
    <w:rsid w:val="234C1205"/>
    <w:rsid w:val="234D25B5"/>
    <w:rsid w:val="234D35B2"/>
    <w:rsid w:val="234E00AF"/>
    <w:rsid w:val="234E6301"/>
    <w:rsid w:val="234F3830"/>
    <w:rsid w:val="234F5698"/>
    <w:rsid w:val="23510BF2"/>
    <w:rsid w:val="23514972"/>
    <w:rsid w:val="23515AA7"/>
    <w:rsid w:val="23523B06"/>
    <w:rsid w:val="23524DEA"/>
    <w:rsid w:val="23530B27"/>
    <w:rsid w:val="23566138"/>
    <w:rsid w:val="2356724A"/>
    <w:rsid w:val="2359044D"/>
    <w:rsid w:val="235A0B30"/>
    <w:rsid w:val="235B27DB"/>
    <w:rsid w:val="235B6E72"/>
    <w:rsid w:val="235C72C1"/>
    <w:rsid w:val="235D128E"/>
    <w:rsid w:val="235D4796"/>
    <w:rsid w:val="235F1B0B"/>
    <w:rsid w:val="23633B60"/>
    <w:rsid w:val="236475F4"/>
    <w:rsid w:val="23673D99"/>
    <w:rsid w:val="23677516"/>
    <w:rsid w:val="23682946"/>
    <w:rsid w:val="2368683E"/>
    <w:rsid w:val="236B2207"/>
    <w:rsid w:val="236C11AD"/>
    <w:rsid w:val="236E75E3"/>
    <w:rsid w:val="236F1A0E"/>
    <w:rsid w:val="236F4649"/>
    <w:rsid w:val="237106DC"/>
    <w:rsid w:val="237129CB"/>
    <w:rsid w:val="237252B2"/>
    <w:rsid w:val="2372617A"/>
    <w:rsid w:val="23733AB0"/>
    <w:rsid w:val="23751340"/>
    <w:rsid w:val="23755068"/>
    <w:rsid w:val="2376015A"/>
    <w:rsid w:val="23762FD9"/>
    <w:rsid w:val="23766F62"/>
    <w:rsid w:val="23772320"/>
    <w:rsid w:val="237A1467"/>
    <w:rsid w:val="237A26B3"/>
    <w:rsid w:val="237C18CA"/>
    <w:rsid w:val="237C3CC2"/>
    <w:rsid w:val="237D6321"/>
    <w:rsid w:val="237E1276"/>
    <w:rsid w:val="237E4C45"/>
    <w:rsid w:val="23801029"/>
    <w:rsid w:val="23804D8E"/>
    <w:rsid w:val="23826821"/>
    <w:rsid w:val="23834C5A"/>
    <w:rsid w:val="23836C82"/>
    <w:rsid w:val="23847D03"/>
    <w:rsid w:val="23864FFD"/>
    <w:rsid w:val="23865F28"/>
    <w:rsid w:val="23875393"/>
    <w:rsid w:val="238762EF"/>
    <w:rsid w:val="23881947"/>
    <w:rsid w:val="238A1D58"/>
    <w:rsid w:val="238B0A94"/>
    <w:rsid w:val="238B3AD9"/>
    <w:rsid w:val="238B46A6"/>
    <w:rsid w:val="238C6F0B"/>
    <w:rsid w:val="238F06EF"/>
    <w:rsid w:val="238F187C"/>
    <w:rsid w:val="23902D8C"/>
    <w:rsid w:val="23905E76"/>
    <w:rsid w:val="23930E24"/>
    <w:rsid w:val="23937BA5"/>
    <w:rsid w:val="239426CA"/>
    <w:rsid w:val="23946498"/>
    <w:rsid w:val="23947722"/>
    <w:rsid w:val="2395689E"/>
    <w:rsid w:val="239642AA"/>
    <w:rsid w:val="239669B7"/>
    <w:rsid w:val="23970A8B"/>
    <w:rsid w:val="239767C3"/>
    <w:rsid w:val="239930D2"/>
    <w:rsid w:val="239B2B3E"/>
    <w:rsid w:val="239B54D7"/>
    <w:rsid w:val="239E7514"/>
    <w:rsid w:val="239F39FA"/>
    <w:rsid w:val="23A06F63"/>
    <w:rsid w:val="23A300D9"/>
    <w:rsid w:val="23A351EB"/>
    <w:rsid w:val="23A4383A"/>
    <w:rsid w:val="23A46FE4"/>
    <w:rsid w:val="23A5095C"/>
    <w:rsid w:val="23A52F05"/>
    <w:rsid w:val="23A63095"/>
    <w:rsid w:val="23A774FC"/>
    <w:rsid w:val="23A91C65"/>
    <w:rsid w:val="23A94D9E"/>
    <w:rsid w:val="23AA6FFF"/>
    <w:rsid w:val="23AB3F11"/>
    <w:rsid w:val="23AB5A38"/>
    <w:rsid w:val="23AC1EAE"/>
    <w:rsid w:val="23AD10BD"/>
    <w:rsid w:val="23AD1C18"/>
    <w:rsid w:val="23AD6F7C"/>
    <w:rsid w:val="23AD74CB"/>
    <w:rsid w:val="23B02109"/>
    <w:rsid w:val="23B03168"/>
    <w:rsid w:val="23B1063E"/>
    <w:rsid w:val="23B17986"/>
    <w:rsid w:val="23B242EE"/>
    <w:rsid w:val="23B44B9F"/>
    <w:rsid w:val="23B469A2"/>
    <w:rsid w:val="23B63FDA"/>
    <w:rsid w:val="23B6625D"/>
    <w:rsid w:val="23B664DD"/>
    <w:rsid w:val="23B84766"/>
    <w:rsid w:val="23BB4092"/>
    <w:rsid w:val="23C235D7"/>
    <w:rsid w:val="23C30A9D"/>
    <w:rsid w:val="23C324F9"/>
    <w:rsid w:val="23C34F4D"/>
    <w:rsid w:val="23C36382"/>
    <w:rsid w:val="23C438F6"/>
    <w:rsid w:val="23C47016"/>
    <w:rsid w:val="23C75CA5"/>
    <w:rsid w:val="23C83225"/>
    <w:rsid w:val="23C9276F"/>
    <w:rsid w:val="23C97C8D"/>
    <w:rsid w:val="23CA5D04"/>
    <w:rsid w:val="23CB182B"/>
    <w:rsid w:val="23CE7AA0"/>
    <w:rsid w:val="23D0113F"/>
    <w:rsid w:val="23D042AD"/>
    <w:rsid w:val="23D11C45"/>
    <w:rsid w:val="23D139CD"/>
    <w:rsid w:val="23D14B43"/>
    <w:rsid w:val="23D160F3"/>
    <w:rsid w:val="23D20199"/>
    <w:rsid w:val="23D226E1"/>
    <w:rsid w:val="23D302B1"/>
    <w:rsid w:val="23D42279"/>
    <w:rsid w:val="23D44908"/>
    <w:rsid w:val="23D634C0"/>
    <w:rsid w:val="23D639C8"/>
    <w:rsid w:val="23D71AAD"/>
    <w:rsid w:val="23D85220"/>
    <w:rsid w:val="23DB2CAB"/>
    <w:rsid w:val="23DB589F"/>
    <w:rsid w:val="23DB7D93"/>
    <w:rsid w:val="23DC13B3"/>
    <w:rsid w:val="23DC7E46"/>
    <w:rsid w:val="23DF38FE"/>
    <w:rsid w:val="23E07778"/>
    <w:rsid w:val="23E12CD1"/>
    <w:rsid w:val="23E46569"/>
    <w:rsid w:val="23E56B3C"/>
    <w:rsid w:val="23E61C22"/>
    <w:rsid w:val="23E65C4D"/>
    <w:rsid w:val="23E67D73"/>
    <w:rsid w:val="23E7003B"/>
    <w:rsid w:val="23E92622"/>
    <w:rsid w:val="23EA611A"/>
    <w:rsid w:val="23EB256A"/>
    <w:rsid w:val="23EB4328"/>
    <w:rsid w:val="23EB515E"/>
    <w:rsid w:val="23EC0A8A"/>
    <w:rsid w:val="23EC62DB"/>
    <w:rsid w:val="23EF0772"/>
    <w:rsid w:val="23EF07E9"/>
    <w:rsid w:val="23F04433"/>
    <w:rsid w:val="23F049D4"/>
    <w:rsid w:val="23F146D9"/>
    <w:rsid w:val="23F24F2D"/>
    <w:rsid w:val="23F32271"/>
    <w:rsid w:val="23F41DF4"/>
    <w:rsid w:val="23F54C83"/>
    <w:rsid w:val="23F57BD4"/>
    <w:rsid w:val="23F70746"/>
    <w:rsid w:val="23F777B7"/>
    <w:rsid w:val="23F81F1E"/>
    <w:rsid w:val="23FC1084"/>
    <w:rsid w:val="23FD5624"/>
    <w:rsid w:val="23FE6A2B"/>
    <w:rsid w:val="24002B4E"/>
    <w:rsid w:val="24005209"/>
    <w:rsid w:val="24013DA5"/>
    <w:rsid w:val="24023F33"/>
    <w:rsid w:val="240341D9"/>
    <w:rsid w:val="240346B1"/>
    <w:rsid w:val="24037A71"/>
    <w:rsid w:val="240460B9"/>
    <w:rsid w:val="24050FD6"/>
    <w:rsid w:val="240564A0"/>
    <w:rsid w:val="2406346F"/>
    <w:rsid w:val="240638FA"/>
    <w:rsid w:val="24071360"/>
    <w:rsid w:val="24071C68"/>
    <w:rsid w:val="24084973"/>
    <w:rsid w:val="24085315"/>
    <w:rsid w:val="24087595"/>
    <w:rsid w:val="2409514B"/>
    <w:rsid w:val="240B02D2"/>
    <w:rsid w:val="240C18C8"/>
    <w:rsid w:val="240C4142"/>
    <w:rsid w:val="240C6073"/>
    <w:rsid w:val="240E0A62"/>
    <w:rsid w:val="240F0BE0"/>
    <w:rsid w:val="24115B64"/>
    <w:rsid w:val="241237D2"/>
    <w:rsid w:val="24143EB3"/>
    <w:rsid w:val="24164778"/>
    <w:rsid w:val="24177E60"/>
    <w:rsid w:val="24186086"/>
    <w:rsid w:val="24191BCA"/>
    <w:rsid w:val="241A0FB0"/>
    <w:rsid w:val="241D34C6"/>
    <w:rsid w:val="241F5E39"/>
    <w:rsid w:val="242054F5"/>
    <w:rsid w:val="24221752"/>
    <w:rsid w:val="2422373B"/>
    <w:rsid w:val="24232271"/>
    <w:rsid w:val="24235D79"/>
    <w:rsid w:val="242532A8"/>
    <w:rsid w:val="24266D64"/>
    <w:rsid w:val="24267D93"/>
    <w:rsid w:val="24270BC4"/>
    <w:rsid w:val="242717D7"/>
    <w:rsid w:val="24272774"/>
    <w:rsid w:val="24273655"/>
    <w:rsid w:val="24273EAB"/>
    <w:rsid w:val="24280900"/>
    <w:rsid w:val="24287655"/>
    <w:rsid w:val="2429142A"/>
    <w:rsid w:val="242A074C"/>
    <w:rsid w:val="242A600B"/>
    <w:rsid w:val="242B2468"/>
    <w:rsid w:val="242C288A"/>
    <w:rsid w:val="242F097F"/>
    <w:rsid w:val="242F384C"/>
    <w:rsid w:val="242F3963"/>
    <w:rsid w:val="2431240B"/>
    <w:rsid w:val="24312B95"/>
    <w:rsid w:val="2431505E"/>
    <w:rsid w:val="24315FA9"/>
    <w:rsid w:val="24332CC7"/>
    <w:rsid w:val="243344AC"/>
    <w:rsid w:val="243477C2"/>
    <w:rsid w:val="24377EF5"/>
    <w:rsid w:val="24380E9B"/>
    <w:rsid w:val="24383715"/>
    <w:rsid w:val="24396B21"/>
    <w:rsid w:val="243B1B35"/>
    <w:rsid w:val="243B57B8"/>
    <w:rsid w:val="243B65B9"/>
    <w:rsid w:val="243B7FC5"/>
    <w:rsid w:val="243C48A1"/>
    <w:rsid w:val="243E3E50"/>
    <w:rsid w:val="243E62B8"/>
    <w:rsid w:val="24433C75"/>
    <w:rsid w:val="2443573A"/>
    <w:rsid w:val="244371D9"/>
    <w:rsid w:val="24440963"/>
    <w:rsid w:val="244461DA"/>
    <w:rsid w:val="24470C3E"/>
    <w:rsid w:val="24483593"/>
    <w:rsid w:val="24494585"/>
    <w:rsid w:val="244D2726"/>
    <w:rsid w:val="244D5170"/>
    <w:rsid w:val="244F0590"/>
    <w:rsid w:val="2450479F"/>
    <w:rsid w:val="245067AB"/>
    <w:rsid w:val="24520166"/>
    <w:rsid w:val="2452081F"/>
    <w:rsid w:val="24521F38"/>
    <w:rsid w:val="24536CFB"/>
    <w:rsid w:val="24554743"/>
    <w:rsid w:val="245636BF"/>
    <w:rsid w:val="245642E1"/>
    <w:rsid w:val="24574C6D"/>
    <w:rsid w:val="24585B48"/>
    <w:rsid w:val="24587A23"/>
    <w:rsid w:val="24590639"/>
    <w:rsid w:val="245A0BCD"/>
    <w:rsid w:val="245A74DA"/>
    <w:rsid w:val="245B1443"/>
    <w:rsid w:val="245F1589"/>
    <w:rsid w:val="245F7237"/>
    <w:rsid w:val="246061E4"/>
    <w:rsid w:val="24623F13"/>
    <w:rsid w:val="246356C5"/>
    <w:rsid w:val="24650316"/>
    <w:rsid w:val="246521F5"/>
    <w:rsid w:val="2466444F"/>
    <w:rsid w:val="246A79FA"/>
    <w:rsid w:val="246B253F"/>
    <w:rsid w:val="246C0700"/>
    <w:rsid w:val="246C29C1"/>
    <w:rsid w:val="246D10A9"/>
    <w:rsid w:val="246D21A3"/>
    <w:rsid w:val="246F0EB4"/>
    <w:rsid w:val="246F1723"/>
    <w:rsid w:val="24714E0D"/>
    <w:rsid w:val="247154F4"/>
    <w:rsid w:val="24715620"/>
    <w:rsid w:val="24736C3B"/>
    <w:rsid w:val="24744F4F"/>
    <w:rsid w:val="24747FE9"/>
    <w:rsid w:val="247B32E2"/>
    <w:rsid w:val="247B6DA5"/>
    <w:rsid w:val="247C1B21"/>
    <w:rsid w:val="247C65E3"/>
    <w:rsid w:val="247D306F"/>
    <w:rsid w:val="247E059A"/>
    <w:rsid w:val="247E25C8"/>
    <w:rsid w:val="2480073C"/>
    <w:rsid w:val="2481239A"/>
    <w:rsid w:val="24822226"/>
    <w:rsid w:val="248233F4"/>
    <w:rsid w:val="2484296F"/>
    <w:rsid w:val="24843BBD"/>
    <w:rsid w:val="24847325"/>
    <w:rsid w:val="248513BF"/>
    <w:rsid w:val="248518C0"/>
    <w:rsid w:val="248621AB"/>
    <w:rsid w:val="24882CD3"/>
    <w:rsid w:val="248B7119"/>
    <w:rsid w:val="248C31FE"/>
    <w:rsid w:val="248E5EAC"/>
    <w:rsid w:val="248E60EF"/>
    <w:rsid w:val="248F1168"/>
    <w:rsid w:val="2491689D"/>
    <w:rsid w:val="24920F9B"/>
    <w:rsid w:val="24921D09"/>
    <w:rsid w:val="249266B4"/>
    <w:rsid w:val="2493595F"/>
    <w:rsid w:val="24935C9D"/>
    <w:rsid w:val="2495709E"/>
    <w:rsid w:val="24960554"/>
    <w:rsid w:val="249609F7"/>
    <w:rsid w:val="2496338C"/>
    <w:rsid w:val="24964291"/>
    <w:rsid w:val="24970FA7"/>
    <w:rsid w:val="24981CF9"/>
    <w:rsid w:val="24995369"/>
    <w:rsid w:val="249A5A1C"/>
    <w:rsid w:val="249A688A"/>
    <w:rsid w:val="249B4037"/>
    <w:rsid w:val="249C2DBF"/>
    <w:rsid w:val="249C5625"/>
    <w:rsid w:val="249C7B28"/>
    <w:rsid w:val="249D27BB"/>
    <w:rsid w:val="24A05677"/>
    <w:rsid w:val="24A13810"/>
    <w:rsid w:val="24A21EE9"/>
    <w:rsid w:val="24A44E3D"/>
    <w:rsid w:val="24A45BEE"/>
    <w:rsid w:val="24A52760"/>
    <w:rsid w:val="24A66D87"/>
    <w:rsid w:val="24A75653"/>
    <w:rsid w:val="24A8015F"/>
    <w:rsid w:val="24A87FFA"/>
    <w:rsid w:val="24A90D2D"/>
    <w:rsid w:val="24AD155E"/>
    <w:rsid w:val="24AF780F"/>
    <w:rsid w:val="24B12624"/>
    <w:rsid w:val="24B179E9"/>
    <w:rsid w:val="24B21888"/>
    <w:rsid w:val="24B23C8E"/>
    <w:rsid w:val="24B253FB"/>
    <w:rsid w:val="24B3488B"/>
    <w:rsid w:val="24B362CD"/>
    <w:rsid w:val="24B525D9"/>
    <w:rsid w:val="24B63E0A"/>
    <w:rsid w:val="24B67738"/>
    <w:rsid w:val="24B82F22"/>
    <w:rsid w:val="24B86165"/>
    <w:rsid w:val="24B87DEE"/>
    <w:rsid w:val="24BA4F60"/>
    <w:rsid w:val="24BD64BA"/>
    <w:rsid w:val="24BE3AD9"/>
    <w:rsid w:val="24BF282A"/>
    <w:rsid w:val="24C001C9"/>
    <w:rsid w:val="24C07135"/>
    <w:rsid w:val="24C07862"/>
    <w:rsid w:val="24C101AA"/>
    <w:rsid w:val="24C15F76"/>
    <w:rsid w:val="24C23DA5"/>
    <w:rsid w:val="24C2689A"/>
    <w:rsid w:val="24C459EE"/>
    <w:rsid w:val="24C71492"/>
    <w:rsid w:val="24C7544A"/>
    <w:rsid w:val="24C81145"/>
    <w:rsid w:val="24C850E0"/>
    <w:rsid w:val="24C85B28"/>
    <w:rsid w:val="24C91B10"/>
    <w:rsid w:val="24CA5994"/>
    <w:rsid w:val="24CB7899"/>
    <w:rsid w:val="24CC313E"/>
    <w:rsid w:val="24CC5E6F"/>
    <w:rsid w:val="24CD0076"/>
    <w:rsid w:val="24CD084B"/>
    <w:rsid w:val="24CD103B"/>
    <w:rsid w:val="24CE5897"/>
    <w:rsid w:val="24CF4D86"/>
    <w:rsid w:val="24CF6D9E"/>
    <w:rsid w:val="24CF7872"/>
    <w:rsid w:val="24D03B26"/>
    <w:rsid w:val="24D04710"/>
    <w:rsid w:val="24D05288"/>
    <w:rsid w:val="24D06A2C"/>
    <w:rsid w:val="24D10CEA"/>
    <w:rsid w:val="24D16E6E"/>
    <w:rsid w:val="24D216C1"/>
    <w:rsid w:val="24D22DDD"/>
    <w:rsid w:val="24D33CFB"/>
    <w:rsid w:val="24D40720"/>
    <w:rsid w:val="24D43F8B"/>
    <w:rsid w:val="24D4759B"/>
    <w:rsid w:val="24D60A32"/>
    <w:rsid w:val="24D646FC"/>
    <w:rsid w:val="24D670E0"/>
    <w:rsid w:val="24D74CE3"/>
    <w:rsid w:val="24D7517F"/>
    <w:rsid w:val="24D82510"/>
    <w:rsid w:val="24D932BB"/>
    <w:rsid w:val="24DB3EBE"/>
    <w:rsid w:val="24DC1889"/>
    <w:rsid w:val="24DD29FA"/>
    <w:rsid w:val="24DD3E2A"/>
    <w:rsid w:val="24DD460C"/>
    <w:rsid w:val="24DE1C3C"/>
    <w:rsid w:val="24E073A0"/>
    <w:rsid w:val="24E12BF5"/>
    <w:rsid w:val="24E16164"/>
    <w:rsid w:val="24E21B1F"/>
    <w:rsid w:val="24E3690A"/>
    <w:rsid w:val="24E51B2E"/>
    <w:rsid w:val="24EB34B9"/>
    <w:rsid w:val="24EC01A3"/>
    <w:rsid w:val="24EC29D2"/>
    <w:rsid w:val="24EC3C76"/>
    <w:rsid w:val="24EE4F11"/>
    <w:rsid w:val="24F01CA1"/>
    <w:rsid w:val="24F01CA5"/>
    <w:rsid w:val="24F421AD"/>
    <w:rsid w:val="24F45085"/>
    <w:rsid w:val="24F558EF"/>
    <w:rsid w:val="24F63168"/>
    <w:rsid w:val="24FA421E"/>
    <w:rsid w:val="24FA431C"/>
    <w:rsid w:val="24FE534D"/>
    <w:rsid w:val="24FE64B6"/>
    <w:rsid w:val="24FE6B3C"/>
    <w:rsid w:val="24FE6E54"/>
    <w:rsid w:val="24FF4E75"/>
    <w:rsid w:val="250028D3"/>
    <w:rsid w:val="25024064"/>
    <w:rsid w:val="25026893"/>
    <w:rsid w:val="25027F8C"/>
    <w:rsid w:val="25033E54"/>
    <w:rsid w:val="25041B5A"/>
    <w:rsid w:val="25050C41"/>
    <w:rsid w:val="25081F68"/>
    <w:rsid w:val="250824DF"/>
    <w:rsid w:val="25093D35"/>
    <w:rsid w:val="250B03B2"/>
    <w:rsid w:val="250C0016"/>
    <w:rsid w:val="250D050C"/>
    <w:rsid w:val="250D13BB"/>
    <w:rsid w:val="251019CA"/>
    <w:rsid w:val="25114240"/>
    <w:rsid w:val="25114A7B"/>
    <w:rsid w:val="25127A59"/>
    <w:rsid w:val="25131C4A"/>
    <w:rsid w:val="251600BA"/>
    <w:rsid w:val="25170FFD"/>
    <w:rsid w:val="25171CEE"/>
    <w:rsid w:val="25174BA3"/>
    <w:rsid w:val="2518381E"/>
    <w:rsid w:val="25194931"/>
    <w:rsid w:val="251A2C36"/>
    <w:rsid w:val="251B6E82"/>
    <w:rsid w:val="251C6462"/>
    <w:rsid w:val="251D41DD"/>
    <w:rsid w:val="251E3358"/>
    <w:rsid w:val="251F1656"/>
    <w:rsid w:val="25203AF1"/>
    <w:rsid w:val="25205D85"/>
    <w:rsid w:val="252217F3"/>
    <w:rsid w:val="25221F44"/>
    <w:rsid w:val="2522382B"/>
    <w:rsid w:val="25250B4D"/>
    <w:rsid w:val="25251489"/>
    <w:rsid w:val="25256905"/>
    <w:rsid w:val="252618B7"/>
    <w:rsid w:val="25264F5F"/>
    <w:rsid w:val="2526570D"/>
    <w:rsid w:val="25271998"/>
    <w:rsid w:val="25275A67"/>
    <w:rsid w:val="25275BD3"/>
    <w:rsid w:val="25276500"/>
    <w:rsid w:val="252806F9"/>
    <w:rsid w:val="25280E77"/>
    <w:rsid w:val="252845E9"/>
    <w:rsid w:val="25286A06"/>
    <w:rsid w:val="25296C78"/>
    <w:rsid w:val="252A10D1"/>
    <w:rsid w:val="252A1550"/>
    <w:rsid w:val="252A3055"/>
    <w:rsid w:val="252B4670"/>
    <w:rsid w:val="252C533C"/>
    <w:rsid w:val="252C5D14"/>
    <w:rsid w:val="252C738C"/>
    <w:rsid w:val="252E1072"/>
    <w:rsid w:val="252F4D1B"/>
    <w:rsid w:val="25304DE1"/>
    <w:rsid w:val="253134B4"/>
    <w:rsid w:val="25314EF7"/>
    <w:rsid w:val="253156FF"/>
    <w:rsid w:val="25316B39"/>
    <w:rsid w:val="25317C88"/>
    <w:rsid w:val="253346CE"/>
    <w:rsid w:val="253357AE"/>
    <w:rsid w:val="2534589E"/>
    <w:rsid w:val="25346515"/>
    <w:rsid w:val="25347762"/>
    <w:rsid w:val="2536362A"/>
    <w:rsid w:val="253676C0"/>
    <w:rsid w:val="25372371"/>
    <w:rsid w:val="25383D2A"/>
    <w:rsid w:val="2538711D"/>
    <w:rsid w:val="25387269"/>
    <w:rsid w:val="25391EFE"/>
    <w:rsid w:val="25396595"/>
    <w:rsid w:val="253B38C2"/>
    <w:rsid w:val="253D323F"/>
    <w:rsid w:val="253D558B"/>
    <w:rsid w:val="253E1ED2"/>
    <w:rsid w:val="25414170"/>
    <w:rsid w:val="2541659C"/>
    <w:rsid w:val="25425B70"/>
    <w:rsid w:val="25436DAE"/>
    <w:rsid w:val="25442ED7"/>
    <w:rsid w:val="254563B7"/>
    <w:rsid w:val="25456E39"/>
    <w:rsid w:val="25461F21"/>
    <w:rsid w:val="254649F2"/>
    <w:rsid w:val="25474E98"/>
    <w:rsid w:val="25493EC1"/>
    <w:rsid w:val="254B12D2"/>
    <w:rsid w:val="254B14FD"/>
    <w:rsid w:val="254C6B91"/>
    <w:rsid w:val="254E5A36"/>
    <w:rsid w:val="254F4F50"/>
    <w:rsid w:val="2550438C"/>
    <w:rsid w:val="2551032A"/>
    <w:rsid w:val="25510B06"/>
    <w:rsid w:val="25513D10"/>
    <w:rsid w:val="25522149"/>
    <w:rsid w:val="2553437C"/>
    <w:rsid w:val="255704A2"/>
    <w:rsid w:val="255843C9"/>
    <w:rsid w:val="25595411"/>
    <w:rsid w:val="255969F2"/>
    <w:rsid w:val="255A4AC6"/>
    <w:rsid w:val="255C680F"/>
    <w:rsid w:val="255D3A5B"/>
    <w:rsid w:val="255F42F8"/>
    <w:rsid w:val="255F612E"/>
    <w:rsid w:val="255F765A"/>
    <w:rsid w:val="25600A79"/>
    <w:rsid w:val="25607B3F"/>
    <w:rsid w:val="25611FEE"/>
    <w:rsid w:val="25620DA2"/>
    <w:rsid w:val="256238C9"/>
    <w:rsid w:val="25633304"/>
    <w:rsid w:val="25644C0F"/>
    <w:rsid w:val="256500DE"/>
    <w:rsid w:val="256516E0"/>
    <w:rsid w:val="25651D04"/>
    <w:rsid w:val="25654719"/>
    <w:rsid w:val="25693AAD"/>
    <w:rsid w:val="256D30EA"/>
    <w:rsid w:val="256D357E"/>
    <w:rsid w:val="25714190"/>
    <w:rsid w:val="2572004A"/>
    <w:rsid w:val="2572088F"/>
    <w:rsid w:val="25721C0F"/>
    <w:rsid w:val="25726698"/>
    <w:rsid w:val="25734BE1"/>
    <w:rsid w:val="257410E6"/>
    <w:rsid w:val="25764DD3"/>
    <w:rsid w:val="2576588D"/>
    <w:rsid w:val="25767555"/>
    <w:rsid w:val="2579484D"/>
    <w:rsid w:val="25795A7C"/>
    <w:rsid w:val="257A41C5"/>
    <w:rsid w:val="257B1DC6"/>
    <w:rsid w:val="257B1EC0"/>
    <w:rsid w:val="257B4454"/>
    <w:rsid w:val="257E21BB"/>
    <w:rsid w:val="257F6801"/>
    <w:rsid w:val="25804D4E"/>
    <w:rsid w:val="25812FCA"/>
    <w:rsid w:val="25822809"/>
    <w:rsid w:val="25830D04"/>
    <w:rsid w:val="258422E5"/>
    <w:rsid w:val="25850311"/>
    <w:rsid w:val="25852CCF"/>
    <w:rsid w:val="25884E83"/>
    <w:rsid w:val="258C10AF"/>
    <w:rsid w:val="258C4DA8"/>
    <w:rsid w:val="258F2872"/>
    <w:rsid w:val="258F2CEA"/>
    <w:rsid w:val="258F7A14"/>
    <w:rsid w:val="25914C85"/>
    <w:rsid w:val="25922C09"/>
    <w:rsid w:val="25922E23"/>
    <w:rsid w:val="259243D6"/>
    <w:rsid w:val="25924933"/>
    <w:rsid w:val="25932603"/>
    <w:rsid w:val="25934A09"/>
    <w:rsid w:val="25935E9D"/>
    <w:rsid w:val="2594255A"/>
    <w:rsid w:val="25942D11"/>
    <w:rsid w:val="25950354"/>
    <w:rsid w:val="25960D38"/>
    <w:rsid w:val="25961240"/>
    <w:rsid w:val="25966127"/>
    <w:rsid w:val="25967EBF"/>
    <w:rsid w:val="259708C5"/>
    <w:rsid w:val="25970C36"/>
    <w:rsid w:val="259810CA"/>
    <w:rsid w:val="25991F29"/>
    <w:rsid w:val="25993403"/>
    <w:rsid w:val="259A5107"/>
    <w:rsid w:val="259B33A9"/>
    <w:rsid w:val="259B4AF0"/>
    <w:rsid w:val="259B4B15"/>
    <w:rsid w:val="259C06B2"/>
    <w:rsid w:val="259C3323"/>
    <w:rsid w:val="259C6884"/>
    <w:rsid w:val="259D0D8C"/>
    <w:rsid w:val="259D1490"/>
    <w:rsid w:val="259D6F9B"/>
    <w:rsid w:val="259E48DA"/>
    <w:rsid w:val="259F05AC"/>
    <w:rsid w:val="259F21A2"/>
    <w:rsid w:val="25A048D8"/>
    <w:rsid w:val="25A0673E"/>
    <w:rsid w:val="25A161B7"/>
    <w:rsid w:val="25A221DA"/>
    <w:rsid w:val="25A226AF"/>
    <w:rsid w:val="25A330FA"/>
    <w:rsid w:val="25A338FD"/>
    <w:rsid w:val="25AA7065"/>
    <w:rsid w:val="25AB6B3F"/>
    <w:rsid w:val="25AC33FE"/>
    <w:rsid w:val="25AC5561"/>
    <w:rsid w:val="25AE4595"/>
    <w:rsid w:val="25B0620C"/>
    <w:rsid w:val="25B14ABA"/>
    <w:rsid w:val="25B23630"/>
    <w:rsid w:val="25B24AB4"/>
    <w:rsid w:val="25B34C68"/>
    <w:rsid w:val="25B371E9"/>
    <w:rsid w:val="25B70C52"/>
    <w:rsid w:val="25B7584F"/>
    <w:rsid w:val="25B77C05"/>
    <w:rsid w:val="25B93433"/>
    <w:rsid w:val="25B94130"/>
    <w:rsid w:val="25B97841"/>
    <w:rsid w:val="25BB347F"/>
    <w:rsid w:val="25BB3542"/>
    <w:rsid w:val="25BB7C1E"/>
    <w:rsid w:val="25BC5B03"/>
    <w:rsid w:val="25BD5AD8"/>
    <w:rsid w:val="25BE09B8"/>
    <w:rsid w:val="25C04A73"/>
    <w:rsid w:val="25C04F99"/>
    <w:rsid w:val="25C060EE"/>
    <w:rsid w:val="25C104CB"/>
    <w:rsid w:val="25C14DA4"/>
    <w:rsid w:val="25C27FE1"/>
    <w:rsid w:val="25C3579F"/>
    <w:rsid w:val="25C358CC"/>
    <w:rsid w:val="25C3712F"/>
    <w:rsid w:val="25C651D7"/>
    <w:rsid w:val="25C766E6"/>
    <w:rsid w:val="25C7705A"/>
    <w:rsid w:val="25C81A0B"/>
    <w:rsid w:val="25C94584"/>
    <w:rsid w:val="25C9527B"/>
    <w:rsid w:val="25CD0A94"/>
    <w:rsid w:val="25CD37E3"/>
    <w:rsid w:val="25CE19EB"/>
    <w:rsid w:val="25CE660B"/>
    <w:rsid w:val="25CE78D8"/>
    <w:rsid w:val="25CF7160"/>
    <w:rsid w:val="25D060CC"/>
    <w:rsid w:val="25D10F82"/>
    <w:rsid w:val="25D22758"/>
    <w:rsid w:val="25D432FB"/>
    <w:rsid w:val="25D47494"/>
    <w:rsid w:val="25D6542C"/>
    <w:rsid w:val="25D725DE"/>
    <w:rsid w:val="25D803DF"/>
    <w:rsid w:val="25D81E5C"/>
    <w:rsid w:val="25D82B74"/>
    <w:rsid w:val="25D90E2F"/>
    <w:rsid w:val="25DA6D85"/>
    <w:rsid w:val="25DB171A"/>
    <w:rsid w:val="25DB46CF"/>
    <w:rsid w:val="25DC4B72"/>
    <w:rsid w:val="25DD2A12"/>
    <w:rsid w:val="25DE5CA1"/>
    <w:rsid w:val="25DF10E3"/>
    <w:rsid w:val="25E051A7"/>
    <w:rsid w:val="25E13A3F"/>
    <w:rsid w:val="25E20C9E"/>
    <w:rsid w:val="25E25B8B"/>
    <w:rsid w:val="25E31A5D"/>
    <w:rsid w:val="25E63C4C"/>
    <w:rsid w:val="25E72417"/>
    <w:rsid w:val="25E80097"/>
    <w:rsid w:val="25E92EAE"/>
    <w:rsid w:val="25E9368D"/>
    <w:rsid w:val="25E96E2C"/>
    <w:rsid w:val="25EA0545"/>
    <w:rsid w:val="25EA150E"/>
    <w:rsid w:val="25EA6F7C"/>
    <w:rsid w:val="25EC323B"/>
    <w:rsid w:val="25EC5630"/>
    <w:rsid w:val="25EC5A4F"/>
    <w:rsid w:val="25EC6437"/>
    <w:rsid w:val="25EC6650"/>
    <w:rsid w:val="25EE7927"/>
    <w:rsid w:val="25F01217"/>
    <w:rsid w:val="25F206B4"/>
    <w:rsid w:val="25F27513"/>
    <w:rsid w:val="25F32C61"/>
    <w:rsid w:val="25F41860"/>
    <w:rsid w:val="25F52F73"/>
    <w:rsid w:val="25F555E2"/>
    <w:rsid w:val="25F56F08"/>
    <w:rsid w:val="25F8163B"/>
    <w:rsid w:val="25F85EF5"/>
    <w:rsid w:val="25F97839"/>
    <w:rsid w:val="25FA3CF5"/>
    <w:rsid w:val="25FA5178"/>
    <w:rsid w:val="25FB59D3"/>
    <w:rsid w:val="25FD0687"/>
    <w:rsid w:val="25FD79FF"/>
    <w:rsid w:val="25FF7B70"/>
    <w:rsid w:val="260057C6"/>
    <w:rsid w:val="260120EE"/>
    <w:rsid w:val="26016FAD"/>
    <w:rsid w:val="26020972"/>
    <w:rsid w:val="26021E2E"/>
    <w:rsid w:val="26031343"/>
    <w:rsid w:val="260379CA"/>
    <w:rsid w:val="26044266"/>
    <w:rsid w:val="26065952"/>
    <w:rsid w:val="26070707"/>
    <w:rsid w:val="26072A5E"/>
    <w:rsid w:val="26073D65"/>
    <w:rsid w:val="260833F7"/>
    <w:rsid w:val="26084311"/>
    <w:rsid w:val="260A5F2F"/>
    <w:rsid w:val="260B0655"/>
    <w:rsid w:val="260C15E8"/>
    <w:rsid w:val="260E1FAB"/>
    <w:rsid w:val="260E4F5D"/>
    <w:rsid w:val="260E7686"/>
    <w:rsid w:val="260F3561"/>
    <w:rsid w:val="261036FF"/>
    <w:rsid w:val="26107074"/>
    <w:rsid w:val="261111DA"/>
    <w:rsid w:val="26111BE0"/>
    <w:rsid w:val="26121194"/>
    <w:rsid w:val="26121AB4"/>
    <w:rsid w:val="261302C2"/>
    <w:rsid w:val="26132ABA"/>
    <w:rsid w:val="2613521C"/>
    <w:rsid w:val="26146F64"/>
    <w:rsid w:val="261518FD"/>
    <w:rsid w:val="26153E0C"/>
    <w:rsid w:val="26160061"/>
    <w:rsid w:val="26161B27"/>
    <w:rsid w:val="26163CB7"/>
    <w:rsid w:val="26181E05"/>
    <w:rsid w:val="26194582"/>
    <w:rsid w:val="261A129B"/>
    <w:rsid w:val="261B69B2"/>
    <w:rsid w:val="261D3509"/>
    <w:rsid w:val="261E4279"/>
    <w:rsid w:val="261F1CEA"/>
    <w:rsid w:val="262036CC"/>
    <w:rsid w:val="26203856"/>
    <w:rsid w:val="26231A83"/>
    <w:rsid w:val="26242C4E"/>
    <w:rsid w:val="262433A1"/>
    <w:rsid w:val="26256FD9"/>
    <w:rsid w:val="26261C9E"/>
    <w:rsid w:val="26263CD8"/>
    <w:rsid w:val="262701DD"/>
    <w:rsid w:val="2628699D"/>
    <w:rsid w:val="2629323F"/>
    <w:rsid w:val="262B35D4"/>
    <w:rsid w:val="262B7022"/>
    <w:rsid w:val="262D044F"/>
    <w:rsid w:val="262E091F"/>
    <w:rsid w:val="262E2404"/>
    <w:rsid w:val="262E732F"/>
    <w:rsid w:val="262F523B"/>
    <w:rsid w:val="2630697C"/>
    <w:rsid w:val="26321B10"/>
    <w:rsid w:val="263332F9"/>
    <w:rsid w:val="26333BC7"/>
    <w:rsid w:val="263378A5"/>
    <w:rsid w:val="2634283D"/>
    <w:rsid w:val="2635202E"/>
    <w:rsid w:val="26360470"/>
    <w:rsid w:val="26362108"/>
    <w:rsid w:val="263859F5"/>
    <w:rsid w:val="26392FB5"/>
    <w:rsid w:val="2639448B"/>
    <w:rsid w:val="263A1A52"/>
    <w:rsid w:val="263A2B6C"/>
    <w:rsid w:val="263B3B9C"/>
    <w:rsid w:val="263B6E5A"/>
    <w:rsid w:val="263C6FE9"/>
    <w:rsid w:val="263F0C5D"/>
    <w:rsid w:val="26403E11"/>
    <w:rsid w:val="26410A3E"/>
    <w:rsid w:val="2641214D"/>
    <w:rsid w:val="26416891"/>
    <w:rsid w:val="2642411B"/>
    <w:rsid w:val="26427049"/>
    <w:rsid w:val="26441E58"/>
    <w:rsid w:val="26444A97"/>
    <w:rsid w:val="264569C8"/>
    <w:rsid w:val="26456F53"/>
    <w:rsid w:val="26467DF2"/>
    <w:rsid w:val="26483380"/>
    <w:rsid w:val="264857D7"/>
    <w:rsid w:val="26493C72"/>
    <w:rsid w:val="264967EB"/>
    <w:rsid w:val="264B5616"/>
    <w:rsid w:val="264C6350"/>
    <w:rsid w:val="264D63A9"/>
    <w:rsid w:val="264E0EDF"/>
    <w:rsid w:val="264E3CDC"/>
    <w:rsid w:val="264F7B39"/>
    <w:rsid w:val="26503723"/>
    <w:rsid w:val="265315A5"/>
    <w:rsid w:val="26543801"/>
    <w:rsid w:val="26547864"/>
    <w:rsid w:val="26553C6A"/>
    <w:rsid w:val="26553D14"/>
    <w:rsid w:val="26555BC6"/>
    <w:rsid w:val="2656391E"/>
    <w:rsid w:val="26594475"/>
    <w:rsid w:val="265962D9"/>
    <w:rsid w:val="265A1EE0"/>
    <w:rsid w:val="265A4C55"/>
    <w:rsid w:val="265C3D77"/>
    <w:rsid w:val="265C5F71"/>
    <w:rsid w:val="265C7BDF"/>
    <w:rsid w:val="265D0E63"/>
    <w:rsid w:val="265D1BCA"/>
    <w:rsid w:val="265D237C"/>
    <w:rsid w:val="265D2F63"/>
    <w:rsid w:val="265D34FD"/>
    <w:rsid w:val="265D3AC5"/>
    <w:rsid w:val="26603B46"/>
    <w:rsid w:val="266100C4"/>
    <w:rsid w:val="26613415"/>
    <w:rsid w:val="26624381"/>
    <w:rsid w:val="26646C34"/>
    <w:rsid w:val="26646C56"/>
    <w:rsid w:val="26654230"/>
    <w:rsid w:val="26662A5C"/>
    <w:rsid w:val="2666570F"/>
    <w:rsid w:val="266708FC"/>
    <w:rsid w:val="2667725D"/>
    <w:rsid w:val="266876DA"/>
    <w:rsid w:val="26687AFF"/>
    <w:rsid w:val="266E4F8E"/>
    <w:rsid w:val="266F10D9"/>
    <w:rsid w:val="266F1C3F"/>
    <w:rsid w:val="266F474C"/>
    <w:rsid w:val="2670141A"/>
    <w:rsid w:val="267071D6"/>
    <w:rsid w:val="26715E33"/>
    <w:rsid w:val="26724928"/>
    <w:rsid w:val="26745F42"/>
    <w:rsid w:val="26746CC3"/>
    <w:rsid w:val="267A0E26"/>
    <w:rsid w:val="267B0C61"/>
    <w:rsid w:val="267D1649"/>
    <w:rsid w:val="267F62A2"/>
    <w:rsid w:val="26803564"/>
    <w:rsid w:val="26804524"/>
    <w:rsid w:val="2680507B"/>
    <w:rsid w:val="26817768"/>
    <w:rsid w:val="268249FB"/>
    <w:rsid w:val="26824D2C"/>
    <w:rsid w:val="26833A6D"/>
    <w:rsid w:val="26865DB2"/>
    <w:rsid w:val="26883167"/>
    <w:rsid w:val="268838D8"/>
    <w:rsid w:val="268A1052"/>
    <w:rsid w:val="268A1FE0"/>
    <w:rsid w:val="268B01D3"/>
    <w:rsid w:val="268B0A97"/>
    <w:rsid w:val="268B350C"/>
    <w:rsid w:val="268C77E2"/>
    <w:rsid w:val="268D345A"/>
    <w:rsid w:val="268E2224"/>
    <w:rsid w:val="26912F4D"/>
    <w:rsid w:val="269263F3"/>
    <w:rsid w:val="2697066E"/>
    <w:rsid w:val="26970D12"/>
    <w:rsid w:val="26994137"/>
    <w:rsid w:val="269A0BEF"/>
    <w:rsid w:val="269A57F0"/>
    <w:rsid w:val="269A6948"/>
    <w:rsid w:val="269B06C8"/>
    <w:rsid w:val="269B135F"/>
    <w:rsid w:val="269C77C4"/>
    <w:rsid w:val="269D2132"/>
    <w:rsid w:val="269D3B1A"/>
    <w:rsid w:val="269D4750"/>
    <w:rsid w:val="269D49E1"/>
    <w:rsid w:val="269E2C31"/>
    <w:rsid w:val="269E46D2"/>
    <w:rsid w:val="26A07876"/>
    <w:rsid w:val="26A15F82"/>
    <w:rsid w:val="26A22AF8"/>
    <w:rsid w:val="26A35E0F"/>
    <w:rsid w:val="26A43D08"/>
    <w:rsid w:val="26A47B2E"/>
    <w:rsid w:val="26A571F2"/>
    <w:rsid w:val="26A76FF6"/>
    <w:rsid w:val="26A86938"/>
    <w:rsid w:val="26AA2758"/>
    <w:rsid w:val="26AA3DE9"/>
    <w:rsid w:val="26AA4B75"/>
    <w:rsid w:val="26AB412A"/>
    <w:rsid w:val="26AB67F1"/>
    <w:rsid w:val="26AE0FDA"/>
    <w:rsid w:val="26AE6763"/>
    <w:rsid w:val="26AF14E5"/>
    <w:rsid w:val="26B13E72"/>
    <w:rsid w:val="26B1706D"/>
    <w:rsid w:val="26B216C0"/>
    <w:rsid w:val="26B2525A"/>
    <w:rsid w:val="26B30FA6"/>
    <w:rsid w:val="26B45F1A"/>
    <w:rsid w:val="26B53678"/>
    <w:rsid w:val="26B64172"/>
    <w:rsid w:val="26B84E6E"/>
    <w:rsid w:val="26B930AA"/>
    <w:rsid w:val="26BA4BAD"/>
    <w:rsid w:val="26BB702F"/>
    <w:rsid w:val="26BC597C"/>
    <w:rsid w:val="26BD5DF7"/>
    <w:rsid w:val="26BE09E1"/>
    <w:rsid w:val="26BF750A"/>
    <w:rsid w:val="26BF7AB4"/>
    <w:rsid w:val="26BF7D43"/>
    <w:rsid w:val="26C03090"/>
    <w:rsid w:val="26C07516"/>
    <w:rsid w:val="26C12105"/>
    <w:rsid w:val="26C12857"/>
    <w:rsid w:val="26C12F3D"/>
    <w:rsid w:val="26C234A4"/>
    <w:rsid w:val="26C312AA"/>
    <w:rsid w:val="26C441A1"/>
    <w:rsid w:val="26C60BFB"/>
    <w:rsid w:val="26C64610"/>
    <w:rsid w:val="26C75286"/>
    <w:rsid w:val="26C92A51"/>
    <w:rsid w:val="26CA4A89"/>
    <w:rsid w:val="26CB0B2A"/>
    <w:rsid w:val="26CB48CD"/>
    <w:rsid w:val="26CE57DD"/>
    <w:rsid w:val="26CF13D7"/>
    <w:rsid w:val="26CF1E93"/>
    <w:rsid w:val="26D07CBE"/>
    <w:rsid w:val="26D15AF4"/>
    <w:rsid w:val="26D17876"/>
    <w:rsid w:val="26D24858"/>
    <w:rsid w:val="26D27E2A"/>
    <w:rsid w:val="26D36433"/>
    <w:rsid w:val="26D46B1D"/>
    <w:rsid w:val="26D527AC"/>
    <w:rsid w:val="26D66EB2"/>
    <w:rsid w:val="26D755A7"/>
    <w:rsid w:val="26D854B9"/>
    <w:rsid w:val="26D95D9F"/>
    <w:rsid w:val="26DA02FE"/>
    <w:rsid w:val="26DB344E"/>
    <w:rsid w:val="26DC22FA"/>
    <w:rsid w:val="26DF3B26"/>
    <w:rsid w:val="26DF7DFB"/>
    <w:rsid w:val="26E127D7"/>
    <w:rsid w:val="26E15650"/>
    <w:rsid w:val="26E15C16"/>
    <w:rsid w:val="26E221AF"/>
    <w:rsid w:val="26E2468A"/>
    <w:rsid w:val="26E319D3"/>
    <w:rsid w:val="26E34599"/>
    <w:rsid w:val="26E40C22"/>
    <w:rsid w:val="26E41AB8"/>
    <w:rsid w:val="26E4408A"/>
    <w:rsid w:val="26E53348"/>
    <w:rsid w:val="26E65663"/>
    <w:rsid w:val="26E71443"/>
    <w:rsid w:val="26E75268"/>
    <w:rsid w:val="26EA6E57"/>
    <w:rsid w:val="26EB3E67"/>
    <w:rsid w:val="26EC2451"/>
    <w:rsid w:val="26EC3488"/>
    <w:rsid w:val="26EC5EFD"/>
    <w:rsid w:val="26EE09A1"/>
    <w:rsid w:val="26EF3957"/>
    <w:rsid w:val="26EF4865"/>
    <w:rsid w:val="26F11B11"/>
    <w:rsid w:val="26F21020"/>
    <w:rsid w:val="26F359CE"/>
    <w:rsid w:val="26F42031"/>
    <w:rsid w:val="26F47932"/>
    <w:rsid w:val="26F52BD0"/>
    <w:rsid w:val="26F87413"/>
    <w:rsid w:val="26F90CF7"/>
    <w:rsid w:val="26F93E7C"/>
    <w:rsid w:val="26FD0AFF"/>
    <w:rsid w:val="27001BB4"/>
    <w:rsid w:val="270053D0"/>
    <w:rsid w:val="2701582E"/>
    <w:rsid w:val="270269C6"/>
    <w:rsid w:val="27045BA1"/>
    <w:rsid w:val="27057595"/>
    <w:rsid w:val="270673A0"/>
    <w:rsid w:val="2708249F"/>
    <w:rsid w:val="27091321"/>
    <w:rsid w:val="270A1923"/>
    <w:rsid w:val="270A7B7E"/>
    <w:rsid w:val="270B7BC7"/>
    <w:rsid w:val="270C4719"/>
    <w:rsid w:val="270D77E8"/>
    <w:rsid w:val="270E30D2"/>
    <w:rsid w:val="270E7DB7"/>
    <w:rsid w:val="270F1B3E"/>
    <w:rsid w:val="27103608"/>
    <w:rsid w:val="271121F0"/>
    <w:rsid w:val="2711717F"/>
    <w:rsid w:val="27143A3C"/>
    <w:rsid w:val="2715548B"/>
    <w:rsid w:val="271647CC"/>
    <w:rsid w:val="27167545"/>
    <w:rsid w:val="2717167A"/>
    <w:rsid w:val="27171CF6"/>
    <w:rsid w:val="27177463"/>
    <w:rsid w:val="271912AF"/>
    <w:rsid w:val="271A1E92"/>
    <w:rsid w:val="271A576E"/>
    <w:rsid w:val="271B66C0"/>
    <w:rsid w:val="271B793A"/>
    <w:rsid w:val="271C0091"/>
    <w:rsid w:val="271C0D17"/>
    <w:rsid w:val="271C0F87"/>
    <w:rsid w:val="271D5EAB"/>
    <w:rsid w:val="271E0988"/>
    <w:rsid w:val="271E4EB1"/>
    <w:rsid w:val="272059D3"/>
    <w:rsid w:val="27205BA6"/>
    <w:rsid w:val="272105B7"/>
    <w:rsid w:val="27210DC8"/>
    <w:rsid w:val="27212AE6"/>
    <w:rsid w:val="27217212"/>
    <w:rsid w:val="27227EEC"/>
    <w:rsid w:val="272312AF"/>
    <w:rsid w:val="27233A46"/>
    <w:rsid w:val="272409AB"/>
    <w:rsid w:val="27250B66"/>
    <w:rsid w:val="27254A60"/>
    <w:rsid w:val="272559C3"/>
    <w:rsid w:val="272663A4"/>
    <w:rsid w:val="27270A55"/>
    <w:rsid w:val="27271E06"/>
    <w:rsid w:val="27275887"/>
    <w:rsid w:val="272A5FCA"/>
    <w:rsid w:val="272B6E52"/>
    <w:rsid w:val="272D0235"/>
    <w:rsid w:val="272D097B"/>
    <w:rsid w:val="272D3845"/>
    <w:rsid w:val="272D5794"/>
    <w:rsid w:val="272E4F73"/>
    <w:rsid w:val="272F4526"/>
    <w:rsid w:val="2731558D"/>
    <w:rsid w:val="27322214"/>
    <w:rsid w:val="273300C0"/>
    <w:rsid w:val="2733010A"/>
    <w:rsid w:val="273415A1"/>
    <w:rsid w:val="27345815"/>
    <w:rsid w:val="273520D3"/>
    <w:rsid w:val="27356548"/>
    <w:rsid w:val="27377836"/>
    <w:rsid w:val="2738033B"/>
    <w:rsid w:val="273826E1"/>
    <w:rsid w:val="27383225"/>
    <w:rsid w:val="273B4908"/>
    <w:rsid w:val="273C2AFC"/>
    <w:rsid w:val="273E2B0E"/>
    <w:rsid w:val="27405A96"/>
    <w:rsid w:val="2741445B"/>
    <w:rsid w:val="274243CE"/>
    <w:rsid w:val="27433189"/>
    <w:rsid w:val="2744198B"/>
    <w:rsid w:val="274517C9"/>
    <w:rsid w:val="2745533F"/>
    <w:rsid w:val="274A44D1"/>
    <w:rsid w:val="274A470C"/>
    <w:rsid w:val="274B2797"/>
    <w:rsid w:val="274B612B"/>
    <w:rsid w:val="274D1A2D"/>
    <w:rsid w:val="274E756B"/>
    <w:rsid w:val="274F0DAE"/>
    <w:rsid w:val="2752465F"/>
    <w:rsid w:val="27525B1F"/>
    <w:rsid w:val="27530D2A"/>
    <w:rsid w:val="27536C7B"/>
    <w:rsid w:val="27545312"/>
    <w:rsid w:val="275459DF"/>
    <w:rsid w:val="27551E7F"/>
    <w:rsid w:val="275611CA"/>
    <w:rsid w:val="27562A06"/>
    <w:rsid w:val="27596300"/>
    <w:rsid w:val="275A206D"/>
    <w:rsid w:val="275A6740"/>
    <w:rsid w:val="275B13DE"/>
    <w:rsid w:val="275B7EC8"/>
    <w:rsid w:val="275D68BA"/>
    <w:rsid w:val="275E0D46"/>
    <w:rsid w:val="275F312E"/>
    <w:rsid w:val="275F39E0"/>
    <w:rsid w:val="275F515A"/>
    <w:rsid w:val="275F5AFE"/>
    <w:rsid w:val="27614025"/>
    <w:rsid w:val="27621920"/>
    <w:rsid w:val="276500BD"/>
    <w:rsid w:val="276503EB"/>
    <w:rsid w:val="27650D06"/>
    <w:rsid w:val="27656671"/>
    <w:rsid w:val="27673050"/>
    <w:rsid w:val="27685472"/>
    <w:rsid w:val="276871A0"/>
    <w:rsid w:val="276910E6"/>
    <w:rsid w:val="276B58AF"/>
    <w:rsid w:val="276B65DA"/>
    <w:rsid w:val="276C6DA8"/>
    <w:rsid w:val="276E51D7"/>
    <w:rsid w:val="276E64FF"/>
    <w:rsid w:val="276F0940"/>
    <w:rsid w:val="276F4C34"/>
    <w:rsid w:val="277005B8"/>
    <w:rsid w:val="27707B2F"/>
    <w:rsid w:val="27713395"/>
    <w:rsid w:val="2772671A"/>
    <w:rsid w:val="2773259B"/>
    <w:rsid w:val="27756A7F"/>
    <w:rsid w:val="27764239"/>
    <w:rsid w:val="2776616D"/>
    <w:rsid w:val="27775904"/>
    <w:rsid w:val="27782F99"/>
    <w:rsid w:val="27784789"/>
    <w:rsid w:val="277A4214"/>
    <w:rsid w:val="277B6872"/>
    <w:rsid w:val="277C27D2"/>
    <w:rsid w:val="277D69FF"/>
    <w:rsid w:val="277E0E7D"/>
    <w:rsid w:val="277E11ED"/>
    <w:rsid w:val="277E44EB"/>
    <w:rsid w:val="277F0E89"/>
    <w:rsid w:val="277F36E9"/>
    <w:rsid w:val="277F70C7"/>
    <w:rsid w:val="2781014E"/>
    <w:rsid w:val="2781323B"/>
    <w:rsid w:val="27830B33"/>
    <w:rsid w:val="27837E07"/>
    <w:rsid w:val="27840507"/>
    <w:rsid w:val="27840F3D"/>
    <w:rsid w:val="2785032A"/>
    <w:rsid w:val="278724F1"/>
    <w:rsid w:val="27886C36"/>
    <w:rsid w:val="278A1364"/>
    <w:rsid w:val="278A3359"/>
    <w:rsid w:val="278B2446"/>
    <w:rsid w:val="278B50B7"/>
    <w:rsid w:val="278B7B24"/>
    <w:rsid w:val="278B7FC2"/>
    <w:rsid w:val="278C0B6B"/>
    <w:rsid w:val="278D1E70"/>
    <w:rsid w:val="278D49A6"/>
    <w:rsid w:val="278D56A4"/>
    <w:rsid w:val="278D788D"/>
    <w:rsid w:val="278E73E9"/>
    <w:rsid w:val="278F3151"/>
    <w:rsid w:val="27910D86"/>
    <w:rsid w:val="27915D6A"/>
    <w:rsid w:val="279428B7"/>
    <w:rsid w:val="279462AC"/>
    <w:rsid w:val="279608DE"/>
    <w:rsid w:val="279609A8"/>
    <w:rsid w:val="27967990"/>
    <w:rsid w:val="27967D83"/>
    <w:rsid w:val="27967EF1"/>
    <w:rsid w:val="27970DA3"/>
    <w:rsid w:val="27971EAF"/>
    <w:rsid w:val="27991BCC"/>
    <w:rsid w:val="279A3B25"/>
    <w:rsid w:val="279B7007"/>
    <w:rsid w:val="279E731A"/>
    <w:rsid w:val="27A007C5"/>
    <w:rsid w:val="27A158A6"/>
    <w:rsid w:val="27A1767D"/>
    <w:rsid w:val="27A57393"/>
    <w:rsid w:val="27A63832"/>
    <w:rsid w:val="27A67853"/>
    <w:rsid w:val="27A7525D"/>
    <w:rsid w:val="27A833B1"/>
    <w:rsid w:val="27AA11AD"/>
    <w:rsid w:val="27AB2A6A"/>
    <w:rsid w:val="27AB6CAA"/>
    <w:rsid w:val="27AC36C1"/>
    <w:rsid w:val="27AC4342"/>
    <w:rsid w:val="27AC66F9"/>
    <w:rsid w:val="27AC7A9A"/>
    <w:rsid w:val="27AC7C47"/>
    <w:rsid w:val="27AF2278"/>
    <w:rsid w:val="27AF586F"/>
    <w:rsid w:val="27B03A9E"/>
    <w:rsid w:val="27B1185B"/>
    <w:rsid w:val="27B1262D"/>
    <w:rsid w:val="27B1517F"/>
    <w:rsid w:val="27B21D76"/>
    <w:rsid w:val="27B31BBC"/>
    <w:rsid w:val="27B36248"/>
    <w:rsid w:val="27B37AA9"/>
    <w:rsid w:val="27B44ABB"/>
    <w:rsid w:val="27B656E3"/>
    <w:rsid w:val="27B80B6F"/>
    <w:rsid w:val="27B84205"/>
    <w:rsid w:val="27B92902"/>
    <w:rsid w:val="27B975F5"/>
    <w:rsid w:val="27BA1731"/>
    <w:rsid w:val="27BC0D09"/>
    <w:rsid w:val="27BC0F48"/>
    <w:rsid w:val="27BC1A3F"/>
    <w:rsid w:val="27BD192E"/>
    <w:rsid w:val="27BD1CDE"/>
    <w:rsid w:val="27BF5A1F"/>
    <w:rsid w:val="27C0030A"/>
    <w:rsid w:val="27C137E6"/>
    <w:rsid w:val="27C66765"/>
    <w:rsid w:val="27C70D41"/>
    <w:rsid w:val="27C73942"/>
    <w:rsid w:val="27C86C91"/>
    <w:rsid w:val="27C92E1D"/>
    <w:rsid w:val="27C97125"/>
    <w:rsid w:val="27CB3A36"/>
    <w:rsid w:val="27CE771E"/>
    <w:rsid w:val="27CF69FC"/>
    <w:rsid w:val="27D03163"/>
    <w:rsid w:val="27D068E5"/>
    <w:rsid w:val="27D070D5"/>
    <w:rsid w:val="27D141CD"/>
    <w:rsid w:val="27D222BB"/>
    <w:rsid w:val="27D23A07"/>
    <w:rsid w:val="27D245C9"/>
    <w:rsid w:val="27D667C8"/>
    <w:rsid w:val="27D72500"/>
    <w:rsid w:val="27D77BFF"/>
    <w:rsid w:val="27D804D7"/>
    <w:rsid w:val="27D81A33"/>
    <w:rsid w:val="27D90435"/>
    <w:rsid w:val="27DA3CA3"/>
    <w:rsid w:val="27DC2F94"/>
    <w:rsid w:val="27DC3542"/>
    <w:rsid w:val="27DD1C94"/>
    <w:rsid w:val="27DE623F"/>
    <w:rsid w:val="27DF4B8E"/>
    <w:rsid w:val="27E0070F"/>
    <w:rsid w:val="27E13301"/>
    <w:rsid w:val="27E16F5D"/>
    <w:rsid w:val="27E25984"/>
    <w:rsid w:val="27E3345C"/>
    <w:rsid w:val="27E47234"/>
    <w:rsid w:val="27E65CEA"/>
    <w:rsid w:val="27E66644"/>
    <w:rsid w:val="27E8526A"/>
    <w:rsid w:val="27EA039C"/>
    <w:rsid w:val="27EA63B3"/>
    <w:rsid w:val="27EB2B63"/>
    <w:rsid w:val="27EB52AE"/>
    <w:rsid w:val="27EC7E96"/>
    <w:rsid w:val="27ED3F44"/>
    <w:rsid w:val="27ED5B8A"/>
    <w:rsid w:val="27EE7708"/>
    <w:rsid w:val="27F10839"/>
    <w:rsid w:val="27F117D9"/>
    <w:rsid w:val="27F153B4"/>
    <w:rsid w:val="27F21537"/>
    <w:rsid w:val="27F23893"/>
    <w:rsid w:val="27F24FF1"/>
    <w:rsid w:val="27F2653D"/>
    <w:rsid w:val="27F308E9"/>
    <w:rsid w:val="27F651F0"/>
    <w:rsid w:val="27F65544"/>
    <w:rsid w:val="27F709B8"/>
    <w:rsid w:val="27F74ED1"/>
    <w:rsid w:val="27F96E87"/>
    <w:rsid w:val="27FA57DA"/>
    <w:rsid w:val="27FA6E52"/>
    <w:rsid w:val="27FC660F"/>
    <w:rsid w:val="27FD21AC"/>
    <w:rsid w:val="27FD3017"/>
    <w:rsid w:val="27FD7DAF"/>
    <w:rsid w:val="27FE5FBD"/>
    <w:rsid w:val="27FE7007"/>
    <w:rsid w:val="280121A2"/>
    <w:rsid w:val="2801521D"/>
    <w:rsid w:val="28044FC6"/>
    <w:rsid w:val="28054133"/>
    <w:rsid w:val="28056828"/>
    <w:rsid w:val="28061466"/>
    <w:rsid w:val="28066C33"/>
    <w:rsid w:val="280724BE"/>
    <w:rsid w:val="28081FBA"/>
    <w:rsid w:val="28082121"/>
    <w:rsid w:val="28097581"/>
    <w:rsid w:val="280979CB"/>
    <w:rsid w:val="280A0827"/>
    <w:rsid w:val="280A3FB3"/>
    <w:rsid w:val="280B1F66"/>
    <w:rsid w:val="280B5EEB"/>
    <w:rsid w:val="280F189D"/>
    <w:rsid w:val="28103829"/>
    <w:rsid w:val="2811328A"/>
    <w:rsid w:val="28115CBC"/>
    <w:rsid w:val="28117E94"/>
    <w:rsid w:val="281239C4"/>
    <w:rsid w:val="28124628"/>
    <w:rsid w:val="28132589"/>
    <w:rsid w:val="28132784"/>
    <w:rsid w:val="28137DCB"/>
    <w:rsid w:val="28142518"/>
    <w:rsid w:val="28155B1E"/>
    <w:rsid w:val="281669A9"/>
    <w:rsid w:val="28187241"/>
    <w:rsid w:val="2819048C"/>
    <w:rsid w:val="281A07B8"/>
    <w:rsid w:val="281A4AEC"/>
    <w:rsid w:val="281B38A9"/>
    <w:rsid w:val="281B71CC"/>
    <w:rsid w:val="281C5F73"/>
    <w:rsid w:val="28207F46"/>
    <w:rsid w:val="2822674D"/>
    <w:rsid w:val="2826086A"/>
    <w:rsid w:val="28262D61"/>
    <w:rsid w:val="28267498"/>
    <w:rsid w:val="28270FD0"/>
    <w:rsid w:val="28271106"/>
    <w:rsid w:val="28285DA4"/>
    <w:rsid w:val="282945AB"/>
    <w:rsid w:val="282A14B4"/>
    <w:rsid w:val="282A62C7"/>
    <w:rsid w:val="282A762D"/>
    <w:rsid w:val="282C4E33"/>
    <w:rsid w:val="282C5403"/>
    <w:rsid w:val="282C7486"/>
    <w:rsid w:val="282D1AE3"/>
    <w:rsid w:val="282D4ACB"/>
    <w:rsid w:val="282E43D6"/>
    <w:rsid w:val="282E618A"/>
    <w:rsid w:val="282E6B74"/>
    <w:rsid w:val="282F4490"/>
    <w:rsid w:val="28344BF3"/>
    <w:rsid w:val="283713E3"/>
    <w:rsid w:val="283751C7"/>
    <w:rsid w:val="283830DC"/>
    <w:rsid w:val="28393D62"/>
    <w:rsid w:val="283B67EB"/>
    <w:rsid w:val="283C4AD9"/>
    <w:rsid w:val="283D012C"/>
    <w:rsid w:val="283E1223"/>
    <w:rsid w:val="283F44D2"/>
    <w:rsid w:val="283F6367"/>
    <w:rsid w:val="28400027"/>
    <w:rsid w:val="284030D0"/>
    <w:rsid w:val="28423705"/>
    <w:rsid w:val="2842511C"/>
    <w:rsid w:val="28426DE5"/>
    <w:rsid w:val="28445FDB"/>
    <w:rsid w:val="28450D2C"/>
    <w:rsid w:val="28464D86"/>
    <w:rsid w:val="28472CB3"/>
    <w:rsid w:val="2848501E"/>
    <w:rsid w:val="284933F1"/>
    <w:rsid w:val="28495B22"/>
    <w:rsid w:val="28507897"/>
    <w:rsid w:val="28515758"/>
    <w:rsid w:val="28521A5B"/>
    <w:rsid w:val="2852275F"/>
    <w:rsid w:val="285238EF"/>
    <w:rsid w:val="28525F86"/>
    <w:rsid w:val="2853066C"/>
    <w:rsid w:val="285338A6"/>
    <w:rsid w:val="285508CB"/>
    <w:rsid w:val="2855457E"/>
    <w:rsid w:val="28557726"/>
    <w:rsid w:val="285725E9"/>
    <w:rsid w:val="28573300"/>
    <w:rsid w:val="28573363"/>
    <w:rsid w:val="28573B4E"/>
    <w:rsid w:val="28573D1F"/>
    <w:rsid w:val="28585184"/>
    <w:rsid w:val="28593419"/>
    <w:rsid w:val="285C3EFB"/>
    <w:rsid w:val="285D769A"/>
    <w:rsid w:val="285F47BA"/>
    <w:rsid w:val="28602C3C"/>
    <w:rsid w:val="28606947"/>
    <w:rsid w:val="28607DF7"/>
    <w:rsid w:val="28611E94"/>
    <w:rsid w:val="28617E5B"/>
    <w:rsid w:val="28627221"/>
    <w:rsid w:val="286305F8"/>
    <w:rsid w:val="286559A8"/>
    <w:rsid w:val="28671247"/>
    <w:rsid w:val="286832E8"/>
    <w:rsid w:val="28691846"/>
    <w:rsid w:val="28695531"/>
    <w:rsid w:val="286A594F"/>
    <w:rsid w:val="286B1114"/>
    <w:rsid w:val="286B48D7"/>
    <w:rsid w:val="286E2D43"/>
    <w:rsid w:val="286E48DC"/>
    <w:rsid w:val="286E57C8"/>
    <w:rsid w:val="286F2CDA"/>
    <w:rsid w:val="287017A7"/>
    <w:rsid w:val="287042B4"/>
    <w:rsid w:val="28704461"/>
    <w:rsid w:val="287122FB"/>
    <w:rsid w:val="28712E60"/>
    <w:rsid w:val="287277EB"/>
    <w:rsid w:val="28732E3A"/>
    <w:rsid w:val="287559B7"/>
    <w:rsid w:val="28775D15"/>
    <w:rsid w:val="287834A5"/>
    <w:rsid w:val="287972EA"/>
    <w:rsid w:val="287C0CC0"/>
    <w:rsid w:val="287D466E"/>
    <w:rsid w:val="287D602D"/>
    <w:rsid w:val="287F6C3F"/>
    <w:rsid w:val="288073CA"/>
    <w:rsid w:val="28812B87"/>
    <w:rsid w:val="28824A31"/>
    <w:rsid w:val="288325A9"/>
    <w:rsid w:val="2884719C"/>
    <w:rsid w:val="28855E0B"/>
    <w:rsid w:val="28861678"/>
    <w:rsid w:val="288670D4"/>
    <w:rsid w:val="28877E38"/>
    <w:rsid w:val="28880A2E"/>
    <w:rsid w:val="28895D95"/>
    <w:rsid w:val="288A66A9"/>
    <w:rsid w:val="288A74E8"/>
    <w:rsid w:val="288C7C89"/>
    <w:rsid w:val="288D120F"/>
    <w:rsid w:val="288E1857"/>
    <w:rsid w:val="288E51E9"/>
    <w:rsid w:val="288E6D61"/>
    <w:rsid w:val="28912683"/>
    <w:rsid w:val="28927EAF"/>
    <w:rsid w:val="28932770"/>
    <w:rsid w:val="289778F4"/>
    <w:rsid w:val="289803E0"/>
    <w:rsid w:val="28980E1B"/>
    <w:rsid w:val="28981D0E"/>
    <w:rsid w:val="289A755C"/>
    <w:rsid w:val="289A7EE0"/>
    <w:rsid w:val="289B2EA2"/>
    <w:rsid w:val="289B5CA3"/>
    <w:rsid w:val="289C7856"/>
    <w:rsid w:val="289E2965"/>
    <w:rsid w:val="289E7409"/>
    <w:rsid w:val="289F1F3B"/>
    <w:rsid w:val="289F42E9"/>
    <w:rsid w:val="28A27020"/>
    <w:rsid w:val="28A3138C"/>
    <w:rsid w:val="28A52B8B"/>
    <w:rsid w:val="28A71898"/>
    <w:rsid w:val="28A76F34"/>
    <w:rsid w:val="28A80039"/>
    <w:rsid w:val="28A8200F"/>
    <w:rsid w:val="28A85570"/>
    <w:rsid w:val="28A95751"/>
    <w:rsid w:val="28AA19EF"/>
    <w:rsid w:val="28AC4845"/>
    <w:rsid w:val="28AE2E7D"/>
    <w:rsid w:val="28AF032B"/>
    <w:rsid w:val="28B25561"/>
    <w:rsid w:val="28B27E91"/>
    <w:rsid w:val="28B310B0"/>
    <w:rsid w:val="28B66264"/>
    <w:rsid w:val="28B76932"/>
    <w:rsid w:val="28B80E3C"/>
    <w:rsid w:val="28B85BB2"/>
    <w:rsid w:val="28BA135A"/>
    <w:rsid w:val="28BA28E9"/>
    <w:rsid w:val="28BA32B1"/>
    <w:rsid w:val="28BA557E"/>
    <w:rsid w:val="28BC2301"/>
    <w:rsid w:val="28BC437F"/>
    <w:rsid w:val="28BC4808"/>
    <w:rsid w:val="28BC5530"/>
    <w:rsid w:val="28BE288D"/>
    <w:rsid w:val="28BF710A"/>
    <w:rsid w:val="28C07373"/>
    <w:rsid w:val="28C24882"/>
    <w:rsid w:val="28C24FDF"/>
    <w:rsid w:val="28C4545F"/>
    <w:rsid w:val="28C61C31"/>
    <w:rsid w:val="28C62274"/>
    <w:rsid w:val="28C730BB"/>
    <w:rsid w:val="28C927C8"/>
    <w:rsid w:val="28CA0F28"/>
    <w:rsid w:val="28CA58CB"/>
    <w:rsid w:val="28CB3667"/>
    <w:rsid w:val="28CC1404"/>
    <w:rsid w:val="28CC5712"/>
    <w:rsid w:val="28CE1897"/>
    <w:rsid w:val="28CF40DD"/>
    <w:rsid w:val="28CF7137"/>
    <w:rsid w:val="28D119AF"/>
    <w:rsid w:val="28D21782"/>
    <w:rsid w:val="28D30F81"/>
    <w:rsid w:val="28D417AE"/>
    <w:rsid w:val="28D5141E"/>
    <w:rsid w:val="28D6415C"/>
    <w:rsid w:val="28D64DCE"/>
    <w:rsid w:val="28D711AE"/>
    <w:rsid w:val="28D72984"/>
    <w:rsid w:val="28D7397D"/>
    <w:rsid w:val="28D9666D"/>
    <w:rsid w:val="28DB22F4"/>
    <w:rsid w:val="28DD18AE"/>
    <w:rsid w:val="28DD4318"/>
    <w:rsid w:val="28DD7E6F"/>
    <w:rsid w:val="28DE6BD1"/>
    <w:rsid w:val="28E031FB"/>
    <w:rsid w:val="28E03B60"/>
    <w:rsid w:val="28E357A9"/>
    <w:rsid w:val="28E361EE"/>
    <w:rsid w:val="28E56262"/>
    <w:rsid w:val="28E6123C"/>
    <w:rsid w:val="28E629AC"/>
    <w:rsid w:val="28E62E6F"/>
    <w:rsid w:val="28E6730F"/>
    <w:rsid w:val="28E7490A"/>
    <w:rsid w:val="28E776B4"/>
    <w:rsid w:val="28EA35BC"/>
    <w:rsid w:val="28EB12AE"/>
    <w:rsid w:val="28EC1C73"/>
    <w:rsid w:val="28ED3482"/>
    <w:rsid w:val="28ED6A62"/>
    <w:rsid w:val="28ED7C6C"/>
    <w:rsid w:val="28EE70B0"/>
    <w:rsid w:val="28EF0B8C"/>
    <w:rsid w:val="28EF0C8B"/>
    <w:rsid w:val="28EF61D1"/>
    <w:rsid w:val="28EF7135"/>
    <w:rsid w:val="28F00244"/>
    <w:rsid w:val="28F11F5B"/>
    <w:rsid w:val="28F17AE0"/>
    <w:rsid w:val="28F251F7"/>
    <w:rsid w:val="28F3179E"/>
    <w:rsid w:val="28F36C30"/>
    <w:rsid w:val="28F44E6D"/>
    <w:rsid w:val="28F632F1"/>
    <w:rsid w:val="28F71C29"/>
    <w:rsid w:val="28F74D45"/>
    <w:rsid w:val="28F9379F"/>
    <w:rsid w:val="28FC6F60"/>
    <w:rsid w:val="28FD0923"/>
    <w:rsid w:val="28FD4BD4"/>
    <w:rsid w:val="28FD5366"/>
    <w:rsid w:val="28FD6178"/>
    <w:rsid w:val="28FE60C4"/>
    <w:rsid w:val="28FF662E"/>
    <w:rsid w:val="2901087B"/>
    <w:rsid w:val="29032D27"/>
    <w:rsid w:val="29036C8F"/>
    <w:rsid w:val="29046036"/>
    <w:rsid w:val="29051210"/>
    <w:rsid w:val="29057292"/>
    <w:rsid w:val="29067701"/>
    <w:rsid w:val="290C2C74"/>
    <w:rsid w:val="290D3CFF"/>
    <w:rsid w:val="290D6DD5"/>
    <w:rsid w:val="29110B8E"/>
    <w:rsid w:val="29112D9E"/>
    <w:rsid w:val="291154BF"/>
    <w:rsid w:val="29123A4E"/>
    <w:rsid w:val="29123D8B"/>
    <w:rsid w:val="2912510A"/>
    <w:rsid w:val="291404EE"/>
    <w:rsid w:val="29147152"/>
    <w:rsid w:val="291623B0"/>
    <w:rsid w:val="29181444"/>
    <w:rsid w:val="29191213"/>
    <w:rsid w:val="291D6EAF"/>
    <w:rsid w:val="291E7E1F"/>
    <w:rsid w:val="291F33F2"/>
    <w:rsid w:val="29204C4F"/>
    <w:rsid w:val="29221E82"/>
    <w:rsid w:val="2924488F"/>
    <w:rsid w:val="29244F01"/>
    <w:rsid w:val="292507D0"/>
    <w:rsid w:val="292556B5"/>
    <w:rsid w:val="2926121D"/>
    <w:rsid w:val="2926445D"/>
    <w:rsid w:val="29270192"/>
    <w:rsid w:val="29276973"/>
    <w:rsid w:val="292814B4"/>
    <w:rsid w:val="2928660C"/>
    <w:rsid w:val="29291D64"/>
    <w:rsid w:val="292B2EA6"/>
    <w:rsid w:val="292B7F46"/>
    <w:rsid w:val="292C4706"/>
    <w:rsid w:val="292D52F3"/>
    <w:rsid w:val="292D5C57"/>
    <w:rsid w:val="292E2C32"/>
    <w:rsid w:val="292F64CF"/>
    <w:rsid w:val="29311909"/>
    <w:rsid w:val="293227F8"/>
    <w:rsid w:val="29326E77"/>
    <w:rsid w:val="29344F86"/>
    <w:rsid w:val="29351272"/>
    <w:rsid w:val="293670C7"/>
    <w:rsid w:val="29367D91"/>
    <w:rsid w:val="2939731C"/>
    <w:rsid w:val="293B5B9F"/>
    <w:rsid w:val="293D125C"/>
    <w:rsid w:val="293E73C2"/>
    <w:rsid w:val="293E793A"/>
    <w:rsid w:val="293F761F"/>
    <w:rsid w:val="29404336"/>
    <w:rsid w:val="29437362"/>
    <w:rsid w:val="29437FD2"/>
    <w:rsid w:val="29442B55"/>
    <w:rsid w:val="29453D02"/>
    <w:rsid w:val="29464DE2"/>
    <w:rsid w:val="29484D38"/>
    <w:rsid w:val="2948674A"/>
    <w:rsid w:val="29495831"/>
    <w:rsid w:val="29497312"/>
    <w:rsid w:val="294A207A"/>
    <w:rsid w:val="294C11B9"/>
    <w:rsid w:val="294C68B1"/>
    <w:rsid w:val="294E3DB5"/>
    <w:rsid w:val="294E52E4"/>
    <w:rsid w:val="294E754E"/>
    <w:rsid w:val="294F4B81"/>
    <w:rsid w:val="294F55E0"/>
    <w:rsid w:val="2950130E"/>
    <w:rsid w:val="295156CB"/>
    <w:rsid w:val="295315AF"/>
    <w:rsid w:val="2954777A"/>
    <w:rsid w:val="295842D6"/>
    <w:rsid w:val="29585DA1"/>
    <w:rsid w:val="29594BD6"/>
    <w:rsid w:val="295B1FB3"/>
    <w:rsid w:val="295C5A27"/>
    <w:rsid w:val="295C70DE"/>
    <w:rsid w:val="295E297C"/>
    <w:rsid w:val="295E6EB9"/>
    <w:rsid w:val="295F7ADD"/>
    <w:rsid w:val="296074C5"/>
    <w:rsid w:val="29615C8F"/>
    <w:rsid w:val="296244FA"/>
    <w:rsid w:val="29632019"/>
    <w:rsid w:val="296629DD"/>
    <w:rsid w:val="296636F4"/>
    <w:rsid w:val="296642D2"/>
    <w:rsid w:val="29666B2C"/>
    <w:rsid w:val="29677A76"/>
    <w:rsid w:val="296A2AC9"/>
    <w:rsid w:val="296A3574"/>
    <w:rsid w:val="296A3DE1"/>
    <w:rsid w:val="296B04A0"/>
    <w:rsid w:val="296B4D1E"/>
    <w:rsid w:val="296B530A"/>
    <w:rsid w:val="296C34F2"/>
    <w:rsid w:val="296E11F8"/>
    <w:rsid w:val="296F1F1E"/>
    <w:rsid w:val="296F3F56"/>
    <w:rsid w:val="29702C74"/>
    <w:rsid w:val="297057F8"/>
    <w:rsid w:val="2970620F"/>
    <w:rsid w:val="29730A7D"/>
    <w:rsid w:val="29741E40"/>
    <w:rsid w:val="29763B49"/>
    <w:rsid w:val="29765B31"/>
    <w:rsid w:val="29786193"/>
    <w:rsid w:val="29793D56"/>
    <w:rsid w:val="297A5699"/>
    <w:rsid w:val="297B3553"/>
    <w:rsid w:val="297D3E65"/>
    <w:rsid w:val="297E6193"/>
    <w:rsid w:val="297F7665"/>
    <w:rsid w:val="298028AA"/>
    <w:rsid w:val="29807B61"/>
    <w:rsid w:val="29811471"/>
    <w:rsid w:val="2981749A"/>
    <w:rsid w:val="29837124"/>
    <w:rsid w:val="29844DAA"/>
    <w:rsid w:val="298465B0"/>
    <w:rsid w:val="29856147"/>
    <w:rsid w:val="29865E7E"/>
    <w:rsid w:val="29865F99"/>
    <w:rsid w:val="29867CFA"/>
    <w:rsid w:val="298701E8"/>
    <w:rsid w:val="29871D74"/>
    <w:rsid w:val="29873F1C"/>
    <w:rsid w:val="29880CF4"/>
    <w:rsid w:val="2988318F"/>
    <w:rsid w:val="298A6269"/>
    <w:rsid w:val="298C068D"/>
    <w:rsid w:val="298C6DEB"/>
    <w:rsid w:val="298D7564"/>
    <w:rsid w:val="298F0895"/>
    <w:rsid w:val="298F2454"/>
    <w:rsid w:val="298F31CF"/>
    <w:rsid w:val="2990730E"/>
    <w:rsid w:val="29924CC5"/>
    <w:rsid w:val="2995364F"/>
    <w:rsid w:val="29970430"/>
    <w:rsid w:val="29975A19"/>
    <w:rsid w:val="29982D42"/>
    <w:rsid w:val="29991338"/>
    <w:rsid w:val="29995A61"/>
    <w:rsid w:val="29996BB2"/>
    <w:rsid w:val="299A4C71"/>
    <w:rsid w:val="299D2041"/>
    <w:rsid w:val="299D2AB1"/>
    <w:rsid w:val="299E237A"/>
    <w:rsid w:val="299E2A95"/>
    <w:rsid w:val="299F358F"/>
    <w:rsid w:val="29A07C90"/>
    <w:rsid w:val="29A24E2A"/>
    <w:rsid w:val="29A40B2C"/>
    <w:rsid w:val="29A4547A"/>
    <w:rsid w:val="29A5146A"/>
    <w:rsid w:val="29A547A1"/>
    <w:rsid w:val="29A637DC"/>
    <w:rsid w:val="29A6498B"/>
    <w:rsid w:val="29A85E74"/>
    <w:rsid w:val="29A86ADD"/>
    <w:rsid w:val="29A91CDE"/>
    <w:rsid w:val="29AA1626"/>
    <w:rsid w:val="29AA1B00"/>
    <w:rsid w:val="29AA46B9"/>
    <w:rsid w:val="29AD5A08"/>
    <w:rsid w:val="29AE6E88"/>
    <w:rsid w:val="29AF3B0A"/>
    <w:rsid w:val="29AF7A61"/>
    <w:rsid w:val="29B140F0"/>
    <w:rsid w:val="29B167E6"/>
    <w:rsid w:val="29B30ED0"/>
    <w:rsid w:val="29B35651"/>
    <w:rsid w:val="29B40104"/>
    <w:rsid w:val="29B419AA"/>
    <w:rsid w:val="29B64C24"/>
    <w:rsid w:val="29B670BB"/>
    <w:rsid w:val="29B722FF"/>
    <w:rsid w:val="29B7426E"/>
    <w:rsid w:val="29B91508"/>
    <w:rsid w:val="29BA1E07"/>
    <w:rsid w:val="29BA43A4"/>
    <w:rsid w:val="29BD349A"/>
    <w:rsid w:val="29BE0633"/>
    <w:rsid w:val="29C06C31"/>
    <w:rsid w:val="29C212ED"/>
    <w:rsid w:val="29C220E7"/>
    <w:rsid w:val="29C22C21"/>
    <w:rsid w:val="29C31F54"/>
    <w:rsid w:val="29C336F5"/>
    <w:rsid w:val="29C341FF"/>
    <w:rsid w:val="29C62678"/>
    <w:rsid w:val="29C673CC"/>
    <w:rsid w:val="29C72193"/>
    <w:rsid w:val="29C81568"/>
    <w:rsid w:val="29C91BFB"/>
    <w:rsid w:val="29CD71ED"/>
    <w:rsid w:val="29CE3B50"/>
    <w:rsid w:val="29D33089"/>
    <w:rsid w:val="29D53029"/>
    <w:rsid w:val="29D565FF"/>
    <w:rsid w:val="29D87AE7"/>
    <w:rsid w:val="29D96C1B"/>
    <w:rsid w:val="29DA3121"/>
    <w:rsid w:val="29DB7117"/>
    <w:rsid w:val="29DC30C8"/>
    <w:rsid w:val="29DE7AD6"/>
    <w:rsid w:val="29DF3634"/>
    <w:rsid w:val="29E141FC"/>
    <w:rsid w:val="29E15D22"/>
    <w:rsid w:val="29E24F34"/>
    <w:rsid w:val="29E32011"/>
    <w:rsid w:val="29E33B19"/>
    <w:rsid w:val="29E34C51"/>
    <w:rsid w:val="29E45080"/>
    <w:rsid w:val="29E70E63"/>
    <w:rsid w:val="29E77503"/>
    <w:rsid w:val="29E84696"/>
    <w:rsid w:val="29E8792B"/>
    <w:rsid w:val="29E90AB5"/>
    <w:rsid w:val="29E974D5"/>
    <w:rsid w:val="29EA0643"/>
    <w:rsid w:val="29EA23C4"/>
    <w:rsid w:val="29EC1918"/>
    <w:rsid w:val="29ED2D83"/>
    <w:rsid w:val="29EE7E8D"/>
    <w:rsid w:val="29EF4283"/>
    <w:rsid w:val="29EF6C3B"/>
    <w:rsid w:val="29F04DB1"/>
    <w:rsid w:val="29F1589C"/>
    <w:rsid w:val="29F21DAD"/>
    <w:rsid w:val="29F22AC2"/>
    <w:rsid w:val="29F23C22"/>
    <w:rsid w:val="29F244FE"/>
    <w:rsid w:val="29F44E4B"/>
    <w:rsid w:val="29F45C30"/>
    <w:rsid w:val="29F656F6"/>
    <w:rsid w:val="29F83830"/>
    <w:rsid w:val="29F94550"/>
    <w:rsid w:val="29FA4C37"/>
    <w:rsid w:val="29FB4CFB"/>
    <w:rsid w:val="29FB7815"/>
    <w:rsid w:val="29FC11E3"/>
    <w:rsid w:val="29FC75B1"/>
    <w:rsid w:val="29FD23E3"/>
    <w:rsid w:val="29FD7716"/>
    <w:rsid w:val="29FE7F32"/>
    <w:rsid w:val="29FF2266"/>
    <w:rsid w:val="29FF31C4"/>
    <w:rsid w:val="2A002AB1"/>
    <w:rsid w:val="2A0040A8"/>
    <w:rsid w:val="2A021C63"/>
    <w:rsid w:val="2A0233DB"/>
    <w:rsid w:val="2A0239A1"/>
    <w:rsid w:val="2A026027"/>
    <w:rsid w:val="2A060EAE"/>
    <w:rsid w:val="2A0644C9"/>
    <w:rsid w:val="2A0804D9"/>
    <w:rsid w:val="2A092B2F"/>
    <w:rsid w:val="2A0A12CC"/>
    <w:rsid w:val="2A0A67DC"/>
    <w:rsid w:val="2A0B11C5"/>
    <w:rsid w:val="2A0E232A"/>
    <w:rsid w:val="2A0F7398"/>
    <w:rsid w:val="2A112B0D"/>
    <w:rsid w:val="2A122EF3"/>
    <w:rsid w:val="2A1261DE"/>
    <w:rsid w:val="2A15218B"/>
    <w:rsid w:val="2A152A00"/>
    <w:rsid w:val="2A1672D3"/>
    <w:rsid w:val="2A1843B6"/>
    <w:rsid w:val="2A193750"/>
    <w:rsid w:val="2A1A2E0A"/>
    <w:rsid w:val="2A1B602C"/>
    <w:rsid w:val="2A1C6ABA"/>
    <w:rsid w:val="2A1E1889"/>
    <w:rsid w:val="2A1E724F"/>
    <w:rsid w:val="2A200C9D"/>
    <w:rsid w:val="2A207664"/>
    <w:rsid w:val="2A2250CA"/>
    <w:rsid w:val="2A231A6C"/>
    <w:rsid w:val="2A246B31"/>
    <w:rsid w:val="2A253189"/>
    <w:rsid w:val="2A2650EB"/>
    <w:rsid w:val="2A2656EB"/>
    <w:rsid w:val="2A26686C"/>
    <w:rsid w:val="2A281F5D"/>
    <w:rsid w:val="2A285D6A"/>
    <w:rsid w:val="2A291881"/>
    <w:rsid w:val="2A2A3FD5"/>
    <w:rsid w:val="2A2A49E0"/>
    <w:rsid w:val="2A2A5956"/>
    <w:rsid w:val="2A2B11C2"/>
    <w:rsid w:val="2A2B246B"/>
    <w:rsid w:val="2A2B4932"/>
    <w:rsid w:val="2A2C0DB0"/>
    <w:rsid w:val="2A2C314F"/>
    <w:rsid w:val="2A2C32E8"/>
    <w:rsid w:val="2A2E6CB4"/>
    <w:rsid w:val="2A2F0D78"/>
    <w:rsid w:val="2A30050E"/>
    <w:rsid w:val="2A306C80"/>
    <w:rsid w:val="2A323E22"/>
    <w:rsid w:val="2A326594"/>
    <w:rsid w:val="2A344964"/>
    <w:rsid w:val="2A3472F8"/>
    <w:rsid w:val="2A350877"/>
    <w:rsid w:val="2A360347"/>
    <w:rsid w:val="2A360682"/>
    <w:rsid w:val="2A3A03D9"/>
    <w:rsid w:val="2A3A4A42"/>
    <w:rsid w:val="2A3B6A17"/>
    <w:rsid w:val="2A3C5F45"/>
    <w:rsid w:val="2A3D5F5A"/>
    <w:rsid w:val="2A3E4B89"/>
    <w:rsid w:val="2A3E69B4"/>
    <w:rsid w:val="2A3F3FBF"/>
    <w:rsid w:val="2A401C92"/>
    <w:rsid w:val="2A402A00"/>
    <w:rsid w:val="2A4033D0"/>
    <w:rsid w:val="2A41096D"/>
    <w:rsid w:val="2A4226BE"/>
    <w:rsid w:val="2A432574"/>
    <w:rsid w:val="2A432D21"/>
    <w:rsid w:val="2A440A8E"/>
    <w:rsid w:val="2A457E18"/>
    <w:rsid w:val="2A460E83"/>
    <w:rsid w:val="2A464E7B"/>
    <w:rsid w:val="2A465415"/>
    <w:rsid w:val="2A4933B7"/>
    <w:rsid w:val="2A4B37FA"/>
    <w:rsid w:val="2A4C0441"/>
    <w:rsid w:val="2A4D1E55"/>
    <w:rsid w:val="2A4E25FA"/>
    <w:rsid w:val="2A4E47F7"/>
    <w:rsid w:val="2A4F61AC"/>
    <w:rsid w:val="2A5043E4"/>
    <w:rsid w:val="2A5314C7"/>
    <w:rsid w:val="2A5472D4"/>
    <w:rsid w:val="2A5545CE"/>
    <w:rsid w:val="2A555358"/>
    <w:rsid w:val="2A557965"/>
    <w:rsid w:val="2A5614A7"/>
    <w:rsid w:val="2A575A97"/>
    <w:rsid w:val="2A57719D"/>
    <w:rsid w:val="2A592AA7"/>
    <w:rsid w:val="2A595C9F"/>
    <w:rsid w:val="2A5970E5"/>
    <w:rsid w:val="2A600812"/>
    <w:rsid w:val="2A6177D0"/>
    <w:rsid w:val="2A635EC6"/>
    <w:rsid w:val="2A645584"/>
    <w:rsid w:val="2A651A96"/>
    <w:rsid w:val="2A67300B"/>
    <w:rsid w:val="2A696E71"/>
    <w:rsid w:val="2A6A5966"/>
    <w:rsid w:val="2A6B35C8"/>
    <w:rsid w:val="2A6C0BFD"/>
    <w:rsid w:val="2A6C0D78"/>
    <w:rsid w:val="2A6D60AE"/>
    <w:rsid w:val="2A6E7EAA"/>
    <w:rsid w:val="2A6F0317"/>
    <w:rsid w:val="2A6F5C1F"/>
    <w:rsid w:val="2A6F6B1E"/>
    <w:rsid w:val="2A713121"/>
    <w:rsid w:val="2A7345B1"/>
    <w:rsid w:val="2A74440E"/>
    <w:rsid w:val="2A75287C"/>
    <w:rsid w:val="2A7609B9"/>
    <w:rsid w:val="2A771E63"/>
    <w:rsid w:val="2A773C44"/>
    <w:rsid w:val="2A7B41D0"/>
    <w:rsid w:val="2A7B52DE"/>
    <w:rsid w:val="2A7C7BF7"/>
    <w:rsid w:val="2A7E4453"/>
    <w:rsid w:val="2A7E5967"/>
    <w:rsid w:val="2A803368"/>
    <w:rsid w:val="2A804B80"/>
    <w:rsid w:val="2A810AF9"/>
    <w:rsid w:val="2A8111FA"/>
    <w:rsid w:val="2A8174BF"/>
    <w:rsid w:val="2A82084F"/>
    <w:rsid w:val="2A824CAF"/>
    <w:rsid w:val="2A831937"/>
    <w:rsid w:val="2A837F7C"/>
    <w:rsid w:val="2A8453B9"/>
    <w:rsid w:val="2A862C29"/>
    <w:rsid w:val="2A865903"/>
    <w:rsid w:val="2A880D86"/>
    <w:rsid w:val="2A893A6E"/>
    <w:rsid w:val="2A8A29E3"/>
    <w:rsid w:val="2A8B0B0A"/>
    <w:rsid w:val="2A8D0328"/>
    <w:rsid w:val="2A8E6869"/>
    <w:rsid w:val="2A905523"/>
    <w:rsid w:val="2A923887"/>
    <w:rsid w:val="2A937EB3"/>
    <w:rsid w:val="2A9432E7"/>
    <w:rsid w:val="2A954399"/>
    <w:rsid w:val="2A9566F2"/>
    <w:rsid w:val="2A972902"/>
    <w:rsid w:val="2A9762C4"/>
    <w:rsid w:val="2A9921ED"/>
    <w:rsid w:val="2A9A36E8"/>
    <w:rsid w:val="2A9B38B0"/>
    <w:rsid w:val="2A9C087C"/>
    <w:rsid w:val="2A9C302A"/>
    <w:rsid w:val="2A9C4DE6"/>
    <w:rsid w:val="2A9F54C6"/>
    <w:rsid w:val="2AA260FF"/>
    <w:rsid w:val="2AA265D4"/>
    <w:rsid w:val="2AA2769A"/>
    <w:rsid w:val="2AA34EA2"/>
    <w:rsid w:val="2AA44E1B"/>
    <w:rsid w:val="2AA5237E"/>
    <w:rsid w:val="2AA54B65"/>
    <w:rsid w:val="2AA64603"/>
    <w:rsid w:val="2AA771AF"/>
    <w:rsid w:val="2AA83CF9"/>
    <w:rsid w:val="2AA848C7"/>
    <w:rsid w:val="2AA86705"/>
    <w:rsid w:val="2AAB3291"/>
    <w:rsid w:val="2AAB619E"/>
    <w:rsid w:val="2AAB6CD4"/>
    <w:rsid w:val="2AAE0B3A"/>
    <w:rsid w:val="2AB00742"/>
    <w:rsid w:val="2AB16B8F"/>
    <w:rsid w:val="2AB31E85"/>
    <w:rsid w:val="2AB40F43"/>
    <w:rsid w:val="2AB42E0A"/>
    <w:rsid w:val="2AB44B17"/>
    <w:rsid w:val="2AB463B9"/>
    <w:rsid w:val="2AB507D9"/>
    <w:rsid w:val="2AB65FFA"/>
    <w:rsid w:val="2AB77B82"/>
    <w:rsid w:val="2ABA5380"/>
    <w:rsid w:val="2ABA67D3"/>
    <w:rsid w:val="2ABB00A0"/>
    <w:rsid w:val="2ABB060D"/>
    <w:rsid w:val="2ABB1A7C"/>
    <w:rsid w:val="2ABD204D"/>
    <w:rsid w:val="2ABE0621"/>
    <w:rsid w:val="2ABE087E"/>
    <w:rsid w:val="2ABE6995"/>
    <w:rsid w:val="2ABF5E39"/>
    <w:rsid w:val="2AC0315D"/>
    <w:rsid w:val="2AC03CCC"/>
    <w:rsid w:val="2AC05ECA"/>
    <w:rsid w:val="2AC06683"/>
    <w:rsid w:val="2AC10E24"/>
    <w:rsid w:val="2AC15A30"/>
    <w:rsid w:val="2AC21AB7"/>
    <w:rsid w:val="2AC4427E"/>
    <w:rsid w:val="2AC45CB6"/>
    <w:rsid w:val="2AC54FF3"/>
    <w:rsid w:val="2AC604C4"/>
    <w:rsid w:val="2AC61C56"/>
    <w:rsid w:val="2AC656B8"/>
    <w:rsid w:val="2AC90D01"/>
    <w:rsid w:val="2ACB0237"/>
    <w:rsid w:val="2ACB72A3"/>
    <w:rsid w:val="2ACB7B57"/>
    <w:rsid w:val="2ACD33DA"/>
    <w:rsid w:val="2ACD54AE"/>
    <w:rsid w:val="2ACD5C49"/>
    <w:rsid w:val="2ACE1F0E"/>
    <w:rsid w:val="2ACE25BC"/>
    <w:rsid w:val="2ACE62C5"/>
    <w:rsid w:val="2ACF4A14"/>
    <w:rsid w:val="2ACF68D6"/>
    <w:rsid w:val="2AD416AB"/>
    <w:rsid w:val="2AD417E1"/>
    <w:rsid w:val="2AD555F2"/>
    <w:rsid w:val="2AD74A51"/>
    <w:rsid w:val="2AD754BD"/>
    <w:rsid w:val="2AD77E37"/>
    <w:rsid w:val="2AD80420"/>
    <w:rsid w:val="2AD938CF"/>
    <w:rsid w:val="2AD954BB"/>
    <w:rsid w:val="2ADB1A40"/>
    <w:rsid w:val="2ADF0C7B"/>
    <w:rsid w:val="2ADF28AB"/>
    <w:rsid w:val="2ADF3E07"/>
    <w:rsid w:val="2ADF5F09"/>
    <w:rsid w:val="2AE02E01"/>
    <w:rsid w:val="2AE13AAA"/>
    <w:rsid w:val="2AE17A5A"/>
    <w:rsid w:val="2AE20CEC"/>
    <w:rsid w:val="2AE3290C"/>
    <w:rsid w:val="2AE33D87"/>
    <w:rsid w:val="2AE51861"/>
    <w:rsid w:val="2AE53DFC"/>
    <w:rsid w:val="2AE65C06"/>
    <w:rsid w:val="2AE728C9"/>
    <w:rsid w:val="2AE87ACA"/>
    <w:rsid w:val="2AE87FE5"/>
    <w:rsid w:val="2AEA4F87"/>
    <w:rsid w:val="2AEA56C5"/>
    <w:rsid w:val="2AEC2A2D"/>
    <w:rsid w:val="2AEC5AD1"/>
    <w:rsid w:val="2AED7469"/>
    <w:rsid w:val="2AEE16C6"/>
    <w:rsid w:val="2AEF4925"/>
    <w:rsid w:val="2AF00C87"/>
    <w:rsid w:val="2AF02E62"/>
    <w:rsid w:val="2AF03DC5"/>
    <w:rsid w:val="2AF05687"/>
    <w:rsid w:val="2AF21D43"/>
    <w:rsid w:val="2AF24BB0"/>
    <w:rsid w:val="2AF36753"/>
    <w:rsid w:val="2AF377A7"/>
    <w:rsid w:val="2AFC2722"/>
    <w:rsid w:val="2AFC4B6C"/>
    <w:rsid w:val="2AFD074D"/>
    <w:rsid w:val="2AFD5532"/>
    <w:rsid w:val="2B0371D1"/>
    <w:rsid w:val="2B044B31"/>
    <w:rsid w:val="2B05511C"/>
    <w:rsid w:val="2B0608EE"/>
    <w:rsid w:val="2B0619D7"/>
    <w:rsid w:val="2B0721FA"/>
    <w:rsid w:val="2B09070F"/>
    <w:rsid w:val="2B097F87"/>
    <w:rsid w:val="2B0A0D85"/>
    <w:rsid w:val="2B0B185B"/>
    <w:rsid w:val="2B0B7110"/>
    <w:rsid w:val="2B0C2BDA"/>
    <w:rsid w:val="2B0F1F70"/>
    <w:rsid w:val="2B0F2D53"/>
    <w:rsid w:val="2B0F3156"/>
    <w:rsid w:val="2B102F1B"/>
    <w:rsid w:val="2B110340"/>
    <w:rsid w:val="2B113916"/>
    <w:rsid w:val="2B1246EF"/>
    <w:rsid w:val="2B134764"/>
    <w:rsid w:val="2B1433F2"/>
    <w:rsid w:val="2B1506BF"/>
    <w:rsid w:val="2B1631C9"/>
    <w:rsid w:val="2B164D39"/>
    <w:rsid w:val="2B176349"/>
    <w:rsid w:val="2B18236A"/>
    <w:rsid w:val="2B1861D6"/>
    <w:rsid w:val="2B19188F"/>
    <w:rsid w:val="2B1921F2"/>
    <w:rsid w:val="2B1A1A7A"/>
    <w:rsid w:val="2B1A3CCF"/>
    <w:rsid w:val="2B1B0E15"/>
    <w:rsid w:val="2B1B5463"/>
    <w:rsid w:val="2B1B6590"/>
    <w:rsid w:val="2B1B78BE"/>
    <w:rsid w:val="2B1C0AED"/>
    <w:rsid w:val="2B1C4BED"/>
    <w:rsid w:val="2B1D110A"/>
    <w:rsid w:val="2B1D7A66"/>
    <w:rsid w:val="2B207890"/>
    <w:rsid w:val="2B215574"/>
    <w:rsid w:val="2B226F33"/>
    <w:rsid w:val="2B233960"/>
    <w:rsid w:val="2B2519DD"/>
    <w:rsid w:val="2B27660A"/>
    <w:rsid w:val="2B291A74"/>
    <w:rsid w:val="2B292ADF"/>
    <w:rsid w:val="2B2C21AE"/>
    <w:rsid w:val="2B2C3CC9"/>
    <w:rsid w:val="2B2C425D"/>
    <w:rsid w:val="2B2D2CA0"/>
    <w:rsid w:val="2B2D57E2"/>
    <w:rsid w:val="2B2E11FD"/>
    <w:rsid w:val="2B2E19F0"/>
    <w:rsid w:val="2B2F27CA"/>
    <w:rsid w:val="2B3035CC"/>
    <w:rsid w:val="2B3122C6"/>
    <w:rsid w:val="2B31442E"/>
    <w:rsid w:val="2B31789F"/>
    <w:rsid w:val="2B320B7B"/>
    <w:rsid w:val="2B33332E"/>
    <w:rsid w:val="2B337A32"/>
    <w:rsid w:val="2B341815"/>
    <w:rsid w:val="2B343E6C"/>
    <w:rsid w:val="2B3758CA"/>
    <w:rsid w:val="2B3A113B"/>
    <w:rsid w:val="2B3B38CF"/>
    <w:rsid w:val="2B3D137F"/>
    <w:rsid w:val="2B3E6C5B"/>
    <w:rsid w:val="2B3E7B54"/>
    <w:rsid w:val="2B3F47D2"/>
    <w:rsid w:val="2B400DAF"/>
    <w:rsid w:val="2B404269"/>
    <w:rsid w:val="2B40716A"/>
    <w:rsid w:val="2B4124ED"/>
    <w:rsid w:val="2B413A83"/>
    <w:rsid w:val="2B41443A"/>
    <w:rsid w:val="2B41446E"/>
    <w:rsid w:val="2B4358F5"/>
    <w:rsid w:val="2B473D5E"/>
    <w:rsid w:val="2B473D61"/>
    <w:rsid w:val="2B47741A"/>
    <w:rsid w:val="2B480DB1"/>
    <w:rsid w:val="2B490F23"/>
    <w:rsid w:val="2B4C581C"/>
    <w:rsid w:val="2B4C5E6B"/>
    <w:rsid w:val="2B4E20CF"/>
    <w:rsid w:val="2B4E6F2E"/>
    <w:rsid w:val="2B4F33D6"/>
    <w:rsid w:val="2B4F493E"/>
    <w:rsid w:val="2B4F621F"/>
    <w:rsid w:val="2B50370E"/>
    <w:rsid w:val="2B5039EC"/>
    <w:rsid w:val="2B5102C3"/>
    <w:rsid w:val="2B5145A4"/>
    <w:rsid w:val="2B514873"/>
    <w:rsid w:val="2B522055"/>
    <w:rsid w:val="2B5461E9"/>
    <w:rsid w:val="2B54647E"/>
    <w:rsid w:val="2B552C3E"/>
    <w:rsid w:val="2B557432"/>
    <w:rsid w:val="2B56486D"/>
    <w:rsid w:val="2B567F0B"/>
    <w:rsid w:val="2B571B20"/>
    <w:rsid w:val="2B571C75"/>
    <w:rsid w:val="2B5727F4"/>
    <w:rsid w:val="2B590D99"/>
    <w:rsid w:val="2B5A0C68"/>
    <w:rsid w:val="2B5C007C"/>
    <w:rsid w:val="2B5D0D65"/>
    <w:rsid w:val="2B5D4121"/>
    <w:rsid w:val="2B5D5752"/>
    <w:rsid w:val="2B5E0038"/>
    <w:rsid w:val="2B5E25F9"/>
    <w:rsid w:val="2B604115"/>
    <w:rsid w:val="2B604E23"/>
    <w:rsid w:val="2B606CF8"/>
    <w:rsid w:val="2B610C8D"/>
    <w:rsid w:val="2B611A36"/>
    <w:rsid w:val="2B6157F2"/>
    <w:rsid w:val="2B6225B6"/>
    <w:rsid w:val="2B634F2E"/>
    <w:rsid w:val="2B646C95"/>
    <w:rsid w:val="2B651E68"/>
    <w:rsid w:val="2B654B92"/>
    <w:rsid w:val="2B6735AB"/>
    <w:rsid w:val="2B6762FD"/>
    <w:rsid w:val="2B681152"/>
    <w:rsid w:val="2B6848DD"/>
    <w:rsid w:val="2B6A275B"/>
    <w:rsid w:val="2B6A493D"/>
    <w:rsid w:val="2B6D25CB"/>
    <w:rsid w:val="2B6E26D3"/>
    <w:rsid w:val="2B700D49"/>
    <w:rsid w:val="2B702E3F"/>
    <w:rsid w:val="2B721467"/>
    <w:rsid w:val="2B722794"/>
    <w:rsid w:val="2B731EAF"/>
    <w:rsid w:val="2B7338FE"/>
    <w:rsid w:val="2B737AA6"/>
    <w:rsid w:val="2B745BD6"/>
    <w:rsid w:val="2B746DE6"/>
    <w:rsid w:val="2B762576"/>
    <w:rsid w:val="2B770562"/>
    <w:rsid w:val="2B780BE4"/>
    <w:rsid w:val="2B784E2A"/>
    <w:rsid w:val="2B7924D3"/>
    <w:rsid w:val="2B7B3DE9"/>
    <w:rsid w:val="2B7B7EDF"/>
    <w:rsid w:val="2B7E6116"/>
    <w:rsid w:val="2B7F0D04"/>
    <w:rsid w:val="2B7F5420"/>
    <w:rsid w:val="2B7F5ABE"/>
    <w:rsid w:val="2B7F775B"/>
    <w:rsid w:val="2B824A67"/>
    <w:rsid w:val="2B827252"/>
    <w:rsid w:val="2B843F88"/>
    <w:rsid w:val="2B8610CF"/>
    <w:rsid w:val="2B8727E9"/>
    <w:rsid w:val="2B885164"/>
    <w:rsid w:val="2B886128"/>
    <w:rsid w:val="2B886544"/>
    <w:rsid w:val="2B89113A"/>
    <w:rsid w:val="2B893402"/>
    <w:rsid w:val="2B8938A6"/>
    <w:rsid w:val="2B8C1402"/>
    <w:rsid w:val="2B8C6FF8"/>
    <w:rsid w:val="2B8D6B3A"/>
    <w:rsid w:val="2B8D7B39"/>
    <w:rsid w:val="2B8F4B22"/>
    <w:rsid w:val="2B922C95"/>
    <w:rsid w:val="2B923620"/>
    <w:rsid w:val="2B926EA3"/>
    <w:rsid w:val="2B9405AF"/>
    <w:rsid w:val="2B9438BE"/>
    <w:rsid w:val="2B9608F0"/>
    <w:rsid w:val="2B9614B0"/>
    <w:rsid w:val="2B9763D7"/>
    <w:rsid w:val="2B995346"/>
    <w:rsid w:val="2B9A0CF0"/>
    <w:rsid w:val="2B9B6CC1"/>
    <w:rsid w:val="2B9D0028"/>
    <w:rsid w:val="2B9E4714"/>
    <w:rsid w:val="2B9E47F7"/>
    <w:rsid w:val="2BA016C4"/>
    <w:rsid w:val="2BA34CA1"/>
    <w:rsid w:val="2BA42C2C"/>
    <w:rsid w:val="2BA52083"/>
    <w:rsid w:val="2BA61C84"/>
    <w:rsid w:val="2BA70CA4"/>
    <w:rsid w:val="2BA91C75"/>
    <w:rsid w:val="2BAA4898"/>
    <w:rsid w:val="2BAB597B"/>
    <w:rsid w:val="2BAB62AC"/>
    <w:rsid w:val="2BAC1368"/>
    <w:rsid w:val="2BAC4E58"/>
    <w:rsid w:val="2BAF20D5"/>
    <w:rsid w:val="2BB0102D"/>
    <w:rsid w:val="2BB100E5"/>
    <w:rsid w:val="2BB16A90"/>
    <w:rsid w:val="2BB218DD"/>
    <w:rsid w:val="2BB415E5"/>
    <w:rsid w:val="2BB50EBB"/>
    <w:rsid w:val="2BB55B71"/>
    <w:rsid w:val="2BB7074A"/>
    <w:rsid w:val="2BB8044A"/>
    <w:rsid w:val="2BB90CB0"/>
    <w:rsid w:val="2BB91520"/>
    <w:rsid w:val="2BB91921"/>
    <w:rsid w:val="2BBB6B67"/>
    <w:rsid w:val="2BBB7CFE"/>
    <w:rsid w:val="2BBC7A2F"/>
    <w:rsid w:val="2BBD3DB9"/>
    <w:rsid w:val="2BBD771C"/>
    <w:rsid w:val="2BBF1410"/>
    <w:rsid w:val="2BBF429F"/>
    <w:rsid w:val="2BC05048"/>
    <w:rsid w:val="2BC20FFC"/>
    <w:rsid w:val="2BC342C0"/>
    <w:rsid w:val="2BC35634"/>
    <w:rsid w:val="2BC40F9B"/>
    <w:rsid w:val="2BC4168A"/>
    <w:rsid w:val="2BC44B9A"/>
    <w:rsid w:val="2BC53A0A"/>
    <w:rsid w:val="2BC627A6"/>
    <w:rsid w:val="2BC67518"/>
    <w:rsid w:val="2BCA7153"/>
    <w:rsid w:val="2BCB0E46"/>
    <w:rsid w:val="2BCB2F0C"/>
    <w:rsid w:val="2BCB5EE8"/>
    <w:rsid w:val="2BCC2785"/>
    <w:rsid w:val="2BCD7B2C"/>
    <w:rsid w:val="2BCE6045"/>
    <w:rsid w:val="2BD109D8"/>
    <w:rsid w:val="2BD12500"/>
    <w:rsid w:val="2BD311EE"/>
    <w:rsid w:val="2BD44E15"/>
    <w:rsid w:val="2BD47B8B"/>
    <w:rsid w:val="2BDA0B0C"/>
    <w:rsid w:val="2BDA3EE9"/>
    <w:rsid w:val="2BDA5300"/>
    <w:rsid w:val="2BDA7108"/>
    <w:rsid w:val="2BDB0CAD"/>
    <w:rsid w:val="2BDB79A4"/>
    <w:rsid w:val="2BDC47F6"/>
    <w:rsid w:val="2BDF40E5"/>
    <w:rsid w:val="2BDF613F"/>
    <w:rsid w:val="2BE0192B"/>
    <w:rsid w:val="2BE03114"/>
    <w:rsid w:val="2BE05F64"/>
    <w:rsid w:val="2BE073E2"/>
    <w:rsid w:val="2BE113BE"/>
    <w:rsid w:val="2BE17336"/>
    <w:rsid w:val="2BE2362D"/>
    <w:rsid w:val="2BE30749"/>
    <w:rsid w:val="2BE41B3A"/>
    <w:rsid w:val="2BE43167"/>
    <w:rsid w:val="2BE575FB"/>
    <w:rsid w:val="2BE6380E"/>
    <w:rsid w:val="2BE96ED1"/>
    <w:rsid w:val="2BEA7DA6"/>
    <w:rsid w:val="2BEB66B3"/>
    <w:rsid w:val="2BEB67A6"/>
    <w:rsid w:val="2BEB71C7"/>
    <w:rsid w:val="2BEC4C3B"/>
    <w:rsid w:val="2BEC7840"/>
    <w:rsid w:val="2BED27E3"/>
    <w:rsid w:val="2BEE0CCB"/>
    <w:rsid w:val="2BEF7392"/>
    <w:rsid w:val="2BEF75D1"/>
    <w:rsid w:val="2BEF763E"/>
    <w:rsid w:val="2BF17D09"/>
    <w:rsid w:val="2BF21C5E"/>
    <w:rsid w:val="2BF4201A"/>
    <w:rsid w:val="2BF5036E"/>
    <w:rsid w:val="2BF563B8"/>
    <w:rsid w:val="2BF82790"/>
    <w:rsid w:val="2BF84631"/>
    <w:rsid w:val="2BF86487"/>
    <w:rsid w:val="2BF86BDB"/>
    <w:rsid w:val="2BF905E1"/>
    <w:rsid w:val="2BF93EE0"/>
    <w:rsid w:val="2BF95DE2"/>
    <w:rsid w:val="2BFA32EB"/>
    <w:rsid w:val="2BFB5FD3"/>
    <w:rsid w:val="2BFC1F56"/>
    <w:rsid w:val="2BFC27F5"/>
    <w:rsid w:val="2BFE39A7"/>
    <w:rsid w:val="2BFE4E6F"/>
    <w:rsid w:val="2BFF2651"/>
    <w:rsid w:val="2C003534"/>
    <w:rsid w:val="2C014A39"/>
    <w:rsid w:val="2C034349"/>
    <w:rsid w:val="2C036ACD"/>
    <w:rsid w:val="2C081A53"/>
    <w:rsid w:val="2C087D8B"/>
    <w:rsid w:val="2C094315"/>
    <w:rsid w:val="2C0A3B6B"/>
    <w:rsid w:val="2C0B1233"/>
    <w:rsid w:val="2C0B3A04"/>
    <w:rsid w:val="2C0C1778"/>
    <w:rsid w:val="2C0D41D1"/>
    <w:rsid w:val="2C0F65A1"/>
    <w:rsid w:val="2C100144"/>
    <w:rsid w:val="2C11707D"/>
    <w:rsid w:val="2C1267ED"/>
    <w:rsid w:val="2C132462"/>
    <w:rsid w:val="2C14260A"/>
    <w:rsid w:val="2C146CE5"/>
    <w:rsid w:val="2C151713"/>
    <w:rsid w:val="2C15693D"/>
    <w:rsid w:val="2C165563"/>
    <w:rsid w:val="2C191F76"/>
    <w:rsid w:val="2C195621"/>
    <w:rsid w:val="2C1A61C7"/>
    <w:rsid w:val="2C1B4727"/>
    <w:rsid w:val="2C1D1295"/>
    <w:rsid w:val="2C1F2B2E"/>
    <w:rsid w:val="2C203C31"/>
    <w:rsid w:val="2C210A56"/>
    <w:rsid w:val="2C2434CB"/>
    <w:rsid w:val="2C2763CE"/>
    <w:rsid w:val="2C2A0BD9"/>
    <w:rsid w:val="2C2B5148"/>
    <w:rsid w:val="2C2C2536"/>
    <w:rsid w:val="2C2F008A"/>
    <w:rsid w:val="2C305202"/>
    <w:rsid w:val="2C314FDE"/>
    <w:rsid w:val="2C3215F5"/>
    <w:rsid w:val="2C334F87"/>
    <w:rsid w:val="2C341787"/>
    <w:rsid w:val="2C3455E3"/>
    <w:rsid w:val="2C3462A0"/>
    <w:rsid w:val="2C352F03"/>
    <w:rsid w:val="2C3646BE"/>
    <w:rsid w:val="2C365DCE"/>
    <w:rsid w:val="2C3700E5"/>
    <w:rsid w:val="2C381A8B"/>
    <w:rsid w:val="2C38441A"/>
    <w:rsid w:val="2C385580"/>
    <w:rsid w:val="2C385D30"/>
    <w:rsid w:val="2C3907C6"/>
    <w:rsid w:val="2C39336D"/>
    <w:rsid w:val="2C394507"/>
    <w:rsid w:val="2C3B2F2F"/>
    <w:rsid w:val="2C3B7C11"/>
    <w:rsid w:val="2C3D33B6"/>
    <w:rsid w:val="2C3F0C1F"/>
    <w:rsid w:val="2C404064"/>
    <w:rsid w:val="2C40547C"/>
    <w:rsid w:val="2C431B11"/>
    <w:rsid w:val="2C433AB6"/>
    <w:rsid w:val="2C437F2D"/>
    <w:rsid w:val="2C444358"/>
    <w:rsid w:val="2C452D18"/>
    <w:rsid w:val="2C4622C6"/>
    <w:rsid w:val="2C462DB3"/>
    <w:rsid w:val="2C463FFD"/>
    <w:rsid w:val="2C477EB6"/>
    <w:rsid w:val="2C484BA9"/>
    <w:rsid w:val="2C4A2D49"/>
    <w:rsid w:val="2C4C2CF6"/>
    <w:rsid w:val="2C4C306D"/>
    <w:rsid w:val="2C4C334F"/>
    <w:rsid w:val="2C4C4FC2"/>
    <w:rsid w:val="2C4C52EA"/>
    <w:rsid w:val="2C4D32F1"/>
    <w:rsid w:val="2C507548"/>
    <w:rsid w:val="2C512248"/>
    <w:rsid w:val="2C527427"/>
    <w:rsid w:val="2C5342F1"/>
    <w:rsid w:val="2C5379A5"/>
    <w:rsid w:val="2C552EB4"/>
    <w:rsid w:val="2C553595"/>
    <w:rsid w:val="2C55425C"/>
    <w:rsid w:val="2C572948"/>
    <w:rsid w:val="2C57380D"/>
    <w:rsid w:val="2C5948F6"/>
    <w:rsid w:val="2C5C07C2"/>
    <w:rsid w:val="2C5C6C6F"/>
    <w:rsid w:val="2C5D0281"/>
    <w:rsid w:val="2C5D1363"/>
    <w:rsid w:val="2C5E57DB"/>
    <w:rsid w:val="2C5E6F10"/>
    <w:rsid w:val="2C5E6F25"/>
    <w:rsid w:val="2C604959"/>
    <w:rsid w:val="2C63384A"/>
    <w:rsid w:val="2C6411DB"/>
    <w:rsid w:val="2C64268F"/>
    <w:rsid w:val="2C647F24"/>
    <w:rsid w:val="2C68057D"/>
    <w:rsid w:val="2C681C82"/>
    <w:rsid w:val="2C686531"/>
    <w:rsid w:val="2C6A659B"/>
    <w:rsid w:val="2C6B2FB0"/>
    <w:rsid w:val="2C6B3AC2"/>
    <w:rsid w:val="2C6D0199"/>
    <w:rsid w:val="2C6F1E43"/>
    <w:rsid w:val="2C6F498D"/>
    <w:rsid w:val="2C700C40"/>
    <w:rsid w:val="2C721B12"/>
    <w:rsid w:val="2C727A0A"/>
    <w:rsid w:val="2C761C1B"/>
    <w:rsid w:val="2C761F94"/>
    <w:rsid w:val="2C763CB0"/>
    <w:rsid w:val="2C767ECF"/>
    <w:rsid w:val="2C7755B8"/>
    <w:rsid w:val="2C777E9B"/>
    <w:rsid w:val="2C783A28"/>
    <w:rsid w:val="2C7A2E35"/>
    <w:rsid w:val="2C7B17C8"/>
    <w:rsid w:val="2C7B4F25"/>
    <w:rsid w:val="2C7B7C6C"/>
    <w:rsid w:val="2C7D4DD7"/>
    <w:rsid w:val="2C7E119B"/>
    <w:rsid w:val="2C7E28B0"/>
    <w:rsid w:val="2C7E692D"/>
    <w:rsid w:val="2C7F7B5B"/>
    <w:rsid w:val="2C7F7E40"/>
    <w:rsid w:val="2C801525"/>
    <w:rsid w:val="2C804F74"/>
    <w:rsid w:val="2C807D36"/>
    <w:rsid w:val="2C825CA9"/>
    <w:rsid w:val="2C825D9B"/>
    <w:rsid w:val="2C825FF2"/>
    <w:rsid w:val="2C837A9C"/>
    <w:rsid w:val="2C850C44"/>
    <w:rsid w:val="2C8560AF"/>
    <w:rsid w:val="2C8667B0"/>
    <w:rsid w:val="2C883FA3"/>
    <w:rsid w:val="2C884510"/>
    <w:rsid w:val="2C89099B"/>
    <w:rsid w:val="2C8A5A30"/>
    <w:rsid w:val="2C8A72F0"/>
    <w:rsid w:val="2C8B4132"/>
    <w:rsid w:val="2C8B4777"/>
    <w:rsid w:val="2C8B6EA2"/>
    <w:rsid w:val="2C8D4C8F"/>
    <w:rsid w:val="2C8E348A"/>
    <w:rsid w:val="2C8E3D6B"/>
    <w:rsid w:val="2C8E405A"/>
    <w:rsid w:val="2C8F2B9F"/>
    <w:rsid w:val="2C951B6E"/>
    <w:rsid w:val="2C953639"/>
    <w:rsid w:val="2C96206B"/>
    <w:rsid w:val="2C9755F8"/>
    <w:rsid w:val="2C992A1E"/>
    <w:rsid w:val="2C9B39C4"/>
    <w:rsid w:val="2C9B3D3A"/>
    <w:rsid w:val="2C9B65BB"/>
    <w:rsid w:val="2C9D1B4D"/>
    <w:rsid w:val="2C9D243A"/>
    <w:rsid w:val="2C9D59E4"/>
    <w:rsid w:val="2C9E4ACB"/>
    <w:rsid w:val="2C9E7581"/>
    <w:rsid w:val="2C9F4594"/>
    <w:rsid w:val="2CA13945"/>
    <w:rsid w:val="2CA20632"/>
    <w:rsid w:val="2CA22CB4"/>
    <w:rsid w:val="2CA362D5"/>
    <w:rsid w:val="2CA40A38"/>
    <w:rsid w:val="2CA42EFB"/>
    <w:rsid w:val="2CA43276"/>
    <w:rsid w:val="2CA46B16"/>
    <w:rsid w:val="2CA51091"/>
    <w:rsid w:val="2CA73544"/>
    <w:rsid w:val="2CA74A55"/>
    <w:rsid w:val="2CA74B0D"/>
    <w:rsid w:val="2CA825E5"/>
    <w:rsid w:val="2CAA47D8"/>
    <w:rsid w:val="2CAB2AF3"/>
    <w:rsid w:val="2CAB44BD"/>
    <w:rsid w:val="2CAB7E53"/>
    <w:rsid w:val="2CAD403F"/>
    <w:rsid w:val="2CAD5E46"/>
    <w:rsid w:val="2CAD7069"/>
    <w:rsid w:val="2CAF2835"/>
    <w:rsid w:val="2CB10164"/>
    <w:rsid w:val="2CB13D80"/>
    <w:rsid w:val="2CB23DB5"/>
    <w:rsid w:val="2CB3121A"/>
    <w:rsid w:val="2CB42416"/>
    <w:rsid w:val="2CB73903"/>
    <w:rsid w:val="2CB75DEF"/>
    <w:rsid w:val="2CB8394C"/>
    <w:rsid w:val="2CB90C8F"/>
    <w:rsid w:val="2CBD1869"/>
    <w:rsid w:val="2CBD603D"/>
    <w:rsid w:val="2CBE2FC5"/>
    <w:rsid w:val="2CBE7AA3"/>
    <w:rsid w:val="2CC04738"/>
    <w:rsid w:val="2CC12969"/>
    <w:rsid w:val="2CC147C7"/>
    <w:rsid w:val="2CC31972"/>
    <w:rsid w:val="2CC32912"/>
    <w:rsid w:val="2CC521E5"/>
    <w:rsid w:val="2CC535AE"/>
    <w:rsid w:val="2CC67DF2"/>
    <w:rsid w:val="2CC755A8"/>
    <w:rsid w:val="2CC77649"/>
    <w:rsid w:val="2CC83B06"/>
    <w:rsid w:val="2CC874AF"/>
    <w:rsid w:val="2CC91CCD"/>
    <w:rsid w:val="2CCA13D6"/>
    <w:rsid w:val="2CCB451E"/>
    <w:rsid w:val="2CCE2B4A"/>
    <w:rsid w:val="2CCE3766"/>
    <w:rsid w:val="2CCF0F55"/>
    <w:rsid w:val="2CCF5635"/>
    <w:rsid w:val="2CD00925"/>
    <w:rsid w:val="2CD22825"/>
    <w:rsid w:val="2CDC2BF3"/>
    <w:rsid w:val="2CDC5540"/>
    <w:rsid w:val="2CDC55AD"/>
    <w:rsid w:val="2CDC5F42"/>
    <w:rsid w:val="2CDF3296"/>
    <w:rsid w:val="2CE07AE7"/>
    <w:rsid w:val="2CE172D3"/>
    <w:rsid w:val="2CE17AF1"/>
    <w:rsid w:val="2CE22789"/>
    <w:rsid w:val="2CE23A29"/>
    <w:rsid w:val="2CE81B33"/>
    <w:rsid w:val="2CE9396D"/>
    <w:rsid w:val="2CEA2082"/>
    <w:rsid w:val="2CEB263C"/>
    <w:rsid w:val="2CED2D4C"/>
    <w:rsid w:val="2CED7383"/>
    <w:rsid w:val="2CEE099D"/>
    <w:rsid w:val="2CEE4E83"/>
    <w:rsid w:val="2CEF5CA0"/>
    <w:rsid w:val="2CF0244A"/>
    <w:rsid w:val="2CF618F6"/>
    <w:rsid w:val="2CF670DF"/>
    <w:rsid w:val="2CF7436B"/>
    <w:rsid w:val="2CF76E21"/>
    <w:rsid w:val="2CF77F46"/>
    <w:rsid w:val="2CF85716"/>
    <w:rsid w:val="2CFA03C8"/>
    <w:rsid w:val="2CFA41EE"/>
    <w:rsid w:val="2CFA5509"/>
    <w:rsid w:val="2CFD3EEB"/>
    <w:rsid w:val="2CFE5B1F"/>
    <w:rsid w:val="2CFF1F54"/>
    <w:rsid w:val="2D017906"/>
    <w:rsid w:val="2D0219D1"/>
    <w:rsid w:val="2D021C8A"/>
    <w:rsid w:val="2D02306C"/>
    <w:rsid w:val="2D02746A"/>
    <w:rsid w:val="2D0308FE"/>
    <w:rsid w:val="2D0557B2"/>
    <w:rsid w:val="2D064D78"/>
    <w:rsid w:val="2D082004"/>
    <w:rsid w:val="2D092EF1"/>
    <w:rsid w:val="2D094B3E"/>
    <w:rsid w:val="2D09706C"/>
    <w:rsid w:val="2D0C49A1"/>
    <w:rsid w:val="2D0C5D93"/>
    <w:rsid w:val="2D0C61E7"/>
    <w:rsid w:val="2D0E40B0"/>
    <w:rsid w:val="2D0F512A"/>
    <w:rsid w:val="2D107538"/>
    <w:rsid w:val="2D13348A"/>
    <w:rsid w:val="2D1520E1"/>
    <w:rsid w:val="2D153E7F"/>
    <w:rsid w:val="2D15531C"/>
    <w:rsid w:val="2D1611AE"/>
    <w:rsid w:val="2D16249E"/>
    <w:rsid w:val="2D1653D3"/>
    <w:rsid w:val="2D1661A4"/>
    <w:rsid w:val="2D191A58"/>
    <w:rsid w:val="2D192A18"/>
    <w:rsid w:val="2D193275"/>
    <w:rsid w:val="2D197705"/>
    <w:rsid w:val="2D1C6EAE"/>
    <w:rsid w:val="2D1D442C"/>
    <w:rsid w:val="2D1F06C9"/>
    <w:rsid w:val="2D1F70BF"/>
    <w:rsid w:val="2D2029E0"/>
    <w:rsid w:val="2D22193C"/>
    <w:rsid w:val="2D2219A2"/>
    <w:rsid w:val="2D23063A"/>
    <w:rsid w:val="2D244F33"/>
    <w:rsid w:val="2D250328"/>
    <w:rsid w:val="2D256B20"/>
    <w:rsid w:val="2D264EAB"/>
    <w:rsid w:val="2D29570F"/>
    <w:rsid w:val="2D296E8B"/>
    <w:rsid w:val="2D2A56E9"/>
    <w:rsid w:val="2D2D249E"/>
    <w:rsid w:val="2D2D4ECB"/>
    <w:rsid w:val="2D2E1638"/>
    <w:rsid w:val="2D2E21B1"/>
    <w:rsid w:val="2D2E2480"/>
    <w:rsid w:val="2D2E7E40"/>
    <w:rsid w:val="2D3015EC"/>
    <w:rsid w:val="2D316603"/>
    <w:rsid w:val="2D327FB3"/>
    <w:rsid w:val="2D33596D"/>
    <w:rsid w:val="2D3403F8"/>
    <w:rsid w:val="2D3A6D01"/>
    <w:rsid w:val="2D3B71EF"/>
    <w:rsid w:val="2D3C0B86"/>
    <w:rsid w:val="2D3E399E"/>
    <w:rsid w:val="2D3E436C"/>
    <w:rsid w:val="2D3E68A9"/>
    <w:rsid w:val="2D4009F6"/>
    <w:rsid w:val="2D4014A2"/>
    <w:rsid w:val="2D402999"/>
    <w:rsid w:val="2D410C84"/>
    <w:rsid w:val="2D41198E"/>
    <w:rsid w:val="2D432089"/>
    <w:rsid w:val="2D4412AA"/>
    <w:rsid w:val="2D4548BD"/>
    <w:rsid w:val="2D456E4E"/>
    <w:rsid w:val="2D463B52"/>
    <w:rsid w:val="2D465905"/>
    <w:rsid w:val="2D473F96"/>
    <w:rsid w:val="2D474F17"/>
    <w:rsid w:val="2D483DC1"/>
    <w:rsid w:val="2D49322F"/>
    <w:rsid w:val="2D495AC8"/>
    <w:rsid w:val="2D4B2ABE"/>
    <w:rsid w:val="2D4D3738"/>
    <w:rsid w:val="2D4D4C12"/>
    <w:rsid w:val="2D4F18E9"/>
    <w:rsid w:val="2D516258"/>
    <w:rsid w:val="2D525E1B"/>
    <w:rsid w:val="2D527175"/>
    <w:rsid w:val="2D540083"/>
    <w:rsid w:val="2D543FE0"/>
    <w:rsid w:val="2D552A73"/>
    <w:rsid w:val="2D552E01"/>
    <w:rsid w:val="2D553AE1"/>
    <w:rsid w:val="2D554110"/>
    <w:rsid w:val="2D55661E"/>
    <w:rsid w:val="2D565E2A"/>
    <w:rsid w:val="2D583154"/>
    <w:rsid w:val="2D595C16"/>
    <w:rsid w:val="2D5A56FE"/>
    <w:rsid w:val="2D5C0092"/>
    <w:rsid w:val="2D5C5232"/>
    <w:rsid w:val="2D5C5AB8"/>
    <w:rsid w:val="2D5D0774"/>
    <w:rsid w:val="2D5D08DC"/>
    <w:rsid w:val="2D5E1836"/>
    <w:rsid w:val="2D5E35E4"/>
    <w:rsid w:val="2D5F6F8D"/>
    <w:rsid w:val="2D61013A"/>
    <w:rsid w:val="2D61134B"/>
    <w:rsid w:val="2D61264D"/>
    <w:rsid w:val="2D616C10"/>
    <w:rsid w:val="2D6219AA"/>
    <w:rsid w:val="2D651ABF"/>
    <w:rsid w:val="2D6741FB"/>
    <w:rsid w:val="2D6946B4"/>
    <w:rsid w:val="2D6952DB"/>
    <w:rsid w:val="2D6B2CA3"/>
    <w:rsid w:val="2D6D0161"/>
    <w:rsid w:val="2D6D6A38"/>
    <w:rsid w:val="2D6E1F76"/>
    <w:rsid w:val="2D6E293D"/>
    <w:rsid w:val="2D6E5D99"/>
    <w:rsid w:val="2D6F27F6"/>
    <w:rsid w:val="2D7223C2"/>
    <w:rsid w:val="2D723F57"/>
    <w:rsid w:val="2D72526B"/>
    <w:rsid w:val="2D7352E2"/>
    <w:rsid w:val="2D760396"/>
    <w:rsid w:val="2D763F82"/>
    <w:rsid w:val="2D7642FD"/>
    <w:rsid w:val="2D790DA1"/>
    <w:rsid w:val="2D7A15B7"/>
    <w:rsid w:val="2D7A7327"/>
    <w:rsid w:val="2D7C413D"/>
    <w:rsid w:val="2D7D0EAC"/>
    <w:rsid w:val="2D7E1D4A"/>
    <w:rsid w:val="2D7E1F30"/>
    <w:rsid w:val="2D7E77E3"/>
    <w:rsid w:val="2D80348A"/>
    <w:rsid w:val="2D815DA2"/>
    <w:rsid w:val="2D823904"/>
    <w:rsid w:val="2D826049"/>
    <w:rsid w:val="2D8271E0"/>
    <w:rsid w:val="2D8323AA"/>
    <w:rsid w:val="2D837C31"/>
    <w:rsid w:val="2D842946"/>
    <w:rsid w:val="2D847917"/>
    <w:rsid w:val="2D851002"/>
    <w:rsid w:val="2D8543CF"/>
    <w:rsid w:val="2D8553C3"/>
    <w:rsid w:val="2D856E29"/>
    <w:rsid w:val="2D890616"/>
    <w:rsid w:val="2D8C5A64"/>
    <w:rsid w:val="2D8D102A"/>
    <w:rsid w:val="2D8E2307"/>
    <w:rsid w:val="2D910C90"/>
    <w:rsid w:val="2D9151E7"/>
    <w:rsid w:val="2D915461"/>
    <w:rsid w:val="2D933DE1"/>
    <w:rsid w:val="2D937212"/>
    <w:rsid w:val="2D95268E"/>
    <w:rsid w:val="2D956EC1"/>
    <w:rsid w:val="2D964F97"/>
    <w:rsid w:val="2D990EB9"/>
    <w:rsid w:val="2D9B67B8"/>
    <w:rsid w:val="2D9C0BA6"/>
    <w:rsid w:val="2D9E1F8A"/>
    <w:rsid w:val="2D9F3B1F"/>
    <w:rsid w:val="2DA0434D"/>
    <w:rsid w:val="2DA0738E"/>
    <w:rsid w:val="2DA07DBF"/>
    <w:rsid w:val="2DA11371"/>
    <w:rsid w:val="2DA14A5B"/>
    <w:rsid w:val="2DA15FAE"/>
    <w:rsid w:val="2DA24B83"/>
    <w:rsid w:val="2DA24E5B"/>
    <w:rsid w:val="2DA340F8"/>
    <w:rsid w:val="2DA4173A"/>
    <w:rsid w:val="2DA552FF"/>
    <w:rsid w:val="2DA57BEE"/>
    <w:rsid w:val="2DA604AB"/>
    <w:rsid w:val="2DA60646"/>
    <w:rsid w:val="2DA608C3"/>
    <w:rsid w:val="2DA60B55"/>
    <w:rsid w:val="2DA9063D"/>
    <w:rsid w:val="2DAB0864"/>
    <w:rsid w:val="2DAD3585"/>
    <w:rsid w:val="2DAF6129"/>
    <w:rsid w:val="2DB01225"/>
    <w:rsid w:val="2DB035B9"/>
    <w:rsid w:val="2DB0435A"/>
    <w:rsid w:val="2DB072F6"/>
    <w:rsid w:val="2DB13985"/>
    <w:rsid w:val="2DB33E12"/>
    <w:rsid w:val="2DB41D1F"/>
    <w:rsid w:val="2DB4216E"/>
    <w:rsid w:val="2DB623DA"/>
    <w:rsid w:val="2DBA7773"/>
    <w:rsid w:val="2DBB4D7F"/>
    <w:rsid w:val="2DBC67C2"/>
    <w:rsid w:val="2DBD7A2D"/>
    <w:rsid w:val="2DBE59F2"/>
    <w:rsid w:val="2DC4721D"/>
    <w:rsid w:val="2DC67C70"/>
    <w:rsid w:val="2DC76455"/>
    <w:rsid w:val="2DC924A0"/>
    <w:rsid w:val="2DCA2A7A"/>
    <w:rsid w:val="2DCA472B"/>
    <w:rsid w:val="2DCB72BA"/>
    <w:rsid w:val="2DCD0321"/>
    <w:rsid w:val="2DCE093C"/>
    <w:rsid w:val="2DCE5CC9"/>
    <w:rsid w:val="2DCE5E3B"/>
    <w:rsid w:val="2DD12008"/>
    <w:rsid w:val="2DD22E85"/>
    <w:rsid w:val="2DD4134F"/>
    <w:rsid w:val="2DD50204"/>
    <w:rsid w:val="2DD575D0"/>
    <w:rsid w:val="2DD75081"/>
    <w:rsid w:val="2DD75450"/>
    <w:rsid w:val="2DD8793D"/>
    <w:rsid w:val="2DDA38CC"/>
    <w:rsid w:val="2DDB3BFF"/>
    <w:rsid w:val="2DDB50C8"/>
    <w:rsid w:val="2DDB5AAB"/>
    <w:rsid w:val="2DDB6B96"/>
    <w:rsid w:val="2DDE64D3"/>
    <w:rsid w:val="2DDF6140"/>
    <w:rsid w:val="2DE03390"/>
    <w:rsid w:val="2DE04F41"/>
    <w:rsid w:val="2DE10049"/>
    <w:rsid w:val="2DE17B23"/>
    <w:rsid w:val="2DE24629"/>
    <w:rsid w:val="2DE34F9F"/>
    <w:rsid w:val="2DE41565"/>
    <w:rsid w:val="2DE417C5"/>
    <w:rsid w:val="2DE51B43"/>
    <w:rsid w:val="2DE60597"/>
    <w:rsid w:val="2DE66E50"/>
    <w:rsid w:val="2DE738A5"/>
    <w:rsid w:val="2DEB2F08"/>
    <w:rsid w:val="2DEC4990"/>
    <w:rsid w:val="2DEC6CDE"/>
    <w:rsid w:val="2DED02CF"/>
    <w:rsid w:val="2DED0539"/>
    <w:rsid w:val="2DEE2BBA"/>
    <w:rsid w:val="2DF01866"/>
    <w:rsid w:val="2DF047FB"/>
    <w:rsid w:val="2DF0797F"/>
    <w:rsid w:val="2DF16206"/>
    <w:rsid w:val="2DF31B6F"/>
    <w:rsid w:val="2DF356BB"/>
    <w:rsid w:val="2DF432E5"/>
    <w:rsid w:val="2DF52059"/>
    <w:rsid w:val="2DF5793B"/>
    <w:rsid w:val="2DF65436"/>
    <w:rsid w:val="2DF740AA"/>
    <w:rsid w:val="2DF8117E"/>
    <w:rsid w:val="2DF82FC9"/>
    <w:rsid w:val="2DF853DA"/>
    <w:rsid w:val="2DF857E7"/>
    <w:rsid w:val="2DFB1B64"/>
    <w:rsid w:val="2DFD3E2D"/>
    <w:rsid w:val="2DFD606E"/>
    <w:rsid w:val="2DFE574A"/>
    <w:rsid w:val="2DFF7D20"/>
    <w:rsid w:val="2E001BFC"/>
    <w:rsid w:val="2E005F6B"/>
    <w:rsid w:val="2E012C92"/>
    <w:rsid w:val="2E014D60"/>
    <w:rsid w:val="2E0225E4"/>
    <w:rsid w:val="2E0244C5"/>
    <w:rsid w:val="2E026C4B"/>
    <w:rsid w:val="2E044771"/>
    <w:rsid w:val="2E061976"/>
    <w:rsid w:val="2E06393D"/>
    <w:rsid w:val="2E06623A"/>
    <w:rsid w:val="2E075CAC"/>
    <w:rsid w:val="2E081AC9"/>
    <w:rsid w:val="2E082524"/>
    <w:rsid w:val="2E097648"/>
    <w:rsid w:val="2E0A196E"/>
    <w:rsid w:val="2E0A3235"/>
    <w:rsid w:val="2E0B1534"/>
    <w:rsid w:val="2E0C27EF"/>
    <w:rsid w:val="2E0D08E7"/>
    <w:rsid w:val="2E0D7905"/>
    <w:rsid w:val="2E0E6CF8"/>
    <w:rsid w:val="2E102281"/>
    <w:rsid w:val="2E106E4D"/>
    <w:rsid w:val="2E111527"/>
    <w:rsid w:val="2E116BA1"/>
    <w:rsid w:val="2E117CAA"/>
    <w:rsid w:val="2E1304A9"/>
    <w:rsid w:val="2E133F7D"/>
    <w:rsid w:val="2E1519B7"/>
    <w:rsid w:val="2E17583A"/>
    <w:rsid w:val="2E196921"/>
    <w:rsid w:val="2E1A0A47"/>
    <w:rsid w:val="2E1A0FE2"/>
    <w:rsid w:val="2E1B44A3"/>
    <w:rsid w:val="2E1B4C78"/>
    <w:rsid w:val="2E1D0DFB"/>
    <w:rsid w:val="2E202D5C"/>
    <w:rsid w:val="2E212480"/>
    <w:rsid w:val="2E225920"/>
    <w:rsid w:val="2E27044B"/>
    <w:rsid w:val="2E2740EA"/>
    <w:rsid w:val="2E2757A7"/>
    <w:rsid w:val="2E275B4F"/>
    <w:rsid w:val="2E281E5D"/>
    <w:rsid w:val="2E286FB1"/>
    <w:rsid w:val="2E2936EE"/>
    <w:rsid w:val="2E296EAE"/>
    <w:rsid w:val="2E2B758B"/>
    <w:rsid w:val="2E2D4BA5"/>
    <w:rsid w:val="2E2E1C48"/>
    <w:rsid w:val="2E300049"/>
    <w:rsid w:val="2E3017F9"/>
    <w:rsid w:val="2E301A1B"/>
    <w:rsid w:val="2E312A7A"/>
    <w:rsid w:val="2E3241D6"/>
    <w:rsid w:val="2E333EAE"/>
    <w:rsid w:val="2E346612"/>
    <w:rsid w:val="2E3478AB"/>
    <w:rsid w:val="2E3731E0"/>
    <w:rsid w:val="2E382CDE"/>
    <w:rsid w:val="2E385615"/>
    <w:rsid w:val="2E3916C7"/>
    <w:rsid w:val="2E3968DF"/>
    <w:rsid w:val="2E3A195C"/>
    <w:rsid w:val="2E3A5295"/>
    <w:rsid w:val="2E3A7A95"/>
    <w:rsid w:val="2E3B40B2"/>
    <w:rsid w:val="2E3B61FC"/>
    <w:rsid w:val="2E3D2DC0"/>
    <w:rsid w:val="2E3E1FE1"/>
    <w:rsid w:val="2E3E2B3C"/>
    <w:rsid w:val="2E3E5A8C"/>
    <w:rsid w:val="2E3F0878"/>
    <w:rsid w:val="2E3F444F"/>
    <w:rsid w:val="2E3F53FD"/>
    <w:rsid w:val="2E3F5C39"/>
    <w:rsid w:val="2E40639E"/>
    <w:rsid w:val="2E423AEC"/>
    <w:rsid w:val="2E4269B3"/>
    <w:rsid w:val="2E430E33"/>
    <w:rsid w:val="2E431F72"/>
    <w:rsid w:val="2E45421F"/>
    <w:rsid w:val="2E455EBD"/>
    <w:rsid w:val="2E460DE9"/>
    <w:rsid w:val="2E4647A4"/>
    <w:rsid w:val="2E483E78"/>
    <w:rsid w:val="2E4923A6"/>
    <w:rsid w:val="2E493AA6"/>
    <w:rsid w:val="2E4962D4"/>
    <w:rsid w:val="2E4A5FCE"/>
    <w:rsid w:val="2E4C40DF"/>
    <w:rsid w:val="2E4C606D"/>
    <w:rsid w:val="2E4D7EBC"/>
    <w:rsid w:val="2E4F449A"/>
    <w:rsid w:val="2E4F76BA"/>
    <w:rsid w:val="2E521B66"/>
    <w:rsid w:val="2E526105"/>
    <w:rsid w:val="2E545702"/>
    <w:rsid w:val="2E5647EB"/>
    <w:rsid w:val="2E5B1FEE"/>
    <w:rsid w:val="2E5D389C"/>
    <w:rsid w:val="2E5E4B2B"/>
    <w:rsid w:val="2E60160B"/>
    <w:rsid w:val="2E603F42"/>
    <w:rsid w:val="2E64710B"/>
    <w:rsid w:val="2E690347"/>
    <w:rsid w:val="2E691CA2"/>
    <w:rsid w:val="2E695EFB"/>
    <w:rsid w:val="2E6C3111"/>
    <w:rsid w:val="2E6C68DE"/>
    <w:rsid w:val="2E6D1902"/>
    <w:rsid w:val="2E6E3E31"/>
    <w:rsid w:val="2E6E4389"/>
    <w:rsid w:val="2E703757"/>
    <w:rsid w:val="2E743A24"/>
    <w:rsid w:val="2E7461C0"/>
    <w:rsid w:val="2E762423"/>
    <w:rsid w:val="2E7667E0"/>
    <w:rsid w:val="2E773759"/>
    <w:rsid w:val="2E781A55"/>
    <w:rsid w:val="2E785E1D"/>
    <w:rsid w:val="2E786928"/>
    <w:rsid w:val="2E796AFA"/>
    <w:rsid w:val="2E797F0F"/>
    <w:rsid w:val="2E7A07E3"/>
    <w:rsid w:val="2E7A7A83"/>
    <w:rsid w:val="2E7B54AA"/>
    <w:rsid w:val="2E7D3B7E"/>
    <w:rsid w:val="2E7E7ED9"/>
    <w:rsid w:val="2E7F1A64"/>
    <w:rsid w:val="2E7F59EF"/>
    <w:rsid w:val="2E8020F0"/>
    <w:rsid w:val="2E8048D7"/>
    <w:rsid w:val="2E806957"/>
    <w:rsid w:val="2E826997"/>
    <w:rsid w:val="2E853040"/>
    <w:rsid w:val="2E866249"/>
    <w:rsid w:val="2E870A75"/>
    <w:rsid w:val="2E883475"/>
    <w:rsid w:val="2E8E1B62"/>
    <w:rsid w:val="2E8E407A"/>
    <w:rsid w:val="2E8F5DBF"/>
    <w:rsid w:val="2E8F618A"/>
    <w:rsid w:val="2E9257C9"/>
    <w:rsid w:val="2E931212"/>
    <w:rsid w:val="2E970E9F"/>
    <w:rsid w:val="2E97130C"/>
    <w:rsid w:val="2E9765FF"/>
    <w:rsid w:val="2E980BC1"/>
    <w:rsid w:val="2E9864C4"/>
    <w:rsid w:val="2E9C1A2D"/>
    <w:rsid w:val="2E9C4621"/>
    <w:rsid w:val="2E9E520B"/>
    <w:rsid w:val="2E9E5404"/>
    <w:rsid w:val="2E9F45CD"/>
    <w:rsid w:val="2EA006C3"/>
    <w:rsid w:val="2EA11D8D"/>
    <w:rsid w:val="2EA14CE9"/>
    <w:rsid w:val="2EA35A7F"/>
    <w:rsid w:val="2EA52A2B"/>
    <w:rsid w:val="2EA76924"/>
    <w:rsid w:val="2EA9784F"/>
    <w:rsid w:val="2EAA55F7"/>
    <w:rsid w:val="2EAB0AAB"/>
    <w:rsid w:val="2EB0788F"/>
    <w:rsid w:val="2EB14150"/>
    <w:rsid w:val="2EB1457E"/>
    <w:rsid w:val="2EB43D9A"/>
    <w:rsid w:val="2EB47A8E"/>
    <w:rsid w:val="2EB93346"/>
    <w:rsid w:val="2EB94145"/>
    <w:rsid w:val="2EBB0965"/>
    <w:rsid w:val="2EBB1296"/>
    <w:rsid w:val="2EBB43F4"/>
    <w:rsid w:val="2EBB4C95"/>
    <w:rsid w:val="2EBD658E"/>
    <w:rsid w:val="2EBF5AB6"/>
    <w:rsid w:val="2EC04EBA"/>
    <w:rsid w:val="2EC132B7"/>
    <w:rsid w:val="2EC14CF6"/>
    <w:rsid w:val="2EC23C59"/>
    <w:rsid w:val="2EC26945"/>
    <w:rsid w:val="2EC32F23"/>
    <w:rsid w:val="2EC34314"/>
    <w:rsid w:val="2EC36839"/>
    <w:rsid w:val="2EC43399"/>
    <w:rsid w:val="2EC522BA"/>
    <w:rsid w:val="2EC62604"/>
    <w:rsid w:val="2EC7494F"/>
    <w:rsid w:val="2EC902F3"/>
    <w:rsid w:val="2EC9107B"/>
    <w:rsid w:val="2ECA4D33"/>
    <w:rsid w:val="2ECA5F50"/>
    <w:rsid w:val="2ECA7503"/>
    <w:rsid w:val="2ECB5DC8"/>
    <w:rsid w:val="2ECC1EB6"/>
    <w:rsid w:val="2ECC3FE8"/>
    <w:rsid w:val="2ECD51AE"/>
    <w:rsid w:val="2ECE7757"/>
    <w:rsid w:val="2ECF1F62"/>
    <w:rsid w:val="2ED03F61"/>
    <w:rsid w:val="2ED159FC"/>
    <w:rsid w:val="2ED17132"/>
    <w:rsid w:val="2ED26EDC"/>
    <w:rsid w:val="2ED40761"/>
    <w:rsid w:val="2ED432E1"/>
    <w:rsid w:val="2ED465E1"/>
    <w:rsid w:val="2ED4665E"/>
    <w:rsid w:val="2ED63B69"/>
    <w:rsid w:val="2ED74924"/>
    <w:rsid w:val="2ED81D1D"/>
    <w:rsid w:val="2ED8231C"/>
    <w:rsid w:val="2ED83001"/>
    <w:rsid w:val="2ED92336"/>
    <w:rsid w:val="2ED9732E"/>
    <w:rsid w:val="2ED9772B"/>
    <w:rsid w:val="2EDC2F3D"/>
    <w:rsid w:val="2EDD17B2"/>
    <w:rsid w:val="2EDD25BC"/>
    <w:rsid w:val="2EDE1AB9"/>
    <w:rsid w:val="2EDF5BF6"/>
    <w:rsid w:val="2EDF7AF9"/>
    <w:rsid w:val="2EDF7F2E"/>
    <w:rsid w:val="2EE009B3"/>
    <w:rsid w:val="2EE06E6C"/>
    <w:rsid w:val="2EE20831"/>
    <w:rsid w:val="2EE35DFE"/>
    <w:rsid w:val="2EE42E53"/>
    <w:rsid w:val="2EE5429F"/>
    <w:rsid w:val="2EE61F4D"/>
    <w:rsid w:val="2EE62C91"/>
    <w:rsid w:val="2EE633C2"/>
    <w:rsid w:val="2EE75A94"/>
    <w:rsid w:val="2EE82F88"/>
    <w:rsid w:val="2EEA2082"/>
    <w:rsid w:val="2EEA2577"/>
    <w:rsid w:val="2EEA2A53"/>
    <w:rsid w:val="2EEA5C6D"/>
    <w:rsid w:val="2EEB14EE"/>
    <w:rsid w:val="2EEB329F"/>
    <w:rsid w:val="2EEC0D69"/>
    <w:rsid w:val="2EEC2CDB"/>
    <w:rsid w:val="2EEC32DD"/>
    <w:rsid w:val="2EED4A96"/>
    <w:rsid w:val="2EEF0D81"/>
    <w:rsid w:val="2EEF1179"/>
    <w:rsid w:val="2EEF6FBF"/>
    <w:rsid w:val="2EEF778B"/>
    <w:rsid w:val="2EF01BA5"/>
    <w:rsid w:val="2EF173F4"/>
    <w:rsid w:val="2EF20AEF"/>
    <w:rsid w:val="2EF23BA3"/>
    <w:rsid w:val="2EF245CB"/>
    <w:rsid w:val="2EF44200"/>
    <w:rsid w:val="2EF4635F"/>
    <w:rsid w:val="2EF61FEB"/>
    <w:rsid w:val="2EF67661"/>
    <w:rsid w:val="2EFA6750"/>
    <w:rsid w:val="2EFC4C17"/>
    <w:rsid w:val="2EFE06F3"/>
    <w:rsid w:val="2EFE351E"/>
    <w:rsid w:val="2EFF2A6B"/>
    <w:rsid w:val="2F01418C"/>
    <w:rsid w:val="2F014F5D"/>
    <w:rsid w:val="2F026570"/>
    <w:rsid w:val="2F034276"/>
    <w:rsid w:val="2F0345F3"/>
    <w:rsid w:val="2F042995"/>
    <w:rsid w:val="2F063C0B"/>
    <w:rsid w:val="2F083808"/>
    <w:rsid w:val="2F0855DD"/>
    <w:rsid w:val="2F094BE2"/>
    <w:rsid w:val="2F0B3126"/>
    <w:rsid w:val="2F0E4834"/>
    <w:rsid w:val="2F100A8C"/>
    <w:rsid w:val="2F105327"/>
    <w:rsid w:val="2F123597"/>
    <w:rsid w:val="2F127721"/>
    <w:rsid w:val="2F132775"/>
    <w:rsid w:val="2F1358B4"/>
    <w:rsid w:val="2F1563EE"/>
    <w:rsid w:val="2F1744F8"/>
    <w:rsid w:val="2F185438"/>
    <w:rsid w:val="2F191A3C"/>
    <w:rsid w:val="2F192A54"/>
    <w:rsid w:val="2F197365"/>
    <w:rsid w:val="2F1B41DE"/>
    <w:rsid w:val="2F1D0DFF"/>
    <w:rsid w:val="2F1D77C3"/>
    <w:rsid w:val="2F211B13"/>
    <w:rsid w:val="2F215C91"/>
    <w:rsid w:val="2F215FC2"/>
    <w:rsid w:val="2F2453B1"/>
    <w:rsid w:val="2F254A6E"/>
    <w:rsid w:val="2F272D7F"/>
    <w:rsid w:val="2F280830"/>
    <w:rsid w:val="2F280AE8"/>
    <w:rsid w:val="2F280B57"/>
    <w:rsid w:val="2F2856FB"/>
    <w:rsid w:val="2F2B41D9"/>
    <w:rsid w:val="2F2B7672"/>
    <w:rsid w:val="2F2C74FE"/>
    <w:rsid w:val="2F310C79"/>
    <w:rsid w:val="2F314107"/>
    <w:rsid w:val="2F322E0F"/>
    <w:rsid w:val="2F331E01"/>
    <w:rsid w:val="2F3338BD"/>
    <w:rsid w:val="2F345611"/>
    <w:rsid w:val="2F346FA9"/>
    <w:rsid w:val="2F350D2D"/>
    <w:rsid w:val="2F352146"/>
    <w:rsid w:val="2F37542F"/>
    <w:rsid w:val="2F3A3A40"/>
    <w:rsid w:val="2F3C03E1"/>
    <w:rsid w:val="2F3E6B5A"/>
    <w:rsid w:val="2F3F0402"/>
    <w:rsid w:val="2F41436F"/>
    <w:rsid w:val="2F427E5D"/>
    <w:rsid w:val="2F442098"/>
    <w:rsid w:val="2F4431BD"/>
    <w:rsid w:val="2F447092"/>
    <w:rsid w:val="2F45032C"/>
    <w:rsid w:val="2F4759BA"/>
    <w:rsid w:val="2F476514"/>
    <w:rsid w:val="2F481458"/>
    <w:rsid w:val="2F4B0658"/>
    <w:rsid w:val="2F4C4C55"/>
    <w:rsid w:val="2F4D522B"/>
    <w:rsid w:val="2F4E521B"/>
    <w:rsid w:val="2F4F4C67"/>
    <w:rsid w:val="2F4F6E47"/>
    <w:rsid w:val="2F500B32"/>
    <w:rsid w:val="2F501D0C"/>
    <w:rsid w:val="2F507058"/>
    <w:rsid w:val="2F5356B2"/>
    <w:rsid w:val="2F5428F6"/>
    <w:rsid w:val="2F5629A8"/>
    <w:rsid w:val="2F575D75"/>
    <w:rsid w:val="2F5865FB"/>
    <w:rsid w:val="2F593D7F"/>
    <w:rsid w:val="2F5977CB"/>
    <w:rsid w:val="2F5A054C"/>
    <w:rsid w:val="2F5B3EFA"/>
    <w:rsid w:val="2F5D0CEA"/>
    <w:rsid w:val="2F5D3F9E"/>
    <w:rsid w:val="2F5E170E"/>
    <w:rsid w:val="2F5E5502"/>
    <w:rsid w:val="2F5E5A08"/>
    <w:rsid w:val="2F5F50CB"/>
    <w:rsid w:val="2F6020E1"/>
    <w:rsid w:val="2F606CB6"/>
    <w:rsid w:val="2F622270"/>
    <w:rsid w:val="2F6243F9"/>
    <w:rsid w:val="2F6258ED"/>
    <w:rsid w:val="2F633CBD"/>
    <w:rsid w:val="2F634612"/>
    <w:rsid w:val="2F634E44"/>
    <w:rsid w:val="2F655E62"/>
    <w:rsid w:val="2F663726"/>
    <w:rsid w:val="2F676AE7"/>
    <w:rsid w:val="2F677C22"/>
    <w:rsid w:val="2F684FE0"/>
    <w:rsid w:val="2F6961F2"/>
    <w:rsid w:val="2F6A5219"/>
    <w:rsid w:val="2F6A6539"/>
    <w:rsid w:val="2F6B68E3"/>
    <w:rsid w:val="2F6C48FD"/>
    <w:rsid w:val="2F6E5F01"/>
    <w:rsid w:val="2F732DAC"/>
    <w:rsid w:val="2F735755"/>
    <w:rsid w:val="2F740630"/>
    <w:rsid w:val="2F745ED6"/>
    <w:rsid w:val="2F750C06"/>
    <w:rsid w:val="2F75482A"/>
    <w:rsid w:val="2F7563C5"/>
    <w:rsid w:val="2F767545"/>
    <w:rsid w:val="2F7754F5"/>
    <w:rsid w:val="2F7820EE"/>
    <w:rsid w:val="2F783D90"/>
    <w:rsid w:val="2F7A4018"/>
    <w:rsid w:val="2F7B6824"/>
    <w:rsid w:val="2F7D14D6"/>
    <w:rsid w:val="2F8120FD"/>
    <w:rsid w:val="2F8505B0"/>
    <w:rsid w:val="2F8556F2"/>
    <w:rsid w:val="2F857992"/>
    <w:rsid w:val="2F87029C"/>
    <w:rsid w:val="2F8831F0"/>
    <w:rsid w:val="2F883CCB"/>
    <w:rsid w:val="2F890ED3"/>
    <w:rsid w:val="2F891F1D"/>
    <w:rsid w:val="2F892A19"/>
    <w:rsid w:val="2F8946DE"/>
    <w:rsid w:val="2F8B1BDE"/>
    <w:rsid w:val="2F8B2288"/>
    <w:rsid w:val="2F8C474D"/>
    <w:rsid w:val="2F904656"/>
    <w:rsid w:val="2F907C1A"/>
    <w:rsid w:val="2F9123C7"/>
    <w:rsid w:val="2F922269"/>
    <w:rsid w:val="2F92749F"/>
    <w:rsid w:val="2F93077C"/>
    <w:rsid w:val="2F93706A"/>
    <w:rsid w:val="2F9441AB"/>
    <w:rsid w:val="2F950A89"/>
    <w:rsid w:val="2F9512AE"/>
    <w:rsid w:val="2F952F52"/>
    <w:rsid w:val="2F965773"/>
    <w:rsid w:val="2F966B8C"/>
    <w:rsid w:val="2F985EE2"/>
    <w:rsid w:val="2F9A32C3"/>
    <w:rsid w:val="2F9A3B48"/>
    <w:rsid w:val="2F9A6949"/>
    <w:rsid w:val="2F9C0A19"/>
    <w:rsid w:val="2F9C3555"/>
    <w:rsid w:val="2F9D2025"/>
    <w:rsid w:val="2F9E5F1A"/>
    <w:rsid w:val="2F9F198F"/>
    <w:rsid w:val="2F9F7EBB"/>
    <w:rsid w:val="2FA014BF"/>
    <w:rsid w:val="2FA0755E"/>
    <w:rsid w:val="2FA148A9"/>
    <w:rsid w:val="2FA15A0A"/>
    <w:rsid w:val="2FA22477"/>
    <w:rsid w:val="2FA34F6F"/>
    <w:rsid w:val="2FA552C3"/>
    <w:rsid w:val="2FA5616E"/>
    <w:rsid w:val="2FA80B42"/>
    <w:rsid w:val="2FA85ADC"/>
    <w:rsid w:val="2FA864EA"/>
    <w:rsid w:val="2FA95554"/>
    <w:rsid w:val="2FAE2DAB"/>
    <w:rsid w:val="2FAF1BBA"/>
    <w:rsid w:val="2FB04B55"/>
    <w:rsid w:val="2FB06DB0"/>
    <w:rsid w:val="2FB3181F"/>
    <w:rsid w:val="2FB342D5"/>
    <w:rsid w:val="2FB42595"/>
    <w:rsid w:val="2FB5701C"/>
    <w:rsid w:val="2FB667EA"/>
    <w:rsid w:val="2FB93303"/>
    <w:rsid w:val="2FB95AE8"/>
    <w:rsid w:val="2FBA607C"/>
    <w:rsid w:val="2FBC08F7"/>
    <w:rsid w:val="2FBC390E"/>
    <w:rsid w:val="2FBD0A96"/>
    <w:rsid w:val="2FBD31A6"/>
    <w:rsid w:val="2FBD383D"/>
    <w:rsid w:val="2FBE7EDF"/>
    <w:rsid w:val="2FBF27EF"/>
    <w:rsid w:val="2FBF66AE"/>
    <w:rsid w:val="2FC02145"/>
    <w:rsid w:val="2FC02449"/>
    <w:rsid w:val="2FC04F47"/>
    <w:rsid w:val="2FC176D3"/>
    <w:rsid w:val="2FC24E86"/>
    <w:rsid w:val="2FC26381"/>
    <w:rsid w:val="2FC26DB3"/>
    <w:rsid w:val="2FC32C59"/>
    <w:rsid w:val="2FC35D3A"/>
    <w:rsid w:val="2FC4041C"/>
    <w:rsid w:val="2FC43971"/>
    <w:rsid w:val="2FC47401"/>
    <w:rsid w:val="2FC64D99"/>
    <w:rsid w:val="2FC74BFF"/>
    <w:rsid w:val="2FC85452"/>
    <w:rsid w:val="2FCB786E"/>
    <w:rsid w:val="2FCD2E29"/>
    <w:rsid w:val="2FCD3208"/>
    <w:rsid w:val="2FCE64E2"/>
    <w:rsid w:val="2FCF340A"/>
    <w:rsid w:val="2FCF4BF7"/>
    <w:rsid w:val="2FD14C7C"/>
    <w:rsid w:val="2FD16896"/>
    <w:rsid w:val="2FD21F90"/>
    <w:rsid w:val="2FD22A32"/>
    <w:rsid w:val="2FD43232"/>
    <w:rsid w:val="2FD6574A"/>
    <w:rsid w:val="2FD67636"/>
    <w:rsid w:val="2FD74A0F"/>
    <w:rsid w:val="2FD80B23"/>
    <w:rsid w:val="2FD87ADB"/>
    <w:rsid w:val="2FD93F5F"/>
    <w:rsid w:val="2FD97B86"/>
    <w:rsid w:val="2FDA1170"/>
    <w:rsid w:val="2FDA2514"/>
    <w:rsid w:val="2FDA3651"/>
    <w:rsid w:val="2FDA5F57"/>
    <w:rsid w:val="2FDB4BF8"/>
    <w:rsid w:val="2FDC1A06"/>
    <w:rsid w:val="2FDD0F2F"/>
    <w:rsid w:val="2FDD474A"/>
    <w:rsid w:val="2FDF39FD"/>
    <w:rsid w:val="2FDF5B92"/>
    <w:rsid w:val="2FE03269"/>
    <w:rsid w:val="2FE15242"/>
    <w:rsid w:val="2FE17A82"/>
    <w:rsid w:val="2FE24030"/>
    <w:rsid w:val="2FE36A0A"/>
    <w:rsid w:val="2FE50D66"/>
    <w:rsid w:val="2FE51F4B"/>
    <w:rsid w:val="2FE5384B"/>
    <w:rsid w:val="2FE64820"/>
    <w:rsid w:val="2FE64B89"/>
    <w:rsid w:val="2FE868FA"/>
    <w:rsid w:val="2FEA7BED"/>
    <w:rsid w:val="2FEC5B12"/>
    <w:rsid w:val="2FED2660"/>
    <w:rsid w:val="2FEE781D"/>
    <w:rsid w:val="2FEE7E29"/>
    <w:rsid w:val="2FF06AD1"/>
    <w:rsid w:val="2FF10740"/>
    <w:rsid w:val="2FF3161F"/>
    <w:rsid w:val="2FF3270A"/>
    <w:rsid w:val="2FF50055"/>
    <w:rsid w:val="2FF85C2C"/>
    <w:rsid w:val="2FF97DDA"/>
    <w:rsid w:val="2FFA1260"/>
    <w:rsid w:val="2FFB54FB"/>
    <w:rsid w:val="2FFB65A5"/>
    <w:rsid w:val="2FFB7CD8"/>
    <w:rsid w:val="2FFC00DB"/>
    <w:rsid w:val="2FFC3161"/>
    <w:rsid w:val="2FFD0194"/>
    <w:rsid w:val="2FFD6FBB"/>
    <w:rsid w:val="2FFE29B5"/>
    <w:rsid w:val="2FFE3B02"/>
    <w:rsid w:val="2FFE4EC3"/>
    <w:rsid w:val="2FFE76B9"/>
    <w:rsid w:val="2FFF60EA"/>
    <w:rsid w:val="3001164E"/>
    <w:rsid w:val="30012276"/>
    <w:rsid w:val="30015B9E"/>
    <w:rsid w:val="30024D22"/>
    <w:rsid w:val="30036A92"/>
    <w:rsid w:val="300403EA"/>
    <w:rsid w:val="30044F2C"/>
    <w:rsid w:val="30072B90"/>
    <w:rsid w:val="30073ABF"/>
    <w:rsid w:val="300813FC"/>
    <w:rsid w:val="30082DC6"/>
    <w:rsid w:val="300A053D"/>
    <w:rsid w:val="300A10BD"/>
    <w:rsid w:val="300B1766"/>
    <w:rsid w:val="300D04C8"/>
    <w:rsid w:val="300D6971"/>
    <w:rsid w:val="300D729F"/>
    <w:rsid w:val="300D75F4"/>
    <w:rsid w:val="300E47AE"/>
    <w:rsid w:val="300F02E1"/>
    <w:rsid w:val="30111D1F"/>
    <w:rsid w:val="30113F27"/>
    <w:rsid w:val="30122BE1"/>
    <w:rsid w:val="30135606"/>
    <w:rsid w:val="30147008"/>
    <w:rsid w:val="301612B3"/>
    <w:rsid w:val="3017489E"/>
    <w:rsid w:val="301779C7"/>
    <w:rsid w:val="301A59BD"/>
    <w:rsid w:val="301A6463"/>
    <w:rsid w:val="301D4B98"/>
    <w:rsid w:val="301E1061"/>
    <w:rsid w:val="301F5821"/>
    <w:rsid w:val="30217172"/>
    <w:rsid w:val="30222DA1"/>
    <w:rsid w:val="30224336"/>
    <w:rsid w:val="30234FAF"/>
    <w:rsid w:val="302428C3"/>
    <w:rsid w:val="3029179D"/>
    <w:rsid w:val="30292E2D"/>
    <w:rsid w:val="30296057"/>
    <w:rsid w:val="30297481"/>
    <w:rsid w:val="30297593"/>
    <w:rsid w:val="302A2BD9"/>
    <w:rsid w:val="302C7D20"/>
    <w:rsid w:val="302D06A3"/>
    <w:rsid w:val="302E7BD7"/>
    <w:rsid w:val="30305374"/>
    <w:rsid w:val="303055AD"/>
    <w:rsid w:val="30305AAD"/>
    <w:rsid w:val="303126EA"/>
    <w:rsid w:val="303137C4"/>
    <w:rsid w:val="30314FE0"/>
    <w:rsid w:val="30323C4A"/>
    <w:rsid w:val="303655E0"/>
    <w:rsid w:val="303660A0"/>
    <w:rsid w:val="30366EC9"/>
    <w:rsid w:val="3037178D"/>
    <w:rsid w:val="30371B31"/>
    <w:rsid w:val="3038011D"/>
    <w:rsid w:val="30395C43"/>
    <w:rsid w:val="303A0095"/>
    <w:rsid w:val="303A26EA"/>
    <w:rsid w:val="303A60F9"/>
    <w:rsid w:val="303A7820"/>
    <w:rsid w:val="303A7B9F"/>
    <w:rsid w:val="303B0BF6"/>
    <w:rsid w:val="303B725D"/>
    <w:rsid w:val="303C0F51"/>
    <w:rsid w:val="303C2B86"/>
    <w:rsid w:val="30403A1E"/>
    <w:rsid w:val="30423847"/>
    <w:rsid w:val="30435BF6"/>
    <w:rsid w:val="304423AB"/>
    <w:rsid w:val="30452631"/>
    <w:rsid w:val="3047528A"/>
    <w:rsid w:val="3049661F"/>
    <w:rsid w:val="304A0B6A"/>
    <w:rsid w:val="304A1ED3"/>
    <w:rsid w:val="304B444F"/>
    <w:rsid w:val="304C2858"/>
    <w:rsid w:val="304C792B"/>
    <w:rsid w:val="304F4B8F"/>
    <w:rsid w:val="3050631A"/>
    <w:rsid w:val="30510505"/>
    <w:rsid w:val="3054117B"/>
    <w:rsid w:val="3055310B"/>
    <w:rsid w:val="30555E50"/>
    <w:rsid w:val="30563698"/>
    <w:rsid w:val="30570CF7"/>
    <w:rsid w:val="30572C72"/>
    <w:rsid w:val="30584FA1"/>
    <w:rsid w:val="30585D3F"/>
    <w:rsid w:val="30587E36"/>
    <w:rsid w:val="30595067"/>
    <w:rsid w:val="30597708"/>
    <w:rsid w:val="305A7D11"/>
    <w:rsid w:val="305B3FF1"/>
    <w:rsid w:val="305B52B9"/>
    <w:rsid w:val="305E76BC"/>
    <w:rsid w:val="305F0D47"/>
    <w:rsid w:val="306040DA"/>
    <w:rsid w:val="30615FE8"/>
    <w:rsid w:val="3062244F"/>
    <w:rsid w:val="30645B60"/>
    <w:rsid w:val="30665490"/>
    <w:rsid w:val="306659EE"/>
    <w:rsid w:val="3066604E"/>
    <w:rsid w:val="306766E1"/>
    <w:rsid w:val="30680A99"/>
    <w:rsid w:val="3068712D"/>
    <w:rsid w:val="306962FB"/>
    <w:rsid w:val="30696E65"/>
    <w:rsid w:val="30696EA5"/>
    <w:rsid w:val="306A0DC1"/>
    <w:rsid w:val="306B668A"/>
    <w:rsid w:val="306C0BEE"/>
    <w:rsid w:val="306C4744"/>
    <w:rsid w:val="306C6B3C"/>
    <w:rsid w:val="306D1762"/>
    <w:rsid w:val="306D3917"/>
    <w:rsid w:val="306E1218"/>
    <w:rsid w:val="306E38B1"/>
    <w:rsid w:val="306E5985"/>
    <w:rsid w:val="306F2655"/>
    <w:rsid w:val="306F3077"/>
    <w:rsid w:val="307049AD"/>
    <w:rsid w:val="30721A34"/>
    <w:rsid w:val="3076087A"/>
    <w:rsid w:val="30760B1B"/>
    <w:rsid w:val="30761AB4"/>
    <w:rsid w:val="30781EB2"/>
    <w:rsid w:val="3078386C"/>
    <w:rsid w:val="30785BE3"/>
    <w:rsid w:val="30797648"/>
    <w:rsid w:val="307B263A"/>
    <w:rsid w:val="307D177D"/>
    <w:rsid w:val="307D443E"/>
    <w:rsid w:val="307D6477"/>
    <w:rsid w:val="307D7A9A"/>
    <w:rsid w:val="307E0F60"/>
    <w:rsid w:val="307E7332"/>
    <w:rsid w:val="307F3919"/>
    <w:rsid w:val="307F3EF4"/>
    <w:rsid w:val="308009FA"/>
    <w:rsid w:val="30802865"/>
    <w:rsid w:val="30832542"/>
    <w:rsid w:val="308334E8"/>
    <w:rsid w:val="30836ABF"/>
    <w:rsid w:val="308539EC"/>
    <w:rsid w:val="30866722"/>
    <w:rsid w:val="30882D58"/>
    <w:rsid w:val="308F107D"/>
    <w:rsid w:val="30913CD1"/>
    <w:rsid w:val="309142BA"/>
    <w:rsid w:val="3092290B"/>
    <w:rsid w:val="30930FF3"/>
    <w:rsid w:val="30952771"/>
    <w:rsid w:val="30962575"/>
    <w:rsid w:val="30965F9F"/>
    <w:rsid w:val="3097281B"/>
    <w:rsid w:val="309838E8"/>
    <w:rsid w:val="30992623"/>
    <w:rsid w:val="309957A9"/>
    <w:rsid w:val="3099799B"/>
    <w:rsid w:val="309B184A"/>
    <w:rsid w:val="309C5980"/>
    <w:rsid w:val="309E647A"/>
    <w:rsid w:val="309F7E6D"/>
    <w:rsid w:val="30A10581"/>
    <w:rsid w:val="30A167A2"/>
    <w:rsid w:val="30A31B51"/>
    <w:rsid w:val="30A3487C"/>
    <w:rsid w:val="30A41E4F"/>
    <w:rsid w:val="30A46964"/>
    <w:rsid w:val="30A53B9D"/>
    <w:rsid w:val="30A5467E"/>
    <w:rsid w:val="30A752A2"/>
    <w:rsid w:val="30A7647F"/>
    <w:rsid w:val="30AA3D37"/>
    <w:rsid w:val="30AB4C7C"/>
    <w:rsid w:val="30B15D4C"/>
    <w:rsid w:val="30B21229"/>
    <w:rsid w:val="30B42155"/>
    <w:rsid w:val="30B45FC5"/>
    <w:rsid w:val="30B7379F"/>
    <w:rsid w:val="30B73E15"/>
    <w:rsid w:val="30B82446"/>
    <w:rsid w:val="30B9167B"/>
    <w:rsid w:val="30B92A6B"/>
    <w:rsid w:val="30BA3B37"/>
    <w:rsid w:val="30BD403E"/>
    <w:rsid w:val="30BF4917"/>
    <w:rsid w:val="30BF6ED1"/>
    <w:rsid w:val="30BF7B66"/>
    <w:rsid w:val="30C071E0"/>
    <w:rsid w:val="30C11D01"/>
    <w:rsid w:val="30C14A56"/>
    <w:rsid w:val="30C21701"/>
    <w:rsid w:val="30C40EC3"/>
    <w:rsid w:val="30C42171"/>
    <w:rsid w:val="30C45205"/>
    <w:rsid w:val="30C4640B"/>
    <w:rsid w:val="30C60F80"/>
    <w:rsid w:val="30C61C07"/>
    <w:rsid w:val="30C64547"/>
    <w:rsid w:val="30C73FE7"/>
    <w:rsid w:val="30C87569"/>
    <w:rsid w:val="30C939A0"/>
    <w:rsid w:val="30C9664D"/>
    <w:rsid w:val="30C97BCF"/>
    <w:rsid w:val="30CA4816"/>
    <w:rsid w:val="30CB58F3"/>
    <w:rsid w:val="30CC1989"/>
    <w:rsid w:val="30CD089F"/>
    <w:rsid w:val="30CD5D94"/>
    <w:rsid w:val="30D0146E"/>
    <w:rsid w:val="30D065A7"/>
    <w:rsid w:val="30D221EE"/>
    <w:rsid w:val="30D25146"/>
    <w:rsid w:val="30D268B7"/>
    <w:rsid w:val="30D41B96"/>
    <w:rsid w:val="30D54ACB"/>
    <w:rsid w:val="30D618B6"/>
    <w:rsid w:val="30D61ADD"/>
    <w:rsid w:val="30D65219"/>
    <w:rsid w:val="30D8151E"/>
    <w:rsid w:val="30D81D0D"/>
    <w:rsid w:val="30D83ED7"/>
    <w:rsid w:val="30D9670C"/>
    <w:rsid w:val="30DA27AD"/>
    <w:rsid w:val="30DB2B7A"/>
    <w:rsid w:val="30DB3B6D"/>
    <w:rsid w:val="30DB3FE5"/>
    <w:rsid w:val="30DC03E0"/>
    <w:rsid w:val="30DC72FB"/>
    <w:rsid w:val="30DD1BD1"/>
    <w:rsid w:val="30DF552B"/>
    <w:rsid w:val="30E010AA"/>
    <w:rsid w:val="30E23037"/>
    <w:rsid w:val="30E276AF"/>
    <w:rsid w:val="30E34FAB"/>
    <w:rsid w:val="30E50868"/>
    <w:rsid w:val="30E538B7"/>
    <w:rsid w:val="30E60CBB"/>
    <w:rsid w:val="30E7040D"/>
    <w:rsid w:val="30E90C8E"/>
    <w:rsid w:val="30EB0D63"/>
    <w:rsid w:val="30EB340A"/>
    <w:rsid w:val="30EB7EBA"/>
    <w:rsid w:val="30ED2A8C"/>
    <w:rsid w:val="30F027E3"/>
    <w:rsid w:val="30F10588"/>
    <w:rsid w:val="30F124A1"/>
    <w:rsid w:val="30F416AA"/>
    <w:rsid w:val="30F41C42"/>
    <w:rsid w:val="30F56DD2"/>
    <w:rsid w:val="30F60714"/>
    <w:rsid w:val="30F62C6A"/>
    <w:rsid w:val="30F665BE"/>
    <w:rsid w:val="30F7203A"/>
    <w:rsid w:val="30F87033"/>
    <w:rsid w:val="30F91B97"/>
    <w:rsid w:val="30F972E2"/>
    <w:rsid w:val="30FA2DF6"/>
    <w:rsid w:val="30FA7A7E"/>
    <w:rsid w:val="30FB6C85"/>
    <w:rsid w:val="30FD1E08"/>
    <w:rsid w:val="30FE0DB9"/>
    <w:rsid w:val="30FF3D1E"/>
    <w:rsid w:val="310015F7"/>
    <w:rsid w:val="3101591D"/>
    <w:rsid w:val="31033D84"/>
    <w:rsid w:val="31057644"/>
    <w:rsid w:val="31060B1E"/>
    <w:rsid w:val="3109372C"/>
    <w:rsid w:val="310C7410"/>
    <w:rsid w:val="310E5E2A"/>
    <w:rsid w:val="3110080C"/>
    <w:rsid w:val="311131C4"/>
    <w:rsid w:val="31122E05"/>
    <w:rsid w:val="31123735"/>
    <w:rsid w:val="311247B4"/>
    <w:rsid w:val="31137684"/>
    <w:rsid w:val="31147EEE"/>
    <w:rsid w:val="31152F3A"/>
    <w:rsid w:val="311608BD"/>
    <w:rsid w:val="31174B30"/>
    <w:rsid w:val="31175DDD"/>
    <w:rsid w:val="3118459C"/>
    <w:rsid w:val="31185AE4"/>
    <w:rsid w:val="31191120"/>
    <w:rsid w:val="31191C4A"/>
    <w:rsid w:val="311A51B9"/>
    <w:rsid w:val="311B5905"/>
    <w:rsid w:val="311C4737"/>
    <w:rsid w:val="311E09BE"/>
    <w:rsid w:val="311E79B9"/>
    <w:rsid w:val="311F71C5"/>
    <w:rsid w:val="31215F5D"/>
    <w:rsid w:val="31217A28"/>
    <w:rsid w:val="31224929"/>
    <w:rsid w:val="31235417"/>
    <w:rsid w:val="31241DB4"/>
    <w:rsid w:val="31244080"/>
    <w:rsid w:val="312563A3"/>
    <w:rsid w:val="31265713"/>
    <w:rsid w:val="31274BFC"/>
    <w:rsid w:val="31280428"/>
    <w:rsid w:val="31285196"/>
    <w:rsid w:val="31285C55"/>
    <w:rsid w:val="312A5358"/>
    <w:rsid w:val="312C58BA"/>
    <w:rsid w:val="312C739B"/>
    <w:rsid w:val="312E04F6"/>
    <w:rsid w:val="312F2CFB"/>
    <w:rsid w:val="312F5E90"/>
    <w:rsid w:val="312F621D"/>
    <w:rsid w:val="31310143"/>
    <w:rsid w:val="31312989"/>
    <w:rsid w:val="31343892"/>
    <w:rsid w:val="31373F9D"/>
    <w:rsid w:val="31394185"/>
    <w:rsid w:val="313949BC"/>
    <w:rsid w:val="3139687C"/>
    <w:rsid w:val="313A465A"/>
    <w:rsid w:val="313A7CED"/>
    <w:rsid w:val="313B028E"/>
    <w:rsid w:val="313B6B32"/>
    <w:rsid w:val="31403F87"/>
    <w:rsid w:val="31411110"/>
    <w:rsid w:val="31412BB3"/>
    <w:rsid w:val="314321EF"/>
    <w:rsid w:val="31437D4A"/>
    <w:rsid w:val="31462406"/>
    <w:rsid w:val="31462994"/>
    <w:rsid w:val="31482384"/>
    <w:rsid w:val="31483AC4"/>
    <w:rsid w:val="31490EAC"/>
    <w:rsid w:val="314A0C57"/>
    <w:rsid w:val="314A2731"/>
    <w:rsid w:val="314B3CE2"/>
    <w:rsid w:val="314B7D61"/>
    <w:rsid w:val="314D4DEE"/>
    <w:rsid w:val="314E2F6A"/>
    <w:rsid w:val="314F6A9B"/>
    <w:rsid w:val="3150687C"/>
    <w:rsid w:val="3150690A"/>
    <w:rsid w:val="31507B44"/>
    <w:rsid w:val="315125C3"/>
    <w:rsid w:val="31525765"/>
    <w:rsid w:val="31535728"/>
    <w:rsid w:val="31542F6B"/>
    <w:rsid w:val="31543FB3"/>
    <w:rsid w:val="315556A7"/>
    <w:rsid w:val="31560ADF"/>
    <w:rsid w:val="315620C1"/>
    <w:rsid w:val="31571F14"/>
    <w:rsid w:val="31572824"/>
    <w:rsid w:val="31573E89"/>
    <w:rsid w:val="31581AFB"/>
    <w:rsid w:val="315A33CD"/>
    <w:rsid w:val="315B173D"/>
    <w:rsid w:val="315E3498"/>
    <w:rsid w:val="315E6664"/>
    <w:rsid w:val="315F56B0"/>
    <w:rsid w:val="31602042"/>
    <w:rsid w:val="316061B2"/>
    <w:rsid w:val="31606429"/>
    <w:rsid w:val="31610BCE"/>
    <w:rsid w:val="31617A86"/>
    <w:rsid w:val="31624B27"/>
    <w:rsid w:val="31641F85"/>
    <w:rsid w:val="316513E5"/>
    <w:rsid w:val="316522CA"/>
    <w:rsid w:val="31653441"/>
    <w:rsid w:val="31655322"/>
    <w:rsid w:val="316574F5"/>
    <w:rsid w:val="3166062C"/>
    <w:rsid w:val="31681E82"/>
    <w:rsid w:val="316836D3"/>
    <w:rsid w:val="316A5A1D"/>
    <w:rsid w:val="316A6B4D"/>
    <w:rsid w:val="316A7F35"/>
    <w:rsid w:val="316C1645"/>
    <w:rsid w:val="316C4245"/>
    <w:rsid w:val="316C7ECC"/>
    <w:rsid w:val="316D4B91"/>
    <w:rsid w:val="316F7085"/>
    <w:rsid w:val="31703229"/>
    <w:rsid w:val="317149B6"/>
    <w:rsid w:val="31764FDA"/>
    <w:rsid w:val="31766272"/>
    <w:rsid w:val="31774C32"/>
    <w:rsid w:val="31782F5B"/>
    <w:rsid w:val="31787FEF"/>
    <w:rsid w:val="3179654E"/>
    <w:rsid w:val="317972E9"/>
    <w:rsid w:val="317A036F"/>
    <w:rsid w:val="317A4617"/>
    <w:rsid w:val="317A4765"/>
    <w:rsid w:val="317B3A9F"/>
    <w:rsid w:val="317B5C0C"/>
    <w:rsid w:val="317D5490"/>
    <w:rsid w:val="317D57F1"/>
    <w:rsid w:val="317E0232"/>
    <w:rsid w:val="317E4953"/>
    <w:rsid w:val="317F13EB"/>
    <w:rsid w:val="31802798"/>
    <w:rsid w:val="31806CC4"/>
    <w:rsid w:val="31807FCD"/>
    <w:rsid w:val="3182276C"/>
    <w:rsid w:val="31826167"/>
    <w:rsid w:val="31833A61"/>
    <w:rsid w:val="31844384"/>
    <w:rsid w:val="31850FF4"/>
    <w:rsid w:val="318611A7"/>
    <w:rsid w:val="31861FD9"/>
    <w:rsid w:val="318637E7"/>
    <w:rsid w:val="318657BE"/>
    <w:rsid w:val="31874A55"/>
    <w:rsid w:val="31885561"/>
    <w:rsid w:val="318932AF"/>
    <w:rsid w:val="318A1E4E"/>
    <w:rsid w:val="318A1F50"/>
    <w:rsid w:val="318A650F"/>
    <w:rsid w:val="318E1B8D"/>
    <w:rsid w:val="31903636"/>
    <w:rsid w:val="31906645"/>
    <w:rsid w:val="3191389E"/>
    <w:rsid w:val="31914208"/>
    <w:rsid w:val="31916921"/>
    <w:rsid w:val="31924E98"/>
    <w:rsid w:val="31926E39"/>
    <w:rsid w:val="31926E75"/>
    <w:rsid w:val="31932286"/>
    <w:rsid w:val="31935ECE"/>
    <w:rsid w:val="31944CF5"/>
    <w:rsid w:val="319451A5"/>
    <w:rsid w:val="31952DEF"/>
    <w:rsid w:val="319541FB"/>
    <w:rsid w:val="31964CE1"/>
    <w:rsid w:val="3196748B"/>
    <w:rsid w:val="31974D04"/>
    <w:rsid w:val="319752D4"/>
    <w:rsid w:val="31976276"/>
    <w:rsid w:val="319849F3"/>
    <w:rsid w:val="319A134E"/>
    <w:rsid w:val="319A6B08"/>
    <w:rsid w:val="319B644B"/>
    <w:rsid w:val="319D182A"/>
    <w:rsid w:val="319D3B0D"/>
    <w:rsid w:val="319E4424"/>
    <w:rsid w:val="319E4A5E"/>
    <w:rsid w:val="319E6F46"/>
    <w:rsid w:val="319E7CAA"/>
    <w:rsid w:val="319F6055"/>
    <w:rsid w:val="319F6C1D"/>
    <w:rsid w:val="31A03526"/>
    <w:rsid w:val="31A216D0"/>
    <w:rsid w:val="31A2363F"/>
    <w:rsid w:val="31A42954"/>
    <w:rsid w:val="31A42D5F"/>
    <w:rsid w:val="31A458E8"/>
    <w:rsid w:val="31A633DF"/>
    <w:rsid w:val="31A6544C"/>
    <w:rsid w:val="31A72C80"/>
    <w:rsid w:val="31AA1EE6"/>
    <w:rsid w:val="31AA3DC5"/>
    <w:rsid w:val="31AB4089"/>
    <w:rsid w:val="31AC3841"/>
    <w:rsid w:val="31AC48DC"/>
    <w:rsid w:val="31AD22AF"/>
    <w:rsid w:val="31B03E27"/>
    <w:rsid w:val="31B23EFF"/>
    <w:rsid w:val="31B36C4B"/>
    <w:rsid w:val="31B535E3"/>
    <w:rsid w:val="31B57973"/>
    <w:rsid w:val="31B601A9"/>
    <w:rsid w:val="31B62792"/>
    <w:rsid w:val="31B63C8E"/>
    <w:rsid w:val="31B63F4B"/>
    <w:rsid w:val="31B651DD"/>
    <w:rsid w:val="31B81795"/>
    <w:rsid w:val="31B93071"/>
    <w:rsid w:val="31B9309C"/>
    <w:rsid w:val="31BA252C"/>
    <w:rsid w:val="31BB21E3"/>
    <w:rsid w:val="31BB2F64"/>
    <w:rsid w:val="31BC59AF"/>
    <w:rsid w:val="31C03D17"/>
    <w:rsid w:val="31C12129"/>
    <w:rsid w:val="31C124A7"/>
    <w:rsid w:val="31C30046"/>
    <w:rsid w:val="31C43859"/>
    <w:rsid w:val="31C51516"/>
    <w:rsid w:val="31C51969"/>
    <w:rsid w:val="31C5291F"/>
    <w:rsid w:val="31C57E47"/>
    <w:rsid w:val="31C637A8"/>
    <w:rsid w:val="31C76C5D"/>
    <w:rsid w:val="31C97F6A"/>
    <w:rsid w:val="31CC292F"/>
    <w:rsid w:val="31CC3DDA"/>
    <w:rsid w:val="31CC71E2"/>
    <w:rsid w:val="31CD3B83"/>
    <w:rsid w:val="31CE0C90"/>
    <w:rsid w:val="31CE3BE9"/>
    <w:rsid w:val="31CE6B87"/>
    <w:rsid w:val="31CE7A96"/>
    <w:rsid w:val="31CE7ABA"/>
    <w:rsid w:val="31D043E0"/>
    <w:rsid w:val="31D053AE"/>
    <w:rsid w:val="31D16B78"/>
    <w:rsid w:val="31D2632D"/>
    <w:rsid w:val="31D37E79"/>
    <w:rsid w:val="31D423DE"/>
    <w:rsid w:val="31D45068"/>
    <w:rsid w:val="31D5474B"/>
    <w:rsid w:val="31D5606B"/>
    <w:rsid w:val="31D57221"/>
    <w:rsid w:val="31D7558F"/>
    <w:rsid w:val="31D825F1"/>
    <w:rsid w:val="31D87B83"/>
    <w:rsid w:val="31D94BC9"/>
    <w:rsid w:val="31D96884"/>
    <w:rsid w:val="31DA0B26"/>
    <w:rsid w:val="31DA2151"/>
    <w:rsid w:val="31DC1521"/>
    <w:rsid w:val="31DE15EF"/>
    <w:rsid w:val="31DE394E"/>
    <w:rsid w:val="31DE63B9"/>
    <w:rsid w:val="31E13662"/>
    <w:rsid w:val="31E220FB"/>
    <w:rsid w:val="31E347E9"/>
    <w:rsid w:val="31E57789"/>
    <w:rsid w:val="31E65EFD"/>
    <w:rsid w:val="31E65F7F"/>
    <w:rsid w:val="31E869C1"/>
    <w:rsid w:val="31E901BC"/>
    <w:rsid w:val="31E96EFF"/>
    <w:rsid w:val="31E9737D"/>
    <w:rsid w:val="31EA0C4E"/>
    <w:rsid w:val="31EA6F2F"/>
    <w:rsid w:val="31EA6FEE"/>
    <w:rsid w:val="31EC5719"/>
    <w:rsid w:val="31EE0651"/>
    <w:rsid w:val="31EF438B"/>
    <w:rsid w:val="31EF61E5"/>
    <w:rsid w:val="31F220AC"/>
    <w:rsid w:val="31F2766D"/>
    <w:rsid w:val="31F35B92"/>
    <w:rsid w:val="31F3605C"/>
    <w:rsid w:val="31F601B0"/>
    <w:rsid w:val="31F6702A"/>
    <w:rsid w:val="31F72A96"/>
    <w:rsid w:val="31F73A94"/>
    <w:rsid w:val="31F7515A"/>
    <w:rsid w:val="31F773DC"/>
    <w:rsid w:val="31F96274"/>
    <w:rsid w:val="31FB4EC5"/>
    <w:rsid w:val="31FC7982"/>
    <w:rsid w:val="31FC7DDA"/>
    <w:rsid w:val="31FD5B3E"/>
    <w:rsid w:val="31FE4FD4"/>
    <w:rsid w:val="31FE529F"/>
    <w:rsid w:val="31FE59AB"/>
    <w:rsid w:val="31FF39E8"/>
    <w:rsid w:val="32004AF8"/>
    <w:rsid w:val="32006809"/>
    <w:rsid w:val="32012E1B"/>
    <w:rsid w:val="32016EE8"/>
    <w:rsid w:val="32021D0E"/>
    <w:rsid w:val="32024AAB"/>
    <w:rsid w:val="32042A4D"/>
    <w:rsid w:val="3205033A"/>
    <w:rsid w:val="32052886"/>
    <w:rsid w:val="32061FC2"/>
    <w:rsid w:val="32064501"/>
    <w:rsid w:val="3206495E"/>
    <w:rsid w:val="32084A56"/>
    <w:rsid w:val="32086B5B"/>
    <w:rsid w:val="32092EA0"/>
    <w:rsid w:val="32096A41"/>
    <w:rsid w:val="320B26E9"/>
    <w:rsid w:val="320B3EB0"/>
    <w:rsid w:val="320B473A"/>
    <w:rsid w:val="320B721A"/>
    <w:rsid w:val="320C370A"/>
    <w:rsid w:val="320E6618"/>
    <w:rsid w:val="321065A8"/>
    <w:rsid w:val="32120A9F"/>
    <w:rsid w:val="321220FB"/>
    <w:rsid w:val="321234A0"/>
    <w:rsid w:val="321239AC"/>
    <w:rsid w:val="32124506"/>
    <w:rsid w:val="32151C4B"/>
    <w:rsid w:val="32156530"/>
    <w:rsid w:val="32163270"/>
    <w:rsid w:val="321675A3"/>
    <w:rsid w:val="32180F79"/>
    <w:rsid w:val="321C75CA"/>
    <w:rsid w:val="321D36E7"/>
    <w:rsid w:val="321D5243"/>
    <w:rsid w:val="321E1A8D"/>
    <w:rsid w:val="321E2E05"/>
    <w:rsid w:val="321E31D4"/>
    <w:rsid w:val="321E4ECF"/>
    <w:rsid w:val="321F0AF2"/>
    <w:rsid w:val="321F13B1"/>
    <w:rsid w:val="32216FA6"/>
    <w:rsid w:val="322209C2"/>
    <w:rsid w:val="322257D0"/>
    <w:rsid w:val="32234A9E"/>
    <w:rsid w:val="32235CBB"/>
    <w:rsid w:val="32242828"/>
    <w:rsid w:val="32260B63"/>
    <w:rsid w:val="322616CB"/>
    <w:rsid w:val="32282425"/>
    <w:rsid w:val="32292843"/>
    <w:rsid w:val="322B19A4"/>
    <w:rsid w:val="322B2ED9"/>
    <w:rsid w:val="322B75B4"/>
    <w:rsid w:val="322C0405"/>
    <w:rsid w:val="322C4029"/>
    <w:rsid w:val="322C67A2"/>
    <w:rsid w:val="322C71FC"/>
    <w:rsid w:val="322D39EE"/>
    <w:rsid w:val="322E063E"/>
    <w:rsid w:val="322E17EF"/>
    <w:rsid w:val="322E4A7C"/>
    <w:rsid w:val="322F38C9"/>
    <w:rsid w:val="3230254A"/>
    <w:rsid w:val="323106B7"/>
    <w:rsid w:val="32321CCC"/>
    <w:rsid w:val="323234F6"/>
    <w:rsid w:val="32325229"/>
    <w:rsid w:val="32331FE1"/>
    <w:rsid w:val="32340FEB"/>
    <w:rsid w:val="32352704"/>
    <w:rsid w:val="32353030"/>
    <w:rsid w:val="32372306"/>
    <w:rsid w:val="32391D4B"/>
    <w:rsid w:val="3239505D"/>
    <w:rsid w:val="323A2F2C"/>
    <w:rsid w:val="323B7A66"/>
    <w:rsid w:val="323B7EC2"/>
    <w:rsid w:val="323C3C72"/>
    <w:rsid w:val="323C7861"/>
    <w:rsid w:val="323D050C"/>
    <w:rsid w:val="323D666D"/>
    <w:rsid w:val="323E6F3C"/>
    <w:rsid w:val="32401AC8"/>
    <w:rsid w:val="32414110"/>
    <w:rsid w:val="32425283"/>
    <w:rsid w:val="324324DA"/>
    <w:rsid w:val="3243330D"/>
    <w:rsid w:val="32472A1C"/>
    <w:rsid w:val="324912E9"/>
    <w:rsid w:val="32494E7C"/>
    <w:rsid w:val="324B5DCA"/>
    <w:rsid w:val="324C70A5"/>
    <w:rsid w:val="324D5E29"/>
    <w:rsid w:val="324F0360"/>
    <w:rsid w:val="32510EC1"/>
    <w:rsid w:val="32524C4F"/>
    <w:rsid w:val="325322B0"/>
    <w:rsid w:val="32545973"/>
    <w:rsid w:val="32563764"/>
    <w:rsid w:val="32577235"/>
    <w:rsid w:val="325839CF"/>
    <w:rsid w:val="32585160"/>
    <w:rsid w:val="3259290A"/>
    <w:rsid w:val="325945FB"/>
    <w:rsid w:val="325950AA"/>
    <w:rsid w:val="325A1E11"/>
    <w:rsid w:val="325B238B"/>
    <w:rsid w:val="325B4FED"/>
    <w:rsid w:val="325C7ED8"/>
    <w:rsid w:val="325E28CA"/>
    <w:rsid w:val="326003FE"/>
    <w:rsid w:val="32601F5D"/>
    <w:rsid w:val="326028D8"/>
    <w:rsid w:val="326144A5"/>
    <w:rsid w:val="32630F8A"/>
    <w:rsid w:val="326436E5"/>
    <w:rsid w:val="32643AD8"/>
    <w:rsid w:val="32650426"/>
    <w:rsid w:val="32650F71"/>
    <w:rsid w:val="32654E9C"/>
    <w:rsid w:val="32682BC7"/>
    <w:rsid w:val="326C45A3"/>
    <w:rsid w:val="326C6E8D"/>
    <w:rsid w:val="326D315D"/>
    <w:rsid w:val="326D7CB9"/>
    <w:rsid w:val="326E7E26"/>
    <w:rsid w:val="326F10E1"/>
    <w:rsid w:val="32701219"/>
    <w:rsid w:val="32724A5A"/>
    <w:rsid w:val="3272505D"/>
    <w:rsid w:val="32730A86"/>
    <w:rsid w:val="32732EBB"/>
    <w:rsid w:val="32736CF8"/>
    <w:rsid w:val="32744FE4"/>
    <w:rsid w:val="327710F5"/>
    <w:rsid w:val="32772015"/>
    <w:rsid w:val="32781E12"/>
    <w:rsid w:val="32793FD9"/>
    <w:rsid w:val="327945CE"/>
    <w:rsid w:val="327A2E1A"/>
    <w:rsid w:val="327B1703"/>
    <w:rsid w:val="327D7DFE"/>
    <w:rsid w:val="327F66BE"/>
    <w:rsid w:val="32805CC6"/>
    <w:rsid w:val="32816014"/>
    <w:rsid w:val="328222B6"/>
    <w:rsid w:val="32823322"/>
    <w:rsid w:val="32827076"/>
    <w:rsid w:val="32832839"/>
    <w:rsid w:val="328458AA"/>
    <w:rsid w:val="3284642E"/>
    <w:rsid w:val="32870C83"/>
    <w:rsid w:val="32873D8F"/>
    <w:rsid w:val="3287504E"/>
    <w:rsid w:val="32877B3F"/>
    <w:rsid w:val="3288665C"/>
    <w:rsid w:val="328961CE"/>
    <w:rsid w:val="328B73DB"/>
    <w:rsid w:val="328C1277"/>
    <w:rsid w:val="328C2D18"/>
    <w:rsid w:val="328C531D"/>
    <w:rsid w:val="328D6235"/>
    <w:rsid w:val="328E672A"/>
    <w:rsid w:val="328F1988"/>
    <w:rsid w:val="328F1B43"/>
    <w:rsid w:val="328F59D7"/>
    <w:rsid w:val="32914B11"/>
    <w:rsid w:val="32917FB8"/>
    <w:rsid w:val="32930C00"/>
    <w:rsid w:val="3293703A"/>
    <w:rsid w:val="32950C8D"/>
    <w:rsid w:val="32961568"/>
    <w:rsid w:val="32961862"/>
    <w:rsid w:val="329808E4"/>
    <w:rsid w:val="32981A5A"/>
    <w:rsid w:val="329A6E6D"/>
    <w:rsid w:val="329C2DD6"/>
    <w:rsid w:val="329C6955"/>
    <w:rsid w:val="329D5761"/>
    <w:rsid w:val="329F0532"/>
    <w:rsid w:val="32A06313"/>
    <w:rsid w:val="32A13927"/>
    <w:rsid w:val="32A20586"/>
    <w:rsid w:val="32A239C1"/>
    <w:rsid w:val="32A33150"/>
    <w:rsid w:val="32A418C2"/>
    <w:rsid w:val="32A41A99"/>
    <w:rsid w:val="32A45976"/>
    <w:rsid w:val="32A45CDC"/>
    <w:rsid w:val="32A50C01"/>
    <w:rsid w:val="32A55C23"/>
    <w:rsid w:val="32A624BF"/>
    <w:rsid w:val="32A7158A"/>
    <w:rsid w:val="32A721A3"/>
    <w:rsid w:val="32A83FF1"/>
    <w:rsid w:val="32AA6AA3"/>
    <w:rsid w:val="32AB21E6"/>
    <w:rsid w:val="32AB64BD"/>
    <w:rsid w:val="32AB6D1A"/>
    <w:rsid w:val="32AC5E45"/>
    <w:rsid w:val="32AC7DA2"/>
    <w:rsid w:val="32AE4B1D"/>
    <w:rsid w:val="32B04D05"/>
    <w:rsid w:val="32B1179A"/>
    <w:rsid w:val="32B2044E"/>
    <w:rsid w:val="32B23030"/>
    <w:rsid w:val="32B30946"/>
    <w:rsid w:val="32B51C44"/>
    <w:rsid w:val="32B63441"/>
    <w:rsid w:val="32B72EE5"/>
    <w:rsid w:val="32B814D6"/>
    <w:rsid w:val="32B93AE2"/>
    <w:rsid w:val="32BB2521"/>
    <w:rsid w:val="32BB71E7"/>
    <w:rsid w:val="32BE763B"/>
    <w:rsid w:val="32BF646C"/>
    <w:rsid w:val="32C015E8"/>
    <w:rsid w:val="32C01D4D"/>
    <w:rsid w:val="32C05267"/>
    <w:rsid w:val="32C10C47"/>
    <w:rsid w:val="32C1270A"/>
    <w:rsid w:val="32C436B2"/>
    <w:rsid w:val="32C50AE5"/>
    <w:rsid w:val="32C71F63"/>
    <w:rsid w:val="32C72020"/>
    <w:rsid w:val="32C77EC9"/>
    <w:rsid w:val="32C87D82"/>
    <w:rsid w:val="32C972BC"/>
    <w:rsid w:val="32CA283E"/>
    <w:rsid w:val="32CA2929"/>
    <w:rsid w:val="32CA409B"/>
    <w:rsid w:val="32CB56AF"/>
    <w:rsid w:val="32CC2908"/>
    <w:rsid w:val="32CE4904"/>
    <w:rsid w:val="32CF0542"/>
    <w:rsid w:val="32D00B4A"/>
    <w:rsid w:val="32D02914"/>
    <w:rsid w:val="32D11019"/>
    <w:rsid w:val="32D14479"/>
    <w:rsid w:val="32D149DB"/>
    <w:rsid w:val="32D21C60"/>
    <w:rsid w:val="32D34332"/>
    <w:rsid w:val="32D40F8B"/>
    <w:rsid w:val="32D44B4E"/>
    <w:rsid w:val="32D47265"/>
    <w:rsid w:val="32D54349"/>
    <w:rsid w:val="32D5548F"/>
    <w:rsid w:val="32D76D91"/>
    <w:rsid w:val="32DB1455"/>
    <w:rsid w:val="32DB2717"/>
    <w:rsid w:val="32DB384B"/>
    <w:rsid w:val="32DC1BDB"/>
    <w:rsid w:val="32DC4B67"/>
    <w:rsid w:val="32DC5D44"/>
    <w:rsid w:val="32DD4B33"/>
    <w:rsid w:val="32DF27BE"/>
    <w:rsid w:val="32DF7271"/>
    <w:rsid w:val="32E01818"/>
    <w:rsid w:val="32E02443"/>
    <w:rsid w:val="32E16854"/>
    <w:rsid w:val="32E42CE0"/>
    <w:rsid w:val="32E43B50"/>
    <w:rsid w:val="32E4458C"/>
    <w:rsid w:val="32E50E7E"/>
    <w:rsid w:val="32E5777F"/>
    <w:rsid w:val="32E838E8"/>
    <w:rsid w:val="32E91BA2"/>
    <w:rsid w:val="32E94973"/>
    <w:rsid w:val="32E94C4C"/>
    <w:rsid w:val="32E95FF8"/>
    <w:rsid w:val="32EA628C"/>
    <w:rsid w:val="32EB33A9"/>
    <w:rsid w:val="32EB3A4B"/>
    <w:rsid w:val="32EB591A"/>
    <w:rsid w:val="32ED7ED3"/>
    <w:rsid w:val="32EE1C45"/>
    <w:rsid w:val="32EE50CC"/>
    <w:rsid w:val="32F146C8"/>
    <w:rsid w:val="32F453C6"/>
    <w:rsid w:val="32F776C8"/>
    <w:rsid w:val="32FA5C7F"/>
    <w:rsid w:val="32FB3093"/>
    <w:rsid w:val="32FC103C"/>
    <w:rsid w:val="32FC4A19"/>
    <w:rsid w:val="32FD3848"/>
    <w:rsid w:val="330056F4"/>
    <w:rsid w:val="33006483"/>
    <w:rsid w:val="33014185"/>
    <w:rsid w:val="3303450A"/>
    <w:rsid w:val="330348A1"/>
    <w:rsid w:val="3303610A"/>
    <w:rsid w:val="330405B2"/>
    <w:rsid w:val="33045642"/>
    <w:rsid w:val="33063554"/>
    <w:rsid w:val="33096CA6"/>
    <w:rsid w:val="330B7B55"/>
    <w:rsid w:val="330C4A0E"/>
    <w:rsid w:val="330D3AE3"/>
    <w:rsid w:val="330D5C34"/>
    <w:rsid w:val="330D6A7F"/>
    <w:rsid w:val="330E2306"/>
    <w:rsid w:val="330F3464"/>
    <w:rsid w:val="331279A4"/>
    <w:rsid w:val="33134E71"/>
    <w:rsid w:val="33145C23"/>
    <w:rsid w:val="33147956"/>
    <w:rsid w:val="33155773"/>
    <w:rsid w:val="33165DE2"/>
    <w:rsid w:val="33183545"/>
    <w:rsid w:val="331870D1"/>
    <w:rsid w:val="331A17A1"/>
    <w:rsid w:val="331B2D92"/>
    <w:rsid w:val="331C0EBB"/>
    <w:rsid w:val="331D1B5E"/>
    <w:rsid w:val="331D24C3"/>
    <w:rsid w:val="331F18F1"/>
    <w:rsid w:val="33221CE5"/>
    <w:rsid w:val="33225144"/>
    <w:rsid w:val="33257A78"/>
    <w:rsid w:val="33271347"/>
    <w:rsid w:val="33283AF7"/>
    <w:rsid w:val="332A0EAD"/>
    <w:rsid w:val="332C4DA0"/>
    <w:rsid w:val="332C6251"/>
    <w:rsid w:val="332E2DB8"/>
    <w:rsid w:val="332F303F"/>
    <w:rsid w:val="33307279"/>
    <w:rsid w:val="33310B9C"/>
    <w:rsid w:val="333131FE"/>
    <w:rsid w:val="33316F49"/>
    <w:rsid w:val="33325063"/>
    <w:rsid w:val="33333B45"/>
    <w:rsid w:val="333638D8"/>
    <w:rsid w:val="33371B48"/>
    <w:rsid w:val="33385FD5"/>
    <w:rsid w:val="33396249"/>
    <w:rsid w:val="333B4B41"/>
    <w:rsid w:val="333B63F3"/>
    <w:rsid w:val="333C117A"/>
    <w:rsid w:val="333C6176"/>
    <w:rsid w:val="334109FE"/>
    <w:rsid w:val="334116F7"/>
    <w:rsid w:val="33413C4D"/>
    <w:rsid w:val="334517DB"/>
    <w:rsid w:val="334528EA"/>
    <w:rsid w:val="3345776E"/>
    <w:rsid w:val="334642C0"/>
    <w:rsid w:val="33476F36"/>
    <w:rsid w:val="33482986"/>
    <w:rsid w:val="33490B92"/>
    <w:rsid w:val="33493478"/>
    <w:rsid w:val="33494029"/>
    <w:rsid w:val="334B0913"/>
    <w:rsid w:val="334C2BB1"/>
    <w:rsid w:val="334D08B3"/>
    <w:rsid w:val="334D1792"/>
    <w:rsid w:val="334D1FE9"/>
    <w:rsid w:val="334D27D4"/>
    <w:rsid w:val="334D2D8B"/>
    <w:rsid w:val="334D3311"/>
    <w:rsid w:val="334D63FF"/>
    <w:rsid w:val="334E4BB8"/>
    <w:rsid w:val="335056CC"/>
    <w:rsid w:val="335119CF"/>
    <w:rsid w:val="335125CF"/>
    <w:rsid w:val="3352332E"/>
    <w:rsid w:val="3352394D"/>
    <w:rsid w:val="335371C9"/>
    <w:rsid w:val="33545F1C"/>
    <w:rsid w:val="33554937"/>
    <w:rsid w:val="3355561E"/>
    <w:rsid w:val="3355725C"/>
    <w:rsid w:val="335721FF"/>
    <w:rsid w:val="33580C9D"/>
    <w:rsid w:val="33597C1B"/>
    <w:rsid w:val="335A011C"/>
    <w:rsid w:val="335C71FA"/>
    <w:rsid w:val="335E43CA"/>
    <w:rsid w:val="335F08A0"/>
    <w:rsid w:val="33601C9C"/>
    <w:rsid w:val="33605944"/>
    <w:rsid w:val="336127E3"/>
    <w:rsid w:val="33632232"/>
    <w:rsid w:val="336356AE"/>
    <w:rsid w:val="33670D36"/>
    <w:rsid w:val="336731CC"/>
    <w:rsid w:val="33694D9D"/>
    <w:rsid w:val="33696BBE"/>
    <w:rsid w:val="336B1586"/>
    <w:rsid w:val="336B75D1"/>
    <w:rsid w:val="336C0316"/>
    <w:rsid w:val="336D1720"/>
    <w:rsid w:val="33732BEF"/>
    <w:rsid w:val="337405AB"/>
    <w:rsid w:val="337460CE"/>
    <w:rsid w:val="33753436"/>
    <w:rsid w:val="33766091"/>
    <w:rsid w:val="337716DD"/>
    <w:rsid w:val="337775B2"/>
    <w:rsid w:val="3378627B"/>
    <w:rsid w:val="337878C8"/>
    <w:rsid w:val="33795BB2"/>
    <w:rsid w:val="33797552"/>
    <w:rsid w:val="337B11E1"/>
    <w:rsid w:val="337B298E"/>
    <w:rsid w:val="337B36EE"/>
    <w:rsid w:val="337E13A0"/>
    <w:rsid w:val="337F2757"/>
    <w:rsid w:val="337F4DB9"/>
    <w:rsid w:val="33806C62"/>
    <w:rsid w:val="338150CF"/>
    <w:rsid w:val="33832135"/>
    <w:rsid w:val="338327E9"/>
    <w:rsid w:val="338409B7"/>
    <w:rsid w:val="33854A61"/>
    <w:rsid w:val="33857795"/>
    <w:rsid w:val="33870F3D"/>
    <w:rsid w:val="33872B3C"/>
    <w:rsid w:val="33885C41"/>
    <w:rsid w:val="3389301F"/>
    <w:rsid w:val="338A6413"/>
    <w:rsid w:val="338B7780"/>
    <w:rsid w:val="338C0EEC"/>
    <w:rsid w:val="338D7B7A"/>
    <w:rsid w:val="338E6E4C"/>
    <w:rsid w:val="338F15C1"/>
    <w:rsid w:val="33902F0D"/>
    <w:rsid w:val="33921DBB"/>
    <w:rsid w:val="33927809"/>
    <w:rsid w:val="33952A08"/>
    <w:rsid w:val="33960420"/>
    <w:rsid w:val="339638EE"/>
    <w:rsid w:val="339702C9"/>
    <w:rsid w:val="33973FDA"/>
    <w:rsid w:val="3398691C"/>
    <w:rsid w:val="33996F11"/>
    <w:rsid w:val="339A10EE"/>
    <w:rsid w:val="339B236B"/>
    <w:rsid w:val="339D5D88"/>
    <w:rsid w:val="33A06767"/>
    <w:rsid w:val="33A104AD"/>
    <w:rsid w:val="33A22E63"/>
    <w:rsid w:val="33A27942"/>
    <w:rsid w:val="33A37262"/>
    <w:rsid w:val="33A41DA8"/>
    <w:rsid w:val="33A4275F"/>
    <w:rsid w:val="33A501B7"/>
    <w:rsid w:val="33A51B09"/>
    <w:rsid w:val="33A5373E"/>
    <w:rsid w:val="33A53D1B"/>
    <w:rsid w:val="33A735D3"/>
    <w:rsid w:val="33A758B8"/>
    <w:rsid w:val="33A81AC1"/>
    <w:rsid w:val="33A930DF"/>
    <w:rsid w:val="33AC1BA0"/>
    <w:rsid w:val="33AC443E"/>
    <w:rsid w:val="33AD211B"/>
    <w:rsid w:val="33AD2A5D"/>
    <w:rsid w:val="33AD3462"/>
    <w:rsid w:val="33AD479E"/>
    <w:rsid w:val="33AE03C7"/>
    <w:rsid w:val="33AF2723"/>
    <w:rsid w:val="33AF2BE4"/>
    <w:rsid w:val="33B015B2"/>
    <w:rsid w:val="33B0326F"/>
    <w:rsid w:val="33B0695B"/>
    <w:rsid w:val="33B14A78"/>
    <w:rsid w:val="33B2077D"/>
    <w:rsid w:val="33B30B71"/>
    <w:rsid w:val="33B377A7"/>
    <w:rsid w:val="33B61EC3"/>
    <w:rsid w:val="33B7609D"/>
    <w:rsid w:val="33B831A2"/>
    <w:rsid w:val="33B93B99"/>
    <w:rsid w:val="33B93F12"/>
    <w:rsid w:val="33B9543E"/>
    <w:rsid w:val="33BA0715"/>
    <w:rsid w:val="33BB24CB"/>
    <w:rsid w:val="33BD016A"/>
    <w:rsid w:val="33BD3BCE"/>
    <w:rsid w:val="33BE0B54"/>
    <w:rsid w:val="33BF4BCD"/>
    <w:rsid w:val="33C007B5"/>
    <w:rsid w:val="33C21FF6"/>
    <w:rsid w:val="33C262FB"/>
    <w:rsid w:val="33C325DC"/>
    <w:rsid w:val="33C347E0"/>
    <w:rsid w:val="33C50555"/>
    <w:rsid w:val="33C50A9E"/>
    <w:rsid w:val="33C556D8"/>
    <w:rsid w:val="33C8519C"/>
    <w:rsid w:val="33C906F4"/>
    <w:rsid w:val="33CB74FA"/>
    <w:rsid w:val="33CC574C"/>
    <w:rsid w:val="33CD3272"/>
    <w:rsid w:val="33CE56D8"/>
    <w:rsid w:val="33CF0B9D"/>
    <w:rsid w:val="33CF45A9"/>
    <w:rsid w:val="33D05992"/>
    <w:rsid w:val="33D14FCA"/>
    <w:rsid w:val="33D26C6F"/>
    <w:rsid w:val="33D2752B"/>
    <w:rsid w:val="33D27FE9"/>
    <w:rsid w:val="33D44641"/>
    <w:rsid w:val="33D44A80"/>
    <w:rsid w:val="33D473C3"/>
    <w:rsid w:val="33D476C6"/>
    <w:rsid w:val="33D57C57"/>
    <w:rsid w:val="33D77F07"/>
    <w:rsid w:val="33D94749"/>
    <w:rsid w:val="33DC387A"/>
    <w:rsid w:val="33DC4D43"/>
    <w:rsid w:val="33DD703B"/>
    <w:rsid w:val="33E203D0"/>
    <w:rsid w:val="33E3312A"/>
    <w:rsid w:val="33E34843"/>
    <w:rsid w:val="33E53135"/>
    <w:rsid w:val="33E62F39"/>
    <w:rsid w:val="33E71A7B"/>
    <w:rsid w:val="33E75871"/>
    <w:rsid w:val="33E9781F"/>
    <w:rsid w:val="33E97BB9"/>
    <w:rsid w:val="33EB7FF1"/>
    <w:rsid w:val="33EC19B4"/>
    <w:rsid w:val="33EC7B9C"/>
    <w:rsid w:val="33ED1CE3"/>
    <w:rsid w:val="33ED7C69"/>
    <w:rsid w:val="33EE0615"/>
    <w:rsid w:val="33EE7241"/>
    <w:rsid w:val="33EE73B3"/>
    <w:rsid w:val="33EF27ED"/>
    <w:rsid w:val="33F130FC"/>
    <w:rsid w:val="33F22640"/>
    <w:rsid w:val="33F22CD8"/>
    <w:rsid w:val="33F2373F"/>
    <w:rsid w:val="33F273DA"/>
    <w:rsid w:val="33F35282"/>
    <w:rsid w:val="33F42BAD"/>
    <w:rsid w:val="33F42F05"/>
    <w:rsid w:val="33F51C36"/>
    <w:rsid w:val="33F564FD"/>
    <w:rsid w:val="33F57420"/>
    <w:rsid w:val="33F61826"/>
    <w:rsid w:val="33F711B6"/>
    <w:rsid w:val="33F72C6D"/>
    <w:rsid w:val="33F773DF"/>
    <w:rsid w:val="33F87216"/>
    <w:rsid w:val="33FA5B81"/>
    <w:rsid w:val="33FC5C91"/>
    <w:rsid w:val="33FD55AC"/>
    <w:rsid w:val="33FE2C47"/>
    <w:rsid w:val="33FF4B98"/>
    <w:rsid w:val="34022C28"/>
    <w:rsid w:val="340259B2"/>
    <w:rsid w:val="340334A9"/>
    <w:rsid w:val="34064A15"/>
    <w:rsid w:val="3406604A"/>
    <w:rsid w:val="34081A99"/>
    <w:rsid w:val="340838A1"/>
    <w:rsid w:val="34084DB4"/>
    <w:rsid w:val="340A760E"/>
    <w:rsid w:val="340B221F"/>
    <w:rsid w:val="340B25F3"/>
    <w:rsid w:val="340D0619"/>
    <w:rsid w:val="340D23B0"/>
    <w:rsid w:val="340D5DC6"/>
    <w:rsid w:val="340E28F5"/>
    <w:rsid w:val="341004C6"/>
    <w:rsid w:val="34100CA8"/>
    <w:rsid w:val="34106767"/>
    <w:rsid w:val="3412079F"/>
    <w:rsid w:val="341207B8"/>
    <w:rsid w:val="34122211"/>
    <w:rsid w:val="34130B95"/>
    <w:rsid w:val="341333CA"/>
    <w:rsid w:val="341339B3"/>
    <w:rsid w:val="34153ABF"/>
    <w:rsid w:val="34167498"/>
    <w:rsid w:val="341831A7"/>
    <w:rsid w:val="34190265"/>
    <w:rsid w:val="34191349"/>
    <w:rsid w:val="341A24DA"/>
    <w:rsid w:val="341A4777"/>
    <w:rsid w:val="341C7E52"/>
    <w:rsid w:val="341D4CB7"/>
    <w:rsid w:val="341D67D5"/>
    <w:rsid w:val="341E05AE"/>
    <w:rsid w:val="341E77C4"/>
    <w:rsid w:val="341F590A"/>
    <w:rsid w:val="34206F91"/>
    <w:rsid w:val="34207476"/>
    <w:rsid w:val="34207DAD"/>
    <w:rsid w:val="34212F61"/>
    <w:rsid w:val="34216AAB"/>
    <w:rsid w:val="34221950"/>
    <w:rsid w:val="342418AB"/>
    <w:rsid w:val="34255364"/>
    <w:rsid w:val="342571E3"/>
    <w:rsid w:val="342675C3"/>
    <w:rsid w:val="342835C8"/>
    <w:rsid w:val="34286E45"/>
    <w:rsid w:val="3429058A"/>
    <w:rsid w:val="3429456C"/>
    <w:rsid w:val="34294777"/>
    <w:rsid w:val="34295E88"/>
    <w:rsid w:val="342C4A46"/>
    <w:rsid w:val="342D0671"/>
    <w:rsid w:val="342D3B66"/>
    <w:rsid w:val="342F1A0F"/>
    <w:rsid w:val="3431604A"/>
    <w:rsid w:val="34333DAE"/>
    <w:rsid w:val="34334DC8"/>
    <w:rsid w:val="34342DDD"/>
    <w:rsid w:val="343459D6"/>
    <w:rsid w:val="34354823"/>
    <w:rsid w:val="3436464C"/>
    <w:rsid w:val="34373238"/>
    <w:rsid w:val="34390BD4"/>
    <w:rsid w:val="343B05F4"/>
    <w:rsid w:val="343B2EFB"/>
    <w:rsid w:val="343C3896"/>
    <w:rsid w:val="343C6682"/>
    <w:rsid w:val="343D1220"/>
    <w:rsid w:val="343D273E"/>
    <w:rsid w:val="343D4F8D"/>
    <w:rsid w:val="343D598D"/>
    <w:rsid w:val="343E1AE9"/>
    <w:rsid w:val="343E5E12"/>
    <w:rsid w:val="34406CF3"/>
    <w:rsid w:val="344138B7"/>
    <w:rsid w:val="34415D41"/>
    <w:rsid w:val="344410A9"/>
    <w:rsid w:val="34441E6B"/>
    <w:rsid w:val="34442C90"/>
    <w:rsid w:val="344458F7"/>
    <w:rsid w:val="34456D11"/>
    <w:rsid w:val="344620DF"/>
    <w:rsid w:val="34472A78"/>
    <w:rsid w:val="34487E1C"/>
    <w:rsid w:val="344C6A05"/>
    <w:rsid w:val="344D5F1F"/>
    <w:rsid w:val="344D6687"/>
    <w:rsid w:val="344D77CD"/>
    <w:rsid w:val="344E7D17"/>
    <w:rsid w:val="344F1ED9"/>
    <w:rsid w:val="34511068"/>
    <w:rsid w:val="34520E5A"/>
    <w:rsid w:val="34521D52"/>
    <w:rsid w:val="34554153"/>
    <w:rsid w:val="34554EDD"/>
    <w:rsid w:val="345608E8"/>
    <w:rsid w:val="34571886"/>
    <w:rsid w:val="3457236C"/>
    <w:rsid w:val="34573AB8"/>
    <w:rsid w:val="345A2021"/>
    <w:rsid w:val="345C07DC"/>
    <w:rsid w:val="345C2472"/>
    <w:rsid w:val="345C7CF4"/>
    <w:rsid w:val="345D05B9"/>
    <w:rsid w:val="345E03CA"/>
    <w:rsid w:val="345E492D"/>
    <w:rsid w:val="346040E6"/>
    <w:rsid w:val="34604C1D"/>
    <w:rsid w:val="3460675C"/>
    <w:rsid w:val="34607654"/>
    <w:rsid w:val="34625665"/>
    <w:rsid w:val="34647DFB"/>
    <w:rsid w:val="34657F4A"/>
    <w:rsid w:val="346A13B2"/>
    <w:rsid w:val="346A3E59"/>
    <w:rsid w:val="346B3DE3"/>
    <w:rsid w:val="346C2FBD"/>
    <w:rsid w:val="346C5752"/>
    <w:rsid w:val="346C6B49"/>
    <w:rsid w:val="34716C96"/>
    <w:rsid w:val="34726C1E"/>
    <w:rsid w:val="3472786E"/>
    <w:rsid w:val="34754A5B"/>
    <w:rsid w:val="347673E9"/>
    <w:rsid w:val="3477417C"/>
    <w:rsid w:val="34784255"/>
    <w:rsid w:val="34786833"/>
    <w:rsid w:val="34794B7C"/>
    <w:rsid w:val="347A5118"/>
    <w:rsid w:val="347A686D"/>
    <w:rsid w:val="347D0A6F"/>
    <w:rsid w:val="347D11E3"/>
    <w:rsid w:val="347E3921"/>
    <w:rsid w:val="347F21CD"/>
    <w:rsid w:val="347F5C66"/>
    <w:rsid w:val="347F7E64"/>
    <w:rsid w:val="348056CE"/>
    <w:rsid w:val="348142EF"/>
    <w:rsid w:val="34817CEB"/>
    <w:rsid w:val="3482701E"/>
    <w:rsid w:val="3482781E"/>
    <w:rsid w:val="348373DA"/>
    <w:rsid w:val="34845615"/>
    <w:rsid w:val="3485053C"/>
    <w:rsid w:val="34866D32"/>
    <w:rsid w:val="34890959"/>
    <w:rsid w:val="348953EB"/>
    <w:rsid w:val="348A3C7C"/>
    <w:rsid w:val="348A5AA2"/>
    <w:rsid w:val="348B3430"/>
    <w:rsid w:val="348B563C"/>
    <w:rsid w:val="348C51EA"/>
    <w:rsid w:val="348C60ED"/>
    <w:rsid w:val="348C7224"/>
    <w:rsid w:val="348D1043"/>
    <w:rsid w:val="348E5E78"/>
    <w:rsid w:val="3490483A"/>
    <w:rsid w:val="34907690"/>
    <w:rsid w:val="34914ABE"/>
    <w:rsid w:val="34920FD5"/>
    <w:rsid w:val="34922062"/>
    <w:rsid w:val="34923699"/>
    <w:rsid w:val="34937F3A"/>
    <w:rsid w:val="3494526F"/>
    <w:rsid w:val="3494765B"/>
    <w:rsid w:val="34950EF2"/>
    <w:rsid w:val="34954890"/>
    <w:rsid w:val="3495581D"/>
    <w:rsid w:val="349560F7"/>
    <w:rsid w:val="34957065"/>
    <w:rsid w:val="349618B6"/>
    <w:rsid w:val="349723DD"/>
    <w:rsid w:val="349733C0"/>
    <w:rsid w:val="34973BB2"/>
    <w:rsid w:val="3498084C"/>
    <w:rsid w:val="349A1FB3"/>
    <w:rsid w:val="349B34FD"/>
    <w:rsid w:val="349B511E"/>
    <w:rsid w:val="349B6210"/>
    <w:rsid w:val="349F4D18"/>
    <w:rsid w:val="349F691F"/>
    <w:rsid w:val="34A26FD5"/>
    <w:rsid w:val="34A40D2E"/>
    <w:rsid w:val="34A42225"/>
    <w:rsid w:val="34A56473"/>
    <w:rsid w:val="34A667B8"/>
    <w:rsid w:val="34A73534"/>
    <w:rsid w:val="34A762C6"/>
    <w:rsid w:val="34A94A2B"/>
    <w:rsid w:val="34AA78E0"/>
    <w:rsid w:val="34AB790E"/>
    <w:rsid w:val="34AC0DD6"/>
    <w:rsid w:val="34AF0524"/>
    <w:rsid w:val="34B0191F"/>
    <w:rsid w:val="34B2164F"/>
    <w:rsid w:val="34B23219"/>
    <w:rsid w:val="34B34216"/>
    <w:rsid w:val="34B36692"/>
    <w:rsid w:val="34B43A25"/>
    <w:rsid w:val="34B53C55"/>
    <w:rsid w:val="34B72A5F"/>
    <w:rsid w:val="34B8764D"/>
    <w:rsid w:val="34BA47BB"/>
    <w:rsid w:val="34BA5AD4"/>
    <w:rsid w:val="34BB6678"/>
    <w:rsid w:val="34BB756E"/>
    <w:rsid w:val="34BD04F7"/>
    <w:rsid w:val="34BD38F2"/>
    <w:rsid w:val="34BD74F5"/>
    <w:rsid w:val="34BE3288"/>
    <w:rsid w:val="34BE6715"/>
    <w:rsid w:val="34BF63AC"/>
    <w:rsid w:val="34BF705E"/>
    <w:rsid w:val="34C04B85"/>
    <w:rsid w:val="34C5219B"/>
    <w:rsid w:val="34C637A0"/>
    <w:rsid w:val="34C745C5"/>
    <w:rsid w:val="34C94949"/>
    <w:rsid w:val="34C9527C"/>
    <w:rsid w:val="34CB6F9A"/>
    <w:rsid w:val="34CC0997"/>
    <w:rsid w:val="34CC274E"/>
    <w:rsid w:val="34CC5EA9"/>
    <w:rsid w:val="34CC65D3"/>
    <w:rsid w:val="34CC69A8"/>
    <w:rsid w:val="34CE72A2"/>
    <w:rsid w:val="34CF22A3"/>
    <w:rsid w:val="34D159AF"/>
    <w:rsid w:val="34D33CE5"/>
    <w:rsid w:val="34D41FD4"/>
    <w:rsid w:val="34D52A7E"/>
    <w:rsid w:val="34D52BB9"/>
    <w:rsid w:val="34D55823"/>
    <w:rsid w:val="34D77B16"/>
    <w:rsid w:val="34D93701"/>
    <w:rsid w:val="34DA64B4"/>
    <w:rsid w:val="34DA746B"/>
    <w:rsid w:val="34DA79F4"/>
    <w:rsid w:val="34DB17F5"/>
    <w:rsid w:val="34DE5A13"/>
    <w:rsid w:val="34DF35D2"/>
    <w:rsid w:val="34E00C70"/>
    <w:rsid w:val="34E02887"/>
    <w:rsid w:val="34E468AD"/>
    <w:rsid w:val="34E545F6"/>
    <w:rsid w:val="34E623D1"/>
    <w:rsid w:val="34E808C3"/>
    <w:rsid w:val="34E82AB0"/>
    <w:rsid w:val="34E8483A"/>
    <w:rsid w:val="34ED12E5"/>
    <w:rsid w:val="34EE5E92"/>
    <w:rsid w:val="34EE60AA"/>
    <w:rsid w:val="34F068C6"/>
    <w:rsid w:val="34F0752E"/>
    <w:rsid w:val="34F123BB"/>
    <w:rsid w:val="34F14B62"/>
    <w:rsid w:val="34F16D04"/>
    <w:rsid w:val="34F2562B"/>
    <w:rsid w:val="34F35558"/>
    <w:rsid w:val="34F40518"/>
    <w:rsid w:val="34F44046"/>
    <w:rsid w:val="34F53330"/>
    <w:rsid w:val="34F54F52"/>
    <w:rsid w:val="34F55788"/>
    <w:rsid w:val="34F660D3"/>
    <w:rsid w:val="34F739A1"/>
    <w:rsid w:val="34F86BB9"/>
    <w:rsid w:val="34FB064A"/>
    <w:rsid w:val="34FC5604"/>
    <w:rsid w:val="34FD0CBD"/>
    <w:rsid w:val="34FD7B87"/>
    <w:rsid w:val="34FE49EC"/>
    <w:rsid w:val="35017492"/>
    <w:rsid w:val="350226D7"/>
    <w:rsid w:val="350230FE"/>
    <w:rsid w:val="3502519D"/>
    <w:rsid w:val="350256A2"/>
    <w:rsid w:val="35032E91"/>
    <w:rsid w:val="35033B9C"/>
    <w:rsid w:val="35050B6D"/>
    <w:rsid w:val="350602B7"/>
    <w:rsid w:val="35060BAA"/>
    <w:rsid w:val="35073868"/>
    <w:rsid w:val="35073AE4"/>
    <w:rsid w:val="35093814"/>
    <w:rsid w:val="350A1116"/>
    <w:rsid w:val="350A455C"/>
    <w:rsid w:val="350A6F55"/>
    <w:rsid w:val="350C6422"/>
    <w:rsid w:val="350D0123"/>
    <w:rsid w:val="350D16C4"/>
    <w:rsid w:val="350F044E"/>
    <w:rsid w:val="350F128A"/>
    <w:rsid w:val="35112D31"/>
    <w:rsid w:val="35123BF9"/>
    <w:rsid w:val="35136695"/>
    <w:rsid w:val="35144919"/>
    <w:rsid w:val="3514522D"/>
    <w:rsid w:val="35160225"/>
    <w:rsid w:val="351702CB"/>
    <w:rsid w:val="35171410"/>
    <w:rsid w:val="351755A8"/>
    <w:rsid w:val="35176DD0"/>
    <w:rsid w:val="351A395D"/>
    <w:rsid w:val="351A7757"/>
    <w:rsid w:val="351D1833"/>
    <w:rsid w:val="351D1BF2"/>
    <w:rsid w:val="351D6603"/>
    <w:rsid w:val="351E4C0B"/>
    <w:rsid w:val="351F5D4A"/>
    <w:rsid w:val="3520771B"/>
    <w:rsid w:val="352227D8"/>
    <w:rsid w:val="35223BDB"/>
    <w:rsid w:val="35227732"/>
    <w:rsid w:val="35240BC7"/>
    <w:rsid w:val="35244CD6"/>
    <w:rsid w:val="35253716"/>
    <w:rsid w:val="352735A8"/>
    <w:rsid w:val="35292BE4"/>
    <w:rsid w:val="35296056"/>
    <w:rsid w:val="352A67C5"/>
    <w:rsid w:val="352C11AE"/>
    <w:rsid w:val="352C6457"/>
    <w:rsid w:val="352D33CA"/>
    <w:rsid w:val="352E01AE"/>
    <w:rsid w:val="353117A7"/>
    <w:rsid w:val="3532009C"/>
    <w:rsid w:val="3532276B"/>
    <w:rsid w:val="3533063F"/>
    <w:rsid w:val="35334195"/>
    <w:rsid w:val="353562E5"/>
    <w:rsid w:val="353677E6"/>
    <w:rsid w:val="35377E64"/>
    <w:rsid w:val="35396650"/>
    <w:rsid w:val="353B0096"/>
    <w:rsid w:val="353B67B0"/>
    <w:rsid w:val="353D1A16"/>
    <w:rsid w:val="353E2C2E"/>
    <w:rsid w:val="353F4F12"/>
    <w:rsid w:val="353F65EC"/>
    <w:rsid w:val="35401600"/>
    <w:rsid w:val="35406DC1"/>
    <w:rsid w:val="35412F5B"/>
    <w:rsid w:val="35423157"/>
    <w:rsid w:val="35426A33"/>
    <w:rsid w:val="354307C9"/>
    <w:rsid w:val="35465CC9"/>
    <w:rsid w:val="354667C5"/>
    <w:rsid w:val="35483B7A"/>
    <w:rsid w:val="354A5070"/>
    <w:rsid w:val="354B0138"/>
    <w:rsid w:val="354C05E1"/>
    <w:rsid w:val="354C0B94"/>
    <w:rsid w:val="354C59B6"/>
    <w:rsid w:val="354D4EB1"/>
    <w:rsid w:val="354E1922"/>
    <w:rsid w:val="354E42F2"/>
    <w:rsid w:val="3553684D"/>
    <w:rsid w:val="3556345D"/>
    <w:rsid w:val="35571787"/>
    <w:rsid w:val="355753E1"/>
    <w:rsid w:val="355769A6"/>
    <w:rsid w:val="35577502"/>
    <w:rsid w:val="3557770C"/>
    <w:rsid w:val="35586B6B"/>
    <w:rsid w:val="355915DD"/>
    <w:rsid w:val="35597ACD"/>
    <w:rsid w:val="355A28E3"/>
    <w:rsid w:val="355D3556"/>
    <w:rsid w:val="355D5BD6"/>
    <w:rsid w:val="355E5581"/>
    <w:rsid w:val="355F4E75"/>
    <w:rsid w:val="3561724F"/>
    <w:rsid w:val="356308C4"/>
    <w:rsid w:val="35633C3A"/>
    <w:rsid w:val="35643A04"/>
    <w:rsid w:val="35653694"/>
    <w:rsid w:val="35676D3C"/>
    <w:rsid w:val="35682A86"/>
    <w:rsid w:val="356A0533"/>
    <w:rsid w:val="356A7B47"/>
    <w:rsid w:val="356B1D23"/>
    <w:rsid w:val="356B315B"/>
    <w:rsid w:val="356B40CE"/>
    <w:rsid w:val="356B6B03"/>
    <w:rsid w:val="356C5178"/>
    <w:rsid w:val="356D1400"/>
    <w:rsid w:val="356D4386"/>
    <w:rsid w:val="356D529A"/>
    <w:rsid w:val="356D69D0"/>
    <w:rsid w:val="356D7084"/>
    <w:rsid w:val="356E0DCE"/>
    <w:rsid w:val="356E54B0"/>
    <w:rsid w:val="35715511"/>
    <w:rsid w:val="35724B39"/>
    <w:rsid w:val="35750129"/>
    <w:rsid w:val="35751F3B"/>
    <w:rsid w:val="35756BBF"/>
    <w:rsid w:val="35765239"/>
    <w:rsid w:val="35776BE5"/>
    <w:rsid w:val="357970C1"/>
    <w:rsid w:val="357A26EF"/>
    <w:rsid w:val="357A5F8D"/>
    <w:rsid w:val="357B2B0E"/>
    <w:rsid w:val="357C0698"/>
    <w:rsid w:val="35812AEA"/>
    <w:rsid w:val="35824B00"/>
    <w:rsid w:val="358729BE"/>
    <w:rsid w:val="35876164"/>
    <w:rsid w:val="358839D4"/>
    <w:rsid w:val="358A2AA0"/>
    <w:rsid w:val="358B2292"/>
    <w:rsid w:val="358B5088"/>
    <w:rsid w:val="358B5588"/>
    <w:rsid w:val="358C1D29"/>
    <w:rsid w:val="358C5152"/>
    <w:rsid w:val="358E07DF"/>
    <w:rsid w:val="358F1AE2"/>
    <w:rsid w:val="35930345"/>
    <w:rsid w:val="35942E2E"/>
    <w:rsid w:val="35945C9B"/>
    <w:rsid w:val="35946083"/>
    <w:rsid w:val="3596048F"/>
    <w:rsid w:val="359607F3"/>
    <w:rsid w:val="35984E39"/>
    <w:rsid w:val="3598514E"/>
    <w:rsid w:val="359902E6"/>
    <w:rsid w:val="359B06CF"/>
    <w:rsid w:val="359B0E29"/>
    <w:rsid w:val="359B3EF4"/>
    <w:rsid w:val="359B4F73"/>
    <w:rsid w:val="359C1D58"/>
    <w:rsid w:val="359D0A22"/>
    <w:rsid w:val="359D2ECA"/>
    <w:rsid w:val="359E59B5"/>
    <w:rsid w:val="35A028C2"/>
    <w:rsid w:val="35A144CE"/>
    <w:rsid w:val="35A234C0"/>
    <w:rsid w:val="35A60A78"/>
    <w:rsid w:val="35A768AE"/>
    <w:rsid w:val="35AA1FB3"/>
    <w:rsid w:val="35AA3967"/>
    <w:rsid w:val="35AA5A49"/>
    <w:rsid w:val="35AA668F"/>
    <w:rsid w:val="35B06993"/>
    <w:rsid w:val="35B22D08"/>
    <w:rsid w:val="35B246D6"/>
    <w:rsid w:val="35B272B3"/>
    <w:rsid w:val="35B34B1D"/>
    <w:rsid w:val="35B42848"/>
    <w:rsid w:val="35B5220F"/>
    <w:rsid w:val="35B54240"/>
    <w:rsid w:val="35B61A32"/>
    <w:rsid w:val="35B97D9B"/>
    <w:rsid w:val="35BA21F0"/>
    <w:rsid w:val="35BA6F5A"/>
    <w:rsid w:val="35BC12F8"/>
    <w:rsid w:val="35BC4012"/>
    <w:rsid w:val="35BC6AFF"/>
    <w:rsid w:val="35BD3570"/>
    <w:rsid w:val="35BE7316"/>
    <w:rsid w:val="35BF06FC"/>
    <w:rsid w:val="35C03A70"/>
    <w:rsid w:val="35C115A2"/>
    <w:rsid w:val="35C14143"/>
    <w:rsid w:val="35C1756A"/>
    <w:rsid w:val="35C37267"/>
    <w:rsid w:val="35C4624F"/>
    <w:rsid w:val="35C53DE7"/>
    <w:rsid w:val="35C558D4"/>
    <w:rsid w:val="35C660F3"/>
    <w:rsid w:val="35C740A4"/>
    <w:rsid w:val="35CA28D2"/>
    <w:rsid w:val="35CA5C72"/>
    <w:rsid w:val="35CD12C8"/>
    <w:rsid w:val="35CD2FBC"/>
    <w:rsid w:val="35D1551E"/>
    <w:rsid w:val="35D17C02"/>
    <w:rsid w:val="35D417D8"/>
    <w:rsid w:val="35D531D3"/>
    <w:rsid w:val="35D60931"/>
    <w:rsid w:val="35D6427F"/>
    <w:rsid w:val="35D66DDB"/>
    <w:rsid w:val="35D704E5"/>
    <w:rsid w:val="35D733CF"/>
    <w:rsid w:val="35D87BC7"/>
    <w:rsid w:val="35D95EFB"/>
    <w:rsid w:val="35DC162A"/>
    <w:rsid w:val="35DC68EF"/>
    <w:rsid w:val="35DD3C79"/>
    <w:rsid w:val="35DE3514"/>
    <w:rsid w:val="35DE468C"/>
    <w:rsid w:val="35DF2398"/>
    <w:rsid w:val="35DF64FA"/>
    <w:rsid w:val="35E0245C"/>
    <w:rsid w:val="35E115AD"/>
    <w:rsid w:val="35E34227"/>
    <w:rsid w:val="35E46BA0"/>
    <w:rsid w:val="35E6518E"/>
    <w:rsid w:val="35E86F35"/>
    <w:rsid w:val="35E87AD8"/>
    <w:rsid w:val="35E9276F"/>
    <w:rsid w:val="35E97315"/>
    <w:rsid w:val="35EA3647"/>
    <w:rsid w:val="35EB5997"/>
    <w:rsid w:val="35EB6057"/>
    <w:rsid w:val="35ED1EEC"/>
    <w:rsid w:val="35ED3209"/>
    <w:rsid w:val="35ED7178"/>
    <w:rsid w:val="35EF69DE"/>
    <w:rsid w:val="35EF74CF"/>
    <w:rsid w:val="35F1118A"/>
    <w:rsid w:val="35F1599E"/>
    <w:rsid w:val="35F26FC0"/>
    <w:rsid w:val="35F27003"/>
    <w:rsid w:val="35F353F2"/>
    <w:rsid w:val="35F368D0"/>
    <w:rsid w:val="35F43469"/>
    <w:rsid w:val="35F51CDE"/>
    <w:rsid w:val="35F51EE4"/>
    <w:rsid w:val="35F55B9C"/>
    <w:rsid w:val="35F572D0"/>
    <w:rsid w:val="35F572F2"/>
    <w:rsid w:val="35F76384"/>
    <w:rsid w:val="35F833AD"/>
    <w:rsid w:val="35F911B0"/>
    <w:rsid w:val="35FA1C69"/>
    <w:rsid w:val="35FA43D7"/>
    <w:rsid w:val="35FA4D1B"/>
    <w:rsid w:val="35FC0C62"/>
    <w:rsid w:val="35FD4593"/>
    <w:rsid w:val="35FE4504"/>
    <w:rsid w:val="35FF6F90"/>
    <w:rsid w:val="36002498"/>
    <w:rsid w:val="36003AB6"/>
    <w:rsid w:val="36007692"/>
    <w:rsid w:val="36022651"/>
    <w:rsid w:val="36023E9A"/>
    <w:rsid w:val="36024A57"/>
    <w:rsid w:val="36024FBC"/>
    <w:rsid w:val="36031684"/>
    <w:rsid w:val="360440D5"/>
    <w:rsid w:val="36047ACA"/>
    <w:rsid w:val="36053D19"/>
    <w:rsid w:val="36053FBF"/>
    <w:rsid w:val="36056B1D"/>
    <w:rsid w:val="360651B1"/>
    <w:rsid w:val="36067931"/>
    <w:rsid w:val="36094CD9"/>
    <w:rsid w:val="360D3CFD"/>
    <w:rsid w:val="360D4692"/>
    <w:rsid w:val="360D71C4"/>
    <w:rsid w:val="360E6E40"/>
    <w:rsid w:val="360E79BE"/>
    <w:rsid w:val="360F5EF3"/>
    <w:rsid w:val="36125C7B"/>
    <w:rsid w:val="36127147"/>
    <w:rsid w:val="361359D6"/>
    <w:rsid w:val="36137DE4"/>
    <w:rsid w:val="361536AD"/>
    <w:rsid w:val="36155521"/>
    <w:rsid w:val="36171AE2"/>
    <w:rsid w:val="3618585A"/>
    <w:rsid w:val="36196568"/>
    <w:rsid w:val="3619697F"/>
    <w:rsid w:val="36196DA6"/>
    <w:rsid w:val="361A0CE9"/>
    <w:rsid w:val="361B27A4"/>
    <w:rsid w:val="361B5455"/>
    <w:rsid w:val="361C19A3"/>
    <w:rsid w:val="361C1AA8"/>
    <w:rsid w:val="361C3704"/>
    <w:rsid w:val="361C5FFA"/>
    <w:rsid w:val="361D0942"/>
    <w:rsid w:val="361D2B1B"/>
    <w:rsid w:val="361D56E5"/>
    <w:rsid w:val="361E5EE5"/>
    <w:rsid w:val="361F3797"/>
    <w:rsid w:val="361F554A"/>
    <w:rsid w:val="36206210"/>
    <w:rsid w:val="362117CB"/>
    <w:rsid w:val="36213918"/>
    <w:rsid w:val="362222C1"/>
    <w:rsid w:val="36224E39"/>
    <w:rsid w:val="36225D48"/>
    <w:rsid w:val="36230789"/>
    <w:rsid w:val="362324B2"/>
    <w:rsid w:val="362335C8"/>
    <w:rsid w:val="36236BE2"/>
    <w:rsid w:val="36251E96"/>
    <w:rsid w:val="3625704C"/>
    <w:rsid w:val="36265DCE"/>
    <w:rsid w:val="3629579F"/>
    <w:rsid w:val="362A26C7"/>
    <w:rsid w:val="362D21F7"/>
    <w:rsid w:val="362D491D"/>
    <w:rsid w:val="362D65AB"/>
    <w:rsid w:val="362E1921"/>
    <w:rsid w:val="362E2305"/>
    <w:rsid w:val="362E4436"/>
    <w:rsid w:val="36302D67"/>
    <w:rsid w:val="36312119"/>
    <w:rsid w:val="36313383"/>
    <w:rsid w:val="36314F46"/>
    <w:rsid w:val="36320721"/>
    <w:rsid w:val="36320925"/>
    <w:rsid w:val="363275C5"/>
    <w:rsid w:val="363346D8"/>
    <w:rsid w:val="36344489"/>
    <w:rsid w:val="3634661D"/>
    <w:rsid w:val="36354A2F"/>
    <w:rsid w:val="363B4479"/>
    <w:rsid w:val="363B4CB1"/>
    <w:rsid w:val="363C6E14"/>
    <w:rsid w:val="363D0F5A"/>
    <w:rsid w:val="3641344D"/>
    <w:rsid w:val="36421FC3"/>
    <w:rsid w:val="364237F2"/>
    <w:rsid w:val="3642601D"/>
    <w:rsid w:val="364263EF"/>
    <w:rsid w:val="36437686"/>
    <w:rsid w:val="364410C2"/>
    <w:rsid w:val="3645066F"/>
    <w:rsid w:val="36460E87"/>
    <w:rsid w:val="36483A07"/>
    <w:rsid w:val="36486BE0"/>
    <w:rsid w:val="364A6E70"/>
    <w:rsid w:val="364B1C0E"/>
    <w:rsid w:val="364B55EC"/>
    <w:rsid w:val="364C0675"/>
    <w:rsid w:val="364C25E3"/>
    <w:rsid w:val="364C5D35"/>
    <w:rsid w:val="364D5C32"/>
    <w:rsid w:val="364E2A77"/>
    <w:rsid w:val="364F0702"/>
    <w:rsid w:val="364F48BA"/>
    <w:rsid w:val="36506CEE"/>
    <w:rsid w:val="3651122B"/>
    <w:rsid w:val="36512923"/>
    <w:rsid w:val="36512B0B"/>
    <w:rsid w:val="3652138B"/>
    <w:rsid w:val="3652180C"/>
    <w:rsid w:val="36554D00"/>
    <w:rsid w:val="36554F4B"/>
    <w:rsid w:val="36560950"/>
    <w:rsid w:val="365628BB"/>
    <w:rsid w:val="36570581"/>
    <w:rsid w:val="36571B0E"/>
    <w:rsid w:val="36576CB5"/>
    <w:rsid w:val="36593037"/>
    <w:rsid w:val="365953A2"/>
    <w:rsid w:val="365A0888"/>
    <w:rsid w:val="365A36D9"/>
    <w:rsid w:val="365B00F1"/>
    <w:rsid w:val="365B2442"/>
    <w:rsid w:val="365C4D16"/>
    <w:rsid w:val="365D6CAA"/>
    <w:rsid w:val="365E3381"/>
    <w:rsid w:val="365F1D72"/>
    <w:rsid w:val="365F4083"/>
    <w:rsid w:val="365F492F"/>
    <w:rsid w:val="3660058C"/>
    <w:rsid w:val="3660217B"/>
    <w:rsid w:val="36633511"/>
    <w:rsid w:val="3663474A"/>
    <w:rsid w:val="366559E4"/>
    <w:rsid w:val="36663B5D"/>
    <w:rsid w:val="36676226"/>
    <w:rsid w:val="36690E5C"/>
    <w:rsid w:val="3669538F"/>
    <w:rsid w:val="36695502"/>
    <w:rsid w:val="366A2FFA"/>
    <w:rsid w:val="366B4850"/>
    <w:rsid w:val="366B5984"/>
    <w:rsid w:val="366B7FCC"/>
    <w:rsid w:val="366C579A"/>
    <w:rsid w:val="366D6139"/>
    <w:rsid w:val="366F3273"/>
    <w:rsid w:val="367033E8"/>
    <w:rsid w:val="36710AF9"/>
    <w:rsid w:val="36717FDA"/>
    <w:rsid w:val="367429EE"/>
    <w:rsid w:val="36744CDE"/>
    <w:rsid w:val="36751D12"/>
    <w:rsid w:val="36754612"/>
    <w:rsid w:val="36767DD9"/>
    <w:rsid w:val="36773F8A"/>
    <w:rsid w:val="36783969"/>
    <w:rsid w:val="36791446"/>
    <w:rsid w:val="36796A99"/>
    <w:rsid w:val="367B488C"/>
    <w:rsid w:val="367C7AB2"/>
    <w:rsid w:val="367F6B6E"/>
    <w:rsid w:val="367F757D"/>
    <w:rsid w:val="368113B6"/>
    <w:rsid w:val="36812A27"/>
    <w:rsid w:val="368140B6"/>
    <w:rsid w:val="36842B01"/>
    <w:rsid w:val="36861D4F"/>
    <w:rsid w:val="36880BAF"/>
    <w:rsid w:val="368865D9"/>
    <w:rsid w:val="368B21DC"/>
    <w:rsid w:val="368B4A1A"/>
    <w:rsid w:val="368C3D6D"/>
    <w:rsid w:val="368C77E5"/>
    <w:rsid w:val="368D0473"/>
    <w:rsid w:val="36900652"/>
    <w:rsid w:val="36910EB7"/>
    <w:rsid w:val="36912F22"/>
    <w:rsid w:val="369138EC"/>
    <w:rsid w:val="36916DC8"/>
    <w:rsid w:val="36926102"/>
    <w:rsid w:val="36932BF8"/>
    <w:rsid w:val="369431FC"/>
    <w:rsid w:val="369445E7"/>
    <w:rsid w:val="36951385"/>
    <w:rsid w:val="36960014"/>
    <w:rsid w:val="3696069C"/>
    <w:rsid w:val="36986807"/>
    <w:rsid w:val="36994241"/>
    <w:rsid w:val="369C0CB5"/>
    <w:rsid w:val="369E713D"/>
    <w:rsid w:val="369F5B8B"/>
    <w:rsid w:val="369F65B2"/>
    <w:rsid w:val="369F7588"/>
    <w:rsid w:val="36A00959"/>
    <w:rsid w:val="36A3003C"/>
    <w:rsid w:val="36A36772"/>
    <w:rsid w:val="36A52284"/>
    <w:rsid w:val="36A577F3"/>
    <w:rsid w:val="36A6082F"/>
    <w:rsid w:val="36A6141F"/>
    <w:rsid w:val="36A71FB6"/>
    <w:rsid w:val="36A779ED"/>
    <w:rsid w:val="36A81CAF"/>
    <w:rsid w:val="36AA0CBE"/>
    <w:rsid w:val="36AA17B2"/>
    <w:rsid w:val="36AA4A09"/>
    <w:rsid w:val="36AB21B7"/>
    <w:rsid w:val="36AB7757"/>
    <w:rsid w:val="36AC7434"/>
    <w:rsid w:val="36AD546B"/>
    <w:rsid w:val="36AE2FCC"/>
    <w:rsid w:val="36AE76D5"/>
    <w:rsid w:val="36B06A61"/>
    <w:rsid w:val="36B32FA4"/>
    <w:rsid w:val="36B35CF8"/>
    <w:rsid w:val="36B40D56"/>
    <w:rsid w:val="36B4542C"/>
    <w:rsid w:val="36B5539E"/>
    <w:rsid w:val="36B63692"/>
    <w:rsid w:val="36B928CD"/>
    <w:rsid w:val="36B96CD0"/>
    <w:rsid w:val="36BB4A44"/>
    <w:rsid w:val="36BC1E96"/>
    <w:rsid w:val="36BD3698"/>
    <w:rsid w:val="36BE52B8"/>
    <w:rsid w:val="36BF2007"/>
    <w:rsid w:val="36C056B8"/>
    <w:rsid w:val="36C10DD9"/>
    <w:rsid w:val="36C46124"/>
    <w:rsid w:val="36C54A37"/>
    <w:rsid w:val="36C747C0"/>
    <w:rsid w:val="36C86C35"/>
    <w:rsid w:val="36C93D5B"/>
    <w:rsid w:val="36CA3A99"/>
    <w:rsid w:val="36CC3ADD"/>
    <w:rsid w:val="36CD5604"/>
    <w:rsid w:val="36CD605F"/>
    <w:rsid w:val="36CE17DB"/>
    <w:rsid w:val="36CE269E"/>
    <w:rsid w:val="36CE77E6"/>
    <w:rsid w:val="36CF31D3"/>
    <w:rsid w:val="36CF42EF"/>
    <w:rsid w:val="36CF61B5"/>
    <w:rsid w:val="36D1174D"/>
    <w:rsid w:val="36D163D0"/>
    <w:rsid w:val="36D55136"/>
    <w:rsid w:val="36D604A5"/>
    <w:rsid w:val="36D64207"/>
    <w:rsid w:val="36D71FED"/>
    <w:rsid w:val="36D853D9"/>
    <w:rsid w:val="36DD4227"/>
    <w:rsid w:val="36DE50AA"/>
    <w:rsid w:val="36DF3D35"/>
    <w:rsid w:val="36DF5796"/>
    <w:rsid w:val="36E0126E"/>
    <w:rsid w:val="36E14315"/>
    <w:rsid w:val="36E1695C"/>
    <w:rsid w:val="36E27034"/>
    <w:rsid w:val="36E311FF"/>
    <w:rsid w:val="36E36759"/>
    <w:rsid w:val="36E52359"/>
    <w:rsid w:val="36E540ED"/>
    <w:rsid w:val="36E55D05"/>
    <w:rsid w:val="36E5621C"/>
    <w:rsid w:val="36E81F7E"/>
    <w:rsid w:val="36E90BC4"/>
    <w:rsid w:val="36E9126F"/>
    <w:rsid w:val="36EA22B0"/>
    <w:rsid w:val="36EA2AA3"/>
    <w:rsid w:val="36EA5CAD"/>
    <w:rsid w:val="36EE4528"/>
    <w:rsid w:val="36EF00E1"/>
    <w:rsid w:val="36F01F10"/>
    <w:rsid w:val="36F03B1E"/>
    <w:rsid w:val="36F164C1"/>
    <w:rsid w:val="36F46804"/>
    <w:rsid w:val="36F47418"/>
    <w:rsid w:val="36F514EF"/>
    <w:rsid w:val="36F564F0"/>
    <w:rsid w:val="36F6488E"/>
    <w:rsid w:val="36F73448"/>
    <w:rsid w:val="36F87A87"/>
    <w:rsid w:val="36F9210C"/>
    <w:rsid w:val="36F9378F"/>
    <w:rsid w:val="36FA437E"/>
    <w:rsid w:val="36FC1A0F"/>
    <w:rsid w:val="36FE691F"/>
    <w:rsid w:val="36FF26B5"/>
    <w:rsid w:val="36FF3742"/>
    <w:rsid w:val="37004E1C"/>
    <w:rsid w:val="370065D2"/>
    <w:rsid w:val="37040E7F"/>
    <w:rsid w:val="37041F03"/>
    <w:rsid w:val="3705543B"/>
    <w:rsid w:val="370610EB"/>
    <w:rsid w:val="37083456"/>
    <w:rsid w:val="37085B14"/>
    <w:rsid w:val="37093437"/>
    <w:rsid w:val="370A082A"/>
    <w:rsid w:val="370A13B5"/>
    <w:rsid w:val="370A67DF"/>
    <w:rsid w:val="370C3F83"/>
    <w:rsid w:val="370C40B1"/>
    <w:rsid w:val="370C478D"/>
    <w:rsid w:val="370C55F4"/>
    <w:rsid w:val="370D09B1"/>
    <w:rsid w:val="370D15CA"/>
    <w:rsid w:val="370D55CF"/>
    <w:rsid w:val="370E3627"/>
    <w:rsid w:val="370F2805"/>
    <w:rsid w:val="3710601B"/>
    <w:rsid w:val="371077F0"/>
    <w:rsid w:val="3711663D"/>
    <w:rsid w:val="37124ABE"/>
    <w:rsid w:val="37147625"/>
    <w:rsid w:val="37150720"/>
    <w:rsid w:val="37151E08"/>
    <w:rsid w:val="37190BAD"/>
    <w:rsid w:val="37197D00"/>
    <w:rsid w:val="371C057A"/>
    <w:rsid w:val="371C0A4B"/>
    <w:rsid w:val="371D1D31"/>
    <w:rsid w:val="371E090E"/>
    <w:rsid w:val="371E0EFB"/>
    <w:rsid w:val="371F2036"/>
    <w:rsid w:val="371F4537"/>
    <w:rsid w:val="3723170C"/>
    <w:rsid w:val="372333D0"/>
    <w:rsid w:val="37242805"/>
    <w:rsid w:val="372660AB"/>
    <w:rsid w:val="37272565"/>
    <w:rsid w:val="3727575E"/>
    <w:rsid w:val="3728456C"/>
    <w:rsid w:val="372907BF"/>
    <w:rsid w:val="372B5E6F"/>
    <w:rsid w:val="372C73D8"/>
    <w:rsid w:val="372D4984"/>
    <w:rsid w:val="372E1C92"/>
    <w:rsid w:val="37310232"/>
    <w:rsid w:val="37321E92"/>
    <w:rsid w:val="37323EBA"/>
    <w:rsid w:val="37327714"/>
    <w:rsid w:val="3735578D"/>
    <w:rsid w:val="37364338"/>
    <w:rsid w:val="37373485"/>
    <w:rsid w:val="37381002"/>
    <w:rsid w:val="3738252A"/>
    <w:rsid w:val="373A1126"/>
    <w:rsid w:val="373A74A2"/>
    <w:rsid w:val="373B4245"/>
    <w:rsid w:val="373D6F32"/>
    <w:rsid w:val="373E355D"/>
    <w:rsid w:val="37401570"/>
    <w:rsid w:val="37406D71"/>
    <w:rsid w:val="37407B0B"/>
    <w:rsid w:val="37410CEE"/>
    <w:rsid w:val="37412378"/>
    <w:rsid w:val="37421C3B"/>
    <w:rsid w:val="37423330"/>
    <w:rsid w:val="37423E1E"/>
    <w:rsid w:val="37434FA3"/>
    <w:rsid w:val="37442501"/>
    <w:rsid w:val="3746093E"/>
    <w:rsid w:val="374834F2"/>
    <w:rsid w:val="37484582"/>
    <w:rsid w:val="37487697"/>
    <w:rsid w:val="37494D64"/>
    <w:rsid w:val="37496E21"/>
    <w:rsid w:val="374A2B65"/>
    <w:rsid w:val="374D4F4A"/>
    <w:rsid w:val="374E57B1"/>
    <w:rsid w:val="374F5F58"/>
    <w:rsid w:val="37502094"/>
    <w:rsid w:val="37502EF6"/>
    <w:rsid w:val="3750713E"/>
    <w:rsid w:val="37530B1E"/>
    <w:rsid w:val="375325B8"/>
    <w:rsid w:val="37543D81"/>
    <w:rsid w:val="37564E1B"/>
    <w:rsid w:val="37564EFD"/>
    <w:rsid w:val="37570E7E"/>
    <w:rsid w:val="37575F19"/>
    <w:rsid w:val="37577C54"/>
    <w:rsid w:val="3759275C"/>
    <w:rsid w:val="37593391"/>
    <w:rsid w:val="37596252"/>
    <w:rsid w:val="375964BB"/>
    <w:rsid w:val="37596A3F"/>
    <w:rsid w:val="375B2943"/>
    <w:rsid w:val="375D16A3"/>
    <w:rsid w:val="375F0685"/>
    <w:rsid w:val="375F5A81"/>
    <w:rsid w:val="37601920"/>
    <w:rsid w:val="37603B0C"/>
    <w:rsid w:val="37606003"/>
    <w:rsid w:val="3761081C"/>
    <w:rsid w:val="37622BFD"/>
    <w:rsid w:val="3762709B"/>
    <w:rsid w:val="3763655A"/>
    <w:rsid w:val="37663C77"/>
    <w:rsid w:val="37682E62"/>
    <w:rsid w:val="376842CD"/>
    <w:rsid w:val="376B0E67"/>
    <w:rsid w:val="376C2A86"/>
    <w:rsid w:val="376D2CD4"/>
    <w:rsid w:val="376F0B32"/>
    <w:rsid w:val="376F1754"/>
    <w:rsid w:val="377063EE"/>
    <w:rsid w:val="37706AA9"/>
    <w:rsid w:val="377106E2"/>
    <w:rsid w:val="377152D6"/>
    <w:rsid w:val="3772399D"/>
    <w:rsid w:val="377400D1"/>
    <w:rsid w:val="37794C4C"/>
    <w:rsid w:val="377A3EB3"/>
    <w:rsid w:val="377B1578"/>
    <w:rsid w:val="377C5B18"/>
    <w:rsid w:val="377E25E3"/>
    <w:rsid w:val="377F4846"/>
    <w:rsid w:val="377F6B42"/>
    <w:rsid w:val="37804AED"/>
    <w:rsid w:val="3781260E"/>
    <w:rsid w:val="37815AB9"/>
    <w:rsid w:val="37822B13"/>
    <w:rsid w:val="37830529"/>
    <w:rsid w:val="37854F37"/>
    <w:rsid w:val="3786246B"/>
    <w:rsid w:val="37866BEB"/>
    <w:rsid w:val="378B4A54"/>
    <w:rsid w:val="378C6487"/>
    <w:rsid w:val="378D012A"/>
    <w:rsid w:val="37902844"/>
    <w:rsid w:val="37923C04"/>
    <w:rsid w:val="379266F4"/>
    <w:rsid w:val="37933608"/>
    <w:rsid w:val="3794235F"/>
    <w:rsid w:val="3795611C"/>
    <w:rsid w:val="37970A57"/>
    <w:rsid w:val="379732A8"/>
    <w:rsid w:val="379872F0"/>
    <w:rsid w:val="37987A6D"/>
    <w:rsid w:val="379B1586"/>
    <w:rsid w:val="379B173E"/>
    <w:rsid w:val="379B67CE"/>
    <w:rsid w:val="37A16D3D"/>
    <w:rsid w:val="37A22516"/>
    <w:rsid w:val="37A427F7"/>
    <w:rsid w:val="37A42C3A"/>
    <w:rsid w:val="37A42DF7"/>
    <w:rsid w:val="37A56736"/>
    <w:rsid w:val="37A74E39"/>
    <w:rsid w:val="37A83DDA"/>
    <w:rsid w:val="37A859BE"/>
    <w:rsid w:val="37A9210A"/>
    <w:rsid w:val="37AE6590"/>
    <w:rsid w:val="37AE7644"/>
    <w:rsid w:val="37B00826"/>
    <w:rsid w:val="37B05587"/>
    <w:rsid w:val="37B06914"/>
    <w:rsid w:val="37B3439F"/>
    <w:rsid w:val="37B369A7"/>
    <w:rsid w:val="37B4467A"/>
    <w:rsid w:val="37B91065"/>
    <w:rsid w:val="37B94322"/>
    <w:rsid w:val="37BA1D1F"/>
    <w:rsid w:val="37BA4D71"/>
    <w:rsid w:val="37BA50F4"/>
    <w:rsid w:val="37BA6ECA"/>
    <w:rsid w:val="37BA7BDA"/>
    <w:rsid w:val="37BE66D6"/>
    <w:rsid w:val="37BF5EE4"/>
    <w:rsid w:val="37C14158"/>
    <w:rsid w:val="37C207D7"/>
    <w:rsid w:val="37C22CE4"/>
    <w:rsid w:val="37C26D6E"/>
    <w:rsid w:val="37C35693"/>
    <w:rsid w:val="37C52BDE"/>
    <w:rsid w:val="37C552F8"/>
    <w:rsid w:val="37C665EC"/>
    <w:rsid w:val="37C728F4"/>
    <w:rsid w:val="37C7481C"/>
    <w:rsid w:val="37C8769B"/>
    <w:rsid w:val="37C906B6"/>
    <w:rsid w:val="37C92E69"/>
    <w:rsid w:val="37CB5D1A"/>
    <w:rsid w:val="37CD6037"/>
    <w:rsid w:val="37CF7348"/>
    <w:rsid w:val="37D0507A"/>
    <w:rsid w:val="37D071D8"/>
    <w:rsid w:val="37D11D6F"/>
    <w:rsid w:val="37D2162A"/>
    <w:rsid w:val="37D236CF"/>
    <w:rsid w:val="37D42E46"/>
    <w:rsid w:val="37D46B3A"/>
    <w:rsid w:val="37D51A12"/>
    <w:rsid w:val="37DA179A"/>
    <w:rsid w:val="37DA7590"/>
    <w:rsid w:val="37DD7DB5"/>
    <w:rsid w:val="37DE00B1"/>
    <w:rsid w:val="37E07D0B"/>
    <w:rsid w:val="37E24E84"/>
    <w:rsid w:val="37E40B8A"/>
    <w:rsid w:val="37E429E1"/>
    <w:rsid w:val="37E435DE"/>
    <w:rsid w:val="37E470B4"/>
    <w:rsid w:val="37E6732B"/>
    <w:rsid w:val="37E74CB4"/>
    <w:rsid w:val="37E76A50"/>
    <w:rsid w:val="37E94D24"/>
    <w:rsid w:val="37EA3864"/>
    <w:rsid w:val="37EB2EBC"/>
    <w:rsid w:val="37EC0FF6"/>
    <w:rsid w:val="37EC15F3"/>
    <w:rsid w:val="37EC398F"/>
    <w:rsid w:val="37ED4C51"/>
    <w:rsid w:val="37ED6060"/>
    <w:rsid w:val="37EF7250"/>
    <w:rsid w:val="37F03F7B"/>
    <w:rsid w:val="37F16D49"/>
    <w:rsid w:val="37F21765"/>
    <w:rsid w:val="37F227CE"/>
    <w:rsid w:val="37F3084C"/>
    <w:rsid w:val="37F43F16"/>
    <w:rsid w:val="37F449CE"/>
    <w:rsid w:val="37F51448"/>
    <w:rsid w:val="37F6221E"/>
    <w:rsid w:val="37F73022"/>
    <w:rsid w:val="37F802D7"/>
    <w:rsid w:val="37F80F16"/>
    <w:rsid w:val="37F913F8"/>
    <w:rsid w:val="37FB2E88"/>
    <w:rsid w:val="37FB3589"/>
    <w:rsid w:val="37FB4227"/>
    <w:rsid w:val="37FC1F07"/>
    <w:rsid w:val="37FD267D"/>
    <w:rsid w:val="37FD7A99"/>
    <w:rsid w:val="37FE1D23"/>
    <w:rsid w:val="37FE500A"/>
    <w:rsid w:val="37FF1EFD"/>
    <w:rsid w:val="38011AB2"/>
    <w:rsid w:val="380219AC"/>
    <w:rsid w:val="3803123F"/>
    <w:rsid w:val="380459E1"/>
    <w:rsid w:val="38046140"/>
    <w:rsid w:val="38052593"/>
    <w:rsid w:val="38054613"/>
    <w:rsid w:val="38090444"/>
    <w:rsid w:val="380B601D"/>
    <w:rsid w:val="380C6126"/>
    <w:rsid w:val="380C6710"/>
    <w:rsid w:val="380D41F1"/>
    <w:rsid w:val="380E20DE"/>
    <w:rsid w:val="380E24EE"/>
    <w:rsid w:val="380F0BCE"/>
    <w:rsid w:val="380F4E69"/>
    <w:rsid w:val="381050CA"/>
    <w:rsid w:val="38106865"/>
    <w:rsid w:val="38122D9B"/>
    <w:rsid w:val="3812662B"/>
    <w:rsid w:val="38152A85"/>
    <w:rsid w:val="38155DCF"/>
    <w:rsid w:val="38161B25"/>
    <w:rsid w:val="38167D9C"/>
    <w:rsid w:val="38182BB8"/>
    <w:rsid w:val="38187C48"/>
    <w:rsid w:val="38190A07"/>
    <w:rsid w:val="38193F3C"/>
    <w:rsid w:val="381A04CD"/>
    <w:rsid w:val="381A0EF5"/>
    <w:rsid w:val="381A28F4"/>
    <w:rsid w:val="381A7AD9"/>
    <w:rsid w:val="381A7C22"/>
    <w:rsid w:val="381C620B"/>
    <w:rsid w:val="381C6662"/>
    <w:rsid w:val="381C724D"/>
    <w:rsid w:val="381F6CE1"/>
    <w:rsid w:val="38216AB2"/>
    <w:rsid w:val="38227834"/>
    <w:rsid w:val="38235776"/>
    <w:rsid w:val="38236878"/>
    <w:rsid w:val="38237488"/>
    <w:rsid w:val="382509A0"/>
    <w:rsid w:val="3826293A"/>
    <w:rsid w:val="382937FD"/>
    <w:rsid w:val="382A550A"/>
    <w:rsid w:val="382B1413"/>
    <w:rsid w:val="382B6D27"/>
    <w:rsid w:val="382D4285"/>
    <w:rsid w:val="382D65EA"/>
    <w:rsid w:val="382E4329"/>
    <w:rsid w:val="3830014F"/>
    <w:rsid w:val="38303C5A"/>
    <w:rsid w:val="3832604E"/>
    <w:rsid w:val="383319C0"/>
    <w:rsid w:val="38337694"/>
    <w:rsid w:val="38343680"/>
    <w:rsid w:val="38347229"/>
    <w:rsid w:val="38363C97"/>
    <w:rsid w:val="38372DBA"/>
    <w:rsid w:val="383864F2"/>
    <w:rsid w:val="383910D6"/>
    <w:rsid w:val="383D1AFD"/>
    <w:rsid w:val="383D2C18"/>
    <w:rsid w:val="383D38AC"/>
    <w:rsid w:val="383D48E3"/>
    <w:rsid w:val="383D71E0"/>
    <w:rsid w:val="383F0354"/>
    <w:rsid w:val="383F675A"/>
    <w:rsid w:val="384038F3"/>
    <w:rsid w:val="384152EF"/>
    <w:rsid w:val="3842742A"/>
    <w:rsid w:val="38446BC9"/>
    <w:rsid w:val="38447732"/>
    <w:rsid w:val="384705BC"/>
    <w:rsid w:val="3848736B"/>
    <w:rsid w:val="384A5DE4"/>
    <w:rsid w:val="384A6BD7"/>
    <w:rsid w:val="384C5298"/>
    <w:rsid w:val="384C588E"/>
    <w:rsid w:val="384D48B5"/>
    <w:rsid w:val="384E2AB1"/>
    <w:rsid w:val="384E5B3F"/>
    <w:rsid w:val="384F6795"/>
    <w:rsid w:val="384F68FC"/>
    <w:rsid w:val="38500C5B"/>
    <w:rsid w:val="3851459A"/>
    <w:rsid w:val="38517083"/>
    <w:rsid w:val="38526622"/>
    <w:rsid w:val="3855065F"/>
    <w:rsid w:val="38554BFD"/>
    <w:rsid w:val="38576791"/>
    <w:rsid w:val="3858580C"/>
    <w:rsid w:val="38591451"/>
    <w:rsid w:val="385951F7"/>
    <w:rsid w:val="385A0CAA"/>
    <w:rsid w:val="385B6F0D"/>
    <w:rsid w:val="385C1D47"/>
    <w:rsid w:val="385C5453"/>
    <w:rsid w:val="385F7666"/>
    <w:rsid w:val="38601346"/>
    <w:rsid w:val="38616A2A"/>
    <w:rsid w:val="38620169"/>
    <w:rsid w:val="3862484B"/>
    <w:rsid w:val="38647F36"/>
    <w:rsid w:val="386534CE"/>
    <w:rsid w:val="386704E5"/>
    <w:rsid w:val="3867109D"/>
    <w:rsid w:val="38673F39"/>
    <w:rsid w:val="3868266A"/>
    <w:rsid w:val="3869352A"/>
    <w:rsid w:val="3869352F"/>
    <w:rsid w:val="38697F66"/>
    <w:rsid w:val="386A4055"/>
    <w:rsid w:val="386B214B"/>
    <w:rsid w:val="386C0850"/>
    <w:rsid w:val="386C6B2D"/>
    <w:rsid w:val="386C7E1C"/>
    <w:rsid w:val="386D6404"/>
    <w:rsid w:val="386E449C"/>
    <w:rsid w:val="386F6F98"/>
    <w:rsid w:val="387167BD"/>
    <w:rsid w:val="38723099"/>
    <w:rsid w:val="387244B3"/>
    <w:rsid w:val="38745E42"/>
    <w:rsid w:val="38750761"/>
    <w:rsid w:val="38757EAC"/>
    <w:rsid w:val="38762303"/>
    <w:rsid w:val="38763157"/>
    <w:rsid w:val="38764CD3"/>
    <w:rsid w:val="38765050"/>
    <w:rsid w:val="38782D1C"/>
    <w:rsid w:val="387A20C7"/>
    <w:rsid w:val="387D7613"/>
    <w:rsid w:val="387E7CE5"/>
    <w:rsid w:val="38803AFB"/>
    <w:rsid w:val="38813E0D"/>
    <w:rsid w:val="38814469"/>
    <w:rsid w:val="388156A9"/>
    <w:rsid w:val="38820B6F"/>
    <w:rsid w:val="38851AA8"/>
    <w:rsid w:val="3885411B"/>
    <w:rsid w:val="3887271D"/>
    <w:rsid w:val="3887515D"/>
    <w:rsid w:val="38877E93"/>
    <w:rsid w:val="38883795"/>
    <w:rsid w:val="38883DEE"/>
    <w:rsid w:val="38896523"/>
    <w:rsid w:val="388B088F"/>
    <w:rsid w:val="388C4DFB"/>
    <w:rsid w:val="388D67FE"/>
    <w:rsid w:val="388E31A5"/>
    <w:rsid w:val="388E31F1"/>
    <w:rsid w:val="3890487C"/>
    <w:rsid w:val="38910757"/>
    <w:rsid w:val="38920CC4"/>
    <w:rsid w:val="389257BD"/>
    <w:rsid w:val="38936421"/>
    <w:rsid w:val="38952869"/>
    <w:rsid w:val="38955DA6"/>
    <w:rsid w:val="389618AB"/>
    <w:rsid w:val="38962069"/>
    <w:rsid w:val="38976211"/>
    <w:rsid w:val="389924E3"/>
    <w:rsid w:val="3899790E"/>
    <w:rsid w:val="389A29C0"/>
    <w:rsid w:val="389A3C43"/>
    <w:rsid w:val="389B2134"/>
    <w:rsid w:val="389B45F7"/>
    <w:rsid w:val="389C37F8"/>
    <w:rsid w:val="389D1E88"/>
    <w:rsid w:val="389D4944"/>
    <w:rsid w:val="389D66A1"/>
    <w:rsid w:val="38A07B5E"/>
    <w:rsid w:val="38A1111B"/>
    <w:rsid w:val="38A12DF7"/>
    <w:rsid w:val="38A50C65"/>
    <w:rsid w:val="38A53440"/>
    <w:rsid w:val="38A60FC5"/>
    <w:rsid w:val="38A62D35"/>
    <w:rsid w:val="38A6560E"/>
    <w:rsid w:val="38A65B9B"/>
    <w:rsid w:val="38A70E76"/>
    <w:rsid w:val="38A71C6F"/>
    <w:rsid w:val="38A74A0E"/>
    <w:rsid w:val="38A756AE"/>
    <w:rsid w:val="38A77AF0"/>
    <w:rsid w:val="38AA3F9F"/>
    <w:rsid w:val="38AD1D54"/>
    <w:rsid w:val="38AE44BD"/>
    <w:rsid w:val="38AF322C"/>
    <w:rsid w:val="38B00106"/>
    <w:rsid w:val="38B00197"/>
    <w:rsid w:val="38B26E88"/>
    <w:rsid w:val="38B36C12"/>
    <w:rsid w:val="38B46AD9"/>
    <w:rsid w:val="38B57025"/>
    <w:rsid w:val="38B63ADB"/>
    <w:rsid w:val="38B97CE0"/>
    <w:rsid w:val="38BA4FBC"/>
    <w:rsid w:val="38BB18EB"/>
    <w:rsid w:val="38BC1F35"/>
    <w:rsid w:val="38BD72DC"/>
    <w:rsid w:val="38BE48E4"/>
    <w:rsid w:val="38BF50AC"/>
    <w:rsid w:val="38C04BFA"/>
    <w:rsid w:val="38C06892"/>
    <w:rsid w:val="38C07A3E"/>
    <w:rsid w:val="38C117F2"/>
    <w:rsid w:val="38C13DC9"/>
    <w:rsid w:val="38C175D2"/>
    <w:rsid w:val="38C469DA"/>
    <w:rsid w:val="38C5040D"/>
    <w:rsid w:val="38C5053F"/>
    <w:rsid w:val="38C70664"/>
    <w:rsid w:val="38C72EE0"/>
    <w:rsid w:val="38C842FB"/>
    <w:rsid w:val="38CB0F7D"/>
    <w:rsid w:val="38CF25F4"/>
    <w:rsid w:val="38CF551D"/>
    <w:rsid w:val="38D12816"/>
    <w:rsid w:val="38D12E81"/>
    <w:rsid w:val="38D15632"/>
    <w:rsid w:val="38D20781"/>
    <w:rsid w:val="38D30699"/>
    <w:rsid w:val="38D518DF"/>
    <w:rsid w:val="38D60996"/>
    <w:rsid w:val="38D6280E"/>
    <w:rsid w:val="38D67971"/>
    <w:rsid w:val="38D77429"/>
    <w:rsid w:val="38D85F8E"/>
    <w:rsid w:val="38DB1791"/>
    <w:rsid w:val="38DC551F"/>
    <w:rsid w:val="38DE45B9"/>
    <w:rsid w:val="38DE5E5B"/>
    <w:rsid w:val="38DE7E66"/>
    <w:rsid w:val="38E000B2"/>
    <w:rsid w:val="38E631AA"/>
    <w:rsid w:val="38E74783"/>
    <w:rsid w:val="38E810BE"/>
    <w:rsid w:val="38E82589"/>
    <w:rsid w:val="38E87A87"/>
    <w:rsid w:val="38EA0422"/>
    <w:rsid w:val="38EA50AA"/>
    <w:rsid w:val="38EA623D"/>
    <w:rsid w:val="38EB2D38"/>
    <w:rsid w:val="38EC09C6"/>
    <w:rsid w:val="38EC2FB9"/>
    <w:rsid w:val="38EC3C9D"/>
    <w:rsid w:val="38ED0B89"/>
    <w:rsid w:val="38EE12FE"/>
    <w:rsid w:val="38EE1F29"/>
    <w:rsid w:val="38F03A51"/>
    <w:rsid w:val="38F131A1"/>
    <w:rsid w:val="38F1765B"/>
    <w:rsid w:val="38F62632"/>
    <w:rsid w:val="38F7538F"/>
    <w:rsid w:val="38F8160C"/>
    <w:rsid w:val="38F844C9"/>
    <w:rsid w:val="38F847DA"/>
    <w:rsid w:val="38FA2023"/>
    <w:rsid w:val="38FA7901"/>
    <w:rsid w:val="38FB050E"/>
    <w:rsid w:val="38FB4396"/>
    <w:rsid w:val="38FC73B7"/>
    <w:rsid w:val="38FC7BEF"/>
    <w:rsid w:val="38FD1942"/>
    <w:rsid w:val="38FD32FB"/>
    <w:rsid w:val="38FD4B76"/>
    <w:rsid w:val="38FD6879"/>
    <w:rsid w:val="38FE5FF3"/>
    <w:rsid w:val="38FF0F32"/>
    <w:rsid w:val="38FF2FAA"/>
    <w:rsid w:val="38FF49B8"/>
    <w:rsid w:val="38FF77F9"/>
    <w:rsid w:val="39035D8E"/>
    <w:rsid w:val="39037C3F"/>
    <w:rsid w:val="39052CE1"/>
    <w:rsid w:val="390543CD"/>
    <w:rsid w:val="390703A2"/>
    <w:rsid w:val="39087033"/>
    <w:rsid w:val="3909570E"/>
    <w:rsid w:val="390A56BE"/>
    <w:rsid w:val="390C086F"/>
    <w:rsid w:val="390D1FD8"/>
    <w:rsid w:val="390E2393"/>
    <w:rsid w:val="390F4E73"/>
    <w:rsid w:val="390F6BE3"/>
    <w:rsid w:val="3911754B"/>
    <w:rsid w:val="39121624"/>
    <w:rsid w:val="3913550E"/>
    <w:rsid w:val="391469C7"/>
    <w:rsid w:val="39156F8D"/>
    <w:rsid w:val="39167784"/>
    <w:rsid w:val="391734FE"/>
    <w:rsid w:val="391759F5"/>
    <w:rsid w:val="391945FD"/>
    <w:rsid w:val="391A1391"/>
    <w:rsid w:val="391C4E31"/>
    <w:rsid w:val="391D7415"/>
    <w:rsid w:val="391E1BF7"/>
    <w:rsid w:val="391F0EF0"/>
    <w:rsid w:val="39205398"/>
    <w:rsid w:val="39216594"/>
    <w:rsid w:val="39232F2C"/>
    <w:rsid w:val="392474F1"/>
    <w:rsid w:val="392778EC"/>
    <w:rsid w:val="3929043B"/>
    <w:rsid w:val="39294516"/>
    <w:rsid w:val="39296E04"/>
    <w:rsid w:val="39297956"/>
    <w:rsid w:val="392A0ED7"/>
    <w:rsid w:val="392A3D6B"/>
    <w:rsid w:val="392B0636"/>
    <w:rsid w:val="392B0910"/>
    <w:rsid w:val="392B61DD"/>
    <w:rsid w:val="392C1D00"/>
    <w:rsid w:val="392C47F0"/>
    <w:rsid w:val="392C7C4E"/>
    <w:rsid w:val="392D249C"/>
    <w:rsid w:val="392D2F52"/>
    <w:rsid w:val="392D552A"/>
    <w:rsid w:val="392E47B3"/>
    <w:rsid w:val="39301CA0"/>
    <w:rsid w:val="39306EA4"/>
    <w:rsid w:val="393200CA"/>
    <w:rsid w:val="393232B6"/>
    <w:rsid w:val="393314D9"/>
    <w:rsid w:val="39342575"/>
    <w:rsid w:val="393567ED"/>
    <w:rsid w:val="39361D81"/>
    <w:rsid w:val="39384C05"/>
    <w:rsid w:val="39385BEF"/>
    <w:rsid w:val="393A5CFF"/>
    <w:rsid w:val="393B0FC8"/>
    <w:rsid w:val="393E7F1D"/>
    <w:rsid w:val="393F0568"/>
    <w:rsid w:val="393F7F28"/>
    <w:rsid w:val="39403F28"/>
    <w:rsid w:val="39416B5F"/>
    <w:rsid w:val="39423892"/>
    <w:rsid w:val="394404DA"/>
    <w:rsid w:val="39440A60"/>
    <w:rsid w:val="39442518"/>
    <w:rsid w:val="39467687"/>
    <w:rsid w:val="394766CE"/>
    <w:rsid w:val="394875D0"/>
    <w:rsid w:val="39490275"/>
    <w:rsid w:val="39490F74"/>
    <w:rsid w:val="39494B67"/>
    <w:rsid w:val="394A1CE9"/>
    <w:rsid w:val="394A5D00"/>
    <w:rsid w:val="394C3CB3"/>
    <w:rsid w:val="394C6830"/>
    <w:rsid w:val="394F0934"/>
    <w:rsid w:val="3950056B"/>
    <w:rsid w:val="395046CB"/>
    <w:rsid w:val="39506841"/>
    <w:rsid w:val="39525362"/>
    <w:rsid w:val="39531C1A"/>
    <w:rsid w:val="395365E8"/>
    <w:rsid w:val="39555875"/>
    <w:rsid w:val="39561335"/>
    <w:rsid w:val="395638A8"/>
    <w:rsid w:val="39565CDD"/>
    <w:rsid w:val="395A7E3A"/>
    <w:rsid w:val="395C0F86"/>
    <w:rsid w:val="395D18B4"/>
    <w:rsid w:val="395D1D45"/>
    <w:rsid w:val="395D2C83"/>
    <w:rsid w:val="395E73B9"/>
    <w:rsid w:val="39620F48"/>
    <w:rsid w:val="39634E9D"/>
    <w:rsid w:val="39635946"/>
    <w:rsid w:val="39652E00"/>
    <w:rsid w:val="396557EC"/>
    <w:rsid w:val="39657AE3"/>
    <w:rsid w:val="3966494D"/>
    <w:rsid w:val="39665549"/>
    <w:rsid w:val="39665A15"/>
    <w:rsid w:val="396711D7"/>
    <w:rsid w:val="39673227"/>
    <w:rsid w:val="39673D64"/>
    <w:rsid w:val="39681C95"/>
    <w:rsid w:val="39683D82"/>
    <w:rsid w:val="396B542F"/>
    <w:rsid w:val="396B5D72"/>
    <w:rsid w:val="396E2735"/>
    <w:rsid w:val="396F0646"/>
    <w:rsid w:val="396F4829"/>
    <w:rsid w:val="3971108A"/>
    <w:rsid w:val="39713472"/>
    <w:rsid w:val="39713C51"/>
    <w:rsid w:val="39717F20"/>
    <w:rsid w:val="39721099"/>
    <w:rsid w:val="397228F1"/>
    <w:rsid w:val="39724627"/>
    <w:rsid w:val="39743435"/>
    <w:rsid w:val="39746E3F"/>
    <w:rsid w:val="39753AF3"/>
    <w:rsid w:val="39757DC0"/>
    <w:rsid w:val="3976260F"/>
    <w:rsid w:val="39765BA5"/>
    <w:rsid w:val="39773EA6"/>
    <w:rsid w:val="39775EFC"/>
    <w:rsid w:val="39786B1D"/>
    <w:rsid w:val="39790B27"/>
    <w:rsid w:val="39791D2E"/>
    <w:rsid w:val="39794940"/>
    <w:rsid w:val="397A23DA"/>
    <w:rsid w:val="397B4D30"/>
    <w:rsid w:val="397D1296"/>
    <w:rsid w:val="397D354F"/>
    <w:rsid w:val="397D740D"/>
    <w:rsid w:val="397E2716"/>
    <w:rsid w:val="397F6C19"/>
    <w:rsid w:val="3982065B"/>
    <w:rsid w:val="39822FC0"/>
    <w:rsid w:val="3984386F"/>
    <w:rsid w:val="39846D11"/>
    <w:rsid w:val="39851AEF"/>
    <w:rsid w:val="39853D8A"/>
    <w:rsid w:val="39857649"/>
    <w:rsid w:val="398668E3"/>
    <w:rsid w:val="398675D0"/>
    <w:rsid w:val="39871184"/>
    <w:rsid w:val="398834A2"/>
    <w:rsid w:val="398A78A1"/>
    <w:rsid w:val="398B004F"/>
    <w:rsid w:val="398D2DC1"/>
    <w:rsid w:val="398E2632"/>
    <w:rsid w:val="39900D33"/>
    <w:rsid w:val="39946272"/>
    <w:rsid w:val="3996200B"/>
    <w:rsid w:val="3997634A"/>
    <w:rsid w:val="3997770E"/>
    <w:rsid w:val="3998185A"/>
    <w:rsid w:val="39993879"/>
    <w:rsid w:val="39996EB0"/>
    <w:rsid w:val="39996F13"/>
    <w:rsid w:val="3999717E"/>
    <w:rsid w:val="399B158C"/>
    <w:rsid w:val="399B625D"/>
    <w:rsid w:val="399C48A5"/>
    <w:rsid w:val="399C5973"/>
    <w:rsid w:val="399D2AAD"/>
    <w:rsid w:val="399D7062"/>
    <w:rsid w:val="399F1D2A"/>
    <w:rsid w:val="39A01E13"/>
    <w:rsid w:val="39A051B5"/>
    <w:rsid w:val="39A1316A"/>
    <w:rsid w:val="39A341F2"/>
    <w:rsid w:val="39A405D1"/>
    <w:rsid w:val="39A43F7B"/>
    <w:rsid w:val="39A60B57"/>
    <w:rsid w:val="39A618AD"/>
    <w:rsid w:val="39A61AF8"/>
    <w:rsid w:val="39A63D02"/>
    <w:rsid w:val="39A64D09"/>
    <w:rsid w:val="39A754D1"/>
    <w:rsid w:val="39A831DD"/>
    <w:rsid w:val="39A84D10"/>
    <w:rsid w:val="39A8650E"/>
    <w:rsid w:val="39A92E57"/>
    <w:rsid w:val="39AA6DFB"/>
    <w:rsid w:val="39AB5107"/>
    <w:rsid w:val="39AD4131"/>
    <w:rsid w:val="39B0772C"/>
    <w:rsid w:val="39B24163"/>
    <w:rsid w:val="39B51B94"/>
    <w:rsid w:val="39B76556"/>
    <w:rsid w:val="39B87D80"/>
    <w:rsid w:val="39B90424"/>
    <w:rsid w:val="39B9450D"/>
    <w:rsid w:val="39BA1BA2"/>
    <w:rsid w:val="39BB0C40"/>
    <w:rsid w:val="39BB4318"/>
    <w:rsid w:val="39BB49B3"/>
    <w:rsid w:val="39BB50AE"/>
    <w:rsid w:val="39BC6D53"/>
    <w:rsid w:val="39BD6649"/>
    <w:rsid w:val="39BE063F"/>
    <w:rsid w:val="39BE78A1"/>
    <w:rsid w:val="39C02413"/>
    <w:rsid w:val="39C04AF8"/>
    <w:rsid w:val="39C10DCC"/>
    <w:rsid w:val="39C13CC9"/>
    <w:rsid w:val="39C42CE8"/>
    <w:rsid w:val="39C4743F"/>
    <w:rsid w:val="39C62D60"/>
    <w:rsid w:val="39C74C1D"/>
    <w:rsid w:val="39C87FD9"/>
    <w:rsid w:val="39C93A6A"/>
    <w:rsid w:val="39CD35CE"/>
    <w:rsid w:val="39CD63CE"/>
    <w:rsid w:val="39D22C37"/>
    <w:rsid w:val="39D335C4"/>
    <w:rsid w:val="39D45344"/>
    <w:rsid w:val="39D5087B"/>
    <w:rsid w:val="39D6293D"/>
    <w:rsid w:val="39D709EB"/>
    <w:rsid w:val="39D72BD9"/>
    <w:rsid w:val="39D77066"/>
    <w:rsid w:val="39D9302D"/>
    <w:rsid w:val="39DA54C9"/>
    <w:rsid w:val="39DB6CD8"/>
    <w:rsid w:val="39DB7DCF"/>
    <w:rsid w:val="39DC079E"/>
    <w:rsid w:val="39DC23BF"/>
    <w:rsid w:val="39DD4F2D"/>
    <w:rsid w:val="39DE0FDC"/>
    <w:rsid w:val="39DF2BDA"/>
    <w:rsid w:val="39E12C05"/>
    <w:rsid w:val="39E151A9"/>
    <w:rsid w:val="39E216EF"/>
    <w:rsid w:val="39E2441D"/>
    <w:rsid w:val="39E52BA5"/>
    <w:rsid w:val="39E6071A"/>
    <w:rsid w:val="39E7384D"/>
    <w:rsid w:val="39E916C7"/>
    <w:rsid w:val="39E930EB"/>
    <w:rsid w:val="39E96CB5"/>
    <w:rsid w:val="39EB2E48"/>
    <w:rsid w:val="39EC165E"/>
    <w:rsid w:val="39EC6B32"/>
    <w:rsid w:val="39ED6BE8"/>
    <w:rsid w:val="39EE2E33"/>
    <w:rsid w:val="39EF48C2"/>
    <w:rsid w:val="39F145F7"/>
    <w:rsid w:val="39F2241E"/>
    <w:rsid w:val="39F253E9"/>
    <w:rsid w:val="39F3044A"/>
    <w:rsid w:val="39F30896"/>
    <w:rsid w:val="39F36837"/>
    <w:rsid w:val="39F43AD4"/>
    <w:rsid w:val="39F46776"/>
    <w:rsid w:val="39F57155"/>
    <w:rsid w:val="39F6667A"/>
    <w:rsid w:val="39F910AC"/>
    <w:rsid w:val="39F92CC9"/>
    <w:rsid w:val="39F97A38"/>
    <w:rsid w:val="39FA0077"/>
    <w:rsid w:val="39FB3B58"/>
    <w:rsid w:val="39FC040D"/>
    <w:rsid w:val="39FC0696"/>
    <w:rsid w:val="39FC16E4"/>
    <w:rsid w:val="39FC6836"/>
    <w:rsid w:val="39FC702D"/>
    <w:rsid w:val="39FC79D7"/>
    <w:rsid w:val="39FD2485"/>
    <w:rsid w:val="39FF15B5"/>
    <w:rsid w:val="3A002CB2"/>
    <w:rsid w:val="3A0126ED"/>
    <w:rsid w:val="3A033D67"/>
    <w:rsid w:val="3A03778D"/>
    <w:rsid w:val="3A0466EF"/>
    <w:rsid w:val="3A05222B"/>
    <w:rsid w:val="3A06470D"/>
    <w:rsid w:val="3A08283A"/>
    <w:rsid w:val="3A086DB2"/>
    <w:rsid w:val="3A0A1D78"/>
    <w:rsid w:val="3A0A231E"/>
    <w:rsid w:val="3A0B0650"/>
    <w:rsid w:val="3A0B2DFF"/>
    <w:rsid w:val="3A0B4738"/>
    <w:rsid w:val="3A0B694A"/>
    <w:rsid w:val="3A0C2DB2"/>
    <w:rsid w:val="3A0C79FC"/>
    <w:rsid w:val="3A0D6176"/>
    <w:rsid w:val="3A0E3C46"/>
    <w:rsid w:val="3A0F23C6"/>
    <w:rsid w:val="3A0F67C2"/>
    <w:rsid w:val="3A1009B7"/>
    <w:rsid w:val="3A103DF9"/>
    <w:rsid w:val="3A1079F1"/>
    <w:rsid w:val="3A1208F3"/>
    <w:rsid w:val="3A120FE2"/>
    <w:rsid w:val="3A1545F8"/>
    <w:rsid w:val="3A163393"/>
    <w:rsid w:val="3A164978"/>
    <w:rsid w:val="3A173F7E"/>
    <w:rsid w:val="3A1757FF"/>
    <w:rsid w:val="3A183595"/>
    <w:rsid w:val="3A1863BD"/>
    <w:rsid w:val="3A1870E2"/>
    <w:rsid w:val="3A1940ED"/>
    <w:rsid w:val="3A194840"/>
    <w:rsid w:val="3A1A3188"/>
    <w:rsid w:val="3A1D16D4"/>
    <w:rsid w:val="3A1E0EB4"/>
    <w:rsid w:val="3A1E6560"/>
    <w:rsid w:val="3A1F0A1D"/>
    <w:rsid w:val="3A205A64"/>
    <w:rsid w:val="3A23434F"/>
    <w:rsid w:val="3A242D3E"/>
    <w:rsid w:val="3A246C55"/>
    <w:rsid w:val="3A266DD6"/>
    <w:rsid w:val="3A270CCE"/>
    <w:rsid w:val="3A282404"/>
    <w:rsid w:val="3A2A0724"/>
    <w:rsid w:val="3A2A2C5A"/>
    <w:rsid w:val="3A2A68E8"/>
    <w:rsid w:val="3A2B1DDC"/>
    <w:rsid w:val="3A2D38A7"/>
    <w:rsid w:val="3A2D4A9D"/>
    <w:rsid w:val="3A2E01C9"/>
    <w:rsid w:val="3A2E3D32"/>
    <w:rsid w:val="3A2F3E8D"/>
    <w:rsid w:val="3A31511B"/>
    <w:rsid w:val="3A317AB7"/>
    <w:rsid w:val="3A323DD1"/>
    <w:rsid w:val="3A330671"/>
    <w:rsid w:val="3A353EAA"/>
    <w:rsid w:val="3A3628AF"/>
    <w:rsid w:val="3A3713D2"/>
    <w:rsid w:val="3A3831AC"/>
    <w:rsid w:val="3A3C16A4"/>
    <w:rsid w:val="3A3C79F2"/>
    <w:rsid w:val="3A3D5B7E"/>
    <w:rsid w:val="3A3E5351"/>
    <w:rsid w:val="3A3E6D02"/>
    <w:rsid w:val="3A3F02FA"/>
    <w:rsid w:val="3A403C89"/>
    <w:rsid w:val="3A403F7D"/>
    <w:rsid w:val="3A413023"/>
    <w:rsid w:val="3A433CC1"/>
    <w:rsid w:val="3A437D51"/>
    <w:rsid w:val="3A451DB4"/>
    <w:rsid w:val="3A454E42"/>
    <w:rsid w:val="3A45700A"/>
    <w:rsid w:val="3A461688"/>
    <w:rsid w:val="3A474700"/>
    <w:rsid w:val="3A474F6A"/>
    <w:rsid w:val="3A480C76"/>
    <w:rsid w:val="3A481F25"/>
    <w:rsid w:val="3A490B9A"/>
    <w:rsid w:val="3A4A627E"/>
    <w:rsid w:val="3A4A6F76"/>
    <w:rsid w:val="3A4B3142"/>
    <w:rsid w:val="3A4B7F6B"/>
    <w:rsid w:val="3A4D0C68"/>
    <w:rsid w:val="3A4D33C7"/>
    <w:rsid w:val="3A4D3448"/>
    <w:rsid w:val="3A4D36FB"/>
    <w:rsid w:val="3A4D5E68"/>
    <w:rsid w:val="3A4E025A"/>
    <w:rsid w:val="3A5008CE"/>
    <w:rsid w:val="3A5052DC"/>
    <w:rsid w:val="3A536433"/>
    <w:rsid w:val="3A541A1F"/>
    <w:rsid w:val="3A542638"/>
    <w:rsid w:val="3A552868"/>
    <w:rsid w:val="3A553C81"/>
    <w:rsid w:val="3A5566D0"/>
    <w:rsid w:val="3A5766D7"/>
    <w:rsid w:val="3A58324F"/>
    <w:rsid w:val="3A5A71D0"/>
    <w:rsid w:val="3A5B0F9B"/>
    <w:rsid w:val="3A5B48FE"/>
    <w:rsid w:val="3A5C70FE"/>
    <w:rsid w:val="3A5C7E88"/>
    <w:rsid w:val="3A5D26F9"/>
    <w:rsid w:val="3A5D2817"/>
    <w:rsid w:val="3A5E4285"/>
    <w:rsid w:val="3A5E48D7"/>
    <w:rsid w:val="3A5F485A"/>
    <w:rsid w:val="3A5F4B24"/>
    <w:rsid w:val="3A5F58D8"/>
    <w:rsid w:val="3A60099C"/>
    <w:rsid w:val="3A610B6C"/>
    <w:rsid w:val="3A6133FB"/>
    <w:rsid w:val="3A615FE9"/>
    <w:rsid w:val="3A6333DD"/>
    <w:rsid w:val="3A634362"/>
    <w:rsid w:val="3A635E3C"/>
    <w:rsid w:val="3A643462"/>
    <w:rsid w:val="3A647C3D"/>
    <w:rsid w:val="3A650628"/>
    <w:rsid w:val="3A65570D"/>
    <w:rsid w:val="3A671DF1"/>
    <w:rsid w:val="3A673191"/>
    <w:rsid w:val="3A6829DF"/>
    <w:rsid w:val="3A682B4F"/>
    <w:rsid w:val="3A6959D1"/>
    <w:rsid w:val="3A696E21"/>
    <w:rsid w:val="3A6A1864"/>
    <w:rsid w:val="3A6C556D"/>
    <w:rsid w:val="3A6E3310"/>
    <w:rsid w:val="3A6F4BB4"/>
    <w:rsid w:val="3A6F7D4C"/>
    <w:rsid w:val="3A710516"/>
    <w:rsid w:val="3A7160C2"/>
    <w:rsid w:val="3A73080E"/>
    <w:rsid w:val="3A737467"/>
    <w:rsid w:val="3A74767B"/>
    <w:rsid w:val="3A767899"/>
    <w:rsid w:val="3A770D14"/>
    <w:rsid w:val="3A7A505D"/>
    <w:rsid w:val="3A7A62AC"/>
    <w:rsid w:val="3A7A745C"/>
    <w:rsid w:val="3A7A7A03"/>
    <w:rsid w:val="3A7B7AF4"/>
    <w:rsid w:val="3A7C4C29"/>
    <w:rsid w:val="3A7E4375"/>
    <w:rsid w:val="3A7E7891"/>
    <w:rsid w:val="3A800A35"/>
    <w:rsid w:val="3A81055D"/>
    <w:rsid w:val="3A816B64"/>
    <w:rsid w:val="3A823373"/>
    <w:rsid w:val="3A825339"/>
    <w:rsid w:val="3A825D45"/>
    <w:rsid w:val="3A836127"/>
    <w:rsid w:val="3A841979"/>
    <w:rsid w:val="3A851D11"/>
    <w:rsid w:val="3A855C9A"/>
    <w:rsid w:val="3A867648"/>
    <w:rsid w:val="3A870C8E"/>
    <w:rsid w:val="3A876D5F"/>
    <w:rsid w:val="3A887752"/>
    <w:rsid w:val="3A89525D"/>
    <w:rsid w:val="3A897ABC"/>
    <w:rsid w:val="3A8A2A95"/>
    <w:rsid w:val="3A8A482D"/>
    <w:rsid w:val="3A8B0CEC"/>
    <w:rsid w:val="3A8C3BDF"/>
    <w:rsid w:val="3A901D8A"/>
    <w:rsid w:val="3A904D26"/>
    <w:rsid w:val="3A9127ED"/>
    <w:rsid w:val="3A922B1F"/>
    <w:rsid w:val="3A924E47"/>
    <w:rsid w:val="3A940D6F"/>
    <w:rsid w:val="3A942344"/>
    <w:rsid w:val="3A994C79"/>
    <w:rsid w:val="3A9D63F0"/>
    <w:rsid w:val="3A9D6956"/>
    <w:rsid w:val="3A9E0D2C"/>
    <w:rsid w:val="3A9F0A5B"/>
    <w:rsid w:val="3A9F4E80"/>
    <w:rsid w:val="3AA07620"/>
    <w:rsid w:val="3AA209BB"/>
    <w:rsid w:val="3AA21046"/>
    <w:rsid w:val="3AA26FF9"/>
    <w:rsid w:val="3AA27C27"/>
    <w:rsid w:val="3AA402E7"/>
    <w:rsid w:val="3AA42343"/>
    <w:rsid w:val="3AA6031D"/>
    <w:rsid w:val="3AA7140D"/>
    <w:rsid w:val="3AA80595"/>
    <w:rsid w:val="3AA80930"/>
    <w:rsid w:val="3AA80B70"/>
    <w:rsid w:val="3AA823EF"/>
    <w:rsid w:val="3AA84B0D"/>
    <w:rsid w:val="3AA9463E"/>
    <w:rsid w:val="3AA9661A"/>
    <w:rsid w:val="3AAB6817"/>
    <w:rsid w:val="3AAC379C"/>
    <w:rsid w:val="3AAC62DC"/>
    <w:rsid w:val="3AAD1315"/>
    <w:rsid w:val="3AAF1188"/>
    <w:rsid w:val="3AAF36D1"/>
    <w:rsid w:val="3AB03CE5"/>
    <w:rsid w:val="3AB06F9C"/>
    <w:rsid w:val="3AB203FE"/>
    <w:rsid w:val="3AB20ACA"/>
    <w:rsid w:val="3AB30226"/>
    <w:rsid w:val="3AB46212"/>
    <w:rsid w:val="3AB52C6B"/>
    <w:rsid w:val="3AB62FB4"/>
    <w:rsid w:val="3AB67294"/>
    <w:rsid w:val="3AB763D8"/>
    <w:rsid w:val="3AB7651F"/>
    <w:rsid w:val="3ABA14DF"/>
    <w:rsid w:val="3ABA2851"/>
    <w:rsid w:val="3ABA44E9"/>
    <w:rsid w:val="3ABB1576"/>
    <w:rsid w:val="3ABB1B9F"/>
    <w:rsid w:val="3ABD0E98"/>
    <w:rsid w:val="3ABD7213"/>
    <w:rsid w:val="3ABE518F"/>
    <w:rsid w:val="3ABE61F1"/>
    <w:rsid w:val="3ABF3BA9"/>
    <w:rsid w:val="3AC04C02"/>
    <w:rsid w:val="3AC06EA9"/>
    <w:rsid w:val="3AC1046A"/>
    <w:rsid w:val="3AC30F2B"/>
    <w:rsid w:val="3AC31970"/>
    <w:rsid w:val="3AC37F84"/>
    <w:rsid w:val="3AC4182C"/>
    <w:rsid w:val="3AC44C76"/>
    <w:rsid w:val="3AC44CDC"/>
    <w:rsid w:val="3AC47CA0"/>
    <w:rsid w:val="3AC60A04"/>
    <w:rsid w:val="3AC62CEA"/>
    <w:rsid w:val="3AC8174D"/>
    <w:rsid w:val="3AC829E4"/>
    <w:rsid w:val="3ACA3E5E"/>
    <w:rsid w:val="3ACA6289"/>
    <w:rsid w:val="3ACA764E"/>
    <w:rsid w:val="3ACB30F0"/>
    <w:rsid w:val="3ACC2CE5"/>
    <w:rsid w:val="3ACC2FE7"/>
    <w:rsid w:val="3ACC3F8A"/>
    <w:rsid w:val="3ACC56A1"/>
    <w:rsid w:val="3ACC7098"/>
    <w:rsid w:val="3ACD3990"/>
    <w:rsid w:val="3ACE3206"/>
    <w:rsid w:val="3ACE5A37"/>
    <w:rsid w:val="3ACF241C"/>
    <w:rsid w:val="3AD10C26"/>
    <w:rsid w:val="3AD153F6"/>
    <w:rsid w:val="3AD34A39"/>
    <w:rsid w:val="3AD36D6E"/>
    <w:rsid w:val="3AD425C9"/>
    <w:rsid w:val="3AD63E74"/>
    <w:rsid w:val="3AD6727D"/>
    <w:rsid w:val="3AD67475"/>
    <w:rsid w:val="3AD703CE"/>
    <w:rsid w:val="3AD7642C"/>
    <w:rsid w:val="3AD91409"/>
    <w:rsid w:val="3ADC6903"/>
    <w:rsid w:val="3ADC7848"/>
    <w:rsid w:val="3ADD20CD"/>
    <w:rsid w:val="3ADE39F0"/>
    <w:rsid w:val="3ADE644A"/>
    <w:rsid w:val="3AE1574F"/>
    <w:rsid w:val="3AE20DB9"/>
    <w:rsid w:val="3AE33E22"/>
    <w:rsid w:val="3AE36E5C"/>
    <w:rsid w:val="3AE5673E"/>
    <w:rsid w:val="3AE65B9A"/>
    <w:rsid w:val="3AE7211D"/>
    <w:rsid w:val="3AE77DC8"/>
    <w:rsid w:val="3AE809CA"/>
    <w:rsid w:val="3AE94EF5"/>
    <w:rsid w:val="3AEA3879"/>
    <w:rsid w:val="3AEB0872"/>
    <w:rsid w:val="3AEB2F7F"/>
    <w:rsid w:val="3AEB6922"/>
    <w:rsid w:val="3AED33D2"/>
    <w:rsid w:val="3AED735A"/>
    <w:rsid w:val="3AEE7F55"/>
    <w:rsid w:val="3AEF4806"/>
    <w:rsid w:val="3AF002A2"/>
    <w:rsid w:val="3AF03139"/>
    <w:rsid w:val="3AF0359B"/>
    <w:rsid w:val="3AF04C3A"/>
    <w:rsid w:val="3AF04E89"/>
    <w:rsid w:val="3AF05AF2"/>
    <w:rsid w:val="3AF171E7"/>
    <w:rsid w:val="3AF24D8A"/>
    <w:rsid w:val="3AF34A8E"/>
    <w:rsid w:val="3AF50CC4"/>
    <w:rsid w:val="3AF556A9"/>
    <w:rsid w:val="3AF63747"/>
    <w:rsid w:val="3AF86F21"/>
    <w:rsid w:val="3AF92E95"/>
    <w:rsid w:val="3AFA0A43"/>
    <w:rsid w:val="3AFA290B"/>
    <w:rsid w:val="3AFA60D3"/>
    <w:rsid w:val="3AFA6455"/>
    <w:rsid w:val="3AFB476C"/>
    <w:rsid w:val="3AFC2C58"/>
    <w:rsid w:val="3AFD521C"/>
    <w:rsid w:val="3AFD5D94"/>
    <w:rsid w:val="3AFE65DC"/>
    <w:rsid w:val="3AFE6D33"/>
    <w:rsid w:val="3AFF7725"/>
    <w:rsid w:val="3B004663"/>
    <w:rsid w:val="3B007B7F"/>
    <w:rsid w:val="3B01357E"/>
    <w:rsid w:val="3B016FED"/>
    <w:rsid w:val="3B022ED3"/>
    <w:rsid w:val="3B036281"/>
    <w:rsid w:val="3B0506FB"/>
    <w:rsid w:val="3B0543F0"/>
    <w:rsid w:val="3B073CFA"/>
    <w:rsid w:val="3B083CD0"/>
    <w:rsid w:val="3B0B3C11"/>
    <w:rsid w:val="3B0C73A8"/>
    <w:rsid w:val="3B0E664A"/>
    <w:rsid w:val="3B100888"/>
    <w:rsid w:val="3B101426"/>
    <w:rsid w:val="3B10478A"/>
    <w:rsid w:val="3B110E9F"/>
    <w:rsid w:val="3B13165E"/>
    <w:rsid w:val="3B132658"/>
    <w:rsid w:val="3B1442BC"/>
    <w:rsid w:val="3B154C81"/>
    <w:rsid w:val="3B155F80"/>
    <w:rsid w:val="3B156589"/>
    <w:rsid w:val="3B1654FE"/>
    <w:rsid w:val="3B1739B5"/>
    <w:rsid w:val="3B173D9E"/>
    <w:rsid w:val="3B174606"/>
    <w:rsid w:val="3B177D91"/>
    <w:rsid w:val="3B183024"/>
    <w:rsid w:val="3B195F37"/>
    <w:rsid w:val="3B1A627B"/>
    <w:rsid w:val="3B1D65A8"/>
    <w:rsid w:val="3B1F0CA0"/>
    <w:rsid w:val="3B1F6759"/>
    <w:rsid w:val="3B204617"/>
    <w:rsid w:val="3B2106D6"/>
    <w:rsid w:val="3B2236ED"/>
    <w:rsid w:val="3B226610"/>
    <w:rsid w:val="3B2468ED"/>
    <w:rsid w:val="3B251429"/>
    <w:rsid w:val="3B256D6A"/>
    <w:rsid w:val="3B26403A"/>
    <w:rsid w:val="3B26452A"/>
    <w:rsid w:val="3B27125B"/>
    <w:rsid w:val="3B274EAC"/>
    <w:rsid w:val="3B280388"/>
    <w:rsid w:val="3B281D51"/>
    <w:rsid w:val="3B2B1C89"/>
    <w:rsid w:val="3B2B2265"/>
    <w:rsid w:val="3B2C129D"/>
    <w:rsid w:val="3B2C27D0"/>
    <w:rsid w:val="3B2D442B"/>
    <w:rsid w:val="3B2F5A12"/>
    <w:rsid w:val="3B304A7F"/>
    <w:rsid w:val="3B313E26"/>
    <w:rsid w:val="3B322951"/>
    <w:rsid w:val="3B352C21"/>
    <w:rsid w:val="3B361B96"/>
    <w:rsid w:val="3B3708FF"/>
    <w:rsid w:val="3B382418"/>
    <w:rsid w:val="3B382901"/>
    <w:rsid w:val="3B3A6F68"/>
    <w:rsid w:val="3B3B5389"/>
    <w:rsid w:val="3B3C138C"/>
    <w:rsid w:val="3B3C3EC1"/>
    <w:rsid w:val="3B3D075A"/>
    <w:rsid w:val="3B3D2753"/>
    <w:rsid w:val="3B3D400C"/>
    <w:rsid w:val="3B3F0AF9"/>
    <w:rsid w:val="3B4226A5"/>
    <w:rsid w:val="3B4403C1"/>
    <w:rsid w:val="3B446E67"/>
    <w:rsid w:val="3B45697D"/>
    <w:rsid w:val="3B464036"/>
    <w:rsid w:val="3B47022E"/>
    <w:rsid w:val="3B483945"/>
    <w:rsid w:val="3B4A37FB"/>
    <w:rsid w:val="3B4A5451"/>
    <w:rsid w:val="3B4D69EE"/>
    <w:rsid w:val="3B4D7A65"/>
    <w:rsid w:val="3B4E32C7"/>
    <w:rsid w:val="3B4E6984"/>
    <w:rsid w:val="3B4F7A52"/>
    <w:rsid w:val="3B514788"/>
    <w:rsid w:val="3B5423C6"/>
    <w:rsid w:val="3B54769A"/>
    <w:rsid w:val="3B55079E"/>
    <w:rsid w:val="3B5664EE"/>
    <w:rsid w:val="3B567633"/>
    <w:rsid w:val="3B57508A"/>
    <w:rsid w:val="3B583F33"/>
    <w:rsid w:val="3B5923C1"/>
    <w:rsid w:val="3B592D93"/>
    <w:rsid w:val="3B594D69"/>
    <w:rsid w:val="3B5953EB"/>
    <w:rsid w:val="3B5A0A24"/>
    <w:rsid w:val="3B5A17B1"/>
    <w:rsid w:val="3B5A42F8"/>
    <w:rsid w:val="3B5B0D3A"/>
    <w:rsid w:val="3B5E49D4"/>
    <w:rsid w:val="3B5E53F6"/>
    <w:rsid w:val="3B601F99"/>
    <w:rsid w:val="3B606496"/>
    <w:rsid w:val="3B612658"/>
    <w:rsid w:val="3B625943"/>
    <w:rsid w:val="3B632A29"/>
    <w:rsid w:val="3B640E59"/>
    <w:rsid w:val="3B670289"/>
    <w:rsid w:val="3B691B42"/>
    <w:rsid w:val="3B6A6561"/>
    <w:rsid w:val="3B6B0B9E"/>
    <w:rsid w:val="3B6B0E59"/>
    <w:rsid w:val="3B6B1D9F"/>
    <w:rsid w:val="3B6C7B85"/>
    <w:rsid w:val="3B6E533A"/>
    <w:rsid w:val="3B6E7B7D"/>
    <w:rsid w:val="3B6F777E"/>
    <w:rsid w:val="3B7049B0"/>
    <w:rsid w:val="3B706E9C"/>
    <w:rsid w:val="3B7410F9"/>
    <w:rsid w:val="3B74617A"/>
    <w:rsid w:val="3B747592"/>
    <w:rsid w:val="3B75015D"/>
    <w:rsid w:val="3B75792E"/>
    <w:rsid w:val="3B762BE7"/>
    <w:rsid w:val="3B7865EC"/>
    <w:rsid w:val="3B7D60B9"/>
    <w:rsid w:val="3B7E2AEF"/>
    <w:rsid w:val="3B853766"/>
    <w:rsid w:val="3B855B04"/>
    <w:rsid w:val="3B865E59"/>
    <w:rsid w:val="3B870E17"/>
    <w:rsid w:val="3B872869"/>
    <w:rsid w:val="3B87335E"/>
    <w:rsid w:val="3B875FD2"/>
    <w:rsid w:val="3B877645"/>
    <w:rsid w:val="3B8A2CDE"/>
    <w:rsid w:val="3B8A79B6"/>
    <w:rsid w:val="3B8C3310"/>
    <w:rsid w:val="3B8E4CED"/>
    <w:rsid w:val="3B8F5B2A"/>
    <w:rsid w:val="3B906DB8"/>
    <w:rsid w:val="3B911325"/>
    <w:rsid w:val="3B912A5C"/>
    <w:rsid w:val="3B9162E8"/>
    <w:rsid w:val="3B926B7B"/>
    <w:rsid w:val="3B926D74"/>
    <w:rsid w:val="3B9312E8"/>
    <w:rsid w:val="3B933B54"/>
    <w:rsid w:val="3B942BBB"/>
    <w:rsid w:val="3B945687"/>
    <w:rsid w:val="3B972D4A"/>
    <w:rsid w:val="3B9734F7"/>
    <w:rsid w:val="3B981C52"/>
    <w:rsid w:val="3B9904A8"/>
    <w:rsid w:val="3B993465"/>
    <w:rsid w:val="3B994110"/>
    <w:rsid w:val="3B9A138E"/>
    <w:rsid w:val="3B9B0A27"/>
    <w:rsid w:val="3B9B0F33"/>
    <w:rsid w:val="3B9C130C"/>
    <w:rsid w:val="3B9C600B"/>
    <w:rsid w:val="3B9D2CF2"/>
    <w:rsid w:val="3B9D48EB"/>
    <w:rsid w:val="3B9D7DFA"/>
    <w:rsid w:val="3B9F54F4"/>
    <w:rsid w:val="3BA034B3"/>
    <w:rsid w:val="3BA03D70"/>
    <w:rsid w:val="3BA10D78"/>
    <w:rsid w:val="3BA12207"/>
    <w:rsid w:val="3BA14F7B"/>
    <w:rsid w:val="3BA35C50"/>
    <w:rsid w:val="3BA455F8"/>
    <w:rsid w:val="3BA47028"/>
    <w:rsid w:val="3BA5106E"/>
    <w:rsid w:val="3BA57D70"/>
    <w:rsid w:val="3BA973CA"/>
    <w:rsid w:val="3BAB56AC"/>
    <w:rsid w:val="3BAE3AB5"/>
    <w:rsid w:val="3BAE5CA8"/>
    <w:rsid w:val="3BAF0B03"/>
    <w:rsid w:val="3BAF4054"/>
    <w:rsid w:val="3BB017C6"/>
    <w:rsid w:val="3BB11840"/>
    <w:rsid w:val="3BB178F1"/>
    <w:rsid w:val="3BB21243"/>
    <w:rsid w:val="3BB23479"/>
    <w:rsid w:val="3BB23C72"/>
    <w:rsid w:val="3BB254FC"/>
    <w:rsid w:val="3BB33423"/>
    <w:rsid w:val="3BB60F42"/>
    <w:rsid w:val="3BB70335"/>
    <w:rsid w:val="3BB8164D"/>
    <w:rsid w:val="3BBA6BBC"/>
    <w:rsid w:val="3BBB578D"/>
    <w:rsid w:val="3BBB7E54"/>
    <w:rsid w:val="3BBC1A53"/>
    <w:rsid w:val="3BBC7247"/>
    <w:rsid w:val="3BC0486E"/>
    <w:rsid w:val="3BC14748"/>
    <w:rsid w:val="3BC332C2"/>
    <w:rsid w:val="3BC41400"/>
    <w:rsid w:val="3BC47F27"/>
    <w:rsid w:val="3BC662E3"/>
    <w:rsid w:val="3BC81A38"/>
    <w:rsid w:val="3BC96A15"/>
    <w:rsid w:val="3BCA0CF2"/>
    <w:rsid w:val="3BCE61C7"/>
    <w:rsid w:val="3BCF5E7D"/>
    <w:rsid w:val="3BD27E01"/>
    <w:rsid w:val="3BD5426D"/>
    <w:rsid w:val="3BD62CFD"/>
    <w:rsid w:val="3BD97726"/>
    <w:rsid w:val="3BDB2EB5"/>
    <w:rsid w:val="3BDC22DA"/>
    <w:rsid w:val="3BDD1EAD"/>
    <w:rsid w:val="3BDD4C90"/>
    <w:rsid w:val="3BDD6CBD"/>
    <w:rsid w:val="3BDD7BDA"/>
    <w:rsid w:val="3BDE53D3"/>
    <w:rsid w:val="3BDF3B42"/>
    <w:rsid w:val="3BDF56E8"/>
    <w:rsid w:val="3BE13F33"/>
    <w:rsid w:val="3BE312E1"/>
    <w:rsid w:val="3BE3347F"/>
    <w:rsid w:val="3BE34947"/>
    <w:rsid w:val="3BE41411"/>
    <w:rsid w:val="3BE57DF3"/>
    <w:rsid w:val="3BE61945"/>
    <w:rsid w:val="3BE63D3A"/>
    <w:rsid w:val="3BE667D3"/>
    <w:rsid w:val="3BE67FEA"/>
    <w:rsid w:val="3BE9629A"/>
    <w:rsid w:val="3BEA65AF"/>
    <w:rsid w:val="3BEB3C77"/>
    <w:rsid w:val="3BEC27E0"/>
    <w:rsid w:val="3BED733C"/>
    <w:rsid w:val="3BEE4A4F"/>
    <w:rsid w:val="3BEF06BC"/>
    <w:rsid w:val="3BEF2D4E"/>
    <w:rsid w:val="3BF00388"/>
    <w:rsid w:val="3BF06FE4"/>
    <w:rsid w:val="3BF0753C"/>
    <w:rsid w:val="3BF11560"/>
    <w:rsid w:val="3BF206F8"/>
    <w:rsid w:val="3BF26994"/>
    <w:rsid w:val="3BF46599"/>
    <w:rsid w:val="3BF616CB"/>
    <w:rsid w:val="3BF82E56"/>
    <w:rsid w:val="3BF9470B"/>
    <w:rsid w:val="3BFA1AA1"/>
    <w:rsid w:val="3BFA705B"/>
    <w:rsid w:val="3BFA76A7"/>
    <w:rsid w:val="3BFB149C"/>
    <w:rsid w:val="3BFB52F3"/>
    <w:rsid w:val="3BFB6637"/>
    <w:rsid w:val="3BFB7D6F"/>
    <w:rsid w:val="3BFD6A9D"/>
    <w:rsid w:val="3BFE329A"/>
    <w:rsid w:val="3BFE7973"/>
    <w:rsid w:val="3BFF20D3"/>
    <w:rsid w:val="3BFF6DB5"/>
    <w:rsid w:val="3C01261E"/>
    <w:rsid w:val="3C0241BA"/>
    <w:rsid w:val="3C040110"/>
    <w:rsid w:val="3C044953"/>
    <w:rsid w:val="3C0518D5"/>
    <w:rsid w:val="3C05685F"/>
    <w:rsid w:val="3C061C00"/>
    <w:rsid w:val="3C067ED9"/>
    <w:rsid w:val="3C07174B"/>
    <w:rsid w:val="3C077D86"/>
    <w:rsid w:val="3C081E62"/>
    <w:rsid w:val="3C082E6C"/>
    <w:rsid w:val="3C0C71F2"/>
    <w:rsid w:val="3C0C7CB1"/>
    <w:rsid w:val="3C0D4B53"/>
    <w:rsid w:val="3C100D10"/>
    <w:rsid w:val="3C101C14"/>
    <w:rsid w:val="3C1076A5"/>
    <w:rsid w:val="3C1332A9"/>
    <w:rsid w:val="3C157F35"/>
    <w:rsid w:val="3C167F55"/>
    <w:rsid w:val="3C170C73"/>
    <w:rsid w:val="3C181BA3"/>
    <w:rsid w:val="3C1840DA"/>
    <w:rsid w:val="3C1C462B"/>
    <w:rsid w:val="3C1D624C"/>
    <w:rsid w:val="3C1D62E2"/>
    <w:rsid w:val="3C201A40"/>
    <w:rsid w:val="3C2126BE"/>
    <w:rsid w:val="3C2240A6"/>
    <w:rsid w:val="3C2304AF"/>
    <w:rsid w:val="3C233B08"/>
    <w:rsid w:val="3C23552B"/>
    <w:rsid w:val="3C246F9A"/>
    <w:rsid w:val="3C2554AA"/>
    <w:rsid w:val="3C267D64"/>
    <w:rsid w:val="3C270510"/>
    <w:rsid w:val="3C2725D8"/>
    <w:rsid w:val="3C2A7200"/>
    <w:rsid w:val="3C2B3637"/>
    <w:rsid w:val="3C2F6C26"/>
    <w:rsid w:val="3C300480"/>
    <w:rsid w:val="3C3063DD"/>
    <w:rsid w:val="3C3116CD"/>
    <w:rsid w:val="3C313204"/>
    <w:rsid w:val="3C314D7B"/>
    <w:rsid w:val="3C315301"/>
    <w:rsid w:val="3C3156A6"/>
    <w:rsid w:val="3C326AF3"/>
    <w:rsid w:val="3C330EFA"/>
    <w:rsid w:val="3C331A39"/>
    <w:rsid w:val="3C337AA7"/>
    <w:rsid w:val="3C3416AB"/>
    <w:rsid w:val="3C345610"/>
    <w:rsid w:val="3C354E36"/>
    <w:rsid w:val="3C36187F"/>
    <w:rsid w:val="3C3623F0"/>
    <w:rsid w:val="3C387893"/>
    <w:rsid w:val="3C3A3EAD"/>
    <w:rsid w:val="3C3A4614"/>
    <w:rsid w:val="3C3B5D33"/>
    <w:rsid w:val="3C3C36EB"/>
    <w:rsid w:val="3C3D0A16"/>
    <w:rsid w:val="3C3D338E"/>
    <w:rsid w:val="3C3D7A11"/>
    <w:rsid w:val="3C3E28C1"/>
    <w:rsid w:val="3C3F2833"/>
    <w:rsid w:val="3C3F4628"/>
    <w:rsid w:val="3C4021F0"/>
    <w:rsid w:val="3C412FC8"/>
    <w:rsid w:val="3C4267BD"/>
    <w:rsid w:val="3C433E92"/>
    <w:rsid w:val="3C440DF6"/>
    <w:rsid w:val="3C4621E9"/>
    <w:rsid w:val="3C467494"/>
    <w:rsid w:val="3C4766AB"/>
    <w:rsid w:val="3C491B00"/>
    <w:rsid w:val="3C4B11D8"/>
    <w:rsid w:val="3C4C696A"/>
    <w:rsid w:val="3C4D7906"/>
    <w:rsid w:val="3C4F35D2"/>
    <w:rsid w:val="3C4F4085"/>
    <w:rsid w:val="3C521F23"/>
    <w:rsid w:val="3C522FC4"/>
    <w:rsid w:val="3C536C6F"/>
    <w:rsid w:val="3C54116B"/>
    <w:rsid w:val="3C567E69"/>
    <w:rsid w:val="3C585C55"/>
    <w:rsid w:val="3C590725"/>
    <w:rsid w:val="3C5A2792"/>
    <w:rsid w:val="3C5A5B27"/>
    <w:rsid w:val="3C5A766D"/>
    <w:rsid w:val="3C5B1C31"/>
    <w:rsid w:val="3C5B2FAE"/>
    <w:rsid w:val="3C5B78FD"/>
    <w:rsid w:val="3C5D7FD5"/>
    <w:rsid w:val="3C5E1563"/>
    <w:rsid w:val="3C5F518D"/>
    <w:rsid w:val="3C6064B0"/>
    <w:rsid w:val="3C6236B5"/>
    <w:rsid w:val="3C642299"/>
    <w:rsid w:val="3C64568B"/>
    <w:rsid w:val="3C655AD2"/>
    <w:rsid w:val="3C6773E3"/>
    <w:rsid w:val="3C692A10"/>
    <w:rsid w:val="3C6A69F8"/>
    <w:rsid w:val="3C6C58E3"/>
    <w:rsid w:val="3C6D73A0"/>
    <w:rsid w:val="3C6E132B"/>
    <w:rsid w:val="3C6E6AA3"/>
    <w:rsid w:val="3C6F3E19"/>
    <w:rsid w:val="3C6F4525"/>
    <w:rsid w:val="3C71771B"/>
    <w:rsid w:val="3C721E2B"/>
    <w:rsid w:val="3C72598F"/>
    <w:rsid w:val="3C727323"/>
    <w:rsid w:val="3C736B23"/>
    <w:rsid w:val="3C7416F3"/>
    <w:rsid w:val="3C751054"/>
    <w:rsid w:val="3C7566F0"/>
    <w:rsid w:val="3C7600CD"/>
    <w:rsid w:val="3C772E8C"/>
    <w:rsid w:val="3C77482C"/>
    <w:rsid w:val="3C775BDA"/>
    <w:rsid w:val="3C7818F9"/>
    <w:rsid w:val="3C7869FA"/>
    <w:rsid w:val="3C7A3F3B"/>
    <w:rsid w:val="3C7A47B5"/>
    <w:rsid w:val="3C7A4BB8"/>
    <w:rsid w:val="3C7B10AD"/>
    <w:rsid w:val="3C7C1B8E"/>
    <w:rsid w:val="3C7D4CFD"/>
    <w:rsid w:val="3C7E2BF7"/>
    <w:rsid w:val="3C7F2190"/>
    <w:rsid w:val="3C7F2812"/>
    <w:rsid w:val="3C7F70D3"/>
    <w:rsid w:val="3C8021B9"/>
    <w:rsid w:val="3C80442C"/>
    <w:rsid w:val="3C806B4B"/>
    <w:rsid w:val="3C807828"/>
    <w:rsid w:val="3C8117DE"/>
    <w:rsid w:val="3C817E54"/>
    <w:rsid w:val="3C820071"/>
    <w:rsid w:val="3C825652"/>
    <w:rsid w:val="3C8409B4"/>
    <w:rsid w:val="3C855E1A"/>
    <w:rsid w:val="3C8614EF"/>
    <w:rsid w:val="3C8616A4"/>
    <w:rsid w:val="3C865C9E"/>
    <w:rsid w:val="3C876AB2"/>
    <w:rsid w:val="3C8921B5"/>
    <w:rsid w:val="3C892F8A"/>
    <w:rsid w:val="3C8A5CA3"/>
    <w:rsid w:val="3C8B00D5"/>
    <w:rsid w:val="3C8B1E3E"/>
    <w:rsid w:val="3C8B5C3A"/>
    <w:rsid w:val="3C8C2E8D"/>
    <w:rsid w:val="3C8C7672"/>
    <w:rsid w:val="3C8D394D"/>
    <w:rsid w:val="3C900EA7"/>
    <w:rsid w:val="3C9014FE"/>
    <w:rsid w:val="3C905C05"/>
    <w:rsid w:val="3C9120E0"/>
    <w:rsid w:val="3C93760A"/>
    <w:rsid w:val="3C943C3F"/>
    <w:rsid w:val="3C943CFE"/>
    <w:rsid w:val="3C944E3F"/>
    <w:rsid w:val="3C944F64"/>
    <w:rsid w:val="3C9450C1"/>
    <w:rsid w:val="3C946EF3"/>
    <w:rsid w:val="3C95149F"/>
    <w:rsid w:val="3C95498A"/>
    <w:rsid w:val="3C96432D"/>
    <w:rsid w:val="3C9645C0"/>
    <w:rsid w:val="3C9B00A9"/>
    <w:rsid w:val="3CA045C1"/>
    <w:rsid w:val="3CA10517"/>
    <w:rsid w:val="3CA16AD5"/>
    <w:rsid w:val="3CA16FAC"/>
    <w:rsid w:val="3CA21B35"/>
    <w:rsid w:val="3CA371C9"/>
    <w:rsid w:val="3CA43E32"/>
    <w:rsid w:val="3CA45D08"/>
    <w:rsid w:val="3CA528B3"/>
    <w:rsid w:val="3CA62BDB"/>
    <w:rsid w:val="3CA63B6A"/>
    <w:rsid w:val="3CA70EB7"/>
    <w:rsid w:val="3CA74738"/>
    <w:rsid w:val="3CA75AAC"/>
    <w:rsid w:val="3CA77097"/>
    <w:rsid w:val="3CA846FF"/>
    <w:rsid w:val="3CA91A43"/>
    <w:rsid w:val="3CA91AB1"/>
    <w:rsid w:val="3CAA05F4"/>
    <w:rsid w:val="3CAA2324"/>
    <w:rsid w:val="3CAB1C1E"/>
    <w:rsid w:val="3CAE5B0E"/>
    <w:rsid w:val="3CAE6D0F"/>
    <w:rsid w:val="3CAF2042"/>
    <w:rsid w:val="3CAF2ED9"/>
    <w:rsid w:val="3CB002BF"/>
    <w:rsid w:val="3CB07553"/>
    <w:rsid w:val="3CB10C79"/>
    <w:rsid w:val="3CB1107F"/>
    <w:rsid w:val="3CB148E8"/>
    <w:rsid w:val="3CB20511"/>
    <w:rsid w:val="3CB30717"/>
    <w:rsid w:val="3CB44FCF"/>
    <w:rsid w:val="3CB462DD"/>
    <w:rsid w:val="3CB46A40"/>
    <w:rsid w:val="3CB62FCE"/>
    <w:rsid w:val="3CB6743C"/>
    <w:rsid w:val="3CB7492E"/>
    <w:rsid w:val="3CB74F89"/>
    <w:rsid w:val="3CB92C22"/>
    <w:rsid w:val="3CB94957"/>
    <w:rsid w:val="3CB96D03"/>
    <w:rsid w:val="3CB97E2C"/>
    <w:rsid w:val="3CBA0106"/>
    <w:rsid w:val="3CBA2380"/>
    <w:rsid w:val="3CBA7524"/>
    <w:rsid w:val="3CBB34B0"/>
    <w:rsid w:val="3CBD6694"/>
    <w:rsid w:val="3CBE106A"/>
    <w:rsid w:val="3CBE5712"/>
    <w:rsid w:val="3CC02B12"/>
    <w:rsid w:val="3CC077CC"/>
    <w:rsid w:val="3CC12940"/>
    <w:rsid w:val="3CC13A65"/>
    <w:rsid w:val="3CC23170"/>
    <w:rsid w:val="3CC42F03"/>
    <w:rsid w:val="3CC51A86"/>
    <w:rsid w:val="3CC521E6"/>
    <w:rsid w:val="3CC81CA8"/>
    <w:rsid w:val="3CC84768"/>
    <w:rsid w:val="3CCA2316"/>
    <w:rsid w:val="3CCB4687"/>
    <w:rsid w:val="3CCB7C48"/>
    <w:rsid w:val="3CCB7D17"/>
    <w:rsid w:val="3CCC6EB2"/>
    <w:rsid w:val="3CCD0DB5"/>
    <w:rsid w:val="3CCD208A"/>
    <w:rsid w:val="3CCF4271"/>
    <w:rsid w:val="3CD01F9E"/>
    <w:rsid w:val="3CD54B9E"/>
    <w:rsid w:val="3CD61BE4"/>
    <w:rsid w:val="3CD674CA"/>
    <w:rsid w:val="3CD75427"/>
    <w:rsid w:val="3CD8065F"/>
    <w:rsid w:val="3CD8108F"/>
    <w:rsid w:val="3CDA02C7"/>
    <w:rsid w:val="3CDA1CDB"/>
    <w:rsid w:val="3CDA6648"/>
    <w:rsid w:val="3CDD6C5D"/>
    <w:rsid w:val="3CDE190E"/>
    <w:rsid w:val="3CDE67B2"/>
    <w:rsid w:val="3CDF3630"/>
    <w:rsid w:val="3CE04685"/>
    <w:rsid w:val="3CE1696B"/>
    <w:rsid w:val="3CE216CA"/>
    <w:rsid w:val="3CE2412D"/>
    <w:rsid w:val="3CE246B8"/>
    <w:rsid w:val="3CE3292C"/>
    <w:rsid w:val="3CE366AB"/>
    <w:rsid w:val="3CE36E99"/>
    <w:rsid w:val="3CE466CE"/>
    <w:rsid w:val="3CE72191"/>
    <w:rsid w:val="3CE73719"/>
    <w:rsid w:val="3CE8111C"/>
    <w:rsid w:val="3CEA45D2"/>
    <w:rsid w:val="3CEB0FED"/>
    <w:rsid w:val="3CEC262D"/>
    <w:rsid w:val="3CEC3C3F"/>
    <w:rsid w:val="3CEC5CEF"/>
    <w:rsid w:val="3CEE6EFF"/>
    <w:rsid w:val="3CEF1084"/>
    <w:rsid w:val="3CEF40F8"/>
    <w:rsid w:val="3CF05EA1"/>
    <w:rsid w:val="3CF247B0"/>
    <w:rsid w:val="3CF37A8F"/>
    <w:rsid w:val="3CF46155"/>
    <w:rsid w:val="3CF606C5"/>
    <w:rsid w:val="3CF65720"/>
    <w:rsid w:val="3CF6586B"/>
    <w:rsid w:val="3CF873E8"/>
    <w:rsid w:val="3CF93919"/>
    <w:rsid w:val="3CFB2BFE"/>
    <w:rsid w:val="3CFB498C"/>
    <w:rsid w:val="3CFB6943"/>
    <w:rsid w:val="3CFC0210"/>
    <w:rsid w:val="3CFD2C43"/>
    <w:rsid w:val="3CFF7DF0"/>
    <w:rsid w:val="3D0062AC"/>
    <w:rsid w:val="3D01327A"/>
    <w:rsid w:val="3D0139C0"/>
    <w:rsid w:val="3D041884"/>
    <w:rsid w:val="3D062BDF"/>
    <w:rsid w:val="3D064F7E"/>
    <w:rsid w:val="3D094F3F"/>
    <w:rsid w:val="3D0C62C8"/>
    <w:rsid w:val="3D0C72FA"/>
    <w:rsid w:val="3D0E1A56"/>
    <w:rsid w:val="3D0F161F"/>
    <w:rsid w:val="3D0F5AA5"/>
    <w:rsid w:val="3D0F7539"/>
    <w:rsid w:val="3D105235"/>
    <w:rsid w:val="3D107954"/>
    <w:rsid w:val="3D112940"/>
    <w:rsid w:val="3D1406E9"/>
    <w:rsid w:val="3D143CBF"/>
    <w:rsid w:val="3D1465C6"/>
    <w:rsid w:val="3D1673BC"/>
    <w:rsid w:val="3D171B22"/>
    <w:rsid w:val="3D177A20"/>
    <w:rsid w:val="3D1953A9"/>
    <w:rsid w:val="3D195DDB"/>
    <w:rsid w:val="3D1A76B2"/>
    <w:rsid w:val="3D1B277C"/>
    <w:rsid w:val="3D1B2CD2"/>
    <w:rsid w:val="3D1B4B11"/>
    <w:rsid w:val="3D1C1C9A"/>
    <w:rsid w:val="3D1C3BD4"/>
    <w:rsid w:val="3D1C6C59"/>
    <w:rsid w:val="3D1D43D4"/>
    <w:rsid w:val="3D1D4BFF"/>
    <w:rsid w:val="3D1F2341"/>
    <w:rsid w:val="3D205FC9"/>
    <w:rsid w:val="3D2230C8"/>
    <w:rsid w:val="3D22408E"/>
    <w:rsid w:val="3D233F03"/>
    <w:rsid w:val="3D237AE0"/>
    <w:rsid w:val="3D241873"/>
    <w:rsid w:val="3D2449E3"/>
    <w:rsid w:val="3D26158F"/>
    <w:rsid w:val="3D2828CA"/>
    <w:rsid w:val="3D282B8C"/>
    <w:rsid w:val="3D2A40D7"/>
    <w:rsid w:val="3D2A461C"/>
    <w:rsid w:val="3D2B1A89"/>
    <w:rsid w:val="3D2B1E27"/>
    <w:rsid w:val="3D2B27C3"/>
    <w:rsid w:val="3D2B34AC"/>
    <w:rsid w:val="3D2B5C7F"/>
    <w:rsid w:val="3D2D4756"/>
    <w:rsid w:val="3D2E390B"/>
    <w:rsid w:val="3D2F0588"/>
    <w:rsid w:val="3D2F72BC"/>
    <w:rsid w:val="3D310B35"/>
    <w:rsid w:val="3D312510"/>
    <w:rsid w:val="3D331B18"/>
    <w:rsid w:val="3D381CE4"/>
    <w:rsid w:val="3D3879AE"/>
    <w:rsid w:val="3D39106D"/>
    <w:rsid w:val="3D391B00"/>
    <w:rsid w:val="3D3937D8"/>
    <w:rsid w:val="3D3A22B5"/>
    <w:rsid w:val="3D3D1420"/>
    <w:rsid w:val="3D3E2E5C"/>
    <w:rsid w:val="3D402D06"/>
    <w:rsid w:val="3D411F8D"/>
    <w:rsid w:val="3D412ECA"/>
    <w:rsid w:val="3D422144"/>
    <w:rsid w:val="3D4420C2"/>
    <w:rsid w:val="3D4421F4"/>
    <w:rsid w:val="3D4621C3"/>
    <w:rsid w:val="3D4664A6"/>
    <w:rsid w:val="3D473739"/>
    <w:rsid w:val="3D4746B4"/>
    <w:rsid w:val="3D48137A"/>
    <w:rsid w:val="3D48580C"/>
    <w:rsid w:val="3D496702"/>
    <w:rsid w:val="3D496BE9"/>
    <w:rsid w:val="3D4A064F"/>
    <w:rsid w:val="3D4C29AE"/>
    <w:rsid w:val="3D4E53EC"/>
    <w:rsid w:val="3D4E6CFE"/>
    <w:rsid w:val="3D4F46D9"/>
    <w:rsid w:val="3D502BE8"/>
    <w:rsid w:val="3D515FED"/>
    <w:rsid w:val="3D521C2B"/>
    <w:rsid w:val="3D543F0A"/>
    <w:rsid w:val="3D572A7A"/>
    <w:rsid w:val="3D576913"/>
    <w:rsid w:val="3D577E79"/>
    <w:rsid w:val="3D595A5F"/>
    <w:rsid w:val="3D5A55D7"/>
    <w:rsid w:val="3D5A6A4C"/>
    <w:rsid w:val="3D5B256E"/>
    <w:rsid w:val="3D5C4D9A"/>
    <w:rsid w:val="3D5E0D3D"/>
    <w:rsid w:val="3D5E6CB7"/>
    <w:rsid w:val="3D5E7DCF"/>
    <w:rsid w:val="3D5F377A"/>
    <w:rsid w:val="3D622A1B"/>
    <w:rsid w:val="3D624A2B"/>
    <w:rsid w:val="3D65327E"/>
    <w:rsid w:val="3D68456B"/>
    <w:rsid w:val="3D6A0488"/>
    <w:rsid w:val="3D6B12F4"/>
    <w:rsid w:val="3D6B290E"/>
    <w:rsid w:val="3D7144F0"/>
    <w:rsid w:val="3D721126"/>
    <w:rsid w:val="3D7252C0"/>
    <w:rsid w:val="3D726AA8"/>
    <w:rsid w:val="3D745A18"/>
    <w:rsid w:val="3D7613BD"/>
    <w:rsid w:val="3D770366"/>
    <w:rsid w:val="3D782692"/>
    <w:rsid w:val="3D787FC7"/>
    <w:rsid w:val="3D7B2B6B"/>
    <w:rsid w:val="3D7B70A2"/>
    <w:rsid w:val="3D7C768E"/>
    <w:rsid w:val="3D7D19C2"/>
    <w:rsid w:val="3D7D7723"/>
    <w:rsid w:val="3D7E1B5C"/>
    <w:rsid w:val="3D7F6513"/>
    <w:rsid w:val="3D7F6659"/>
    <w:rsid w:val="3D804C09"/>
    <w:rsid w:val="3D812890"/>
    <w:rsid w:val="3D813929"/>
    <w:rsid w:val="3D8314FE"/>
    <w:rsid w:val="3D835597"/>
    <w:rsid w:val="3D8375B4"/>
    <w:rsid w:val="3D8428C3"/>
    <w:rsid w:val="3D85200E"/>
    <w:rsid w:val="3D855D74"/>
    <w:rsid w:val="3D860757"/>
    <w:rsid w:val="3D860D4A"/>
    <w:rsid w:val="3D864C36"/>
    <w:rsid w:val="3D872A86"/>
    <w:rsid w:val="3D883E24"/>
    <w:rsid w:val="3D890F94"/>
    <w:rsid w:val="3D89560A"/>
    <w:rsid w:val="3D8A6949"/>
    <w:rsid w:val="3D8C1386"/>
    <w:rsid w:val="3D8C4230"/>
    <w:rsid w:val="3D8C71F5"/>
    <w:rsid w:val="3D8D32B7"/>
    <w:rsid w:val="3D8F2D70"/>
    <w:rsid w:val="3D902521"/>
    <w:rsid w:val="3D9026D6"/>
    <w:rsid w:val="3D913F5B"/>
    <w:rsid w:val="3D9177DE"/>
    <w:rsid w:val="3D9257EE"/>
    <w:rsid w:val="3D945432"/>
    <w:rsid w:val="3D9455B2"/>
    <w:rsid w:val="3D946BD6"/>
    <w:rsid w:val="3D9657A5"/>
    <w:rsid w:val="3D967916"/>
    <w:rsid w:val="3D974C3D"/>
    <w:rsid w:val="3D980498"/>
    <w:rsid w:val="3D99426D"/>
    <w:rsid w:val="3D995205"/>
    <w:rsid w:val="3D9A4A2F"/>
    <w:rsid w:val="3D9A5F34"/>
    <w:rsid w:val="3D9B1032"/>
    <w:rsid w:val="3D9C56A1"/>
    <w:rsid w:val="3D9D0125"/>
    <w:rsid w:val="3D9D5C91"/>
    <w:rsid w:val="3DA04B09"/>
    <w:rsid w:val="3DA16160"/>
    <w:rsid w:val="3DA34260"/>
    <w:rsid w:val="3DA43C7F"/>
    <w:rsid w:val="3DA61188"/>
    <w:rsid w:val="3DA70D4C"/>
    <w:rsid w:val="3DA74AA6"/>
    <w:rsid w:val="3DA74B34"/>
    <w:rsid w:val="3DA76974"/>
    <w:rsid w:val="3DA82C14"/>
    <w:rsid w:val="3DA82C15"/>
    <w:rsid w:val="3DA90669"/>
    <w:rsid w:val="3DA9093F"/>
    <w:rsid w:val="3DAA0A69"/>
    <w:rsid w:val="3DAA430A"/>
    <w:rsid w:val="3DAC2795"/>
    <w:rsid w:val="3DAC4EF3"/>
    <w:rsid w:val="3DB039E8"/>
    <w:rsid w:val="3DB04A74"/>
    <w:rsid w:val="3DB317C9"/>
    <w:rsid w:val="3DB460E3"/>
    <w:rsid w:val="3DB478A6"/>
    <w:rsid w:val="3DB50FFF"/>
    <w:rsid w:val="3DB6696D"/>
    <w:rsid w:val="3DB70B26"/>
    <w:rsid w:val="3DB75565"/>
    <w:rsid w:val="3DB77AFD"/>
    <w:rsid w:val="3DB84E8C"/>
    <w:rsid w:val="3DB8676A"/>
    <w:rsid w:val="3DB8733F"/>
    <w:rsid w:val="3DB97305"/>
    <w:rsid w:val="3DB9791F"/>
    <w:rsid w:val="3DBA28B2"/>
    <w:rsid w:val="3DBC5557"/>
    <w:rsid w:val="3DBD4D10"/>
    <w:rsid w:val="3DBE2801"/>
    <w:rsid w:val="3DC12614"/>
    <w:rsid w:val="3DC17AD3"/>
    <w:rsid w:val="3DC243BB"/>
    <w:rsid w:val="3DC62A2F"/>
    <w:rsid w:val="3DC64D1E"/>
    <w:rsid w:val="3DCA44B4"/>
    <w:rsid w:val="3DCA4AE7"/>
    <w:rsid w:val="3DCC4556"/>
    <w:rsid w:val="3DCC585A"/>
    <w:rsid w:val="3DCC6BD5"/>
    <w:rsid w:val="3DCD0F56"/>
    <w:rsid w:val="3DCE129E"/>
    <w:rsid w:val="3DCF0060"/>
    <w:rsid w:val="3DCF4977"/>
    <w:rsid w:val="3DD03298"/>
    <w:rsid w:val="3DD23D9A"/>
    <w:rsid w:val="3DD33132"/>
    <w:rsid w:val="3DD3798C"/>
    <w:rsid w:val="3DD41730"/>
    <w:rsid w:val="3DD4570A"/>
    <w:rsid w:val="3DD52320"/>
    <w:rsid w:val="3DD732E9"/>
    <w:rsid w:val="3DDA6EA6"/>
    <w:rsid w:val="3DDB406A"/>
    <w:rsid w:val="3DDC31E2"/>
    <w:rsid w:val="3DDC3D01"/>
    <w:rsid w:val="3DDD058E"/>
    <w:rsid w:val="3DDD3FE0"/>
    <w:rsid w:val="3DDE6224"/>
    <w:rsid w:val="3DE012B0"/>
    <w:rsid w:val="3DE018FA"/>
    <w:rsid w:val="3DE01B77"/>
    <w:rsid w:val="3DE15FE6"/>
    <w:rsid w:val="3DE44FC2"/>
    <w:rsid w:val="3DE47141"/>
    <w:rsid w:val="3DE7078D"/>
    <w:rsid w:val="3DE9204C"/>
    <w:rsid w:val="3DEA0358"/>
    <w:rsid w:val="3DEA2397"/>
    <w:rsid w:val="3DEA41FE"/>
    <w:rsid w:val="3DEA5A40"/>
    <w:rsid w:val="3DEA67CE"/>
    <w:rsid w:val="3DEB01AD"/>
    <w:rsid w:val="3DEC67D0"/>
    <w:rsid w:val="3DED67F6"/>
    <w:rsid w:val="3DEE0EF8"/>
    <w:rsid w:val="3DEE11E9"/>
    <w:rsid w:val="3DEE7AC6"/>
    <w:rsid w:val="3DEF24EB"/>
    <w:rsid w:val="3DEF2925"/>
    <w:rsid w:val="3DF054BD"/>
    <w:rsid w:val="3DF07830"/>
    <w:rsid w:val="3DF32A89"/>
    <w:rsid w:val="3DF32D70"/>
    <w:rsid w:val="3DF3661F"/>
    <w:rsid w:val="3DF40517"/>
    <w:rsid w:val="3DF65EB8"/>
    <w:rsid w:val="3DF71375"/>
    <w:rsid w:val="3DF7361F"/>
    <w:rsid w:val="3DF8713D"/>
    <w:rsid w:val="3DF913BD"/>
    <w:rsid w:val="3DF95770"/>
    <w:rsid w:val="3DF97096"/>
    <w:rsid w:val="3DFA6F9B"/>
    <w:rsid w:val="3DFB3C6F"/>
    <w:rsid w:val="3DFC0082"/>
    <w:rsid w:val="3DFD1AE0"/>
    <w:rsid w:val="3DFF0E3B"/>
    <w:rsid w:val="3DFF2DED"/>
    <w:rsid w:val="3DFF3DB6"/>
    <w:rsid w:val="3E003838"/>
    <w:rsid w:val="3E0076CD"/>
    <w:rsid w:val="3E013C65"/>
    <w:rsid w:val="3E014A66"/>
    <w:rsid w:val="3E017C97"/>
    <w:rsid w:val="3E026093"/>
    <w:rsid w:val="3E03222E"/>
    <w:rsid w:val="3E0528EA"/>
    <w:rsid w:val="3E0652F9"/>
    <w:rsid w:val="3E075814"/>
    <w:rsid w:val="3E091363"/>
    <w:rsid w:val="3E0A6592"/>
    <w:rsid w:val="3E0F1F62"/>
    <w:rsid w:val="3E111AA5"/>
    <w:rsid w:val="3E1201FF"/>
    <w:rsid w:val="3E134BD4"/>
    <w:rsid w:val="3E134E6D"/>
    <w:rsid w:val="3E136E0C"/>
    <w:rsid w:val="3E136E47"/>
    <w:rsid w:val="3E142816"/>
    <w:rsid w:val="3E146489"/>
    <w:rsid w:val="3E181F1E"/>
    <w:rsid w:val="3E184CBC"/>
    <w:rsid w:val="3E1A132C"/>
    <w:rsid w:val="3E1A4012"/>
    <w:rsid w:val="3E1B0019"/>
    <w:rsid w:val="3E1D1927"/>
    <w:rsid w:val="3E1F46CA"/>
    <w:rsid w:val="3E1F4A2A"/>
    <w:rsid w:val="3E1F4A3C"/>
    <w:rsid w:val="3E1F7CE3"/>
    <w:rsid w:val="3E222D55"/>
    <w:rsid w:val="3E225934"/>
    <w:rsid w:val="3E227F07"/>
    <w:rsid w:val="3E236353"/>
    <w:rsid w:val="3E260CB4"/>
    <w:rsid w:val="3E2639E0"/>
    <w:rsid w:val="3E264E72"/>
    <w:rsid w:val="3E27554A"/>
    <w:rsid w:val="3E292CA8"/>
    <w:rsid w:val="3E297EFA"/>
    <w:rsid w:val="3E2B186A"/>
    <w:rsid w:val="3E2D4FA8"/>
    <w:rsid w:val="3E2D7384"/>
    <w:rsid w:val="3E2E4FEF"/>
    <w:rsid w:val="3E2E7A2E"/>
    <w:rsid w:val="3E2E7BC4"/>
    <w:rsid w:val="3E2F524E"/>
    <w:rsid w:val="3E307D55"/>
    <w:rsid w:val="3E3255E6"/>
    <w:rsid w:val="3E3273C2"/>
    <w:rsid w:val="3E366CDD"/>
    <w:rsid w:val="3E367403"/>
    <w:rsid w:val="3E37633F"/>
    <w:rsid w:val="3E385155"/>
    <w:rsid w:val="3E3C1720"/>
    <w:rsid w:val="3E3D3AD4"/>
    <w:rsid w:val="3E3E30F7"/>
    <w:rsid w:val="3E3E6B90"/>
    <w:rsid w:val="3E3F0CFA"/>
    <w:rsid w:val="3E3F1765"/>
    <w:rsid w:val="3E3F4621"/>
    <w:rsid w:val="3E3F78A3"/>
    <w:rsid w:val="3E4120B3"/>
    <w:rsid w:val="3E41496B"/>
    <w:rsid w:val="3E4179FB"/>
    <w:rsid w:val="3E426498"/>
    <w:rsid w:val="3E4271F2"/>
    <w:rsid w:val="3E431AB4"/>
    <w:rsid w:val="3E434C85"/>
    <w:rsid w:val="3E4415FF"/>
    <w:rsid w:val="3E444411"/>
    <w:rsid w:val="3E4908C9"/>
    <w:rsid w:val="3E4A15DF"/>
    <w:rsid w:val="3E4A4B1B"/>
    <w:rsid w:val="3E4C6CAB"/>
    <w:rsid w:val="3E4E78EC"/>
    <w:rsid w:val="3E520312"/>
    <w:rsid w:val="3E5217B3"/>
    <w:rsid w:val="3E522FE1"/>
    <w:rsid w:val="3E5459F1"/>
    <w:rsid w:val="3E545F86"/>
    <w:rsid w:val="3E5500B7"/>
    <w:rsid w:val="3E56473A"/>
    <w:rsid w:val="3E590AEF"/>
    <w:rsid w:val="3E592FA3"/>
    <w:rsid w:val="3E595E2E"/>
    <w:rsid w:val="3E5A0E12"/>
    <w:rsid w:val="3E5B1D20"/>
    <w:rsid w:val="3E5B570C"/>
    <w:rsid w:val="3E5C3CD9"/>
    <w:rsid w:val="3E5C4B57"/>
    <w:rsid w:val="3E5C550A"/>
    <w:rsid w:val="3E5C6F31"/>
    <w:rsid w:val="3E5F37DD"/>
    <w:rsid w:val="3E6025C0"/>
    <w:rsid w:val="3E6601D8"/>
    <w:rsid w:val="3E665D1A"/>
    <w:rsid w:val="3E6777ED"/>
    <w:rsid w:val="3E68164F"/>
    <w:rsid w:val="3E687F82"/>
    <w:rsid w:val="3E69661A"/>
    <w:rsid w:val="3E6A7676"/>
    <w:rsid w:val="3E6B0989"/>
    <w:rsid w:val="3E6B2859"/>
    <w:rsid w:val="3E6C14A2"/>
    <w:rsid w:val="3E6D5E6A"/>
    <w:rsid w:val="3E6E150A"/>
    <w:rsid w:val="3E6F216A"/>
    <w:rsid w:val="3E6F2677"/>
    <w:rsid w:val="3E6F26E5"/>
    <w:rsid w:val="3E6F3F8F"/>
    <w:rsid w:val="3E7013D9"/>
    <w:rsid w:val="3E70409E"/>
    <w:rsid w:val="3E720116"/>
    <w:rsid w:val="3E732391"/>
    <w:rsid w:val="3E7352A3"/>
    <w:rsid w:val="3E736CED"/>
    <w:rsid w:val="3E745600"/>
    <w:rsid w:val="3E751EB3"/>
    <w:rsid w:val="3E755707"/>
    <w:rsid w:val="3E770D35"/>
    <w:rsid w:val="3E774506"/>
    <w:rsid w:val="3E775D10"/>
    <w:rsid w:val="3E7834DA"/>
    <w:rsid w:val="3E791B3B"/>
    <w:rsid w:val="3E792998"/>
    <w:rsid w:val="3E797112"/>
    <w:rsid w:val="3E7D3000"/>
    <w:rsid w:val="3E7D35DE"/>
    <w:rsid w:val="3E7D4BE9"/>
    <w:rsid w:val="3E7F7191"/>
    <w:rsid w:val="3E820802"/>
    <w:rsid w:val="3E821771"/>
    <w:rsid w:val="3E85570E"/>
    <w:rsid w:val="3E862419"/>
    <w:rsid w:val="3E8641B8"/>
    <w:rsid w:val="3E867D7A"/>
    <w:rsid w:val="3E870E86"/>
    <w:rsid w:val="3E871F6A"/>
    <w:rsid w:val="3E88123A"/>
    <w:rsid w:val="3E88279C"/>
    <w:rsid w:val="3E885918"/>
    <w:rsid w:val="3E887DFC"/>
    <w:rsid w:val="3E8D3F20"/>
    <w:rsid w:val="3E8F16B2"/>
    <w:rsid w:val="3E902B0D"/>
    <w:rsid w:val="3E9136B8"/>
    <w:rsid w:val="3E917D60"/>
    <w:rsid w:val="3E951B8A"/>
    <w:rsid w:val="3E956D46"/>
    <w:rsid w:val="3E96424D"/>
    <w:rsid w:val="3E97228B"/>
    <w:rsid w:val="3E980D26"/>
    <w:rsid w:val="3E991265"/>
    <w:rsid w:val="3E9B6326"/>
    <w:rsid w:val="3E9C1B4E"/>
    <w:rsid w:val="3E9C4D84"/>
    <w:rsid w:val="3E9D359C"/>
    <w:rsid w:val="3E9E6BA9"/>
    <w:rsid w:val="3E9F16EF"/>
    <w:rsid w:val="3EA038C6"/>
    <w:rsid w:val="3EA06D24"/>
    <w:rsid w:val="3EA100F9"/>
    <w:rsid w:val="3EA647E3"/>
    <w:rsid w:val="3EA744E7"/>
    <w:rsid w:val="3EA82847"/>
    <w:rsid w:val="3EA92FC6"/>
    <w:rsid w:val="3EAA1BE5"/>
    <w:rsid w:val="3EAA2FCF"/>
    <w:rsid w:val="3EAC0AB3"/>
    <w:rsid w:val="3EAC3865"/>
    <w:rsid w:val="3EAC48AB"/>
    <w:rsid w:val="3EAC69B8"/>
    <w:rsid w:val="3EAD301F"/>
    <w:rsid w:val="3EAF15C5"/>
    <w:rsid w:val="3EAF27EE"/>
    <w:rsid w:val="3EAF508F"/>
    <w:rsid w:val="3EB153CF"/>
    <w:rsid w:val="3EB162ED"/>
    <w:rsid w:val="3EB40CCE"/>
    <w:rsid w:val="3EB468F2"/>
    <w:rsid w:val="3EB7563B"/>
    <w:rsid w:val="3EB81042"/>
    <w:rsid w:val="3EB94406"/>
    <w:rsid w:val="3EBA3C06"/>
    <w:rsid w:val="3EBA6744"/>
    <w:rsid w:val="3EBC2FEE"/>
    <w:rsid w:val="3EBC4389"/>
    <w:rsid w:val="3EBC460F"/>
    <w:rsid w:val="3EBE7A82"/>
    <w:rsid w:val="3EBF7A28"/>
    <w:rsid w:val="3EC21F5C"/>
    <w:rsid w:val="3EC425DF"/>
    <w:rsid w:val="3EC7151B"/>
    <w:rsid w:val="3ECA16D8"/>
    <w:rsid w:val="3ECB031D"/>
    <w:rsid w:val="3ECC41CF"/>
    <w:rsid w:val="3ECE409C"/>
    <w:rsid w:val="3ECE5739"/>
    <w:rsid w:val="3ECE7AAE"/>
    <w:rsid w:val="3ECF054F"/>
    <w:rsid w:val="3ECF1338"/>
    <w:rsid w:val="3ED10817"/>
    <w:rsid w:val="3ED140D1"/>
    <w:rsid w:val="3ED211B8"/>
    <w:rsid w:val="3ED36569"/>
    <w:rsid w:val="3ED41199"/>
    <w:rsid w:val="3ED44303"/>
    <w:rsid w:val="3ED6747E"/>
    <w:rsid w:val="3ED75A5C"/>
    <w:rsid w:val="3ED77F82"/>
    <w:rsid w:val="3ED80E9F"/>
    <w:rsid w:val="3ED83D23"/>
    <w:rsid w:val="3ED90F0A"/>
    <w:rsid w:val="3ED912A5"/>
    <w:rsid w:val="3ED93A7B"/>
    <w:rsid w:val="3ED93E93"/>
    <w:rsid w:val="3EDB1F59"/>
    <w:rsid w:val="3EDB4A4F"/>
    <w:rsid w:val="3EDC6986"/>
    <w:rsid w:val="3EDD6B8B"/>
    <w:rsid w:val="3EDE26DD"/>
    <w:rsid w:val="3EDF00BC"/>
    <w:rsid w:val="3EE06392"/>
    <w:rsid w:val="3EE115C5"/>
    <w:rsid w:val="3EE1263E"/>
    <w:rsid w:val="3EE16135"/>
    <w:rsid w:val="3EE161C8"/>
    <w:rsid w:val="3EE16E66"/>
    <w:rsid w:val="3EE17BD1"/>
    <w:rsid w:val="3EE2098E"/>
    <w:rsid w:val="3EE23D94"/>
    <w:rsid w:val="3EE33FDC"/>
    <w:rsid w:val="3EE41A2D"/>
    <w:rsid w:val="3EE4237C"/>
    <w:rsid w:val="3EE4352B"/>
    <w:rsid w:val="3EE60B29"/>
    <w:rsid w:val="3EE61320"/>
    <w:rsid w:val="3EE84E80"/>
    <w:rsid w:val="3EE91779"/>
    <w:rsid w:val="3EE92B07"/>
    <w:rsid w:val="3EE940CA"/>
    <w:rsid w:val="3EEE5DBC"/>
    <w:rsid w:val="3EEF0872"/>
    <w:rsid w:val="3EEF40F4"/>
    <w:rsid w:val="3EEF41BD"/>
    <w:rsid w:val="3EF00D59"/>
    <w:rsid w:val="3EF04854"/>
    <w:rsid w:val="3EF06A18"/>
    <w:rsid w:val="3EF11360"/>
    <w:rsid w:val="3EF12873"/>
    <w:rsid w:val="3EF142B8"/>
    <w:rsid w:val="3EF20AC8"/>
    <w:rsid w:val="3EF20BC6"/>
    <w:rsid w:val="3EF251A9"/>
    <w:rsid w:val="3EF34B78"/>
    <w:rsid w:val="3EF408C7"/>
    <w:rsid w:val="3EF45B57"/>
    <w:rsid w:val="3EF62DB5"/>
    <w:rsid w:val="3EF65008"/>
    <w:rsid w:val="3EF66126"/>
    <w:rsid w:val="3EF73C89"/>
    <w:rsid w:val="3EF74B79"/>
    <w:rsid w:val="3EF817C3"/>
    <w:rsid w:val="3EF96741"/>
    <w:rsid w:val="3EFB0EC9"/>
    <w:rsid w:val="3EFB6B56"/>
    <w:rsid w:val="3EFC4A0B"/>
    <w:rsid w:val="3EFC60F6"/>
    <w:rsid w:val="3EFD23B0"/>
    <w:rsid w:val="3F01279B"/>
    <w:rsid w:val="3F017604"/>
    <w:rsid w:val="3F017620"/>
    <w:rsid w:val="3F0339ED"/>
    <w:rsid w:val="3F057852"/>
    <w:rsid w:val="3F0830A1"/>
    <w:rsid w:val="3F084D26"/>
    <w:rsid w:val="3F096B8A"/>
    <w:rsid w:val="3F0C0D8C"/>
    <w:rsid w:val="3F0D5C72"/>
    <w:rsid w:val="3F0E01D7"/>
    <w:rsid w:val="3F0F23F6"/>
    <w:rsid w:val="3F0F7AC6"/>
    <w:rsid w:val="3F0F7C84"/>
    <w:rsid w:val="3F1076F1"/>
    <w:rsid w:val="3F110C41"/>
    <w:rsid w:val="3F12626A"/>
    <w:rsid w:val="3F127146"/>
    <w:rsid w:val="3F144CF3"/>
    <w:rsid w:val="3F15627A"/>
    <w:rsid w:val="3F157381"/>
    <w:rsid w:val="3F181808"/>
    <w:rsid w:val="3F190799"/>
    <w:rsid w:val="3F196F33"/>
    <w:rsid w:val="3F1A744C"/>
    <w:rsid w:val="3F1B1335"/>
    <w:rsid w:val="3F1B3003"/>
    <w:rsid w:val="3F1C4879"/>
    <w:rsid w:val="3F1C4A69"/>
    <w:rsid w:val="3F1D4C12"/>
    <w:rsid w:val="3F1D538D"/>
    <w:rsid w:val="3F1D6E2B"/>
    <w:rsid w:val="3F1E5A7E"/>
    <w:rsid w:val="3F203548"/>
    <w:rsid w:val="3F206A56"/>
    <w:rsid w:val="3F20738D"/>
    <w:rsid w:val="3F213AE0"/>
    <w:rsid w:val="3F223281"/>
    <w:rsid w:val="3F2359CC"/>
    <w:rsid w:val="3F273663"/>
    <w:rsid w:val="3F273A7C"/>
    <w:rsid w:val="3F275251"/>
    <w:rsid w:val="3F287E06"/>
    <w:rsid w:val="3F291D41"/>
    <w:rsid w:val="3F2974A3"/>
    <w:rsid w:val="3F2A5E53"/>
    <w:rsid w:val="3F2B6078"/>
    <w:rsid w:val="3F2C6BFD"/>
    <w:rsid w:val="3F2E2566"/>
    <w:rsid w:val="3F2F4FF1"/>
    <w:rsid w:val="3F300041"/>
    <w:rsid w:val="3F31684C"/>
    <w:rsid w:val="3F3239C6"/>
    <w:rsid w:val="3F3450A5"/>
    <w:rsid w:val="3F347E6F"/>
    <w:rsid w:val="3F350366"/>
    <w:rsid w:val="3F352095"/>
    <w:rsid w:val="3F356D4A"/>
    <w:rsid w:val="3F36546C"/>
    <w:rsid w:val="3F384BE3"/>
    <w:rsid w:val="3F3978C7"/>
    <w:rsid w:val="3F3979D6"/>
    <w:rsid w:val="3F3A223C"/>
    <w:rsid w:val="3F3B5533"/>
    <w:rsid w:val="3F3D22AD"/>
    <w:rsid w:val="3F415FD7"/>
    <w:rsid w:val="3F417FC8"/>
    <w:rsid w:val="3F432678"/>
    <w:rsid w:val="3F440779"/>
    <w:rsid w:val="3F475DB4"/>
    <w:rsid w:val="3F4851FE"/>
    <w:rsid w:val="3F49477A"/>
    <w:rsid w:val="3F49512C"/>
    <w:rsid w:val="3F495C31"/>
    <w:rsid w:val="3F49628C"/>
    <w:rsid w:val="3F4A5E62"/>
    <w:rsid w:val="3F4B0057"/>
    <w:rsid w:val="3F4B0CCB"/>
    <w:rsid w:val="3F4B391F"/>
    <w:rsid w:val="3F4D07E6"/>
    <w:rsid w:val="3F4D6DB3"/>
    <w:rsid w:val="3F4D7044"/>
    <w:rsid w:val="3F4E5D19"/>
    <w:rsid w:val="3F4F2978"/>
    <w:rsid w:val="3F526014"/>
    <w:rsid w:val="3F5445DC"/>
    <w:rsid w:val="3F564AF3"/>
    <w:rsid w:val="3F56653A"/>
    <w:rsid w:val="3F5B3C45"/>
    <w:rsid w:val="3F5B7BD9"/>
    <w:rsid w:val="3F5C1CC7"/>
    <w:rsid w:val="3F5D1741"/>
    <w:rsid w:val="3F6039E5"/>
    <w:rsid w:val="3F6106B3"/>
    <w:rsid w:val="3F614CB9"/>
    <w:rsid w:val="3F630E93"/>
    <w:rsid w:val="3F631A76"/>
    <w:rsid w:val="3F6344C1"/>
    <w:rsid w:val="3F635BA7"/>
    <w:rsid w:val="3F63748D"/>
    <w:rsid w:val="3F642140"/>
    <w:rsid w:val="3F661E69"/>
    <w:rsid w:val="3F6835D0"/>
    <w:rsid w:val="3F68448A"/>
    <w:rsid w:val="3F6873DB"/>
    <w:rsid w:val="3F69717D"/>
    <w:rsid w:val="3F6A4720"/>
    <w:rsid w:val="3F6A7BC7"/>
    <w:rsid w:val="3F6C33C5"/>
    <w:rsid w:val="3F6C37E5"/>
    <w:rsid w:val="3F6C5D41"/>
    <w:rsid w:val="3F6C6FA6"/>
    <w:rsid w:val="3F6E27A7"/>
    <w:rsid w:val="3F700A54"/>
    <w:rsid w:val="3F701491"/>
    <w:rsid w:val="3F715B39"/>
    <w:rsid w:val="3F7314E8"/>
    <w:rsid w:val="3F743640"/>
    <w:rsid w:val="3F76635C"/>
    <w:rsid w:val="3F77031F"/>
    <w:rsid w:val="3F773B9B"/>
    <w:rsid w:val="3F7754A7"/>
    <w:rsid w:val="3F785E32"/>
    <w:rsid w:val="3F791EC1"/>
    <w:rsid w:val="3F7B60EB"/>
    <w:rsid w:val="3F7C0078"/>
    <w:rsid w:val="3F7C325B"/>
    <w:rsid w:val="3F7C694B"/>
    <w:rsid w:val="3F7E4341"/>
    <w:rsid w:val="3F7E5283"/>
    <w:rsid w:val="3F7F73EC"/>
    <w:rsid w:val="3F801F19"/>
    <w:rsid w:val="3F823162"/>
    <w:rsid w:val="3F827B11"/>
    <w:rsid w:val="3F835ABD"/>
    <w:rsid w:val="3F841B2E"/>
    <w:rsid w:val="3F854711"/>
    <w:rsid w:val="3F862941"/>
    <w:rsid w:val="3F880B67"/>
    <w:rsid w:val="3F891BA4"/>
    <w:rsid w:val="3F8A12F3"/>
    <w:rsid w:val="3F8A5C33"/>
    <w:rsid w:val="3F8B0687"/>
    <w:rsid w:val="3F8B6F65"/>
    <w:rsid w:val="3F8C073B"/>
    <w:rsid w:val="3F8C46AB"/>
    <w:rsid w:val="3F8C713F"/>
    <w:rsid w:val="3F8E03A7"/>
    <w:rsid w:val="3F8F220E"/>
    <w:rsid w:val="3F8F361C"/>
    <w:rsid w:val="3F900176"/>
    <w:rsid w:val="3F916431"/>
    <w:rsid w:val="3F9177A0"/>
    <w:rsid w:val="3F9253C8"/>
    <w:rsid w:val="3F936CFC"/>
    <w:rsid w:val="3F942DEE"/>
    <w:rsid w:val="3F960A7B"/>
    <w:rsid w:val="3F97209B"/>
    <w:rsid w:val="3F974974"/>
    <w:rsid w:val="3F9A3CEB"/>
    <w:rsid w:val="3F9A6D50"/>
    <w:rsid w:val="3F9B79B6"/>
    <w:rsid w:val="3F9E1D65"/>
    <w:rsid w:val="3FA07EFC"/>
    <w:rsid w:val="3FA1087D"/>
    <w:rsid w:val="3FA1722C"/>
    <w:rsid w:val="3FA20D7F"/>
    <w:rsid w:val="3FA33F50"/>
    <w:rsid w:val="3FA56AEF"/>
    <w:rsid w:val="3FA67FAE"/>
    <w:rsid w:val="3FA71532"/>
    <w:rsid w:val="3FA74DC1"/>
    <w:rsid w:val="3FA74FF3"/>
    <w:rsid w:val="3FA938CD"/>
    <w:rsid w:val="3FAC7B2A"/>
    <w:rsid w:val="3FAD7DF6"/>
    <w:rsid w:val="3FAE426E"/>
    <w:rsid w:val="3FAF1274"/>
    <w:rsid w:val="3FAF2005"/>
    <w:rsid w:val="3FB00336"/>
    <w:rsid w:val="3FB01371"/>
    <w:rsid w:val="3FB40CF4"/>
    <w:rsid w:val="3FB444FC"/>
    <w:rsid w:val="3FB469A2"/>
    <w:rsid w:val="3FB63BA1"/>
    <w:rsid w:val="3FB674CB"/>
    <w:rsid w:val="3FB8592B"/>
    <w:rsid w:val="3FB85F17"/>
    <w:rsid w:val="3FBA308D"/>
    <w:rsid w:val="3FBA5A01"/>
    <w:rsid w:val="3FBB284F"/>
    <w:rsid w:val="3FBB3BA1"/>
    <w:rsid w:val="3FBB77B9"/>
    <w:rsid w:val="3FBB7D08"/>
    <w:rsid w:val="3FBC1909"/>
    <w:rsid w:val="3FBD2606"/>
    <w:rsid w:val="3FBE190B"/>
    <w:rsid w:val="3FC05611"/>
    <w:rsid w:val="3FC167EB"/>
    <w:rsid w:val="3FC428C0"/>
    <w:rsid w:val="3FC429DF"/>
    <w:rsid w:val="3FC47985"/>
    <w:rsid w:val="3FCC29AC"/>
    <w:rsid w:val="3FCC6B0A"/>
    <w:rsid w:val="3FCD2CC4"/>
    <w:rsid w:val="3FCE0759"/>
    <w:rsid w:val="3FCF0D07"/>
    <w:rsid w:val="3FD06F74"/>
    <w:rsid w:val="3FD32C78"/>
    <w:rsid w:val="3FD46644"/>
    <w:rsid w:val="3FD50FC6"/>
    <w:rsid w:val="3FD5303C"/>
    <w:rsid w:val="3FD535A4"/>
    <w:rsid w:val="3FD578DC"/>
    <w:rsid w:val="3FD57ADB"/>
    <w:rsid w:val="3FD63F34"/>
    <w:rsid w:val="3FD65C63"/>
    <w:rsid w:val="3FD73781"/>
    <w:rsid w:val="3FD878E2"/>
    <w:rsid w:val="3FD87B66"/>
    <w:rsid w:val="3FDC00D1"/>
    <w:rsid w:val="3FDC59BE"/>
    <w:rsid w:val="3FDC7F69"/>
    <w:rsid w:val="3FDF6CE0"/>
    <w:rsid w:val="3FDF7D9F"/>
    <w:rsid w:val="3FE05F9C"/>
    <w:rsid w:val="3FE116ED"/>
    <w:rsid w:val="3FE14F42"/>
    <w:rsid w:val="3FE174FF"/>
    <w:rsid w:val="3FE23DAC"/>
    <w:rsid w:val="3FE27BD0"/>
    <w:rsid w:val="3FE30BF0"/>
    <w:rsid w:val="3FE351F2"/>
    <w:rsid w:val="3FE36D68"/>
    <w:rsid w:val="3FE37D38"/>
    <w:rsid w:val="3FE468E4"/>
    <w:rsid w:val="3FE4746F"/>
    <w:rsid w:val="3FE65EF5"/>
    <w:rsid w:val="3FE72392"/>
    <w:rsid w:val="3FE91860"/>
    <w:rsid w:val="3FE931E1"/>
    <w:rsid w:val="3FE94739"/>
    <w:rsid w:val="3FE95DBC"/>
    <w:rsid w:val="3FE96E0B"/>
    <w:rsid w:val="3FE978EF"/>
    <w:rsid w:val="3FEA6F9F"/>
    <w:rsid w:val="3FEB4A41"/>
    <w:rsid w:val="3FEC237E"/>
    <w:rsid w:val="3FEC758F"/>
    <w:rsid w:val="3FED1AEC"/>
    <w:rsid w:val="3FEE0E91"/>
    <w:rsid w:val="3FEE7638"/>
    <w:rsid w:val="3FEE79B9"/>
    <w:rsid w:val="3FF62D5D"/>
    <w:rsid w:val="3FF6753C"/>
    <w:rsid w:val="3FF700D6"/>
    <w:rsid w:val="3FF75F6E"/>
    <w:rsid w:val="3FF86285"/>
    <w:rsid w:val="3FF95818"/>
    <w:rsid w:val="3FFB6DFD"/>
    <w:rsid w:val="3FFD55A2"/>
    <w:rsid w:val="3FFD62A4"/>
    <w:rsid w:val="3FFF3403"/>
    <w:rsid w:val="40000C68"/>
    <w:rsid w:val="40007281"/>
    <w:rsid w:val="400163F2"/>
    <w:rsid w:val="4001677D"/>
    <w:rsid w:val="40026051"/>
    <w:rsid w:val="40026BD7"/>
    <w:rsid w:val="400278E0"/>
    <w:rsid w:val="4003456E"/>
    <w:rsid w:val="400522BE"/>
    <w:rsid w:val="400621D8"/>
    <w:rsid w:val="4006519C"/>
    <w:rsid w:val="40066B14"/>
    <w:rsid w:val="40093767"/>
    <w:rsid w:val="400A2DC1"/>
    <w:rsid w:val="400B4101"/>
    <w:rsid w:val="400D04A0"/>
    <w:rsid w:val="400E2126"/>
    <w:rsid w:val="400E2C48"/>
    <w:rsid w:val="400F51F1"/>
    <w:rsid w:val="400F7912"/>
    <w:rsid w:val="40105363"/>
    <w:rsid w:val="40107DBB"/>
    <w:rsid w:val="4012040E"/>
    <w:rsid w:val="40125AC9"/>
    <w:rsid w:val="401364B5"/>
    <w:rsid w:val="4014596E"/>
    <w:rsid w:val="40145BC3"/>
    <w:rsid w:val="4018500F"/>
    <w:rsid w:val="40186B2D"/>
    <w:rsid w:val="401A65CE"/>
    <w:rsid w:val="401B7991"/>
    <w:rsid w:val="401C4052"/>
    <w:rsid w:val="401C5882"/>
    <w:rsid w:val="401C75CC"/>
    <w:rsid w:val="401C76EA"/>
    <w:rsid w:val="401C79D3"/>
    <w:rsid w:val="401D0C61"/>
    <w:rsid w:val="401E026A"/>
    <w:rsid w:val="401F0CEE"/>
    <w:rsid w:val="40200D08"/>
    <w:rsid w:val="40241847"/>
    <w:rsid w:val="4024352C"/>
    <w:rsid w:val="40260D3C"/>
    <w:rsid w:val="402617EF"/>
    <w:rsid w:val="40264214"/>
    <w:rsid w:val="402718F8"/>
    <w:rsid w:val="40274C1E"/>
    <w:rsid w:val="402901F6"/>
    <w:rsid w:val="402A1E75"/>
    <w:rsid w:val="402A3B5A"/>
    <w:rsid w:val="402B6475"/>
    <w:rsid w:val="402C575B"/>
    <w:rsid w:val="402C686E"/>
    <w:rsid w:val="402C722D"/>
    <w:rsid w:val="402E3300"/>
    <w:rsid w:val="403230C6"/>
    <w:rsid w:val="403314F1"/>
    <w:rsid w:val="40335512"/>
    <w:rsid w:val="40336BE4"/>
    <w:rsid w:val="40344F64"/>
    <w:rsid w:val="40354BD1"/>
    <w:rsid w:val="40363F4D"/>
    <w:rsid w:val="403703C6"/>
    <w:rsid w:val="40375BC5"/>
    <w:rsid w:val="40375F7F"/>
    <w:rsid w:val="403B5DE3"/>
    <w:rsid w:val="403B6D8E"/>
    <w:rsid w:val="403C05CF"/>
    <w:rsid w:val="403D044F"/>
    <w:rsid w:val="403D1179"/>
    <w:rsid w:val="403D6E6D"/>
    <w:rsid w:val="403E77AA"/>
    <w:rsid w:val="40403090"/>
    <w:rsid w:val="40404BBB"/>
    <w:rsid w:val="404116D2"/>
    <w:rsid w:val="40413F29"/>
    <w:rsid w:val="404161CB"/>
    <w:rsid w:val="4042684A"/>
    <w:rsid w:val="40433A04"/>
    <w:rsid w:val="40442DEE"/>
    <w:rsid w:val="40444679"/>
    <w:rsid w:val="404448BC"/>
    <w:rsid w:val="4045223F"/>
    <w:rsid w:val="40457ACE"/>
    <w:rsid w:val="40462AE9"/>
    <w:rsid w:val="4047078B"/>
    <w:rsid w:val="404724A1"/>
    <w:rsid w:val="404938FD"/>
    <w:rsid w:val="404A3C88"/>
    <w:rsid w:val="404B17A6"/>
    <w:rsid w:val="404C17DB"/>
    <w:rsid w:val="404C3A62"/>
    <w:rsid w:val="404D243E"/>
    <w:rsid w:val="404D61AF"/>
    <w:rsid w:val="404F1DB1"/>
    <w:rsid w:val="40523FD2"/>
    <w:rsid w:val="4052523E"/>
    <w:rsid w:val="40554F9C"/>
    <w:rsid w:val="40564CAB"/>
    <w:rsid w:val="405703BF"/>
    <w:rsid w:val="40571636"/>
    <w:rsid w:val="40580EC1"/>
    <w:rsid w:val="405918B3"/>
    <w:rsid w:val="405B44E3"/>
    <w:rsid w:val="405C0602"/>
    <w:rsid w:val="405C0613"/>
    <w:rsid w:val="405C19DE"/>
    <w:rsid w:val="405C2840"/>
    <w:rsid w:val="405C2E5E"/>
    <w:rsid w:val="405E0650"/>
    <w:rsid w:val="405E2CDC"/>
    <w:rsid w:val="405E5770"/>
    <w:rsid w:val="40601341"/>
    <w:rsid w:val="40623A32"/>
    <w:rsid w:val="40624B95"/>
    <w:rsid w:val="40624C1E"/>
    <w:rsid w:val="40626F65"/>
    <w:rsid w:val="40643BC6"/>
    <w:rsid w:val="406554B3"/>
    <w:rsid w:val="4066380B"/>
    <w:rsid w:val="40666119"/>
    <w:rsid w:val="40685680"/>
    <w:rsid w:val="40693157"/>
    <w:rsid w:val="406C49E3"/>
    <w:rsid w:val="406E37A1"/>
    <w:rsid w:val="406E4998"/>
    <w:rsid w:val="406E49A1"/>
    <w:rsid w:val="406E66CB"/>
    <w:rsid w:val="406F6778"/>
    <w:rsid w:val="40705CE0"/>
    <w:rsid w:val="40721429"/>
    <w:rsid w:val="40724D97"/>
    <w:rsid w:val="407305F8"/>
    <w:rsid w:val="407404C4"/>
    <w:rsid w:val="4075477C"/>
    <w:rsid w:val="40761E82"/>
    <w:rsid w:val="40770397"/>
    <w:rsid w:val="4077520F"/>
    <w:rsid w:val="407767E1"/>
    <w:rsid w:val="407C4DEA"/>
    <w:rsid w:val="4080435E"/>
    <w:rsid w:val="40810514"/>
    <w:rsid w:val="4082748C"/>
    <w:rsid w:val="40827591"/>
    <w:rsid w:val="40844E27"/>
    <w:rsid w:val="408478D1"/>
    <w:rsid w:val="40852B67"/>
    <w:rsid w:val="40855531"/>
    <w:rsid w:val="40876BC5"/>
    <w:rsid w:val="40881CE7"/>
    <w:rsid w:val="40887169"/>
    <w:rsid w:val="408947DC"/>
    <w:rsid w:val="408A2EA6"/>
    <w:rsid w:val="408A37FA"/>
    <w:rsid w:val="408A4CBB"/>
    <w:rsid w:val="408B6388"/>
    <w:rsid w:val="408D1FE9"/>
    <w:rsid w:val="408D408E"/>
    <w:rsid w:val="408F2B86"/>
    <w:rsid w:val="408F3954"/>
    <w:rsid w:val="408F3A08"/>
    <w:rsid w:val="408F3B69"/>
    <w:rsid w:val="408F68E3"/>
    <w:rsid w:val="40917B53"/>
    <w:rsid w:val="40921E98"/>
    <w:rsid w:val="409365D7"/>
    <w:rsid w:val="40944A4F"/>
    <w:rsid w:val="40962DB9"/>
    <w:rsid w:val="409761C9"/>
    <w:rsid w:val="40982919"/>
    <w:rsid w:val="40984B4E"/>
    <w:rsid w:val="409A3CC2"/>
    <w:rsid w:val="409A6E88"/>
    <w:rsid w:val="409A7272"/>
    <w:rsid w:val="409C4391"/>
    <w:rsid w:val="409D0A6B"/>
    <w:rsid w:val="409E11A5"/>
    <w:rsid w:val="409E34A8"/>
    <w:rsid w:val="40A27FFC"/>
    <w:rsid w:val="40A356A7"/>
    <w:rsid w:val="40A369E7"/>
    <w:rsid w:val="40A42094"/>
    <w:rsid w:val="40A42A93"/>
    <w:rsid w:val="40A6187D"/>
    <w:rsid w:val="40A632B1"/>
    <w:rsid w:val="40A8599F"/>
    <w:rsid w:val="40A87826"/>
    <w:rsid w:val="40AC07D5"/>
    <w:rsid w:val="40AD19C9"/>
    <w:rsid w:val="40AE15C2"/>
    <w:rsid w:val="40AE4349"/>
    <w:rsid w:val="40AF2546"/>
    <w:rsid w:val="40AF2ADD"/>
    <w:rsid w:val="40B044A6"/>
    <w:rsid w:val="40B0577C"/>
    <w:rsid w:val="40B4079F"/>
    <w:rsid w:val="40B65B95"/>
    <w:rsid w:val="40B7456A"/>
    <w:rsid w:val="40B74DFC"/>
    <w:rsid w:val="40B8028C"/>
    <w:rsid w:val="40B8050C"/>
    <w:rsid w:val="40B8136F"/>
    <w:rsid w:val="40B973A3"/>
    <w:rsid w:val="40BD2F02"/>
    <w:rsid w:val="40BE07F4"/>
    <w:rsid w:val="40C0438A"/>
    <w:rsid w:val="40C059FD"/>
    <w:rsid w:val="40C12420"/>
    <w:rsid w:val="40C16A4C"/>
    <w:rsid w:val="40C211F1"/>
    <w:rsid w:val="40C30D0E"/>
    <w:rsid w:val="40C5471A"/>
    <w:rsid w:val="40C65C30"/>
    <w:rsid w:val="40C66470"/>
    <w:rsid w:val="40C72BB9"/>
    <w:rsid w:val="40C73748"/>
    <w:rsid w:val="40C7788A"/>
    <w:rsid w:val="40C83E2A"/>
    <w:rsid w:val="40C91421"/>
    <w:rsid w:val="40C9606B"/>
    <w:rsid w:val="40CA189F"/>
    <w:rsid w:val="40CB0441"/>
    <w:rsid w:val="40CD22B4"/>
    <w:rsid w:val="40CD3333"/>
    <w:rsid w:val="40CD6374"/>
    <w:rsid w:val="40CD63FB"/>
    <w:rsid w:val="40CD7EDC"/>
    <w:rsid w:val="40CE6A96"/>
    <w:rsid w:val="40CF3533"/>
    <w:rsid w:val="40CF5F48"/>
    <w:rsid w:val="40D05D16"/>
    <w:rsid w:val="40D07EFD"/>
    <w:rsid w:val="40D14331"/>
    <w:rsid w:val="40D24D12"/>
    <w:rsid w:val="40D258FE"/>
    <w:rsid w:val="40D43F61"/>
    <w:rsid w:val="40D508E0"/>
    <w:rsid w:val="40D8715D"/>
    <w:rsid w:val="40D91073"/>
    <w:rsid w:val="40D9709C"/>
    <w:rsid w:val="40DA1D98"/>
    <w:rsid w:val="40DA6375"/>
    <w:rsid w:val="40DB3ACE"/>
    <w:rsid w:val="40DC6082"/>
    <w:rsid w:val="40DC650E"/>
    <w:rsid w:val="40DE583D"/>
    <w:rsid w:val="40DE66E5"/>
    <w:rsid w:val="40DF0894"/>
    <w:rsid w:val="40DF11EB"/>
    <w:rsid w:val="40E04B00"/>
    <w:rsid w:val="40E04F72"/>
    <w:rsid w:val="40E04FB5"/>
    <w:rsid w:val="40E1067F"/>
    <w:rsid w:val="40E27CDD"/>
    <w:rsid w:val="40E32DFA"/>
    <w:rsid w:val="40E3649D"/>
    <w:rsid w:val="40E370F6"/>
    <w:rsid w:val="40E45A1E"/>
    <w:rsid w:val="40E4680B"/>
    <w:rsid w:val="40E64F5F"/>
    <w:rsid w:val="40E7520A"/>
    <w:rsid w:val="40E97070"/>
    <w:rsid w:val="40ED1709"/>
    <w:rsid w:val="40EE235B"/>
    <w:rsid w:val="40EE2ED9"/>
    <w:rsid w:val="40EE4BD7"/>
    <w:rsid w:val="40EF6F3C"/>
    <w:rsid w:val="40EF74D8"/>
    <w:rsid w:val="40F0234E"/>
    <w:rsid w:val="40F03EBA"/>
    <w:rsid w:val="40F23E81"/>
    <w:rsid w:val="40F27738"/>
    <w:rsid w:val="40F41A3C"/>
    <w:rsid w:val="40F45DD2"/>
    <w:rsid w:val="40F579AF"/>
    <w:rsid w:val="40F60352"/>
    <w:rsid w:val="40F61BD9"/>
    <w:rsid w:val="40F67820"/>
    <w:rsid w:val="40F74CD3"/>
    <w:rsid w:val="40F75B9A"/>
    <w:rsid w:val="40F8006E"/>
    <w:rsid w:val="40F80DE8"/>
    <w:rsid w:val="40F86A43"/>
    <w:rsid w:val="40F92663"/>
    <w:rsid w:val="40F969EF"/>
    <w:rsid w:val="40F975BD"/>
    <w:rsid w:val="40FA1D30"/>
    <w:rsid w:val="40FA2A2D"/>
    <w:rsid w:val="40FE0F68"/>
    <w:rsid w:val="40FE1B44"/>
    <w:rsid w:val="40FF00F0"/>
    <w:rsid w:val="40FF1B1A"/>
    <w:rsid w:val="40FF415D"/>
    <w:rsid w:val="40FF7BC0"/>
    <w:rsid w:val="41011274"/>
    <w:rsid w:val="41014608"/>
    <w:rsid w:val="41022D6D"/>
    <w:rsid w:val="410253C7"/>
    <w:rsid w:val="410260C2"/>
    <w:rsid w:val="4105412E"/>
    <w:rsid w:val="41054A0A"/>
    <w:rsid w:val="4105696E"/>
    <w:rsid w:val="410634BB"/>
    <w:rsid w:val="41067AE8"/>
    <w:rsid w:val="410876C0"/>
    <w:rsid w:val="41091718"/>
    <w:rsid w:val="41094437"/>
    <w:rsid w:val="410A4063"/>
    <w:rsid w:val="410A6047"/>
    <w:rsid w:val="410C4196"/>
    <w:rsid w:val="410D3545"/>
    <w:rsid w:val="410D6F68"/>
    <w:rsid w:val="410D75EC"/>
    <w:rsid w:val="410E4ECB"/>
    <w:rsid w:val="410F6C78"/>
    <w:rsid w:val="411056A4"/>
    <w:rsid w:val="4110741C"/>
    <w:rsid w:val="411163C2"/>
    <w:rsid w:val="41122BDF"/>
    <w:rsid w:val="411541E3"/>
    <w:rsid w:val="41164C27"/>
    <w:rsid w:val="41173C0D"/>
    <w:rsid w:val="411747C2"/>
    <w:rsid w:val="41181553"/>
    <w:rsid w:val="41193785"/>
    <w:rsid w:val="41193B68"/>
    <w:rsid w:val="41194005"/>
    <w:rsid w:val="411B1285"/>
    <w:rsid w:val="411B4EED"/>
    <w:rsid w:val="411D068C"/>
    <w:rsid w:val="411E17F6"/>
    <w:rsid w:val="411E274D"/>
    <w:rsid w:val="41201E33"/>
    <w:rsid w:val="412143C5"/>
    <w:rsid w:val="41233CD0"/>
    <w:rsid w:val="41241DAA"/>
    <w:rsid w:val="41256F86"/>
    <w:rsid w:val="41270DBA"/>
    <w:rsid w:val="41275DB5"/>
    <w:rsid w:val="4127618C"/>
    <w:rsid w:val="412A6ABE"/>
    <w:rsid w:val="412B1351"/>
    <w:rsid w:val="412C6E94"/>
    <w:rsid w:val="412D3049"/>
    <w:rsid w:val="412E09AF"/>
    <w:rsid w:val="412F2219"/>
    <w:rsid w:val="412F7715"/>
    <w:rsid w:val="413028BB"/>
    <w:rsid w:val="41330A26"/>
    <w:rsid w:val="41335878"/>
    <w:rsid w:val="413669C5"/>
    <w:rsid w:val="413815CE"/>
    <w:rsid w:val="413817B3"/>
    <w:rsid w:val="41382CD7"/>
    <w:rsid w:val="41390831"/>
    <w:rsid w:val="413A73CF"/>
    <w:rsid w:val="413C3C03"/>
    <w:rsid w:val="413C7D9E"/>
    <w:rsid w:val="413E72D4"/>
    <w:rsid w:val="413F0533"/>
    <w:rsid w:val="41400CFB"/>
    <w:rsid w:val="4143362E"/>
    <w:rsid w:val="4144157F"/>
    <w:rsid w:val="41446C6D"/>
    <w:rsid w:val="414603AB"/>
    <w:rsid w:val="414625E9"/>
    <w:rsid w:val="41466AB9"/>
    <w:rsid w:val="41476747"/>
    <w:rsid w:val="414803DC"/>
    <w:rsid w:val="41483F38"/>
    <w:rsid w:val="41490EC4"/>
    <w:rsid w:val="414B48E3"/>
    <w:rsid w:val="414E672D"/>
    <w:rsid w:val="414E7D03"/>
    <w:rsid w:val="41503290"/>
    <w:rsid w:val="41503B7E"/>
    <w:rsid w:val="415069F4"/>
    <w:rsid w:val="41514F22"/>
    <w:rsid w:val="41522910"/>
    <w:rsid w:val="415238A2"/>
    <w:rsid w:val="41533EC9"/>
    <w:rsid w:val="41535B8B"/>
    <w:rsid w:val="41540655"/>
    <w:rsid w:val="415452D5"/>
    <w:rsid w:val="4155468A"/>
    <w:rsid w:val="41560D88"/>
    <w:rsid w:val="4156327B"/>
    <w:rsid w:val="41571A52"/>
    <w:rsid w:val="41583D8F"/>
    <w:rsid w:val="41586B3A"/>
    <w:rsid w:val="4159635A"/>
    <w:rsid w:val="415A19C2"/>
    <w:rsid w:val="415A55BD"/>
    <w:rsid w:val="415B454B"/>
    <w:rsid w:val="415D3BE5"/>
    <w:rsid w:val="415F3A0A"/>
    <w:rsid w:val="41601E8E"/>
    <w:rsid w:val="41611887"/>
    <w:rsid w:val="41615AE6"/>
    <w:rsid w:val="41647CCE"/>
    <w:rsid w:val="41654440"/>
    <w:rsid w:val="41690264"/>
    <w:rsid w:val="416A653F"/>
    <w:rsid w:val="416B13C0"/>
    <w:rsid w:val="416C4185"/>
    <w:rsid w:val="416C787E"/>
    <w:rsid w:val="416D3D33"/>
    <w:rsid w:val="416E11D8"/>
    <w:rsid w:val="416E1518"/>
    <w:rsid w:val="416E16E8"/>
    <w:rsid w:val="41704940"/>
    <w:rsid w:val="41720FB5"/>
    <w:rsid w:val="41722FF6"/>
    <w:rsid w:val="41726791"/>
    <w:rsid w:val="4172755C"/>
    <w:rsid w:val="41727D6D"/>
    <w:rsid w:val="41734EC3"/>
    <w:rsid w:val="4175661C"/>
    <w:rsid w:val="41757E35"/>
    <w:rsid w:val="41775C41"/>
    <w:rsid w:val="41781D17"/>
    <w:rsid w:val="41783EA5"/>
    <w:rsid w:val="41784CC6"/>
    <w:rsid w:val="41790ED7"/>
    <w:rsid w:val="417946CE"/>
    <w:rsid w:val="41797931"/>
    <w:rsid w:val="417B760E"/>
    <w:rsid w:val="417C3861"/>
    <w:rsid w:val="417F4F7B"/>
    <w:rsid w:val="41806C15"/>
    <w:rsid w:val="4183504A"/>
    <w:rsid w:val="41847AF5"/>
    <w:rsid w:val="418731C8"/>
    <w:rsid w:val="41875F23"/>
    <w:rsid w:val="41885A75"/>
    <w:rsid w:val="418A3D3A"/>
    <w:rsid w:val="418A4EC0"/>
    <w:rsid w:val="418B5CA4"/>
    <w:rsid w:val="418C651A"/>
    <w:rsid w:val="418D6A40"/>
    <w:rsid w:val="418E3C4B"/>
    <w:rsid w:val="418E5BC6"/>
    <w:rsid w:val="418F3AC7"/>
    <w:rsid w:val="41915606"/>
    <w:rsid w:val="41917378"/>
    <w:rsid w:val="41924B08"/>
    <w:rsid w:val="419259D1"/>
    <w:rsid w:val="41960F07"/>
    <w:rsid w:val="41974A33"/>
    <w:rsid w:val="419807C2"/>
    <w:rsid w:val="419831BD"/>
    <w:rsid w:val="419A1DEE"/>
    <w:rsid w:val="419C393E"/>
    <w:rsid w:val="419C6AD0"/>
    <w:rsid w:val="419D64CF"/>
    <w:rsid w:val="419D7653"/>
    <w:rsid w:val="41A136BB"/>
    <w:rsid w:val="41A2189A"/>
    <w:rsid w:val="41A22D68"/>
    <w:rsid w:val="41A23028"/>
    <w:rsid w:val="41A26F22"/>
    <w:rsid w:val="41A35CC5"/>
    <w:rsid w:val="41A46CEE"/>
    <w:rsid w:val="41A70055"/>
    <w:rsid w:val="41A70BE1"/>
    <w:rsid w:val="41A77E2A"/>
    <w:rsid w:val="41A80BC4"/>
    <w:rsid w:val="41A82919"/>
    <w:rsid w:val="41A84F1E"/>
    <w:rsid w:val="41A93317"/>
    <w:rsid w:val="41AB39FF"/>
    <w:rsid w:val="41AB7A74"/>
    <w:rsid w:val="41AC1F40"/>
    <w:rsid w:val="41AE300E"/>
    <w:rsid w:val="41AF2165"/>
    <w:rsid w:val="41B26F6D"/>
    <w:rsid w:val="41B7178D"/>
    <w:rsid w:val="41B73AF9"/>
    <w:rsid w:val="41B81635"/>
    <w:rsid w:val="41B82863"/>
    <w:rsid w:val="41B85792"/>
    <w:rsid w:val="41BC2557"/>
    <w:rsid w:val="41BC5C55"/>
    <w:rsid w:val="41BD6A38"/>
    <w:rsid w:val="41BF6D54"/>
    <w:rsid w:val="41C20896"/>
    <w:rsid w:val="41C20B14"/>
    <w:rsid w:val="41C219E4"/>
    <w:rsid w:val="41C31CD8"/>
    <w:rsid w:val="41C434AA"/>
    <w:rsid w:val="41C458A8"/>
    <w:rsid w:val="41C45A49"/>
    <w:rsid w:val="41C46B2B"/>
    <w:rsid w:val="41C54E82"/>
    <w:rsid w:val="41C75ED3"/>
    <w:rsid w:val="41C7691C"/>
    <w:rsid w:val="41CA380F"/>
    <w:rsid w:val="41CB173D"/>
    <w:rsid w:val="41CB65E2"/>
    <w:rsid w:val="41CC6917"/>
    <w:rsid w:val="41CF0116"/>
    <w:rsid w:val="41CF104B"/>
    <w:rsid w:val="41D00FBF"/>
    <w:rsid w:val="41D06D37"/>
    <w:rsid w:val="41D1626C"/>
    <w:rsid w:val="41D20D0F"/>
    <w:rsid w:val="41D21B37"/>
    <w:rsid w:val="41D30E30"/>
    <w:rsid w:val="41D7528B"/>
    <w:rsid w:val="41D8350E"/>
    <w:rsid w:val="41D87322"/>
    <w:rsid w:val="41D90F48"/>
    <w:rsid w:val="41D969E1"/>
    <w:rsid w:val="41DB2EAD"/>
    <w:rsid w:val="41DD6110"/>
    <w:rsid w:val="41DE079A"/>
    <w:rsid w:val="41DE14B4"/>
    <w:rsid w:val="41DE6503"/>
    <w:rsid w:val="41DF0291"/>
    <w:rsid w:val="41E0769A"/>
    <w:rsid w:val="41E16876"/>
    <w:rsid w:val="41E21BF5"/>
    <w:rsid w:val="41E2243C"/>
    <w:rsid w:val="41E540E8"/>
    <w:rsid w:val="41E57674"/>
    <w:rsid w:val="41E5767B"/>
    <w:rsid w:val="41E843F0"/>
    <w:rsid w:val="41E91314"/>
    <w:rsid w:val="41E919CA"/>
    <w:rsid w:val="41E9267D"/>
    <w:rsid w:val="41E93E11"/>
    <w:rsid w:val="41EA1225"/>
    <w:rsid w:val="41EC2381"/>
    <w:rsid w:val="41ED67C4"/>
    <w:rsid w:val="41F0133F"/>
    <w:rsid w:val="41F14292"/>
    <w:rsid w:val="41F35153"/>
    <w:rsid w:val="41F51CAF"/>
    <w:rsid w:val="41F72DBF"/>
    <w:rsid w:val="41F8020A"/>
    <w:rsid w:val="41F97E77"/>
    <w:rsid w:val="41FA07D0"/>
    <w:rsid w:val="41FC4DBE"/>
    <w:rsid w:val="42003383"/>
    <w:rsid w:val="42016994"/>
    <w:rsid w:val="42023085"/>
    <w:rsid w:val="42024C74"/>
    <w:rsid w:val="42036C64"/>
    <w:rsid w:val="42036D67"/>
    <w:rsid w:val="420460B1"/>
    <w:rsid w:val="420514F9"/>
    <w:rsid w:val="42061567"/>
    <w:rsid w:val="42066975"/>
    <w:rsid w:val="4207159E"/>
    <w:rsid w:val="42075FDE"/>
    <w:rsid w:val="42084D8A"/>
    <w:rsid w:val="420A2F80"/>
    <w:rsid w:val="420B5659"/>
    <w:rsid w:val="420C0C2A"/>
    <w:rsid w:val="420C0EDD"/>
    <w:rsid w:val="420C2BBE"/>
    <w:rsid w:val="420D18DE"/>
    <w:rsid w:val="420E25DF"/>
    <w:rsid w:val="420E3B74"/>
    <w:rsid w:val="420F0EDB"/>
    <w:rsid w:val="420F53B0"/>
    <w:rsid w:val="42120DE7"/>
    <w:rsid w:val="42124528"/>
    <w:rsid w:val="42137F20"/>
    <w:rsid w:val="42163435"/>
    <w:rsid w:val="42174D29"/>
    <w:rsid w:val="421757AC"/>
    <w:rsid w:val="421A411F"/>
    <w:rsid w:val="421B33FA"/>
    <w:rsid w:val="421C3CAF"/>
    <w:rsid w:val="421C4F9F"/>
    <w:rsid w:val="421D6AD1"/>
    <w:rsid w:val="421F275E"/>
    <w:rsid w:val="421F606F"/>
    <w:rsid w:val="42210A38"/>
    <w:rsid w:val="42213B8D"/>
    <w:rsid w:val="422161CC"/>
    <w:rsid w:val="42230ED5"/>
    <w:rsid w:val="42236698"/>
    <w:rsid w:val="42241420"/>
    <w:rsid w:val="42241455"/>
    <w:rsid w:val="42241745"/>
    <w:rsid w:val="422449A5"/>
    <w:rsid w:val="42246402"/>
    <w:rsid w:val="42247693"/>
    <w:rsid w:val="422568A6"/>
    <w:rsid w:val="42261B80"/>
    <w:rsid w:val="422B09FD"/>
    <w:rsid w:val="422B0F95"/>
    <w:rsid w:val="422B69C3"/>
    <w:rsid w:val="422B7AE1"/>
    <w:rsid w:val="422D13B1"/>
    <w:rsid w:val="422D3520"/>
    <w:rsid w:val="422D3731"/>
    <w:rsid w:val="42315C84"/>
    <w:rsid w:val="42316CAC"/>
    <w:rsid w:val="423207E1"/>
    <w:rsid w:val="42320D7F"/>
    <w:rsid w:val="42344217"/>
    <w:rsid w:val="42351D14"/>
    <w:rsid w:val="42365059"/>
    <w:rsid w:val="423704FE"/>
    <w:rsid w:val="42373C5C"/>
    <w:rsid w:val="423760D6"/>
    <w:rsid w:val="423768AB"/>
    <w:rsid w:val="42382CD2"/>
    <w:rsid w:val="42395CE3"/>
    <w:rsid w:val="423D2249"/>
    <w:rsid w:val="423E038A"/>
    <w:rsid w:val="423E46E7"/>
    <w:rsid w:val="423E5D71"/>
    <w:rsid w:val="423F3EFF"/>
    <w:rsid w:val="423F533B"/>
    <w:rsid w:val="4240611C"/>
    <w:rsid w:val="42414C8D"/>
    <w:rsid w:val="42414D89"/>
    <w:rsid w:val="42436C13"/>
    <w:rsid w:val="424509B3"/>
    <w:rsid w:val="4245270C"/>
    <w:rsid w:val="42452B61"/>
    <w:rsid w:val="42452D68"/>
    <w:rsid w:val="42465487"/>
    <w:rsid w:val="4247010F"/>
    <w:rsid w:val="42484D95"/>
    <w:rsid w:val="4248750D"/>
    <w:rsid w:val="4249373B"/>
    <w:rsid w:val="424946D4"/>
    <w:rsid w:val="424959C2"/>
    <w:rsid w:val="424A6244"/>
    <w:rsid w:val="424C1596"/>
    <w:rsid w:val="424C21D0"/>
    <w:rsid w:val="424C331E"/>
    <w:rsid w:val="424E11C5"/>
    <w:rsid w:val="424E5B94"/>
    <w:rsid w:val="424E74CE"/>
    <w:rsid w:val="424F0AA8"/>
    <w:rsid w:val="424F7857"/>
    <w:rsid w:val="42521622"/>
    <w:rsid w:val="42524877"/>
    <w:rsid w:val="425349F9"/>
    <w:rsid w:val="42537DE8"/>
    <w:rsid w:val="42551AD9"/>
    <w:rsid w:val="425520F3"/>
    <w:rsid w:val="42552AD1"/>
    <w:rsid w:val="42552DB0"/>
    <w:rsid w:val="42557333"/>
    <w:rsid w:val="42560203"/>
    <w:rsid w:val="425757C9"/>
    <w:rsid w:val="42576182"/>
    <w:rsid w:val="425827AF"/>
    <w:rsid w:val="42593943"/>
    <w:rsid w:val="425A0221"/>
    <w:rsid w:val="425A6DC8"/>
    <w:rsid w:val="425B184F"/>
    <w:rsid w:val="425C6A20"/>
    <w:rsid w:val="425C718C"/>
    <w:rsid w:val="425F6426"/>
    <w:rsid w:val="425F6666"/>
    <w:rsid w:val="42600656"/>
    <w:rsid w:val="4260595A"/>
    <w:rsid w:val="4261276F"/>
    <w:rsid w:val="42623AFE"/>
    <w:rsid w:val="42626C36"/>
    <w:rsid w:val="42661C49"/>
    <w:rsid w:val="42667EFA"/>
    <w:rsid w:val="42696350"/>
    <w:rsid w:val="426A1D64"/>
    <w:rsid w:val="426A7BBA"/>
    <w:rsid w:val="426B4C10"/>
    <w:rsid w:val="426C251F"/>
    <w:rsid w:val="426D531C"/>
    <w:rsid w:val="426E1220"/>
    <w:rsid w:val="426E4216"/>
    <w:rsid w:val="426E5C20"/>
    <w:rsid w:val="42701998"/>
    <w:rsid w:val="4272382E"/>
    <w:rsid w:val="42724A33"/>
    <w:rsid w:val="427335B8"/>
    <w:rsid w:val="4273698B"/>
    <w:rsid w:val="42744575"/>
    <w:rsid w:val="42751A7B"/>
    <w:rsid w:val="42752671"/>
    <w:rsid w:val="42760A38"/>
    <w:rsid w:val="4277279E"/>
    <w:rsid w:val="42776374"/>
    <w:rsid w:val="42780C2A"/>
    <w:rsid w:val="42783F66"/>
    <w:rsid w:val="42786A9F"/>
    <w:rsid w:val="42793DE5"/>
    <w:rsid w:val="427A3169"/>
    <w:rsid w:val="427B5A66"/>
    <w:rsid w:val="427E1E74"/>
    <w:rsid w:val="427E74FF"/>
    <w:rsid w:val="427F31B5"/>
    <w:rsid w:val="42804D60"/>
    <w:rsid w:val="4280573A"/>
    <w:rsid w:val="42811537"/>
    <w:rsid w:val="428146D1"/>
    <w:rsid w:val="4282589D"/>
    <w:rsid w:val="428267FA"/>
    <w:rsid w:val="42834A0B"/>
    <w:rsid w:val="42840389"/>
    <w:rsid w:val="42840654"/>
    <w:rsid w:val="428450B3"/>
    <w:rsid w:val="428543A2"/>
    <w:rsid w:val="42873E38"/>
    <w:rsid w:val="42876CE2"/>
    <w:rsid w:val="42880F0C"/>
    <w:rsid w:val="42890609"/>
    <w:rsid w:val="42891433"/>
    <w:rsid w:val="4289244D"/>
    <w:rsid w:val="42894E22"/>
    <w:rsid w:val="428B0485"/>
    <w:rsid w:val="428B2293"/>
    <w:rsid w:val="428B2FDD"/>
    <w:rsid w:val="428C25BE"/>
    <w:rsid w:val="428C29C9"/>
    <w:rsid w:val="428C5324"/>
    <w:rsid w:val="428D254A"/>
    <w:rsid w:val="428E07D4"/>
    <w:rsid w:val="428E279A"/>
    <w:rsid w:val="428F0476"/>
    <w:rsid w:val="428F22A3"/>
    <w:rsid w:val="428F3C66"/>
    <w:rsid w:val="428F5465"/>
    <w:rsid w:val="42903B9C"/>
    <w:rsid w:val="429102CC"/>
    <w:rsid w:val="4295455F"/>
    <w:rsid w:val="42956688"/>
    <w:rsid w:val="42971E9E"/>
    <w:rsid w:val="42993E66"/>
    <w:rsid w:val="42996083"/>
    <w:rsid w:val="429A6A15"/>
    <w:rsid w:val="429B4B9E"/>
    <w:rsid w:val="429C52B9"/>
    <w:rsid w:val="429D0E93"/>
    <w:rsid w:val="429F05BE"/>
    <w:rsid w:val="429F5882"/>
    <w:rsid w:val="429F7366"/>
    <w:rsid w:val="42A13690"/>
    <w:rsid w:val="42A1447A"/>
    <w:rsid w:val="42A35DEB"/>
    <w:rsid w:val="42A36BDF"/>
    <w:rsid w:val="42A43FC7"/>
    <w:rsid w:val="42A74E78"/>
    <w:rsid w:val="42A76113"/>
    <w:rsid w:val="42A93B56"/>
    <w:rsid w:val="42A97857"/>
    <w:rsid w:val="42AB3C0F"/>
    <w:rsid w:val="42AC396E"/>
    <w:rsid w:val="42AD5203"/>
    <w:rsid w:val="42AE5FE4"/>
    <w:rsid w:val="42AE6019"/>
    <w:rsid w:val="42AF02CF"/>
    <w:rsid w:val="42B00110"/>
    <w:rsid w:val="42B10DDF"/>
    <w:rsid w:val="42B1739C"/>
    <w:rsid w:val="42B2145E"/>
    <w:rsid w:val="42B21FB1"/>
    <w:rsid w:val="42B27A80"/>
    <w:rsid w:val="42B50AA4"/>
    <w:rsid w:val="42B52A60"/>
    <w:rsid w:val="42B82BFA"/>
    <w:rsid w:val="42B854E2"/>
    <w:rsid w:val="42B96C88"/>
    <w:rsid w:val="42BA1BE1"/>
    <w:rsid w:val="42BA5B1D"/>
    <w:rsid w:val="42BB208A"/>
    <w:rsid w:val="42BB226C"/>
    <w:rsid w:val="42BC6532"/>
    <w:rsid w:val="42BD335D"/>
    <w:rsid w:val="42BD495F"/>
    <w:rsid w:val="42BD5757"/>
    <w:rsid w:val="42BE289B"/>
    <w:rsid w:val="42BF5C67"/>
    <w:rsid w:val="42C0372C"/>
    <w:rsid w:val="42C11614"/>
    <w:rsid w:val="42C14720"/>
    <w:rsid w:val="42C14B4B"/>
    <w:rsid w:val="42C17B9C"/>
    <w:rsid w:val="42C34FA0"/>
    <w:rsid w:val="42C40A1C"/>
    <w:rsid w:val="42C43AB9"/>
    <w:rsid w:val="42C44EFD"/>
    <w:rsid w:val="42C528DC"/>
    <w:rsid w:val="42C53C84"/>
    <w:rsid w:val="42C624F8"/>
    <w:rsid w:val="42C62C5B"/>
    <w:rsid w:val="42C77462"/>
    <w:rsid w:val="42C8498F"/>
    <w:rsid w:val="42C93CF2"/>
    <w:rsid w:val="42C94A89"/>
    <w:rsid w:val="42CA7F66"/>
    <w:rsid w:val="42CB36B3"/>
    <w:rsid w:val="42CD5912"/>
    <w:rsid w:val="42CE6B13"/>
    <w:rsid w:val="42D21473"/>
    <w:rsid w:val="42D27DCB"/>
    <w:rsid w:val="42D42DE9"/>
    <w:rsid w:val="42D46B75"/>
    <w:rsid w:val="42D53026"/>
    <w:rsid w:val="42D64C24"/>
    <w:rsid w:val="42D71A17"/>
    <w:rsid w:val="42D72318"/>
    <w:rsid w:val="42D748E5"/>
    <w:rsid w:val="42D812EB"/>
    <w:rsid w:val="42D842DC"/>
    <w:rsid w:val="42D86E87"/>
    <w:rsid w:val="42D91EFB"/>
    <w:rsid w:val="42D94BD7"/>
    <w:rsid w:val="42DD5849"/>
    <w:rsid w:val="42DF2F30"/>
    <w:rsid w:val="42E039BB"/>
    <w:rsid w:val="42E267A1"/>
    <w:rsid w:val="42E52630"/>
    <w:rsid w:val="42E65C18"/>
    <w:rsid w:val="42E76186"/>
    <w:rsid w:val="42E838F3"/>
    <w:rsid w:val="42E87A06"/>
    <w:rsid w:val="42E938DA"/>
    <w:rsid w:val="42EA702E"/>
    <w:rsid w:val="42EB1CFA"/>
    <w:rsid w:val="42EB4F52"/>
    <w:rsid w:val="42EC21E6"/>
    <w:rsid w:val="42EE5BD8"/>
    <w:rsid w:val="42EF56F9"/>
    <w:rsid w:val="42EF669A"/>
    <w:rsid w:val="42F01994"/>
    <w:rsid w:val="42F04C9B"/>
    <w:rsid w:val="42F053E4"/>
    <w:rsid w:val="42F22FF7"/>
    <w:rsid w:val="42F25A13"/>
    <w:rsid w:val="42F321A8"/>
    <w:rsid w:val="42F44098"/>
    <w:rsid w:val="42F45770"/>
    <w:rsid w:val="42F51A14"/>
    <w:rsid w:val="42F55F87"/>
    <w:rsid w:val="42F66DED"/>
    <w:rsid w:val="42F73F81"/>
    <w:rsid w:val="42F74CE6"/>
    <w:rsid w:val="42F84F3C"/>
    <w:rsid w:val="42FA4257"/>
    <w:rsid w:val="42FD1FDD"/>
    <w:rsid w:val="42FE12AF"/>
    <w:rsid w:val="42FE68FA"/>
    <w:rsid w:val="42FE6C0E"/>
    <w:rsid w:val="42FF13DC"/>
    <w:rsid w:val="42FF1E1B"/>
    <w:rsid w:val="42FF367D"/>
    <w:rsid w:val="42FF6797"/>
    <w:rsid w:val="43014E03"/>
    <w:rsid w:val="43016A94"/>
    <w:rsid w:val="430407B9"/>
    <w:rsid w:val="43041296"/>
    <w:rsid w:val="43081324"/>
    <w:rsid w:val="43081473"/>
    <w:rsid w:val="43095560"/>
    <w:rsid w:val="430B7451"/>
    <w:rsid w:val="430C5696"/>
    <w:rsid w:val="430D138D"/>
    <w:rsid w:val="430E420A"/>
    <w:rsid w:val="430F55AB"/>
    <w:rsid w:val="43101933"/>
    <w:rsid w:val="431060CB"/>
    <w:rsid w:val="4310788B"/>
    <w:rsid w:val="43114CCD"/>
    <w:rsid w:val="431225BC"/>
    <w:rsid w:val="431272F0"/>
    <w:rsid w:val="431374BA"/>
    <w:rsid w:val="431469A2"/>
    <w:rsid w:val="4315253F"/>
    <w:rsid w:val="43164B1C"/>
    <w:rsid w:val="43176286"/>
    <w:rsid w:val="431772B5"/>
    <w:rsid w:val="431931D3"/>
    <w:rsid w:val="431B22BD"/>
    <w:rsid w:val="431D7C1C"/>
    <w:rsid w:val="431D7C93"/>
    <w:rsid w:val="431E13F4"/>
    <w:rsid w:val="431F37EA"/>
    <w:rsid w:val="431F697F"/>
    <w:rsid w:val="432009A6"/>
    <w:rsid w:val="432117C0"/>
    <w:rsid w:val="43217DA8"/>
    <w:rsid w:val="43227E5F"/>
    <w:rsid w:val="43230CF2"/>
    <w:rsid w:val="43250260"/>
    <w:rsid w:val="43251BB2"/>
    <w:rsid w:val="432523F5"/>
    <w:rsid w:val="43253263"/>
    <w:rsid w:val="4325571A"/>
    <w:rsid w:val="43261A71"/>
    <w:rsid w:val="43263FB2"/>
    <w:rsid w:val="43286D40"/>
    <w:rsid w:val="43290AD4"/>
    <w:rsid w:val="43292542"/>
    <w:rsid w:val="432B2045"/>
    <w:rsid w:val="432B6EC7"/>
    <w:rsid w:val="432D2B02"/>
    <w:rsid w:val="432D4752"/>
    <w:rsid w:val="432E18C1"/>
    <w:rsid w:val="432E214D"/>
    <w:rsid w:val="432F3601"/>
    <w:rsid w:val="43302B01"/>
    <w:rsid w:val="433056C0"/>
    <w:rsid w:val="43333AA2"/>
    <w:rsid w:val="4333576B"/>
    <w:rsid w:val="43345C57"/>
    <w:rsid w:val="433553AB"/>
    <w:rsid w:val="433561CE"/>
    <w:rsid w:val="43362BE2"/>
    <w:rsid w:val="43371944"/>
    <w:rsid w:val="433769B9"/>
    <w:rsid w:val="4337787F"/>
    <w:rsid w:val="4338698A"/>
    <w:rsid w:val="43397368"/>
    <w:rsid w:val="433A4841"/>
    <w:rsid w:val="433C47ED"/>
    <w:rsid w:val="433D2CCD"/>
    <w:rsid w:val="433E55F2"/>
    <w:rsid w:val="43416FCC"/>
    <w:rsid w:val="434423CC"/>
    <w:rsid w:val="434425AC"/>
    <w:rsid w:val="43444426"/>
    <w:rsid w:val="43445A15"/>
    <w:rsid w:val="4345254C"/>
    <w:rsid w:val="43470EAC"/>
    <w:rsid w:val="43482165"/>
    <w:rsid w:val="43485D93"/>
    <w:rsid w:val="434B1A9D"/>
    <w:rsid w:val="434C4CF3"/>
    <w:rsid w:val="434D4EF1"/>
    <w:rsid w:val="434E2DC1"/>
    <w:rsid w:val="434F2F39"/>
    <w:rsid w:val="4350293F"/>
    <w:rsid w:val="43541FE6"/>
    <w:rsid w:val="43544F51"/>
    <w:rsid w:val="435506F5"/>
    <w:rsid w:val="435533E0"/>
    <w:rsid w:val="43555FA1"/>
    <w:rsid w:val="43563C4E"/>
    <w:rsid w:val="43564D70"/>
    <w:rsid w:val="4356541C"/>
    <w:rsid w:val="4357007D"/>
    <w:rsid w:val="43573832"/>
    <w:rsid w:val="43577A3A"/>
    <w:rsid w:val="43581053"/>
    <w:rsid w:val="43593C8A"/>
    <w:rsid w:val="43594AB6"/>
    <w:rsid w:val="435A28D3"/>
    <w:rsid w:val="435A7271"/>
    <w:rsid w:val="435B26D6"/>
    <w:rsid w:val="43601F52"/>
    <w:rsid w:val="43612155"/>
    <w:rsid w:val="43627557"/>
    <w:rsid w:val="436557AA"/>
    <w:rsid w:val="4366123A"/>
    <w:rsid w:val="43663261"/>
    <w:rsid w:val="43672532"/>
    <w:rsid w:val="436747DB"/>
    <w:rsid w:val="43677D79"/>
    <w:rsid w:val="4369455F"/>
    <w:rsid w:val="43697E77"/>
    <w:rsid w:val="436A61AA"/>
    <w:rsid w:val="436B1E86"/>
    <w:rsid w:val="436B426A"/>
    <w:rsid w:val="436C08AB"/>
    <w:rsid w:val="436C1336"/>
    <w:rsid w:val="436C3842"/>
    <w:rsid w:val="436D0F3B"/>
    <w:rsid w:val="436D3DBF"/>
    <w:rsid w:val="436E00AD"/>
    <w:rsid w:val="436E0325"/>
    <w:rsid w:val="436E320A"/>
    <w:rsid w:val="43717013"/>
    <w:rsid w:val="43725CCE"/>
    <w:rsid w:val="437266CD"/>
    <w:rsid w:val="43736234"/>
    <w:rsid w:val="43740F6A"/>
    <w:rsid w:val="43744EEB"/>
    <w:rsid w:val="43755033"/>
    <w:rsid w:val="43757816"/>
    <w:rsid w:val="4376742F"/>
    <w:rsid w:val="43771C1E"/>
    <w:rsid w:val="43774E16"/>
    <w:rsid w:val="4378021D"/>
    <w:rsid w:val="43780919"/>
    <w:rsid w:val="43783B75"/>
    <w:rsid w:val="43796D4D"/>
    <w:rsid w:val="437A23C4"/>
    <w:rsid w:val="437B0980"/>
    <w:rsid w:val="437C340E"/>
    <w:rsid w:val="437C4B09"/>
    <w:rsid w:val="437C54A0"/>
    <w:rsid w:val="437D48E2"/>
    <w:rsid w:val="437E1901"/>
    <w:rsid w:val="437E1EE6"/>
    <w:rsid w:val="437E5CC7"/>
    <w:rsid w:val="437F0730"/>
    <w:rsid w:val="43811700"/>
    <w:rsid w:val="43814076"/>
    <w:rsid w:val="4381451B"/>
    <w:rsid w:val="43815E0E"/>
    <w:rsid w:val="43820595"/>
    <w:rsid w:val="438342D6"/>
    <w:rsid w:val="43840524"/>
    <w:rsid w:val="4384176E"/>
    <w:rsid w:val="438732AE"/>
    <w:rsid w:val="4387656C"/>
    <w:rsid w:val="438974F0"/>
    <w:rsid w:val="438A46DA"/>
    <w:rsid w:val="438B06D0"/>
    <w:rsid w:val="438B3656"/>
    <w:rsid w:val="438B6A9A"/>
    <w:rsid w:val="438C1C6F"/>
    <w:rsid w:val="438D51FA"/>
    <w:rsid w:val="438D5E63"/>
    <w:rsid w:val="438F19A5"/>
    <w:rsid w:val="43900977"/>
    <w:rsid w:val="43911125"/>
    <w:rsid w:val="4393627A"/>
    <w:rsid w:val="43944CBA"/>
    <w:rsid w:val="43947A83"/>
    <w:rsid w:val="43963C76"/>
    <w:rsid w:val="43971468"/>
    <w:rsid w:val="43984DD1"/>
    <w:rsid w:val="439925DC"/>
    <w:rsid w:val="439932B1"/>
    <w:rsid w:val="439932EE"/>
    <w:rsid w:val="43997E78"/>
    <w:rsid w:val="439A2BF0"/>
    <w:rsid w:val="439B3A3F"/>
    <w:rsid w:val="439C1779"/>
    <w:rsid w:val="439C7985"/>
    <w:rsid w:val="43A05C8A"/>
    <w:rsid w:val="43A12678"/>
    <w:rsid w:val="43A22044"/>
    <w:rsid w:val="43A32BDD"/>
    <w:rsid w:val="43A40F2C"/>
    <w:rsid w:val="43A44846"/>
    <w:rsid w:val="43A605B0"/>
    <w:rsid w:val="43A7227A"/>
    <w:rsid w:val="43A77BEE"/>
    <w:rsid w:val="43A936BD"/>
    <w:rsid w:val="43AA6224"/>
    <w:rsid w:val="43AA7509"/>
    <w:rsid w:val="43AB0A5D"/>
    <w:rsid w:val="43AB2879"/>
    <w:rsid w:val="43AC62F0"/>
    <w:rsid w:val="43AC7D23"/>
    <w:rsid w:val="43AD0FAD"/>
    <w:rsid w:val="43AD1F9E"/>
    <w:rsid w:val="43AE65DE"/>
    <w:rsid w:val="43AE776D"/>
    <w:rsid w:val="43B10B5C"/>
    <w:rsid w:val="43B21CDA"/>
    <w:rsid w:val="43B31F1B"/>
    <w:rsid w:val="43B35FD4"/>
    <w:rsid w:val="43B4356E"/>
    <w:rsid w:val="43B55B89"/>
    <w:rsid w:val="43B73426"/>
    <w:rsid w:val="43B94322"/>
    <w:rsid w:val="43B97580"/>
    <w:rsid w:val="43BA78C4"/>
    <w:rsid w:val="43BB3855"/>
    <w:rsid w:val="43BB7D79"/>
    <w:rsid w:val="43BC4EA0"/>
    <w:rsid w:val="43BD5430"/>
    <w:rsid w:val="43BD6A5D"/>
    <w:rsid w:val="43BE4D51"/>
    <w:rsid w:val="43BF15D5"/>
    <w:rsid w:val="43BF1C4D"/>
    <w:rsid w:val="43BF3D4F"/>
    <w:rsid w:val="43BF6EE6"/>
    <w:rsid w:val="43C02AF8"/>
    <w:rsid w:val="43C13756"/>
    <w:rsid w:val="43C22853"/>
    <w:rsid w:val="43C373C1"/>
    <w:rsid w:val="43C60868"/>
    <w:rsid w:val="43C62C39"/>
    <w:rsid w:val="43C67D0A"/>
    <w:rsid w:val="43C749D7"/>
    <w:rsid w:val="43C853AC"/>
    <w:rsid w:val="43C96139"/>
    <w:rsid w:val="43CA3028"/>
    <w:rsid w:val="43CA671D"/>
    <w:rsid w:val="43CB285E"/>
    <w:rsid w:val="43CB3E88"/>
    <w:rsid w:val="43CC1CDC"/>
    <w:rsid w:val="43CE4BD1"/>
    <w:rsid w:val="43CE4D3E"/>
    <w:rsid w:val="43CE577E"/>
    <w:rsid w:val="43CF20D0"/>
    <w:rsid w:val="43CF552A"/>
    <w:rsid w:val="43D42F1B"/>
    <w:rsid w:val="43D54727"/>
    <w:rsid w:val="43D66C33"/>
    <w:rsid w:val="43D71920"/>
    <w:rsid w:val="43D720AB"/>
    <w:rsid w:val="43D74D5C"/>
    <w:rsid w:val="43D9463B"/>
    <w:rsid w:val="43DB2FD1"/>
    <w:rsid w:val="43DB67CF"/>
    <w:rsid w:val="43DC6EF7"/>
    <w:rsid w:val="43DF4B70"/>
    <w:rsid w:val="43DF5857"/>
    <w:rsid w:val="43E16497"/>
    <w:rsid w:val="43E16E4B"/>
    <w:rsid w:val="43E26B65"/>
    <w:rsid w:val="43E56224"/>
    <w:rsid w:val="43E566D4"/>
    <w:rsid w:val="43E633BA"/>
    <w:rsid w:val="43E8079D"/>
    <w:rsid w:val="43E8153B"/>
    <w:rsid w:val="43E83874"/>
    <w:rsid w:val="43E842A6"/>
    <w:rsid w:val="43E9506C"/>
    <w:rsid w:val="43EB7878"/>
    <w:rsid w:val="43EC1757"/>
    <w:rsid w:val="43EC5F50"/>
    <w:rsid w:val="43F070A2"/>
    <w:rsid w:val="43F11C64"/>
    <w:rsid w:val="43F24AE0"/>
    <w:rsid w:val="43F50BE8"/>
    <w:rsid w:val="43F83C87"/>
    <w:rsid w:val="43F869DE"/>
    <w:rsid w:val="43F9601A"/>
    <w:rsid w:val="43FB400A"/>
    <w:rsid w:val="43FC083D"/>
    <w:rsid w:val="43FC414D"/>
    <w:rsid w:val="43FC4A39"/>
    <w:rsid w:val="43FC7342"/>
    <w:rsid w:val="43FF1C59"/>
    <w:rsid w:val="44002E81"/>
    <w:rsid w:val="44004A7C"/>
    <w:rsid w:val="44006D4C"/>
    <w:rsid w:val="44041B70"/>
    <w:rsid w:val="44045EE2"/>
    <w:rsid w:val="440540F8"/>
    <w:rsid w:val="44065DBC"/>
    <w:rsid w:val="44065E01"/>
    <w:rsid w:val="44070942"/>
    <w:rsid w:val="44077DF5"/>
    <w:rsid w:val="440851DD"/>
    <w:rsid w:val="440924C4"/>
    <w:rsid w:val="4409259B"/>
    <w:rsid w:val="44096CC9"/>
    <w:rsid w:val="440A3557"/>
    <w:rsid w:val="440C0286"/>
    <w:rsid w:val="440C749E"/>
    <w:rsid w:val="440D4407"/>
    <w:rsid w:val="440D4673"/>
    <w:rsid w:val="440D604B"/>
    <w:rsid w:val="440D7046"/>
    <w:rsid w:val="440F4560"/>
    <w:rsid w:val="440F4768"/>
    <w:rsid w:val="440F4FB9"/>
    <w:rsid w:val="440F5F31"/>
    <w:rsid w:val="44122798"/>
    <w:rsid w:val="441242FC"/>
    <w:rsid w:val="44125569"/>
    <w:rsid w:val="44135AAA"/>
    <w:rsid w:val="44153D56"/>
    <w:rsid w:val="44154CA7"/>
    <w:rsid w:val="44167FF9"/>
    <w:rsid w:val="44171407"/>
    <w:rsid w:val="441902A3"/>
    <w:rsid w:val="441C02AC"/>
    <w:rsid w:val="441C0BED"/>
    <w:rsid w:val="441E68B6"/>
    <w:rsid w:val="441E6FBC"/>
    <w:rsid w:val="442073EE"/>
    <w:rsid w:val="44210E41"/>
    <w:rsid w:val="44213DFA"/>
    <w:rsid w:val="442146CE"/>
    <w:rsid w:val="4422036C"/>
    <w:rsid w:val="44235F85"/>
    <w:rsid w:val="4425062E"/>
    <w:rsid w:val="442567B2"/>
    <w:rsid w:val="4427077C"/>
    <w:rsid w:val="442800D7"/>
    <w:rsid w:val="442A0D1D"/>
    <w:rsid w:val="442B669D"/>
    <w:rsid w:val="442C1088"/>
    <w:rsid w:val="442C4091"/>
    <w:rsid w:val="442C4DFB"/>
    <w:rsid w:val="442E02B1"/>
    <w:rsid w:val="442E0B8A"/>
    <w:rsid w:val="442E1BC5"/>
    <w:rsid w:val="442E5F99"/>
    <w:rsid w:val="443005B3"/>
    <w:rsid w:val="44310F66"/>
    <w:rsid w:val="443136F2"/>
    <w:rsid w:val="44321139"/>
    <w:rsid w:val="4432323F"/>
    <w:rsid w:val="443250E5"/>
    <w:rsid w:val="44336447"/>
    <w:rsid w:val="44337598"/>
    <w:rsid w:val="44344D32"/>
    <w:rsid w:val="44357D00"/>
    <w:rsid w:val="4436078D"/>
    <w:rsid w:val="44363B63"/>
    <w:rsid w:val="44376261"/>
    <w:rsid w:val="44392F6D"/>
    <w:rsid w:val="44395E04"/>
    <w:rsid w:val="443A09B4"/>
    <w:rsid w:val="443B3687"/>
    <w:rsid w:val="443E1E40"/>
    <w:rsid w:val="443F32EA"/>
    <w:rsid w:val="44400342"/>
    <w:rsid w:val="444035BE"/>
    <w:rsid w:val="444075BB"/>
    <w:rsid w:val="4441260F"/>
    <w:rsid w:val="44414490"/>
    <w:rsid w:val="444202C0"/>
    <w:rsid w:val="44426709"/>
    <w:rsid w:val="44440B87"/>
    <w:rsid w:val="44447DD1"/>
    <w:rsid w:val="444545CA"/>
    <w:rsid w:val="44456C4D"/>
    <w:rsid w:val="44470D00"/>
    <w:rsid w:val="44471822"/>
    <w:rsid w:val="4447497A"/>
    <w:rsid w:val="44475FA6"/>
    <w:rsid w:val="444924A1"/>
    <w:rsid w:val="444927FD"/>
    <w:rsid w:val="444A1554"/>
    <w:rsid w:val="444A533D"/>
    <w:rsid w:val="444A6219"/>
    <w:rsid w:val="444C15AB"/>
    <w:rsid w:val="444F3C58"/>
    <w:rsid w:val="44501489"/>
    <w:rsid w:val="44501A99"/>
    <w:rsid w:val="44514C42"/>
    <w:rsid w:val="4451628D"/>
    <w:rsid w:val="44517448"/>
    <w:rsid w:val="44550B51"/>
    <w:rsid w:val="445668F8"/>
    <w:rsid w:val="44573B8E"/>
    <w:rsid w:val="445860EB"/>
    <w:rsid w:val="445B0A75"/>
    <w:rsid w:val="445B0BB1"/>
    <w:rsid w:val="445C7FF7"/>
    <w:rsid w:val="445D2129"/>
    <w:rsid w:val="445D3598"/>
    <w:rsid w:val="445E2E98"/>
    <w:rsid w:val="44615752"/>
    <w:rsid w:val="44654E75"/>
    <w:rsid w:val="446705EE"/>
    <w:rsid w:val="446717D8"/>
    <w:rsid w:val="446911C4"/>
    <w:rsid w:val="4469535F"/>
    <w:rsid w:val="446A3328"/>
    <w:rsid w:val="446C6E5D"/>
    <w:rsid w:val="446D0719"/>
    <w:rsid w:val="446D1E22"/>
    <w:rsid w:val="446D572C"/>
    <w:rsid w:val="446E3F04"/>
    <w:rsid w:val="446E5AE0"/>
    <w:rsid w:val="446E5AEF"/>
    <w:rsid w:val="446E63AB"/>
    <w:rsid w:val="446E6F91"/>
    <w:rsid w:val="446F7A2D"/>
    <w:rsid w:val="4470419C"/>
    <w:rsid w:val="44715B55"/>
    <w:rsid w:val="44726078"/>
    <w:rsid w:val="44786A6E"/>
    <w:rsid w:val="447A4001"/>
    <w:rsid w:val="447C3548"/>
    <w:rsid w:val="447C6F9F"/>
    <w:rsid w:val="447E0FE6"/>
    <w:rsid w:val="447F2F82"/>
    <w:rsid w:val="447F630D"/>
    <w:rsid w:val="44801A7D"/>
    <w:rsid w:val="448132F1"/>
    <w:rsid w:val="44824588"/>
    <w:rsid w:val="44842A8E"/>
    <w:rsid w:val="44844D63"/>
    <w:rsid w:val="44845CE4"/>
    <w:rsid w:val="4485062D"/>
    <w:rsid w:val="448552D1"/>
    <w:rsid w:val="448555DC"/>
    <w:rsid w:val="44873D87"/>
    <w:rsid w:val="44891CB6"/>
    <w:rsid w:val="448A73B2"/>
    <w:rsid w:val="448B248E"/>
    <w:rsid w:val="448B6A8C"/>
    <w:rsid w:val="448D26CC"/>
    <w:rsid w:val="448D2B53"/>
    <w:rsid w:val="448D4787"/>
    <w:rsid w:val="448F5CF8"/>
    <w:rsid w:val="448F6672"/>
    <w:rsid w:val="44901FCE"/>
    <w:rsid w:val="449367A9"/>
    <w:rsid w:val="44936AE9"/>
    <w:rsid w:val="44943276"/>
    <w:rsid w:val="4496705B"/>
    <w:rsid w:val="4497746C"/>
    <w:rsid w:val="449A4925"/>
    <w:rsid w:val="449C3BC8"/>
    <w:rsid w:val="449C49B2"/>
    <w:rsid w:val="449C6971"/>
    <w:rsid w:val="449C6D0F"/>
    <w:rsid w:val="449E0B1B"/>
    <w:rsid w:val="449F17A0"/>
    <w:rsid w:val="449F1C8B"/>
    <w:rsid w:val="44A02F86"/>
    <w:rsid w:val="44A05F32"/>
    <w:rsid w:val="44A41DCD"/>
    <w:rsid w:val="44A42A7D"/>
    <w:rsid w:val="44A7581B"/>
    <w:rsid w:val="44A97EE0"/>
    <w:rsid w:val="44AA0C5B"/>
    <w:rsid w:val="44AA1C6D"/>
    <w:rsid w:val="44AC02BF"/>
    <w:rsid w:val="44AC152D"/>
    <w:rsid w:val="44AC1A94"/>
    <w:rsid w:val="44AE3814"/>
    <w:rsid w:val="44AE5EC3"/>
    <w:rsid w:val="44B1262A"/>
    <w:rsid w:val="44B34FBB"/>
    <w:rsid w:val="44B40DB4"/>
    <w:rsid w:val="44B53401"/>
    <w:rsid w:val="44B5474C"/>
    <w:rsid w:val="44B62770"/>
    <w:rsid w:val="44B702AD"/>
    <w:rsid w:val="44BA6E1B"/>
    <w:rsid w:val="44BB12E3"/>
    <w:rsid w:val="44BB4C3D"/>
    <w:rsid w:val="44BB64BB"/>
    <w:rsid w:val="44BD3D91"/>
    <w:rsid w:val="44BE1FA7"/>
    <w:rsid w:val="44BF316A"/>
    <w:rsid w:val="44BF4694"/>
    <w:rsid w:val="44C05357"/>
    <w:rsid w:val="44C3584E"/>
    <w:rsid w:val="44C61F46"/>
    <w:rsid w:val="44C71BAC"/>
    <w:rsid w:val="44C72FFD"/>
    <w:rsid w:val="44C777D7"/>
    <w:rsid w:val="44C77869"/>
    <w:rsid w:val="44C85555"/>
    <w:rsid w:val="44C905B8"/>
    <w:rsid w:val="44C92F45"/>
    <w:rsid w:val="44CA3C17"/>
    <w:rsid w:val="44CB2DCD"/>
    <w:rsid w:val="44CB55AC"/>
    <w:rsid w:val="44CC319D"/>
    <w:rsid w:val="44CC48E9"/>
    <w:rsid w:val="44CD3294"/>
    <w:rsid w:val="44CD7BA7"/>
    <w:rsid w:val="44CE1962"/>
    <w:rsid w:val="44CE20D1"/>
    <w:rsid w:val="44CE47CE"/>
    <w:rsid w:val="44CE6CFF"/>
    <w:rsid w:val="44D03174"/>
    <w:rsid w:val="44D0671E"/>
    <w:rsid w:val="44D102C7"/>
    <w:rsid w:val="44D12E8C"/>
    <w:rsid w:val="44D15E85"/>
    <w:rsid w:val="44D278B4"/>
    <w:rsid w:val="44D30A2F"/>
    <w:rsid w:val="44D338FC"/>
    <w:rsid w:val="44D55AC0"/>
    <w:rsid w:val="44D70FAE"/>
    <w:rsid w:val="44D728D6"/>
    <w:rsid w:val="44D732C1"/>
    <w:rsid w:val="44D7330D"/>
    <w:rsid w:val="44D81FA3"/>
    <w:rsid w:val="44D84559"/>
    <w:rsid w:val="44DB03D8"/>
    <w:rsid w:val="44DC340A"/>
    <w:rsid w:val="44DC5B76"/>
    <w:rsid w:val="44DC741D"/>
    <w:rsid w:val="44DD0E3B"/>
    <w:rsid w:val="44DD5A4E"/>
    <w:rsid w:val="44DE0D2D"/>
    <w:rsid w:val="44DE0FE5"/>
    <w:rsid w:val="44DE3BCB"/>
    <w:rsid w:val="44DE3FD1"/>
    <w:rsid w:val="44DE5FB8"/>
    <w:rsid w:val="44DE6EC4"/>
    <w:rsid w:val="44DF2786"/>
    <w:rsid w:val="44DF63AD"/>
    <w:rsid w:val="44E02329"/>
    <w:rsid w:val="44E111C4"/>
    <w:rsid w:val="44E20544"/>
    <w:rsid w:val="44E23AE0"/>
    <w:rsid w:val="44E301C6"/>
    <w:rsid w:val="44E33D1E"/>
    <w:rsid w:val="44E41A25"/>
    <w:rsid w:val="44E5615B"/>
    <w:rsid w:val="44E60286"/>
    <w:rsid w:val="44E626E4"/>
    <w:rsid w:val="44E63310"/>
    <w:rsid w:val="44E71512"/>
    <w:rsid w:val="44E73DEB"/>
    <w:rsid w:val="44E74953"/>
    <w:rsid w:val="44E92232"/>
    <w:rsid w:val="44E93C84"/>
    <w:rsid w:val="44EA2A12"/>
    <w:rsid w:val="44EB3F9A"/>
    <w:rsid w:val="44EC1BE6"/>
    <w:rsid w:val="44EF7631"/>
    <w:rsid w:val="44F046F1"/>
    <w:rsid w:val="44F15FCD"/>
    <w:rsid w:val="44F50503"/>
    <w:rsid w:val="44F5507F"/>
    <w:rsid w:val="44F60507"/>
    <w:rsid w:val="44F64797"/>
    <w:rsid w:val="44F74E02"/>
    <w:rsid w:val="44FA319C"/>
    <w:rsid w:val="44FA391E"/>
    <w:rsid w:val="44FB0539"/>
    <w:rsid w:val="44FB0FCD"/>
    <w:rsid w:val="44FB4A2F"/>
    <w:rsid w:val="44FC2B65"/>
    <w:rsid w:val="44FD20E4"/>
    <w:rsid w:val="44FD685C"/>
    <w:rsid w:val="45006F25"/>
    <w:rsid w:val="4502705A"/>
    <w:rsid w:val="45037277"/>
    <w:rsid w:val="450548AF"/>
    <w:rsid w:val="45055665"/>
    <w:rsid w:val="45061C1F"/>
    <w:rsid w:val="4506536E"/>
    <w:rsid w:val="45072246"/>
    <w:rsid w:val="45084763"/>
    <w:rsid w:val="45085527"/>
    <w:rsid w:val="45085EB8"/>
    <w:rsid w:val="4508641D"/>
    <w:rsid w:val="45090DF0"/>
    <w:rsid w:val="450A2813"/>
    <w:rsid w:val="450A346F"/>
    <w:rsid w:val="450C6E18"/>
    <w:rsid w:val="450D3404"/>
    <w:rsid w:val="450E6333"/>
    <w:rsid w:val="450F0B3E"/>
    <w:rsid w:val="450F3D2D"/>
    <w:rsid w:val="4510315B"/>
    <w:rsid w:val="45110A4D"/>
    <w:rsid w:val="451406FA"/>
    <w:rsid w:val="45142C19"/>
    <w:rsid w:val="451637F6"/>
    <w:rsid w:val="451668C0"/>
    <w:rsid w:val="45172146"/>
    <w:rsid w:val="45177B9E"/>
    <w:rsid w:val="45181CD6"/>
    <w:rsid w:val="45185BA9"/>
    <w:rsid w:val="45191DA1"/>
    <w:rsid w:val="45192E0E"/>
    <w:rsid w:val="451B2ABC"/>
    <w:rsid w:val="451C08B2"/>
    <w:rsid w:val="451C67AC"/>
    <w:rsid w:val="45200A75"/>
    <w:rsid w:val="45220D43"/>
    <w:rsid w:val="45224D84"/>
    <w:rsid w:val="45226762"/>
    <w:rsid w:val="45250444"/>
    <w:rsid w:val="45272092"/>
    <w:rsid w:val="45275F77"/>
    <w:rsid w:val="45276CA8"/>
    <w:rsid w:val="4528209A"/>
    <w:rsid w:val="452836D2"/>
    <w:rsid w:val="452A5691"/>
    <w:rsid w:val="452A6D13"/>
    <w:rsid w:val="452B4F5C"/>
    <w:rsid w:val="452B7DF8"/>
    <w:rsid w:val="452C58AE"/>
    <w:rsid w:val="452D648B"/>
    <w:rsid w:val="452D775F"/>
    <w:rsid w:val="452E0395"/>
    <w:rsid w:val="452E7ABF"/>
    <w:rsid w:val="4530674F"/>
    <w:rsid w:val="45313ECF"/>
    <w:rsid w:val="45321A85"/>
    <w:rsid w:val="45327192"/>
    <w:rsid w:val="45327753"/>
    <w:rsid w:val="45365661"/>
    <w:rsid w:val="45371E12"/>
    <w:rsid w:val="45372CA4"/>
    <w:rsid w:val="453736C3"/>
    <w:rsid w:val="45387D00"/>
    <w:rsid w:val="45397B2F"/>
    <w:rsid w:val="453A3D33"/>
    <w:rsid w:val="453A4649"/>
    <w:rsid w:val="453B1184"/>
    <w:rsid w:val="453B5AAF"/>
    <w:rsid w:val="453C68BB"/>
    <w:rsid w:val="453E33D8"/>
    <w:rsid w:val="453E73FB"/>
    <w:rsid w:val="45401504"/>
    <w:rsid w:val="45407550"/>
    <w:rsid w:val="45410A14"/>
    <w:rsid w:val="4542101D"/>
    <w:rsid w:val="45421036"/>
    <w:rsid w:val="45422FC9"/>
    <w:rsid w:val="45425F22"/>
    <w:rsid w:val="4543513F"/>
    <w:rsid w:val="45437CDB"/>
    <w:rsid w:val="454444B9"/>
    <w:rsid w:val="454444C2"/>
    <w:rsid w:val="45460E8D"/>
    <w:rsid w:val="4549173E"/>
    <w:rsid w:val="454C7692"/>
    <w:rsid w:val="454D131A"/>
    <w:rsid w:val="454D7591"/>
    <w:rsid w:val="454E075C"/>
    <w:rsid w:val="454E176D"/>
    <w:rsid w:val="454F0529"/>
    <w:rsid w:val="454F7C68"/>
    <w:rsid w:val="45510914"/>
    <w:rsid w:val="45510A9C"/>
    <w:rsid w:val="45533244"/>
    <w:rsid w:val="45550864"/>
    <w:rsid w:val="455528E4"/>
    <w:rsid w:val="45573040"/>
    <w:rsid w:val="45575974"/>
    <w:rsid w:val="45577C26"/>
    <w:rsid w:val="4558483E"/>
    <w:rsid w:val="455966E3"/>
    <w:rsid w:val="455A7F69"/>
    <w:rsid w:val="455C0D58"/>
    <w:rsid w:val="455C6204"/>
    <w:rsid w:val="455D6E42"/>
    <w:rsid w:val="455D736A"/>
    <w:rsid w:val="455E0086"/>
    <w:rsid w:val="455E0D0B"/>
    <w:rsid w:val="455E6953"/>
    <w:rsid w:val="455E6DFE"/>
    <w:rsid w:val="455E7EBD"/>
    <w:rsid w:val="45611609"/>
    <w:rsid w:val="456169FB"/>
    <w:rsid w:val="45623BE2"/>
    <w:rsid w:val="4562476B"/>
    <w:rsid w:val="4562693B"/>
    <w:rsid w:val="45632745"/>
    <w:rsid w:val="456808DA"/>
    <w:rsid w:val="45680F03"/>
    <w:rsid w:val="456833F0"/>
    <w:rsid w:val="45683F8F"/>
    <w:rsid w:val="456A3EFE"/>
    <w:rsid w:val="456B2D88"/>
    <w:rsid w:val="456B4DAA"/>
    <w:rsid w:val="456C3DC9"/>
    <w:rsid w:val="456C3FE4"/>
    <w:rsid w:val="456C4DAF"/>
    <w:rsid w:val="456D38A6"/>
    <w:rsid w:val="456F1AB4"/>
    <w:rsid w:val="456F23DB"/>
    <w:rsid w:val="4570767C"/>
    <w:rsid w:val="45722BF2"/>
    <w:rsid w:val="45725A27"/>
    <w:rsid w:val="457466A0"/>
    <w:rsid w:val="45750EC4"/>
    <w:rsid w:val="45754813"/>
    <w:rsid w:val="45760BFC"/>
    <w:rsid w:val="4577303D"/>
    <w:rsid w:val="45780504"/>
    <w:rsid w:val="457833C6"/>
    <w:rsid w:val="457841C2"/>
    <w:rsid w:val="45784445"/>
    <w:rsid w:val="457850D5"/>
    <w:rsid w:val="45785164"/>
    <w:rsid w:val="457936BA"/>
    <w:rsid w:val="457A276D"/>
    <w:rsid w:val="457A412B"/>
    <w:rsid w:val="457B7524"/>
    <w:rsid w:val="457B7EB9"/>
    <w:rsid w:val="457C00F4"/>
    <w:rsid w:val="457C22DA"/>
    <w:rsid w:val="457C3874"/>
    <w:rsid w:val="457E21FC"/>
    <w:rsid w:val="457E5848"/>
    <w:rsid w:val="457F03A0"/>
    <w:rsid w:val="45852ECB"/>
    <w:rsid w:val="458530B3"/>
    <w:rsid w:val="45871F46"/>
    <w:rsid w:val="458728CF"/>
    <w:rsid w:val="458D2843"/>
    <w:rsid w:val="458D50A1"/>
    <w:rsid w:val="458F5321"/>
    <w:rsid w:val="458F70F8"/>
    <w:rsid w:val="459009E1"/>
    <w:rsid w:val="459155CC"/>
    <w:rsid w:val="45931BC6"/>
    <w:rsid w:val="45931C40"/>
    <w:rsid w:val="459333DD"/>
    <w:rsid w:val="45953594"/>
    <w:rsid w:val="45964731"/>
    <w:rsid w:val="45977785"/>
    <w:rsid w:val="45994E45"/>
    <w:rsid w:val="4599508B"/>
    <w:rsid w:val="459A576F"/>
    <w:rsid w:val="459B015D"/>
    <w:rsid w:val="459B6298"/>
    <w:rsid w:val="459C2A22"/>
    <w:rsid w:val="459C4D81"/>
    <w:rsid w:val="459E12AA"/>
    <w:rsid w:val="45A0107C"/>
    <w:rsid w:val="45A11B70"/>
    <w:rsid w:val="45A1339F"/>
    <w:rsid w:val="45A136E7"/>
    <w:rsid w:val="45A15E35"/>
    <w:rsid w:val="45A21348"/>
    <w:rsid w:val="45A335B0"/>
    <w:rsid w:val="45A33E32"/>
    <w:rsid w:val="45A756B7"/>
    <w:rsid w:val="45A81FE5"/>
    <w:rsid w:val="45A8769B"/>
    <w:rsid w:val="45AB5AB0"/>
    <w:rsid w:val="45AB60F8"/>
    <w:rsid w:val="45AC6244"/>
    <w:rsid w:val="45AE1C6D"/>
    <w:rsid w:val="45AE4891"/>
    <w:rsid w:val="45AE4FEF"/>
    <w:rsid w:val="45B15566"/>
    <w:rsid w:val="45B17C06"/>
    <w:rsid w:val="45B40AA8"/>
    <w:rsid w:val="45B44DCC"/>
    <w:rsid w:val="45B86713"/>
    <w:rsid w:val="45B96248"/>
    <w:rsid w:val="45BA5E31"/>
    <w:rsid w:val="45BB0F8F"/>
    <w:rsid w:val="45BC2C9C"/>
    <w:rsid w:val="45BD74E8"/>
    <w:rsid w:val="45BE2065"/>
    <w:rsid w:val="45BE2FBF"/>
    <w:rsid w:val="45BF68F4"/>
    <w:rsid w:val="45C0246C"/>
    <w:rsid w:val="45C03BE1"/>
    <w:rsid w:val="45C06E8A"/>
    <w:rsid w:val="45C13B4D"/>
    <w:rsid w:val="45C178B6"/>
    <w:rsid w:val="45C24668"/>
    <w:rsid w:val="45C3735D"/>
    <w:rsid w:val="45C529EC"/>
    <w:rsid w:val="45C62682"/>
    <w:rsid w:val="45C66031"/>
    <w:rsid w:val="45C73FC5"/>
    <w:rsid w:val="45C75F9C"/>
    <w:rsid w:val="45C90342"/>
    <w:rsid w:val="45C9337F"/>
    <w:rsid w:val="45CB088C"/>
    <w:rsid w:val="45CC16C5"/>
    <w:rsid w:val="45CF5429"/>
    <w:rsid w:val="45D10A3D"/>
    <w:rsid w:val="45D22A80"/>
    <w:rsid w:val="45D27CEF"/>
    <w:rsid w:val="45D451B1"/>
    <w:rsid w:val="45D6559F"/>
    <w:rsid w:val="45D7175F"/>
    <w:rsid w:val="45D71D2E"/>
    <w:rsid w:val="45D75217"/>
    <w:rsid w:val="45D93776"/>
    <w:rsid w:val="45D94F4D"/>
    <w:rsid w:val="45D97033"/>
    <w:rsid w:val="45DA06F8"/>
    <w:rsid w:val="45DA4A51"/>
    <w:rsid w:val="45DA78F3"/>
    <w:rsid w:val="45DB22E8"/>
    <w:rsid w:val="45DD3DBA"/>
    <w:rsid w:val="45DD7678"/>
    <w:rsid w:val="45DE130F"/>
    <w:rsid w:val="45E242B1"/>
    <w:rsid w:val="45E30B6B"/>
    <w:rsid w:val="45E359EB"/>
    <w:rsid w:val="45E449CD"/>
    <w:rsid w:val="45E4593A"/>
    <w:rsid w:val="45E506AF"/>
    <w:rsid w:val="45E8173D"/>
    <w:rsid w:val="45E953B5"/>
    <w:rsid w:val="45E95EA5"/>
    <w:rsid w:val="45EA2B5F"/>
    <w:rsid w:val="45EA4BC2"/>
    <w:rsid w:val="45EB3814"/>
    <w:rsid w:val="45EB5839"/>
    <w:rsid w:val="45EC02F3"/>
    <w:rsid w:val="45EE13AF"/>
    <w:rsid w:val="45EF32E8"/>
    <w:rsid w:val="45F05A77"/>
    <w:rsid w:val="45F104DA"/>
    <w:rsid w:val="45F14DE9"/>
    <w:rsid w:val="45F17839"/>
    <w:rsid w:val="45F23015"/>
    <w:rsid w:val="45F3729A"/>
    <w:rsid w:val="45F41021"/>
    <w:rsid w:val="45F552B3"/>
    <w:rsid w:val="45F60406"/>
    <w:rsid w:val="45F61EBF"/>
    <w:rsid w:val="45F63277"/>
    <w:rsid w:val="45F63D9C"/>
    <w:rsid w:val="45F645EA"/>
    <w:rsid w:val="45F8337A"/>
    <w:rsid w:val="45F9552E"/>
    <w:rsid w:val="45FC49A4"/>
    <w:rsid w:val="45FD158B"/>
    <w:rsid w:val="45FF364D"/>
    <w:rsid w:val="46003F1E"/>
    <w:rsid w:val="46011603"/>
    <w:rsid w:val="46022E27"/>
    <w:rsid w:val="460234D2"/>
    <w:rsid w:val="46033023"/>
    <w:rsid w:val="46036887"/>
    <w:rsid w:val="46037FEE"/>
    <w:rsid w:val="46041B87"/>
    <w:rsid w:val="4605431D"/>
    <w:rsid w:val="46064EEA"/>
    <w:rsid w:val="460814AF"/>
    <w:rsid w:val="460A4EED"/>
    <w:rsid w:val="460B2DF0"/>
    <w:rsid w:val="460B3A6B"/>
    <w:rsid w:val="460B7F4F"/>
    <w:rsid w:val="460D2AE3"/>
    <w:rsid w:val="460D3B73"/>
    <w:rsid w:val="460E0775"/>
    <w:rsid w:val="460E37F3"/>
    <w:rsid w:val="460E44A0"/>
    <w:rsid w:val="460F14C8"/>
    <w:rsid w:val="460F70C6"/>
    <w:rsid w:val="46105EEC"/>
    <w:rsid w:val="46117067"/>
    <w:rsid w:val="4612126A"/>
    <w:rsid w:val="46124D20"/>
    <w:rsid w:val="46136A63"/>
    <w:rsid w:val="46176B78"/>
    <w:rsid w:val="4618081F"/>
    <w:rsid w:val="461863BF"/>
    <w:rsid w:val="461920FD"/>
    <w:rsid w:val="4619228B"/>
    <w:rsid w:val="46196A03"/>
    <w:rsid w:val="461A2C83"/>
    <w:rsid w:val="461B30B3"/>
    <w:rsid w:val="461B7832"/>
    <w:rsid w:val="461C65F0"/>
    <w:rsid w:val="461E1BDF"/>
    <w:rsid w:val="461F07B8"/>
    <w:rsid w:val="46201726"/>
    <w:rsid w:val="46203D21"/>
    <w:rsid w:val="46223A61"/>
    <w:rsid w:val="46246E90"/>
    <w:rsid w:val="462521DF"/>
    <w:rsid w:val="462542AC"/>
    <w:rsid w:val="46281802"/>
    <w:rsid w:val="46281A9B"/>
    <w:rsid w:val="46286953"/>
    <w:rsid w:val="4629693B"/>
    <w:rsid w:val="462A175E"/>
    <w:rsid w:val="462B1B6C"/>
    <w:rsid w:val="462E7BA0"/>
    <w:rsid w:val="462F12F2"/>
    <w:rsid w:val="4630251F"/>
    <w:rsid w:val="4630252F"/>
    <w:rsid w:val="46310496"/>
    <w:rsid w:val="463366EC"/>
    <w:rsid w:val="46343800"/>
    <w:rsid w:val="463615CF"/>
    <w:rsid w:val="46361FB5"/>
    <w:rsid w:val="463831B6"/>
    <w:rsid w:val="46392F9F"/>
    <w:rsid w:val="46394885"/>
    <w:rsid w:val="463A6CC6"/>
    <w:rsid w:val="463C25F6"/>
    <w:rsid w:val="463C420C"/>
    <w:rsid w:val="463D6126"/>
    <w:rsid w:val="46405185"/>
    <w:rsid w:val="464128F1"/>
    <w:rsid w:val="46420E46"/>
    <w:rsid w:val="46430CE4"/>
    <w:rsid w:val="46432AC8"/>
    <w:rsid w:val="46452070"/>
    <w:rsid w:val="46453460"/>
    <w:rsid w:val="46456976"/>
    <w:rsid w:val="46462EF8"/>
    <w:rsid w:val="464672CA"/>
    <w:rsid w:val="464A1DCA"/>
    <w:rsid w:val="464A5153"/>
    <w:rsid w:val="464B3118"/>
    <w:rsid w:val="464B5230"/>
    <w:rsid w:val="464C0026"/>
    <w:rsid w:val="464C47B2"/>
    <w:rsid w:val="464E0684"/>
    <w:rsid w:val="464E71CE"/>
    <w:rsid w:val="4650206B"/>
    <w:rsid w:val="46502C45"/>
    <w:rsid w:val="46510C09"/>
    <w:rsid w:val="46524619"/>
    <w:rsid w:val="46531D14"/>
    <w:rsid w:val="46531D66"/>
    <w:rsid w:val="46554D0A"/>
    <w:rsid w:val="46567B37"/>
    <w:rsid w:val="465753A9"/>
    <w:rsid w:val="46594839"/>
    <w:rsid w:val="4659626D"/>
    <w:rsid w:val="465A64AB"/>
    <w:rsid w:val="465B0A89"/>
    <w:rsid w:val="465C1A8E"/>
    <w:rsid w:val="465D2B78"/>
    <w:rsid w:val="465E1DFD"/>
    <w:rsid w:val="465E7FBE"/>
    <w:rsid w:val="46607397"/>
    <w:rsid w:val="466078FD"/>
    <w:rsid w:val="4663030F"/>
    <w:rsid w:val="466304D8"/>
    <w:rsid w:val="4664660F"/>
    <w:rsid w:val="46652BE6"/>
    <w:rsid w:val="46680374"/>
    <w:rsid w:val="466842DC"/>
    <w:rsid w:val="46693092"/>
    <w:rsid w:val="466955EE"/>
    <w:rsid w:val="466A4B73"/>
    <w:rsid w:val="466C40E9"/>
    <w:rsid w:val="466D09EF"/>
    <w:rsid w:val="466D22B7"/>
    <w:rsid w:val="466F444D"/>
    <w:rsid w:val="467008B3"/>
    <w:rsid w:val="46715462"/>
    <w:rsid w:val="46715CDF"/>
    <w:rsid w:val="46723A9C"/>
    <w:rsid w:val="46726D8E"/>
    <w:rsid w:val="46730CDE"/>
    <w:rsid w:val="467511FE"/>
    <w:rsid w:val="46762A81"/>
    <w:rsid w:val="467703FE"/>
    <w:rsid w:val="46786BE7"/>
    <w:rsid w:val="467929F5"/>
    <w:rsid w:val="467C3EC3"/>
    <w:rsid w:val="467F1C71"/>
    <w:rsid w:val="467F3CEF"/>
    <w:rsid w:val="467F401B"/>
    <w:rsid w:val="46801FF8"/>
    <w:rsid w:val="46804174"/>
    <w:rsid w:val="46833AD0"/>
    <w:rsid w:val="46835963"/>
    <w:rsid w:val="46840B63"/>
    <w:rsid w:val="468518B4"/>
    <w:rsid w:val="46853790"/>
    <w:rsid w:val="46862B34"/>
    <w:rsid w:val="46871C00"/>
    <w:rsid w:val="468808CF"/>
    <w:rsid w:val="46892DFF"/>
    <w:rsid w:val="468A2959"/>
    <w:rsid w:val="468A295F"/>
    <w:rsid w:val="468B4BAD"/>
    <w:rsid w:val="468D6F90"/>
    <w:rsid w:val="468E564A"/>
    <w:rsid w:val="468F2C8B"/>
    <w:rsid w:val="469016D3"/>
    <w:rsid w:val="46920650"/>
    <w:rsid w:val="469316C6"/>
    <w:rsid w:val="4695766E"/>
    <w:rsid w:val="46970BAA"/>
    <w:rsid w:val="46973497"/>
    <w:rsid w:val="469800F8"/>
    <w:rsid w:val="469A3005"/>
    <w:rsid w:val="469A4522"/>
    <w:rsid w:val="469C2019"/>
    <w:rsid w:val="469D0A10"/>
    <w:rsid w:val="469E21D3"/>
    <w:rsid w:val="46A14882"/>
    <w:rsid w:val="46A321DF"/>
    <w:rsid w:val="46A3302A"/>
    <w:rsid w:val="46A4654F"/>
    <w:rsid w:val="46A528BC"/>
    <w:rsid w:val="46A53AAB"/>
    <w:rsid w:val="46A54B5C"/>
    <w:rsid w:val="46A6084C"/>
    <w:rsid w:val="46A61E2C"/>
    <w:rsid w:val="46A62626"/>
    <w:rsid w:val="46A7426C"/>
    <w:rsid w:val="46A77FA5"/>
    <w:rsid w:val="46A93552"/>
    <w:rsid w:val="46AA0135"/>
    <w:rsid w:val="46AB38B1"/>
    <w:rsid w:val="46AC78CA"/>
    <w:rsid w:val="46AD15E9"/>
    <w:rsid w:val="46AD2D1A"/>
    <w:rsid w:val="46AE7794"/>
    <w:rsid w:val="46AF2768"/>
    <w:rsid w:val="46AF3A6C"/>
    <w:rsid w:val="46B022CD"/>
    <w:rsid w:val="46B04013"/>
    <w:rsid w:val="46B10191"/>
    <w:rsid w:val="46B165C4"/>
    <w:rsid w:val="46B26774"/>
    <w:rsid w:val="46B30B36"/>
    <w:rsid w:val="46B320DC"/>
    <w:rsid w:val="46B35F16"/>
    <w:rsid w:val="46B50562"/>
    <w:rsid w:val="46B62CA5"/>
    <w:rsid w:val="46B636A2"/>
    <w:rsid w:val="46B641DB"/>
    <w:rsid w:val="46B64C38"/>
    <w:rsid w:val="46B72A5F"/>
    <w:rsid w:val="46B843A4"/>
    <w:rsid w:val="46B91095"/>
    <w:rsid w:val="46B9117D"/>
    <w:rsid w:val="46B92E6B"/>
    <w:rsid w:val="46B94271"/>
    <w:rsid w:val="46BA0C78"/>
    <w:rsid w:val="46BB21DC"/>
    <w:rsid w:val="46BB2C25"/>
    <w:rsid w:val="46BC1E9C"/>
    <w:rsid w:val="46BC5B7A"/>
    <w:rsid w:val="46BD3A68"/>
    <w:rsid w:val="46BE4F2E"/>
    <w:rsid w:val="46BF4D46"/>
    <w:rsid w:val="46BF6D22"/>
    <w:rsid w:val="46C00030"/>
    <w:rsid w:val="46C03F51"/>
    <w:rsid w:val="46C04B1E"/>
    <w:rsid w:val="46C07152"/>
    <w:rsid w:val="46C254E5"/>
    <w:rsid w:val="46C33A13"/>
    <w:rsid w:val="46C41386"/>
    <w:rsid w:val="46C5040E"/>
    <w:rsid w:val="46C52004"/>
    <w:rsid w:val="46C64ED8"/>
    <w:rsid w:val="46C81D9C"/>
    <w:rsid w:val="46C8221B"/>
    <w:rsid w:val="46C92AEB"/>
    <w:rsid w:val="46C95B1B"/>
    <w:rsid w:val="46C97E57"/>
    <w:rsid w:val="46CB703B"/>
    <w:rsid w:val="46CC7846"/>
    <w:rsid w:val="46CD14FB"/>
    <w:rsid w:val="46CD2C22"/>
    <w:rsid w:val="46CE350E"/>
    <w:rsid w:val="46D02A05"/>
    <w:rsid w:val="46D10001"/>
    <w:rsid w:val="46D172C7"/>
    <w:rsid w:val="46D336AB"/>
    <w:rsid w:val="46D40465"/>
    <w:rsid w:val="46D41F53"/>
    <w:rsid w:val="46D8392E"/>
    <w:rsid w:val="46D84D22"/>
    <w:rsid w:val="46DA2E8B"/>
    <w:rsid w:val="46DC53DD"/>
    <w:rsid w:val="46DD1C41"/>
    <w:rsid w:val="46DD33AA"/>
    <w:rsid w:val="46DE6548"/>
    <w:rsid w:val="46E10B68"/>
    <w:rsid w:val="46E14C12"/>
    <w:rsid w:val="46E311BE"/>
    <w:rsid w:val="46E32F69"/>
    <w:rsid w:val="46E33017"/>
    <w:rsid w:val="46E3707F"/>
    <w:rsid w:val="46E643D1"/>
    <w:rsid w:val="46E667D7"/>
    <w:rsid w:val="46E766C5"/>
    <w:rsid w:val="46E839B5"/>
    <w:rsid w:val="46E93AC7"/>
    <w:rsid w:val="46E96F61"/>
    <w:rsid w:val="46E97CA1"/>
    <w:rsid w:val="46EA0BEF"/>
    <w:rsid w:val="46EA0D30"/>
    <w:rsid w:val="46EB54B1"/>
    <w:rsid w:val="46ED29BB"/>
    <w:rsid w:val="46EF731E"/>
    <w:rsid w:val="46F03FB0"/>
    <w:rsid w:val="46F06920"/>
    <w:rsid w:val="46F25883"/>
    <w:rsid w:val="46F43D85"/>
    <w:rsid w:val="46F5589A"/>
    <w:rsid w:val="46F60637"/>
    <w:rsid w:val="46F60E97"/>
    <w:rsid w:val="46F64A7B"/>
    <w:rsid w:val="46F64B41"/>
    <w:rsid w:val="46F65410"/>
    <w:rsid w:val="46F67E39"/>
    <w:rsid w:val="46F923D9"/>
    <w:rsid w:val="46F94370"/>
    <w:rsid w:val="46F96DD1"/>
    <w:rsid w:val="46FA0DF3"/>
    <w:rsid w:val="46FA2C0B"/>
    <w:rsid w:val="46FB2451"/>
    <w:rsid w:val="46FB6AB3"/>
    <w:rsid w:val="46FD535E"/>
    <w:rsid w:val="46FD780C"/>
    <w:rsid w:val="46FF37E0"/>
    <w:rsid w:val="47002B38"/>
    <w:rsid w:val="47004E59"/>
    <w:rsid w:val="4701007C"/>
    <w:rsid w:val="470144CF"/>
    <w:rsid w:val="47015894"/>
    <w:rsid w:val="47017983"/>
    <w:rsid w:val="470238E2"/>
    <w:rsid w:val="4703702C"/>
    <w:rsid w:val="4707047D"/>
    <w:rsid w:val="47080728"/>
    <w:rsid w:val="470A7474"/>
    <w:rsid w:val="470B3AC0"/>
    <w:rsid w:val="470B483C"/>
    <w:rsid w:val="470C3B30"/>
    <w:rsid w:val="470D1B30"/>
    <w:rsid w:val="470D3B96"/>
    <w:rsid w:val="470E4CA1"/>
    <w:rsid w:val="470F7DF2"/>
    <w:rsid w:val="47103A73"/>
    <w:rsid w:val="471054F8"/>
    <w:rsid w:val="47116BFA"/>
    <w:rsid w:val="47136BC2"/>
    <w:rsid w:val="47147994"/>
    <w:rsid w:val="4717349E"/>
    <w:rsid w:val="47193AB1"/>
    <w:rsid w:val="471A1235"/>
    <w:rsid w:val="471A7203"/>
    <w:rsid w:val="471B5204"/>
    <w:rsid w:val="471D727E"/>
    <w:rsid w:val="471E621B"/>
    <w:rsid w:val="471F39DD"/>
    <w:rsid w:val="471F6800"/>
    <w:rsid w:val="47206DAA"/>
    <w:rsid w:val="472102A6"/>
    <w:rsid w:val="47210BAB"/>
    <w:rsid w:val="4721566E"/>
    <w:rsid w:val="47216FAD"/>
    <w:rsid w:val="472275FD"/>
    <w:rsid w:val="47230D72"/>
    <w:rsid w:val="47233BCD"/>
    <w:rsid w:val="472744AF"/>
    <w:rsid w:val="47294301"/>
    <w:rsid w:val="472A42C1"/>
    <w:rsid w:val="472B1F55"/>
    <w:rsid w:val="472C3F29"/>
    <w:rsid w:val="472D0B1C"/>
    <w:rsid w:val="472D2CA1"/>
    <w:rsid w:val="472D2FA2"/>
    <w:rsid w:val="472D60AA"/>
    <w:rsid w:val="472D7B31"/>
    <w:rsid w:val="472F7A93"/>
    <w:rsid w:val="47303314"/>
    <w:rsid w:val="47320A7B"/>
    <w:rsid w:val="47320AB6"/>
    <w:rsid w:val="473212F4"/>
    <w:rsid w:val="473235F6"/>
    <w:rsid w:val="47325992"/>
    <w:rsid w:val="473351FF"/>
    <w:rsid w:val="473440EA"/>
    <w:rsid w:val="47354582"/>
    <w:rsid w:val="47356041"/>
    <w:rsid w:val="4736009E"/>
    <w:rsid w:val="47362FB4"/>
    <w:rsid w:val="47392BFA"/>
    <w:rsid w:val="47393938"/>
    <w:rsid w:val="473B577E"/>
    <w:rsid w:val="473B6ED1"/>
    <w:rsid w:val="473C3AFD"/>
    <w:rsid w:val="473D03A1"/>
    <w:rsid w:val="473D5D95"/>
    <w:rsid w:val="473D67E6"/>
    <w:rsid w:val="473E1F4D"/>
    <w:rsid w:val="47401E04"/>
    <w:rsid w:val="47403A41"/>
    <w:rsid w:val="47405368"/>
    <w:rsid w:val="4740624C"/>
    <w:rsid w:val="47415B0F"/>
    <w:rsid w:val="4745487C"/>
    <w:rsid w:val="474638A8"/>
    <w:rsid w:val="4746599B"/>
    <w:rsid w:val="47480F07"/>
    <w:rsid w:val="474A021B"/>
    <w:rsid w:val="474A2C4B"/>
    <w:rsid w:val="474A3EDB"/>
    <w:rsid w:val="474C0A83"/>
    <w:rsid w:val="474D339C"/>
    <w:rsid w:val="474D3B0E"/>
    <w:rsid w:val="474E3990"/>
    <w:rsid w:val="474F488F"/>
    <w:rsid w:val="474F4AAD"/>
    <w:rsid w:val="474F7657"/>
    <w:rsid w:val="47521E4A"/>
    <w:rsid w:val="4752698C"/>
    <w:rsid w:val="47531B9D"/>
    <w:rsid w:val="47531E9D"/>
    <w:rsid w:val="475406D8"/>
    <w:rsid w:val="475524D9"/>
    <w:rsid w:val="47553522"/>
    <w:rsid w:val="47560277"/>
    <w:rsid w:val="4756135D"/>
    <w:rsid w:val="4757156A"/>
    <w:rsid w:val="47573126"/>
    <w:rsid w:val="475A2C17"/>
    <w:rsid w:val="475A632A"/>
    <w:rsid w:val="475E02C1"/>
    <w:rsid w:val="475E44B5"/>
    <w:rsid w:val="475F0219"/>
    <w:rsid w:val="476156BE"/>
    <w:rsid w:val="47627E2B"/>
    <w:rsid w:val="47637A99"/>
    <w:rsid w:val="47645B80"/>
    <w:rsid w:val="47656C12"/>
    <w:rsid w:val="47666ED3"/>
    <w:rsid w:val="476B4627"/>
    <w:rsid w:val="476C1928"/>
    <w:rsid w:val="476D39B6"/>
    <w:rsid w:val="476D741E"/>
    <w:rsid w:val="476F28AB"/>
    <w:rsid w:val="476F6372"/>
    <w:rsid w:val="47705836"/>
    <w:rsid w:val="47721D0E"/>
    <w:rsid w:val="47724E15"/>
    <w:rsid w:val="47731C57"/>
    <w:rsid w:val="47731EAD"/>
    <w:rsid w:val="477526A6"/>
    <w:rsid w:val="47753596"/>
    <w:rsid w:val="47780BB0"/>
    <w:rsid w:val="47791799"/>
    <w:rsid w:val="47792244"/>
    <w:rsid w:val="47796CF8"/>
    <w:rsid w:val="477B166A"/>
    <w:rsid w:val="477B27D4"/>
    <w:rsid w:val="477C52D4"/>
    <w:rsid w:val="477D4A24"/>
    <w:rsid w:val="477F7427"/>
    <w:rsid w:val="47804FE5"/>
    <w:rsid w:val="47810581"/>
    <w:rsid w:val="478176A9"/>
    <w:rsid w:val="47817C5E"/>
    <w:rsid w:val="47837D73"/>
    <w:rsid w:val="47860BA2"/>
    <w:rsid w:val="47864220"/>
    <w:rsid w:val="47875E9F"/>
    <w:rsid w:val="47885C10"/>
    <w:rsid w:val="478B6A26"/>
    <w:rsid w:val="478B7158"/>
    <w:rsid w:val="478C73F2"/>
    <w:rsid w:val="478E70F1"/>
    <w:rsid w:val="478F2675"/>
    <w:rsid w:val="478F28C0"/>
    <w:rsid w:val="478F4DAC"/>
    <w:rsid w:val="478F6373"/>
    <w:rsid w:val="479018C0"/>
    <w:rsid w:val="47903CBA"/>
    <w:rsid w:val="479537C3"/>
    <w:rsid w:val="4795499F"/>
    <w:rsid w:val="47965B36"/>
    <w:rsid w:val="47974AB1"/>
    <w:rsid w:val="47983C5A"/>
    <w:rsid w:val="4799521F"/>
    <w:rsid w:val="479A422D"/>
    <w:rsid w:val="479C4FCF"/>
    <w:rsid w:val="479D03D4"/>
    <w:rsid w:val="479D6EA5"/>
    <w:rsid w:val="479E0D55"/>
    <w:rsid w:val="479E4B3C"/>
    <w:rsid w:val="479F4E57"/>
    <w:rsid w:val="479F65BC"/>
    <w:rsid w:val="47A01411"/>
    <w:rsid w:val="47A075E7"/>
    <w:rsid w:val="47A13149"/>
    <w:rsid w:val="47A15C08"/>
    <w:rsid w:val="47A465B5"/>
    <w:rsid w:val="47A84009"/>
    <w:rsid w:val="47A91F1B"/>
    <w:rsid w:val="47AA1D46"/>
    <w:rsid w:val="47AB1178"/>
    <w:rsid w:val="47AB7919"/>
    <w:rsid w:val="47AC5048"/>
    <w:rsid w:val="47B1234B"/>
    <w:rsid w:val="47B240B2"/>
    <w:rsid w:val="47B27BB6"/>
    <w:rsid w:val="47B27D33"/>
    <w:rsid w:val="47B32632"/>
    <w:rsid w:val="47B4337C"/>
    <w:rsid w:val="47B43C6B"/>
    <w:rsid w:val="47B448F0"/>
    <w:rsid w:val="47B5108F"/>
    <w:rsid w:val="47B5710B"/>
    <w:rsid w:val="47B6164C"/>
    <w:rsid w:val="47B67E66"/>
    <w:rsid w:val="47B7637D"/>
    <w:rsid w:val="47B903F5"/>
    <w:rsid w:val="47B92DEC"/>
    <w:rsid w:val="47B941F6"/>
    <w:rsid w:val="47BA6E29"/>
    <w:rsid w:val="47BB497D"/>
    <w:rsid w:val="47BC679B"/>
    <w:rsid w:val="47BD7164"/>
    <w:rsid w:val="47BD7C53"/>
    <w:rsid w:val="47BF010D"/>
    <w:rsid w:val="47BF0259"/>
    <w:rsid w:val="47BF60AB"/>
    <w:rsid w:val="47BF687A"/>
    <w:rsid w:val="47C041EF"/>
    <w:rsid w:val="47C05B63"/>
    <w:rsid w:val="47C41769"/>
    <w:rsid w:val="47C41B0F"/>
    <w:rsid w:val="47C5047B"/>
    <w:rsid w:val="47C61EC1"/>
    <w:rsid w:val="47C6231F"/>
    <w:rsid w:val="47C81E5E"/>
    <w:rsid w:val="47C90FA2"/>
    <w:rsid w:val="47C91D32"/>
    <w:rsid w:val="47C91E81"/>
    <w:rsid w:val="47C937C1"/>
    <w:rsid w:val="47C95451"/>
    <w:rsid w:val="47C97C59"/>
    <w:rsid w:val="47CA72C1"/>
    <w:rsid w:val="47CB1A65"/>
    <w:rsid w:val="47CB205F"/>
    <w:rsid w:val="47CB51C4"/>
    <w:rsid w:val="47CC11AA"/>
    <w:rsid w:val="47CD2E6E"/>
    <w:rsid w:val="47CE44E7"/>
    <w:rsid w:val="47CE5DFF"/>
    <w:rsid w:val="47D10246"/>
    <w:rsid w:val="47D10D88"/>
    <w:rsid w:val="47D13946"/>
    <w:rsid w:val="47D34D22"/>
    <w:rsid w:val="47D371EF"/>
    <w:rsid w:val="47D462C4"/>
    <w:rsid w:val="47D51DF3"/>
    <w:rsid w:val="47D60A2F"/>
    <w:rsid w:val="47D64944"/>
    <w:rsid w:val="47D71FE1"/>
    <w:rsid w:val="47D76015"/>
    <w:rsid w:val="47D93025"/>
    <w:rsid w:val="47D94967"/>
    <w:rsid w:val="47DA3253"/>
    <w:rsid w:val="47DA3947"/>
    <w:rsid w:val="47DB1538"/>
    <w:rsid w:val="47DB22B1"/>
    <w:rsid w:val="47DD6E30"/>
    <w:rsid w:val="47DE1152"/>
    <w:rsid w:val="47DE4D53"/>
    <w:rsid w:val="47DE674C"/>
    <w:rsid w:val="47DF5441"/>
    <w:rsid w:val="47E028D6"/>
    <w:rsid w:val="47E0522D"/>
    <w:rsid w:val="47E131B7"/>
    <w:rsid w:val="47E14E4B"/>
    <w:rsid w:val="47E14F8B"/>
    <w:rsid w:val="47E31198"/>
    <w:rsid w:val="47E548D9"/>
    <w:rsid w:val="47E61C9D"/>
    <w:rsid w:val="47E64522"/>
    <w:rsid w:val="47E75E73"/>
    <w:rsid w:val="47E76B12"/>
    <w:rsid w:val="47E872FC"/>
    <w:rsid w:val="47E9098D"/>
    <w:rsid w:val="47E942E0"/>
    <w:rsid w:val="47E965A9"/>
    <w:rsid w:val="47EA0DE0"/>
    <w:rsid w:val="47EA74D2"/>
    <w:rsid w:val="47EB0635"/>
    <w:rsid w:val="47EC461A"/>
    <w:rsid w:val="47EC51C2"/>
    <w:rsid w:val="47ED3CE4"/>
    <w:rsid w:val="47EE1FFC"/>
    <w:rsid w:val="47F11D27"/>
    <w:rsid w:val="47F22E4F"/>
    <w:rsid w:val="47F363A1"/>
    <w:rsid w:val="47F3679F"/>
    <w:rsid w:val="47F379FA"/>
    <w:rsid w:val="47F40EBC"/>
    <w:rsid w:val="47F44F7D"/>
    <w:rsid w:val="47F5424D"/>
    <w:rsid w:val="47F577FA"/>
    <w:rsid w:val="47F66E88"/>
    <w:rsid w:val="47F74EEE"/>
    <w:rsid w:val="47F77DD1"/>
    <w:rsid w:val="47F825E4"/>
    <w:rsid w:val="47F8793A"/>
    <w:rsid w:val="47FA5941"/>
    <w:rsid w:val="47FB27CB"/>
    <w:rsid w:val="47FB7DB0"/>
    <w:rsid w:val="47FE4A7C"/>
    <w:rsid w:val="47FF36EF"/>
    <w:rsid w:val="47FF38FD"/>
    <w:rsid w:val="48024D39"/>
    <w:rsid w:val="48030BA8"/>
    <w:rsid w:val="48032768"/>
    <w:rsid w:val="480362E5"/>
    <w:rsid w:val="48036A44"/>
    <w:rsid w:val="48042821"/>
    <w:rsid w:val="48043213"/>
    <w:rsid w:val="48053762"/>
    <w:rsid w:val="48057890"/>
    <w:rsid w:val="480608E9"/>
    <w:rsid w:val="48061AF4"/>
    <w:rsid w:val="480706A9"/>
    <w:rsid w:val="48082A65"/>
    <w:rsid w:val="480836CD"/>
    <w:rsid w:val="480914D3"/>
    <w:rsid w:val="480B389B"/>
    <w:rsid w:val="480C2CDB"/>
    <w:rsid w:val="480D2DAE"/>
    <w:rsid w:val="480E0F5F"/>
    <w:rsid w:val="480E6DA9"/>
    <w:rsid w:val="480F5411"/>
    <w:rsid w:val="480F55AC"/>
    <w:rsid w:val="4810420D"/>
    <w:rsid w:val="48107ABE"/>
    <w:rsid w:val="4811067B"/>
    <w:rsid w:val="48123D99"/>
    <w:rsid w:val="48135DF0"/>
    <w:rsid w:val="48145D09"/>
    <w:rsid w:val="481564F4"/>
    <w:rsid w:val="48160072"/>
    <w:rsid w:val="4817286E"/>
    <w:rsid w:val="48172A89"/>
    <w:rsid w:val="481849DC"/>
    <w:rsid w:val="48195829"/>
    <w:rsid w:val="481A1C36"/>
    <w:rsid w:val="481A60D5"/>
    <w:rsid w:val="481B50C1"/>
    <w:rsid w:val="481B552E"/>
    <w:rsid w:val="481B6166"/>
    <w:rsid w:val="481D265E"/>
    <w:rsid w:val="481D424A"/>
    <w:rsid w:val="481E54FB"/>
    <w:rsid w:val="481F4B95"/>
    <w:rsid w:val="481F6397"/>
    <w:rsid w:val="481F7D30"/>
    <w:rsid w:val="48202176"/>
    <w:rsid w:val="482228F9"/>
    <w:rsid w:val="48227AE5"/>
    <w:rsid w:val="48234709"/>
    <w:rsid w:val="48246B63"/>
    <w:rsid w:val="4825125A"/>
    <w:rsid w:val="4828685E"/>
    <w:rsid w:val="48290D3D"/>
    <w:rsid w:val="4829326E"/>
    <w:rsid w:val="482A5D21"/>
    <w:rsid w:val="482A6DEB"/>
    <w:rsid w:val="483060FD"/>
    <w:rsid w:val="48310F97"/>
    <w:rsid w:val="48313978"/>
    <w:rsid w:val="4833569F"/>
    <w:rsid w:val="483416BA"/>
    <w:rsid w:val="48351B1F"/>
    <w:rsid w:val="48370E36"/>
    <w:rsid w:val="48373093"/>
    <w:rsid w:val="48380F1B"/>
    <w:rsid w:val="48395282"/>
    <w:rsid w:val="483A2110"/>
    <w:rsid w:val="483C1518"/>
    <w:rsid w:val="483F6138"/>
    <w:rsid w:val="48406F10"/>
    <w:rsid w:val="48411E55"/>
    <w:rsid w:val="484216A3"/>
    <w:rsid w:val="48421F86"/>
    <w:rsid w:val="48427933"/>
    <w:rsid w:val="4843013D"/>
    <w:rsid w:val="4844009B"/>
    <w:rsid w:val="4845095B"/>
    <w:rsid w:val="48471E1B"/>
    <w:rsid w:val="484821AB"/>
    <w:rsid w:val="48490023"/>
    <w:rsid w:val="484B209E"/>
    <w:rsid w:val="484B4DDA"/>
    <w:rsid w:val="484B5866"/>
    <w:rsid w:val="484C129A"/>
    <w:rsid w:val="484D2583"/>
    <w:rsid w:val="48505F72"/>
    <w:rsid w:val="4851122B"/>
    <w:rsid w:val="48513167"/>
    <w:rsid w:val="48520624"/>
    <w:rsid w:val="4852312C"/>
    <w:rsid w:val="485256CD"/>
    <w:rsid w:val="485257EA"/>
    <w:rsid w:val="4853673D"/>
    <w:rsid w:val="48557924"/>
    <w:rsid w:val="48573CC9"/>
    <w:rsid w:val="48573DFE"/>
    <w:rsid w:val="485A03B2"/>
    <w:rsid w:val="485D2E12"/>
    <w:rsid w:val="485E6C57"/>
    <w:rsid w:val="485F4C32"/>
    <w:rsid w:val="4860425D"/>
    <w:rsid w:val="48612554"/>
    <w:rsid w:val="4862174F"/>
    <w:rsid w:val="486268D0"/>
    <w:rsid w:val="4864440B"/>
    <w:rsid w:val="48644E22"/>
    <w:rsid w:val="48652C60"/>
    <w:rsid w:val="4868104F"/>
    <w:rsid w:val="486A4B0B"/>
    <w:rsid w:val="486D2CA7"/>
    <w:rsid w:val="486D33EA"/>
    <w:rsid w:val="486F58BE"/>
    <w:rsid w:val="48700932"/>
    <w:rsid w:val="48700B64"/>
    <w:rsid w:val="48707960"/>
    <w:rsid w:val="48710B2A"/>
    <w:rsid w:val="48716C37"/>
    <w:rsid w:val="487207F8"/>
    <w:rsid w:val="48720879"/>
    <w:rsid w:val="48734A2D"/>
    <w:rsid w:val="4876461B"/>
    <w:rsid w:val="48774430"/>
    <w:rsid w:val="4878443B"/>
    <w:rsid w:val="48785381"/>
    <w:rsid w:val="4878608C"/>
    <w:rsid w:val="48786892"/>
    <w:rsid w:val="487B38A5"/>
    <w:rsid w:val="487B41A2"/>
    <w:rsid w:val="487C4039"/>
    <w:rsid w:val="487D096B"/>
    <w:rsid w:val="487F4674"/>
    <w:rsid w:val="487F72D6"/>
    <w:rsid w:val="4880338E"/>
    <w:rsid w:val="48807489"/>
    <w:rsid w:val="48820C93"/>
    <w:rsid w:val="48830FF3"/>
    <w:rsid w:val="48832237"/>
    <w:rsid w:val="4883479D"/>
    <w:rsid w:val="48837D20"/>
    <w:rsid w:val="48842D38"/>
    <w:rsid w:val="488550AF"/>
    <w:rsid w:val="48865295"/>
    <w:rsid w:val="488669FD"/>
    <w:rsid w:val="488734BE"/>
    <w:rsid w:val="48874AA1"/>
    <w:rsid w:val="488905F9"/>
    <w:rsid w:val="488B2BFF"/>
    <w:rsid w:val="488D226D"/>
    <w:rsid w:val="488D2DED"/>
    <w:rsid w:val="48904B50"/>
    <w:rsid w:val="489210B8"/>
    <w:rsid w:val="489259F5"/>
    <w:rsid w:val="48927AB0"/>
    <w:rsid w:val="48931FA1"/>
    <w:rsid w:val="489562FE"/>
    <w:rsid w:val="489843F7"/>
    <w:rsid w:val="489871BD"/>
    <w:rsid w:val="489A17A3"/>
    <w:rsid w:val="489A3B4E"/>
    <w:rsid w:val="489B5B86"/>
    <w:rsid w:val="489C4B21"/>
    <w:rsid w:val="489C7D6B"/>
    <w:rsid w:val="489E0A9F"/>
    <w:rsid w:val="489F1D94"/>
    <w:rsid w:val="489F3C5C"/>
    <w:rsid w:val="489F63CF"/>
    <w:rsid w:val="48A046E1"/>
    <w:rsid w:val="48A345DD"/>
    <w:rsid w:val="48A37306"/>
    <w:rsid w:val="48A47BA6"/>
    <w:rsid w:val="48A52700"/>
    <w:rsid w:val="48A5316A"/>
    <w:rsid w:val="48A70E9A"/>
    <w:rsid w:val="48A72147"/>
    <w:rsid w:val="48A759E8"/>
    <w:rsid w:val="48A843E4"/>
    <w:rsid w:val="48A852B4"/>
    <w:rsid w:val="48AA3854"/>
    <w:rsid w:val="48AA5711"/>
    <w:rsid w:val="48AC667C"/>
    <w:rsid w:val="48AD09CD"/>
    <w:rsid w:val="48AD56ED"/>
    <w:rsid w:val="48AD7DCD"/>
    <w:rsid w:val="48AE62B0"/>
    <w:rsid w:val="48B111AE"/>
    <w:rsid w:val="48B14A19"/>
    <w:rsid w:val="48B14FD5"/>
    <w:rsid w:val="48B304EF"/>
    <w:rsid w:val="48B306BB"/>
    <w:rsid w:val="48B33F8E"/>
    <w:rsid w:val="48B40639"/>
    <w:rsid w:val="48B512F5"/>
    <w:rsid w:val="48B52A53"/>
    <w:rsid w:val="48B55B09"/>
    <w:rsid w:val="48B55C6B"/>
    <w:rsid w:val="48B85503"/>
    <w:rsid w:val="48B9215A"/>
    <w:rsid w:val="48BA1BD2"/>
    <w:rsid w:val="48BA7F47"/>
    <w:rsid w:val="48BC138F"/>
    <w:rsid w:val="48BC6850"/>
    <w:rsid w:val="48BC72B1"/>
    <w:rsid w:val="48BD14DD"/>
    <w:rsid w:val="48BD4CC7"/>
    <w:rsid w:val="48BD520B"/>
    <w:rsid w:val="48BD5BE0"/>
    <w:rsid w:val="48BE34DA"/>
    <w:rsid w:val="48C02F88"/>
    <w:rsid w:val="48C05451"/>
    <w:rsid w:val="48C236F1"/>
    <w:rsid w:val="48C24BE9"/>
    <w:rsid w:val="48C35C36"/>
    <w:rsid w:val="48C40A5A"/>
    <w:rsid w:val="48C477F3"/>
    <w:rsid w:val="48C51F8E"/>
    <w:rsid w:val="48C578D8"/>
    <w:rsid w:val="48C712FD"/>
    <w:rsid w:val="48C75CE5"/>
    <w:rsid w:val="48C960F8"/>
    <w:rsid w:val="48CA33A3"/>
    <w:rsid w:val="48CB26DD"/>
    <w:rsid w:val="48CE59A5"/>
    <w:rsid w:val="48CF1A8F"/>
    <w:rsid w:val="48CF5BE7"/>
    <w:rsid w:val="48CF71C2"/>
    <w:rsid w:val="48D04CF9"/>
    <w:rsid w:val="48D16DD2"/>
    <w:rsid w:val="48D170E0"/>
    <w:rsid w:val="48D21C2A"/>
    <w:rsid w:val="48D25B7A"/>
    <w:rsid w:val="48D34EB8"/>
    <w:rsid w:val="48D42FA1"/>
    <w:rsid w:val="48D444C4"/>
    <w:rsid w:val="48D46FCF"/>
    <w:rsid w:val="48D716B9"/>
    <w:rsid w:val="48D83889"/>
    <w:rsid w:val="48DA651D"/>
    <w:rsid w:val="48DB3E99"/>
    <w:rsid w:val="48DB4A2E"/>
    <w:rsid w:val="48DC23EE"/>
    <w:rsid w:val="48DC660A"/>
    <w:rsid w:val="48DE205B"/>
    <w:rsid w:val="48DF01CE"/>
    <w:rsid w:val="48E04F27"/>
    <w:rsid w:val="48E17013"/>
    <w:rsid w:val="48E21FB3"/>
    <w:rsid w:val="48E52626"/>
    <w:rsid w:val="48E83B01"/>
    <w:rsid w:val="48E957D5"/>
    <w:rsid w:val="48EB7C6A"/>
    <w:rsid w:val="48EC1B4E"/>
    <w:rsid w:val="48EC5AF0"/>
    <w:rsid w:val="48ED0AF0"/>
    <w:rsid w:val="48ED1263"/>
    <w:rsid w:val="48F15129"/>
    <w:rsid w:val="48F32AB8"/>
    <w:rsid w:val="48F627B7"/>
    <w:rsid w:val="48F81A92"/>
    <w:rsid w:val="48F912F8"/>
    <w:rsid w:val="48F91D60"/>
    <w:rsid w:val="48F91D76"/>
    <w:rsid w:val="48FA081F"/>
    <w:rsid w:val="48FC406D"/>
    <w:rsid w:val="48FD43A2"/>
    <w:rsid w:val="4900176A"/>
    <w:rsid w:val="490044A2"/>
    <w:rsid w:val="49004C15"/>
    <w:rsid w:val="490107CC"/>
    <w:rsid w:val="4902222F"/>
    <w:rsid w:val="49052A81"/>
    <w:rsid w:val="49053E73"/>
    <w:rsid w:val="49056B9D"/>
    <w:rsid w:val="49062193"/>
    <w:rsid w:val="4906268F"/>
    <w:rsid w:val="4906289E"/>
    <w:rsid w:val="4906561C"/>
    <w:rsid w:val="49072E08"/>
    <w:rsid w:val="49081FDE"/>
    <w:rsid w:val="49094930"/>
    <w:rsid w:val="490A390C"/>
    <w:rsid w:val="490A6E2E"/>
    <w:rsid w:val="490A7BD8"/>
    <w:rsid w:val="490B70BC"/>
    <w:rsid w:val="490C0DF5"/>
    <w:rsid w:val="490C29E4"/>
    <w:rsid w:val="490D7A3C"/>
    <w:rsid w:val="490E19FA"/>
    <w:rsid w:val="490E1FCB"/>
    <w:rsid w:val="4910381A"/>
    <w:rsid w:val="49112868"/>
    <w:rsid w:val="49120A57"/>
    <w:rsid w:val="491223D1"/>
    <w:rsid w:val="49122B11"/>
    <w:rsid w:val="49125E70"/>
    <w:rsid w:val="4918471A"/>
    <w:rsid w:val="4919353F"/>
    <w:rsid w:val="491A0DF3"/>
    <w:rsid w:val="491A1BC0"/>
    <w:rsid w:val="491C544E"/>
    <w:rsid w:val="491C6009"/>
    <w:rsid w:val="491E14D1"/>
    <w:rsid w:val="491E3CD6"/>
    <w:rsid w:val="491E5F94"/>
    <w:rsid w:val="491F09E9"/>
    <w:rsid w:val="492025F7"/>
    <w:rsid w:val="49212436"/>
    <w:rsid w:val="4922338A"/>
    <w:rsid w:val="49231EB2"/>
    <w:rsid w:val="49235E77"/>
    <w:rsid w:val="49236002"/>
    <w:rsid w:val="49254E16"/>
    <w:rsid w:val="492756B6"/>
    <w:rsid w:val="49290B41"/>
    <w:rsid w:val="492B03C7"/>
    <w:rsid w:val="492C11E1"/>
    <w:rsid w:val="492C5133"/>
    <w:rsid w:val="492E2C3F"/>
    <w:rsid w:val="492E58A6"/>
    <w:rsid w:val="492E6FE0"/>
    <w:rsid w:val="492F678F"/>
    <w:rsid w:val="492F6867"/>
    <w:rsid w:val="49300094"/>
    <w:rsid w:val="49310EC3"/>
    <w:rsid w:val="493130DA"/>
    <w:rsid w:val="49317160"/>
    <w:rsid w:val="49320993"/>
    <w:rsid w:val="493239C6"/>
    <w:rsid w:val="4932522E"/>
    <w:rsid w:val="49337927"/>
    <w:rsid w:val="493533B7"/>
    <w:rsid w:val="4935382D"/>
    <w:rsid w:val="49353B50"/>
    <w:rsid w:val="49381A39"/>
    <w:rsid w:val="493A4C2A"/>
    <w:rsid w:val="493E61EE"/>
    <w:rsid w:val="493F27A6"/>
    <w:rsid w:val="493F39D5"/>
    <w:rsid w:val="493F5CC1"/>
    <w:rsid w:val="49412670"/>
    <w:rsid w:val="494309BA"/>
    <w:rsid w:val="4944774A"/>
    <w:rsid w:val="49453ABF"/>
    <w:rsid w:val="49460564"/>
    <w:rsid w:val="49471986"/>
    <w:rsid w:val="49484ADE"/>
    <w:rsid w:val="49497FEB"/>
    <w:rsid w:val="494A538F"/>
    <w:rsid w:val="494A64CD"/>
    <w:rsid w:val="494B04FF"/>
    <w:rsid w:val="494B1C82"/>
    <w:rsid w:val="494D47E1"/>
    <w:rsid w:val="494F4282"/>
    <w:rsid w:val="495056E8"/>
    <w:rsid w:val="49505917"/>
    <w:rsid w:val="495075CB"/>
    <w:rsid w:val="49517080"/>
    <w:rsid w:val="49517C1F"/>
    <w:rsid w:val="495254EA"/>
    <w:rsid w:val="49557CE1"/>
    <w:rsid w:val="4956078E"/>
    <w:rsid w:val="49566694"/>
    <w:rsid w:val="495726DA"/>
    <w:rsid w:val="49573736"/>
    <w:rsid w:val="49577B5E"/>
    <w:rsid w:val="4959007B"/>
    <w:rsid w:val="49592FCB"/>
    <w:rsid w:val="49593A26"/>
    <w:rsid w:val="49593AFE"/>
    <w:rsid w:val="495C0667"/>
    <w:rsid w:val="495D67EC"/>
    <w:rsid w:val="495D6A31"/>
    <w:rsid w:val="495D6CB3"/>
    <w:rsid w:val="495E2675"/>
    <w:rsid w:val="495E27F1"/>
    <w:rsid w:val="495F7E82"/>
    <w:rsid w:val="49604F64"/>
    <w:rsid w:val="49621043"/>
    <w:rsid w:val="49622751"/>
    <w:rsid w:val="496461EE"/>
    <w:rsid w:val="496501D8"/>
    <w:rsid w:val="49652728"/>
    <w:rsid w:val="496566BF"/>
    <w:rsid w:val="496617B2"/>
    <w:rsid w:val="49666121"/>
    <w:rsid w:val="49672BFB"/>
    <w:rsid w:val="496803EB"/>
    <w:rsid w:val="4968313F"/>
    <w:rsid w:val="496A38A2"/>
    <w:rsid w:val="496B1B98"/>
    <w:rsid w:val="496B7003"/>
    <w:rsid w:val="496D369D"/>
    <w:rsid w:val="496E05AB"/>
    <w:rsid w:val="496E1B52"/>
    <w:rsid w:val="496E50BA"/>
    <w:rsid w:val="496F534F"/>
    <w:rsid w:val="496F7C1F"/>
    <w:rsid w:val="497004D0"/>
    <w:rsid w:val="497131E7"/>
    <w:rsid w:val="49724830"/>
    <w:rsid w:val="49727EFA"/>
    <w:rsid w:val="49737592"/>
    <w:rsid w:val="4977359A"/>
    <w:rsid w:val="49793718"/>
    <w:rsid w:val="497A0228"/>
    <w:rsid w:val="497A2252"/>
    <w:rsid w:val="497E1A52"/>
    <w:rsid w:val="497E247A"/>
    <w:rsid w:val="4981399D"/>
    <w:rsid w:val="49815C67"/>
    <w:rsid w:val="49833046"/>
    <w:rsid w:val="4985053C"/>
    <w:rsid w:val="4988056C"/>
    <w:rsid w:val="49881F5D"/>
    <w:rsid w:val="498C3180"/>
    <w:rsid w:val="498D206B"/>
    <w:rsid w:val="498D6B14"/>
    <w:rsid w:val="498E6904"/>
    <w:rsid w:val="499049B5"/>
    <w:rsid w:val="4993153D"/>
    <w:rsid w:val="499332A3"/>
    <w:rsid w:val="49956A22"/>
    <w:rsid w:val="49970A89"/>
    <w:rsid w:val="49971EBD"/>
    <w:rsid w:val="4998553B"/>
    <w:rsid w:val="499A379E"/>
    <w:rsid w:val="499C08FD"/>
    <w:rsid w:val="499C16AC"/>
    <w:rsid w:val="499D5877"/>
    <w:rsid w:val="499D7155"/>
    <w:rsid w:val="499E2A98"/>
    <w:rsid w:val="499E439D"/>
    <w:rsid w:val="49A36ADA"/>
    <w:rsid w:val="49A37106"/>
    <w:rsid w:val="49A37918"/>
    <w:rsid w:val="49A43556"/>
    <w:rsid w:val="49A435C6"/>
    <w:rsid w:val="49A515FB"/>
    <w:rsid w:val="49A55507"/>
    <w:rsid w:val="49A63EF1"/>
    <w:rsid w:val="49A64B15"/>
    <w:rsid w:val="49A72DAC"/>
    <w:rsid w:val="49A773EF"/>
    <w:rsid w:val="49A80BF9"/>
    <w:rsid w:val="49A81AC6"/>
    <w:rsid w:val="49A93CA5"/>
    <w:rsid w:val="49AA3750"/>
    <w:rsid w:val="49AB52A4"/>
    <w:rsid w:val="49AC7E76"/>
    <w:rsid w:val="49AE2328"/>
    <w:rsid w:val="49AE6D86"/>
    <w:rsid w:val="49AF5A14"/>
    <w:rsid w:val="49B35880"/>
    <w:rsid w:val="49B51D9C"/>
    <w:rsid w:val="49B74B24"/>
    <w:rsid w:val="49B756F6"/>
    <w:rsid w:val="49B75CEE"/>
    <w:rsid w:val="49B85948"/>
    <w:rsid w:val="49BA7E61"/>
    <w:rsid w:val="49BB0894"/>
    <w:rsid w:val="49BB5484"/>
    <w:rsid w:val="49BB5FE9"/>
    <w:rsid w:val="49BB6348"/>
    <w:rsid w:val="49BC54C3"/>
    <w:rsid w:val="49BD16A1"/>
    <w:rsid w:val="49BD4C68"/>
    <w:rsid w:val="49BF4EEB"/>
    <w:rsid w:val="49BF5FA6"/>
    <w:rsid w:val="49C040AD"/>
    <w:rsid w:val="49C041AF"/>
    <w:rsid w:val="49C10A2B"/>
    <w:rsid w:val="49C12B32"/>
    <w:rsid w:val="49C22028"/>
    <w:rsid w:val="49C40597"/>
    <w:rsid w:val="49C40E74"/>
    <w:rsid w:val="49C4701F"/>
    <w:rsid w:val="49C47EDC"/>
    <w:rsid w:val="49C55C4A"/>
    <w:rsid w:val="49C76747"/>
    <w:rsid w:val="49C90885"/>
    <w:rsid w:val="49C91F1B"/>
    <w:rsid w:val="49C92126"/>
    <w:rsid w:val="49CB023F"/>
    <w:rsid w:val="49CE0D43"/>
    <w:rsid w:val="49CE39F3"/>
    <w:rsid w:val="49CE76A5"/>
    <w:rsid w:val="49D01A65"/>
    <w:rsid w:val="49D26213"/>
    <w:rsid w:val="49D40218"/>
    <w:rsid w:val="49D42379"/>
    <w:rsid w:val="49D43E16"/>
    <w:rsid w:val="49D44F61"/>
    <w:rsid w:val="49D540C6"/>
    <w:rsid w:val="49D5601C"/>
    <w:rsid w:val="49D61D77"/>
    <w:rsid w:val="49D646C6"/>
    <w:rsid w:val="49D70690"/>
    <w:rsid w:val="49D7609A"/>
    <w:rsid w:val="49D805C5"/>
    <w:rsid w:val="49D81E66"/>
    <w:rsid w:val="49DA2710"/>
    <w:rsid w:val="49DA5E1C"/>
    <w:rsid w:val="49DA7D8F"/>
    <w:rsid w:val="49DB4355"/>
    <w:rsid w:val="49DB62C5"/>
    <w:rsid w:val="49DE3B1C"/>
    <w:rsid w:val="49DF035E"/>
    <w:rsid w:val="49DF0AB5"/>
    <w:rsid w:val="49E00842"/>
    <w:rsid w:val="49E277D7"/>
    <w:rsid w:val="49E4336A"/>
    <w:rsid w:val="49E4463A"/>
    <w:rsid w:val="49E63652"/>
    <w:rsid w:val="49E8450A"/>
    <w:rsid w:val="49E874C0"/>
    <w:rsid w:val="49E92256"/>
    <w:rsid w:val="49E95D8A"/>
    <w:rsid w:val="49EB0865"/>
    <w:rsid w:val="49EB351D"/>
    <w:rsid w:val="49EB5D62"/>
    <w:rsid w:val="49ED55D5"/>
    <w:rsid w:val="49EE3036"/>
    <w:rsid w:val="49EE5135"/>
    <w:rsid w:val="49EE648A"/>
    <w:rsid w:val="49F05C32"/>
    <w:rsid w:val="49F20593"/>
    <w:rsid w:val="49F25388"/>
    <w:rsid w:val="49F307CD"/>
    <w:rsid w:val="49F32832"/>
    <w:rsid w:val="49F51BCD"/>
    <w:rsid w:val="49F546B1"/>
    <w:rsid w:val="49F63F3A"/>
    <w:rsid w:val="49F95E90"/>
    <w:rsid w:val="49FC6D14"/>
    <w:rsid w:val="49FE2E85"/>
    <w:rsid w:val="49FE4823"/>
    <w:rsid w:val="49FF404C"/>
    <w:rsid w:val="49FF6748"/>
    <w:rsid w:val="4A004D0F"/>
    <w:rsid w:val="4A0067B9"/>
    <w:rsid w:val="4A011276"/>
    <w:rsid w:val="4A013EE7"/>
    <w:rsid w:val="4A01651C"/>
    <w:rsid w:val="4A023186"/>
    <w:rsid w:val="4A035B27"/>
    <w:rsid w:val="4A057B73"/>
    <w:rsid w:val="4A061A64"/>
    <w:rsid w:val="4A061EC9"/>
    <w:rsid w:val="4A062F41"/>
    <w:rsid w:val="4A062F45"/>
    <w:rsid w:val="4A073C7F"/>
    <w:rsid w:val="4A0811FA"/>
    <w:rsid w:val="4A082BDD"/>
    <w:rsid w:val="4A084C13"/>
    <w:rsid w:val="4A087BD0"/>
    <w:rsid w:val="4A0939C1"/>
    <w:rsid w:val="4A0A69CA"/>
    <w:rsid w:val="4A0B5227"/>
    <w:rsid w:val="4A0B5FE3"/>
    <w:rsid w:val="4A0E1754"/>
    <w:rsid w:val="4A0E4B9F"/>
    <w:rsid w:val="4A100776"/>
    <w:rsid w:val="4A1303A6"/>
    <w:rsid w:val="4A132B28"/>
    <w:rsid w:val="4A1724DA"/>
    <w:rsid w:val="4A172E4E"/>
    <w:rsid w:val="4A173DF2"/>
    <w:rsid w:val="4A177C39"/>
    <w:rsid w:val="4A1868AA"/>
    <w:rsid w:val="4A186991"/>
    <w:rsid w:val="4A1921BB"/>
    <w:rsid w:val="4A1C4910"/>
    <w:rsid w:val="4A1C5978"/>
    <w:rsid w:val="4A1D2613"/>
    <w:rsid w:val="4A1E617D"/>
    <w:rsid w:val="4A1F0A88"/>
    <w:rsid w:val="4A1F499F"/>
    <w:rsid w:val="4A2077F6"/>
    <w:rsid w:val="4A211CC2"/>
    <w:rsid w:val="4A222C4E"/>
    <w:rsid w:val="4A230C7C"/>
    <w:rsid w:val="4A231C7E"/>
    <w:rsid w:val="4A232CE6"/>
    <w:rsid w:val="4A236749"/>
    <w:rsid w:val="4A2501AD"/>
    <w:rsid w:val="4A25308B"/>
    <w:rsid w:val="4A26297B"/>
    <w:rsid w:val="4A263692"/>
    <w:rsid w:val="4A270DAB"/>
    <w:rsid w:val="4A2776F8"/>
    <w:rsid w:val="4A2800EE"/>
    <w:rsid w:val="4A282204"/>
    <w:rsid w:val="4A291D87"/>
    <w:rsid w:val="4A2B43F6"/>
    <w:rsid w:val="4A2B6D9C"/>
    <w:rsid w:val="4A2B7C3A"/>
    <w:rsid w:val="4A2C6362"/>
    <w:rsid w:val="4A2D1F0F"/>
    <w:rsid w:val="4A2E487F"/>
    <w:rsid w:val="4A2F3017"/>
    <w:rsid w:val="4A357349"/>
    <w:rsid w:val="4A362135"/>
    <w:rsid w:val="4A3800D7"/>
    <w:rsid w:val="4A387CA2"/>
    <w:rsid w:val="4A3B3B72"/>
    <w:rsid w:val="4A3D7260"/>
    <w:rsid w:val="4A3E05CE"/>
    <w:rsid w:val="4A3F5E0D"/>
    <w:rsid w:val="4A3F747C"/>
    <w:rsid w:val="4A3F7809"/>
    <w:rsid w:val="4A401718"/>
    <w:rsid w:val="4A401812"/>
    <w:rsid w:val="4A402992"/>
    <w:rsid w:val="4A404478"/>
    <w:rsid w:val="4A406080"/>
    <w:rsid w:val="4A40747D"/>
    <w:rsid w:val="4A407D96"/>
    <w:rsid w:val="4A420091"/>
    <w:rsid w:val="4A421BC2"/>
    <w:rsid w:val="4A424404"/>
    <w:rsid w:val="4A43122E"/>
    <w:rsid w:val="4A432EF3"/>
    <w:rsid w:val="4A45195C"/>
    <w:rsid w:val="4A453278"/>
    <w:rsid w:val="4A4544AC"/>
    <w:rsid w:val="4A49597E"/>
    <w:rsid w:val="4A497042"/>
    <w:rsid w:val="4A4A602E"/>
    <w:rsid w:val="4A4C1B99"/>
    <w:rsid w:val="4A4C4112"/>
    <w:rsid w:val="4A4D1E3E"/>
    <w:rsid w:val="4A534BE3"/>
    <w:rsid w:val="4A541767"/>
    <w:rsid w:val="4A541B9F"/>
    <w:rsid w:val="4A547A35"/>
    <w:rsid w:val="4A5566E1"/>
    <w:rsid w:val="4A55734D"/>
    <w:rsid w:val="4A583026"/>
    <w:rsid w:val="4A5853AD"/>
    <w:rsid w:val="4A59076F"/>
    <w:rsid w:val="4A593A1B"/>
    <w:rsid w:val="4A595CD3"/>
    <w:rsid w:val="4A5971B6"/>
    <w:rsid w:val="4A5A5C55"/>
    <w:rsid w:val="4A5A6B31"/>
    <w:rsid w:val="4A5B1DC3"/>
    <w:rsid w:val="4A5B69FD"/>
    <w:rsid w:val="4A5D2753"/>
    <w:rsid w:val="4A5E2A1E"/>
    <w:rsid w:val="4A5E3019"/>
    <w:rsid w:val="4A5F36A1"/>
    <w:rsid w:val="4A61551F"/>
    <w:rsid w:val="4A6211AF"/>
    <w:rsid w:val="4A622BD2"/>
    <w:rsid w:val="4A622D63"/>
    <w:rsid w:val="4A6240BB"/>
    <w:rsid w:val="4A635D28"/>
    <w:rsid w:val="4A64205F"/>
    <w:rsid w:val="4A660675"/>
    <w:rsid w:val="4A67646D"/>
    <w:rsid w:val="4A676B5B"/>
    <w:rsid w:val="4A6C3D49"/>
    <w:rsid w:val="4A6D7FC6"/>
    <w:rsid w:val="4A6E2689"/>
    <w:rsid w:val="4A7052AB"/>
    <w:rsid w:val="4A713C94"/>
    <w:rsid w:val="4A713E5F"/>
    <w:rsid w:val="4A7164BE"/>
    <w:rsid w:val="4A717E9A"/>
    <w:rsid w:val="4A73583A"/>
    <w:rsid w:val="4A736068"/>
    <w:rsid w:val="4A746081"/>
    <w:rsid w:val="4A761AE7"/>
    <w:rsid w:val="4A775191"/>
    <w:rsid w:val="4A795F37"/>
    <w:rsid w:val="4A7A0B3C"/>
    <w:rsid w:val="4A7A2FD8"/>
    <w:rsid w:val="4A7B18F8"/>
    <w:rsid w:val="4A7C4E4E"/>
    <w:rsid w:val="4A7C6FD2"/>
    <w:rsid w:val="4A7C7618"/>
    <w:rsid w:val="4A7D6F8B"/>
    <w:rsid w:val="4A7E5642"/>
    <w:rsid w:val="4A7F040C"/>
    <w:rsid w:val="4A7F0976"/>
    <w:rsid w:val="4A800781"/>
    <w:rsid w:val="4A801378"/>
    <w:rsid w:val="4A803090"/>
    <w:rsid w:val="4A8112B8"/>
    <w:rsid w:val="4A82110D"/>
    <w:rsid w:val="4A8461C7"/>
    <w:rsid w:val="4A8462B8"/>
    <w:rsid w:val="4A851244"/>
    <w:rsid w:val="4A8613D5"/>
    <w:rsid w:val="4A8A1314"/>
    <w:rsid w:val="4A8A6EC1"/>
    <w:rsid w:val="4A8C08DC"/>
    <w:rsid w:val="4A8C7835"/>
    <w:rsid w:val="4A8D5609"/>
    <w:rsid w:val="4A8F29BB"/>
    <w:rsid w:val="4A8F702D"/>
    <w:rsid w:val="4A900EC3"/>
    <w:rsid w:val="4A906234"/>
    <w:rsid w:val="4A922CB3"/>
    <w:rsid w:val="4A940ABC"/>
    <w:rsid w:val="4A950006"/>
    <w:rsid w:val="4A9501C7"/>
    <w:rsid w:val="4A96324E"/>
    <w:rsid w:val="4A963C1C"/>
    <w:rsid w:val="4A9A085A"/>
    <w:rsid w:val="4A9A0FA3"/>
    <w:rsid w:val="4A9A2AEE"/>
    <w:rsid w:val="4A9B730C"/>
    <w:rsid w:val="4A9E31E1"/>
    <w:rsid w:val="4A9F0734"/>
    <w:rsid w:val="4A9F30B1"/>
    <w:rsid w:val="4AA06E58"/>
    <w:rsid w:val="4AA07B76"/>
    <w:rsid w:val="4AA22168"/>
    <w:rsid w:val="4AA65261"/>
    <w:rsid w:val="4AA750DB"/>
    <w:rsid w:val="4AA76AB9"/>
    <w:rsid w:val="4AA8561D"/>
    <w:rsid w:val="4AA85AC4"/>
    <w:rsid w:val="4AA9150F"/>
    <w:rsid w:val="4AA92586"/>
    <w:rsid w:val="4AA97215"/>
    <w:rsid w:val="4AA972B7"/>
    <w:rsid w:val="4AAA7B2B"/>
    <w:rsid w:val="4AAC28CC"/>
    <w:rsid w:val="4AAD3797"/>
    <w:rsid w:val="4AAD3C26"/>
    <w:rsid w:val="4AB10361"/>
    <w:rsid w:val="4AB11BB5"/>
    <w:rsid w:val="4AB201D8"/>
    <w:rsid w:val="4AB26FDC"/>
    <w:rsid w:val="4AB323B7"/>
    <w:rsid w:val="4AB35632"/>
    <w:rsid w:val="4AB40112"/>
    <w:rsid w:val="4AB61F0F"/>
    <w:rsid w:val="4AB62E05"/>
    <w:rsid w:val="4AB64EED"/>
    <w:rsid w:val="4AB705A1"/>
    <w:rsid w:val="4AB80380"/>
    <w:rsid w:val="4AB904E4"/>
    <w:rsid w:val="4AB945F7"/>
    <w:rsid w:val="4AB97E79"/>
    <w:rsid w:val="4ABB1030"/>
    <w:rsid w:val="4ABC23DB"/>
    <w:rsid w:val="4ABC6C25"/>
    <w:rsid w:val="4ABD22B5"/>
    <w:rsid w:val="4ABE46B5"/>
    <w:rsid w:val="4ABE6EE2"/>
    <w:rsid w:val="4ABF2AC1"/>
    <w:rsid w:val="4ABF34BD"/>
    <w:rsid w:val="4AC01484"/>
    <w:rsid w:val="4AC10891"/>
    <w:rsid w:val="4AC14DBD"/>
    <w:rsid w:val="4AC214E5"/>
    <w:rsid w:val="4AC51E17"/>
    <w:rsid w:val="4AC53043"/>
    <w:rsid w:val="4AC53713"/>
    <w:rsid w:val="4AC544F5"/>
    <w:rsid w:val="4AC65712"/>
    <w:rsid w:val="4AC6621F"/>
    <w:rsid w:val="4AC83278"/>
    <w:rsid w:val="4AC92CA8"/>
    <w:rsid w:val="4ACC1B10"/>
    <w:rsid w:val="4ACC4C14"/>
    <w:rsid w:val="4ACD0403"/>
    <w:rsid w:val="4ACD1487"/>
    <w:rsid w:val="4ACE4B51"/>
    <w:rsid w:val="4AD0613E"/>
    <w:rsid w:val="4AD21252"/>
    <w:rsid w:val="4AD22977"/>
    <w:rsid w:val="4AD5271C"/>
    <w:rsid w:val="4AD53CA8"/>
    <w:rsid w:val="4AD61493"/>
    <w:rsid w:val="4AD62CF3"/>
    <w:rsid w:val="4AD7263D"/>
    <w:rsid w:val="4AD82E96"/>
    <w:rsid w:val="4ADA2C7C"/>
    <w:rsid w:val="4ADB070C"/>
    <w:rsid w:val="4ADB3822"/>
    <w:rsid w:val="4ADB518D"/>
    <w:rsid w:val="4ADC070F"/>
    <w:rsid w:val="4ADD703A"/>
    <w:rsid w:val="4ADF6C04"/>
    <w:rsid w:val="4AE11334"/>
    <w:rsid w:val="4AE1278B"/>
    <w:rsid w:val="4AE178D7"/>
    <w:rsid w:val="4AE349EA"/>
    <w:rsid w:val="4AE36A6E"/>
    <w:rsid w:val="4AE7130D"/>
    <w:rsid w:val="4AE7220D"/>
    <w:rsid w:val="4AE73D47"/>
    <w:rsid w:val="4AE85D15"/>
    <w:rsid w:val="4AE96472"/>
    <w:rsid w:val="4AEC2452"/>
    <w:rsid w:val="4AEE098A"/>
    <w:rsid w:val="4AEF0036"/>
    <w:rsid w:val="4AEF6745"/>
    <w:rsid w:val="4AF114C2"/>
    <w:rsid w:val="4AF30546"/>
    <w:rsid w:val="4AF313B8"/>
    <w:rsid w:val="4AF36745"/>
    <w:rsid w:val="4AF52927"/>
    <w:rsid w:val="4AF55171"/>
    <w:rsid w:val="4AF731A7"/>
    <w:rsid w:val="4AF76B31"/>
    <w:rsid w:val="4AF8690B"/>
    <w:rsid w:val="4AF87390"/>
    <w:rsid w:val="4AF92478"/>
    <w:rsid w:val="4AF93E88"/>
    <w:rsid w:val="4AF96DA4"/>
    <w:rsid w:val="4AFA060E"/>
    <w:rsid w:val="4AFC2941"/>
    <w:rsid w:val="4AFD58C6"/>
    <w:rsid w:val="4B0140E9"/>
    <w:rsid w:val="4B022D04"/>
    <w:rsid w:val="4B024219"/>
    <w:rsid w:val="4B024F6B"/>
    <w:rsid w:val="4B036EA2"/>
    <w:rsid w:val="4B044CD0"/>
    <w:rsid w:val="4B046EB5"/>
    <w:rsid w:val="4B047159"/>
    <w:rsid w:val="4B0570D3"/>
    <w:rsid w:val="4B076C12"/>
    <w:rsid w:val="4B085C14"/>
    <w:rsid w:val="4B092C6B"/>
    <w:rsid w:val="4B0960D1"/>
    <w:rsid w:val="4B0A5191"/>
    <w:rsid w:val="4B0A59E5"/>
    <w:rsid w:val="4B0C7B19"/>
    <w:rsid w:val="4B0E6ACB"/>
    <w:rsid w:val="4B0F1450"/>
    <w:rsid w:val="4B0F20AB"/>
    <w:rsid w:val="4B0F466C"/>
    <w:rsid w:val="4B0F7F60"/>
    <w:rsid w:val="4B1076AE"/>
    <w:rsid w:val="4B114241"/>
    <w:rsid w:val="4B1152FE"/>
    <w:rsid w:val="4B117262"/>
    <w:rsid w:val="4B125592"/>
    <w:rsid w:val="4B126DC3"/>
    <w:rsid w:val="4B132606"/>
    <w:rsid w:val="4B133F75"/>
    <w:rsid w:val="4B140054"/>
    <w:rsid w:val="4B152DFD"/>
    <w:rsid w:val="4B157C76"/>
    <w:rsid w:val="4B177B29"/>
    <w:rsid w:val="4B1A6945"/>
    <w:rsid w:val="4B1B364B"/>
    <w:rsid w:val="4B1D6573"/>
    <w:rsid w:val="4B1E0C0E"/>
    <w:rsid w:val="4B1E38CE"/>
    <w:rsid w:val="4B1F5D09"/>
    <w:rsid w:val="4B215FD9"/>
    <w:rsid w:val="4B225688"/>
    <w:rsid w:val="4B235C34"/>
    <w:rsid w:val="4B247C72"/>
    <w:rsid w:val="4B252F3E"/>
    <w:rsid w:val="4B2652EA"/>
    <w:rsid w:val="4B265BA3"/>
    <w:rsid w:val="4B275824"/>
    <w:rsid w:val="4B2920C6"/>
    <w:rsid w:val="4B293F98"/>
    <w:rsid w:val="4B295D03"/>
    <w:rsid w:val="4B297BCD"/>
    <w:rsid w:val="4B2A37A7"/>
    <w:rsid w:val="4B2A3A28"/>
    <w:rsid w:val="4B2C538F"/>
    <w:rsid w:val="4B2D4F09"/>
    <w:rsid w:val="4B2E1E55"/>
    <w:rsid w:val="4B2E1FD8"/>
    <w:rsid w:val="4B2F1DEF"/>
    <w:rsid w:val="4B3008B9"/>
    <w:rsid w:val="4B301550"/>
    <w:rsid w:val="4B314BFD"/>
    <w:rsid w:val="4B32249B"/>
    <w:rsid w:val="4B323D16"/>
    <w:rsid w:val="4B3247D7"/>
    <w:rsid w:val="4B3310D9"/>
    <w:rsid w:val="4B3317B5"/>
    <w:rsid w:val="4B333721"/>
    <w:rsid w:val="4B3378AD"/>
    <w:rsid w:val="4B341677"/>
    <w:rsid w:val="4B344313"/>
    <w:rsid w:val="4B3612A5"/>
    <w:rsid w:val="4B386208"/>
    <w:rsid w:val="4B390B96"/>
    <w:rsid w:val="4B397961"/>
    <w:rsid w:val="4B3A4ADC"/>
    <w:rsid w:val="4B3B0E2A"/>
    <w:rsid w:val="4B3C7D84"/>
    <w:rsid w:val="4B407127"/>
    <w:rsid w:val="4B4119B9"/>
    <w:rsid w:val="4B414AD0"/>
    <w:rsid w:val="4B4161FA"/>
    <w:rsid w:val="4B426D02"/>
    <w:rsid w:val="4B4379B7"/>
    <w:rsid w:val="4B441E59"/>
    <w:rsid w:val="4B4423AB"/>
    <w:rsid w:val="4B4429AD"/>
    <w:rsid w:val="4B4613E8"/>
    <w:rsid w:val="4B476A1F"/>
    <w:rsid w:val="4B491FA5"/>
    <w:rsid w:val="4B4951CD"/>
    <w:rsid w:val="4B4B307A"/>
    <w:rsid w:val="4B4D239E"/>
    <w:rsid w:val="4B4E439F"/>
    <w:rsid w:val="4B4F4A5C"/>
    <w:rsid w:val="4B52116F"/>
    <w:rsid w:val="4B5357ED"/>
    <w:rsid w:val="4B555B89"/>
    <w:rsid w:val="4B5573D6"/>
    <w:rsid w:val="4B56500D"/>
    <w:rsid w:val="4B57057E"/>
    <w:rsid w:val="4B5729CC"/>
    <w:rsid w:val="4B595301"/>
    <w:rsid w:val="4B5A7008"/>
    <w:rsid w:val="4B5B133E"/>
    <w:rsid w:val="4B5B64B7"/>
    <w:rsid w:val="4B5B6E71"/>
    <w:rsid w:val="4B5C51AF"/>
    <w:rsid w:val="4B5D4CEB"/>
    <w:rsid w:val="4B5F17F9"/>
    <w:rsid w:val="4B5F25AA"/>
    <w:rsid w:val="4B5F2DF0"/>
    <w:rsid w:val="4B6072BD"/>
    <w:rsid w:val="4B61278D"/>
    <w:rsid w:val="4B615FBC"/>
    <w:rsid w:val="4B616426"/>
    <w:rsid w:val="4B61722B"/>
    <w:rsid w:val="4B617767"/>
    <w:rsid w:val="4B6278BB"/>
    <w:rsid w:val="4B630AAE"/>
    <w:rsid w:val="4B632F8D"/>
    <w:rsid w:val="4B645C18"/>
    <w:rsid w:val="4B6546A7"/>
    <w:rsid w:val="4B65535F"/>
    <w:rsid w:val="4B6562F5"/>
    <w:rsid w:val="4B661A5B"/>
    <w:rsid w:val="4B673977"/>
    <w:rsid w:val="4B6811BD"/>
    <w:rsid w:val="4B691B0F"/>
    <w:rsid w:val="4B697C28"/>
    <w:rsid w:val="4B6A363E"/>
    <w:rsid w:val="4B6B2E58"/>
    <w:rsid w:val="4B6D3083"/>
    <w:rsid w:val="4B6F79D9"/>
    <w:rsid w:val="4B707170"/>
    <w:rsid w:val="4B71324B"/>
    <w:rsid w:val="4B713362"/>
    <w:rsid w:val="4B725098"/>
    <w:rsid w:val="4B725854"/>
    <w:rsid w:val="4B7366F6"/>
    <w:rsid w:val="4B740B91"/>
    <w:rsid w:val="4B74460E"/>
    <w:rsid w:val="4B747390"/>
    <w:rsid w:val="4B75062B"/>
    <w:rsid w:val="4B750B6F"/>
    <w:rsid w:val="4B762DAB"/>
    <w:rsid w:val="4B774554"/>
    <w:rsid w:val="4B774C78"/>
    <w:rsid w:val="4B78057D"/>
    <w:rsid w:val="4B78156D"/>
    <w:rsid w:val="4B790CBD"/>
    <w:rsid w:val="4B791969"/>
    <w:rsid w:val="4B79308C"/>
    <w:rsid w:val="4B79491C"/>
    <w:rsid w:val="4B7A3303"/>
    <w:rsid w:val="4B7A3355"/>
    <w:rsid w:val="4B7C6347"/>
    <w:rsid w:val="4B7C7140"/>
    <w:rsid w:val="4B7C7353"/>
    <w:rsid w:val="4B7D25B8"/>
    <w:rsid w:val="4B7D7D1B"/>
    <w:rsid w:val="4B7E33B8"/>
    <w:rsid w:val="4B7E7A36"/>
    <w:rsid w:val="4B810338"/>
    <w:rsid w:val="4B8123B7"/>
    <w:rsid w:val="4B8129CD"/>
    <w:rsid w:val="4B8412EE"/>
    <w:rsid w:val="4B8447D1"/>
    <w:rsid w:val="4B867AF8"/>
    <w:rsid w:val="4B881CCD"/>
    <w:rsid w:val="4B882B01"/>
    <w:rsid w:val="4B887D52"/>
    <w:rsid w:val="4B8903AE"/>
    <w:rsid w:val="4B8906DE"/>
    <w:rsid w:val="4B890C27"/>
    <w:rsid w:val="4B891767"/>
    <w:rsid w:val="4B8A7919"/>
    <w:rsid w:val="4B8B562B"/>
    <w:rsid w:val="4B8B6162"/>
    <w:rsid w:val="4B8C1431"/>
    <w:rsid w:val="4B8C4F0B"/>
    <w:rsid w:val="4B8E62FF"/>
    <w:rsid w:val="4B8F19F6"/>
    <w:rsid w:val="4B902B61"/>
    <w:rsid w:val="4B902EBB"/>
    <w:rsid w:val="4B930BCF"/>
    <w:rsid w:val="4B931609"/>
    <w:rsid w:val="4B93721B"/>
    <w:rsid w:val="4B937F20"/>
    <w:rsid w:val="4B950563"/>
    <w:rsid w:val="4B955836"/>
    <w:rsid w:val="4B957ED3"/>
    <w:rsid w:val="4B963CC0"/>
    <w:rsid w:val="4B965EF0"/>
    <w:rsid w:val="4B970326"/>
    <w:rsid w:val="4B972B5A"/>
    <w:rsid w:val="4B98595D"/>
    <w:rsid w:val="4B986965"/>
    <w:rsid w:val="4B990C92"/>
    <w:rsid w:val="4B99603A"/>
    <w:rsid w:val="4B9A06EF"/>
    <w:rsid w:val="4B9D4A32"/>
    <w:rsid w:val="4B9E13F9"/>
    <w:rsid w:val="4B9F4678"/>
    <w:rsid w:val="4BA13D57"/>
    <w:rsid w:val="4BA1779E"/>
    <w:rsid w:val="4BA20DB9"/>
    <w:rsid w:val="4BA32D2B"/>
    <w:rsid w:val="4BA628B7"/>
    <w:rsid w:val="4BA673B5"/>
    <w:rsid w:val="4BA75959"/>
    <w:rsid w:val="4BA82ED1"/>
    <w:rsid w:val="4BA92BAB"/>
    <w:rsid w:val="4BA9693A"/>
    <w:rsid w:val="4BAA2254"/>
    <w:rsid w:val="4BAA525F"/>
    <w:rsid w:val="4BAB27F1"/>
    <w:rsid w:val="4BAC4F16"/>
    <w:rsid w:val="4BAE6FF9"/>
    <w:rsid w:val="4BB02E05"/>
    <w:rsid w:val="4BB04DBF"/>
    <w:rsid w:val="4BB118E8"/>
    <w:rsid w:val="4BB12A8C"/>
    <w:rsid w:val="4BB14558"/>
    <w:rsid w:val="4BB16905"/>
    <w:rsid w:val="4BB220FC"/>
    <w:rsid w:val="4BB24158"/>
    <w:rsid w:val="4BB31BDA"/>
    <w:rsid w:val="4BB42012"/>
    <w:rsid w:val="4BB46CEF"/>
    <w:rsid w:val="4BB577BC"/>
    <w:rsid w:val="4BB6292C"/>
    <w:rsid w:val="4BB76696"/>
    <w:rsid w:val="4BB8419D"/>
    <w:rsid w:val="4BB91EBD"/>
    <w:rsid w:val="4BBA2479"/>
    <w:rsid w:val="4BBA7EA5"/>
    <w:rsid w:val="4BBB1BD9"/>
    <w:rsid w:val="4BBC672E"/>
    <w:rsid w:val="4BBD5990"/>
    <w:rsid w:val="4BBE2986"/>
    <w:rsid w:val="4BC15702"/>
    <w:rsid w:val="4BC33A8B"/>
    <w:rsid w:val="4BC73A74"/>
    <w:rsid w:val="4BC77DA4"/>
    <w:rsid w:val="4BC86446"/>
    <w:rsid w:val="4BC87A3E"/>
    <w:rsid w:val="4BCA4B0E"/>
    <w:rsid w:val="4BCE5C39"/>
    <w:rsid w:val="4BCF6886"/>
    <w:rsid w:val="4BCF6B41"/>
    <w:rsid w:val="4BD31D50"/>
    <w:rsid w:val="4BD505ED"/>
    <w:rsid w:val="4BD648B5"/>
    <w:rsid w:val="4BD668DF"/>
    <w:rsid w:val="4BD753E9"/>
    <w:rsid w:val="4BD92FFB"/>
    <w:rsid w:val="4BD94D8D"/>
    <w:rsid w:val="4BD97634"/>
    <w:rsid w:val="4BDA160A"/>
    <w:rsid w:val="4BDA5A9D"/>
    <w:rsid w:val="4BDC5DF4"/>
    <w:rsid w:val="4BDD100D"/>
    <w:rsid w:val="4BDD2A87"/>
    <w:rsid w:val="4BDE1ADD"/>
    <w:rsid w:val="4BDE76C9"/>
    <w:rsid w:val="4BDF13E9"/>
    <w:rsid w:val="4BE156B5"/>
    <w:rsid w:val="4BE31425"/>
    <w:rsid w:val="4BE3701C"/>
    <w:rsid w:val="4BE42CC2"/>
    <w:rsid w:val="4BE44B83"/>
    <w:rsid w:val="4BE93F65"/>
    <w:rsid w:val="4BE96532"/>
    <w:rsid w:val="4BEA69A7"/>
    <w:rsid w:val="4BEA7D4A"/>
    <w:rsid w:val="4BEB3337"/>
    <w:rsid w:val="4BEB3AFE"/>
    <w:rsid w:val="4BEC2059"/>
    <w:rsid w:val="4BED0F76"/>
    <w:rsid w:val="4BEF0580"/>
    <w:rsid w:val="4BEF4345"/>
    <w:rsid w:val="4BF061AB"/>
    <w:rsid w:val="4BF26E21"/>
    <w:rsid w:val="4BF27C06"/>
    <w:rsid w:val="4BF346E0"/>
    <w:rsid w:val="4BF34BE1"/>
    <w:rsid w:val="4BF45210"/>
    <w:rsid w:val="4BF570FD"/>
    <w:rsid w:val="4BF66A21"/>
    <w:rsid w:val="4BF74262"/>
    <w:rsid w:val="4BF75D61"/>
    <w:rsid w:val="4BF81C9E"/>
    <w:rsid w:val="4BFA3E8B"/>
    <w:rsid w:val="4BFA4244"/>
    <w:rsid w:val="4BFA6CBC"/>
    <w:rsid w:val="4BFD7508"/>
    <w:rsid w:val="4BFF055A"/>
    <w:rsid w:val="4BFF0B3B"/>
    <w:rsid w:val="4BFF6CB2"/>
    <w:rsid w:val="4C012441"/>
    <w:rsid w:val="4C0148BD"/>
    <w:rsid w:val="4C017B05"/>
    <w:rsid w:val="4C0305AF"/>
    <w:rsid w:val="4C03401C"/>
    <w:rsid w:val="4C0420F5"/>
    <w:rsid w:val="4C042899"/>
    <w:rsid w:val="4C0433BA"/>
    <w:rsid w:val="4C044416"/>
    <w:rsid w:val="4C05515B"/>
    <w:rsid w:val="4C066E49"/>
    <w:rsid w:val="4C0722E8"/>
    <w:rsid w:val="4C08142D"/>
    <w:rsid w:val="4C0941FB"/>
    <w:rsid w:val="4C097E96"/>
    <w:rsid w:val="4C0B276E"/>
    <w:rsid w:val="4C0B443F"/>
    <w:rsid w:val="4C0E529C"/>
    <w:rsid w:val="4C0F03D7"/>
    <w:rsid w:val="4C1028A6"/>
    <w:rsid w:val="4C1119B5"/>
    <w:rsid w:val="4C116B1C"/>
    <w:rsid w:val="4C116C31"/>
    <w:rsid w:val="4C12359B"/>
    <w:rsid w:val="4C1526BD"/>
    <w:rsid w:val="4C1677FC"/>
    <w:rsid w:val="4C18117D"/>
    <w:rsid w:val="4C182AFD"/>
    <w:rsid w:val="4C194E4E"/>
    <w:rsid w:val="4C1A413A"/>
    <w:rsid w:val="4C1A7A51"/>
    <w:rsid w:val="4C1C4BD0"/>
    <w:rsid w:val="4C1C59DB"/>
    <w:rsid w:val="4C1C66DD"/>
    <w:rsid w:val="4C1C6F21"/>
    <w:rsid w:val="4C1D1168"/>
    <w:rsid w:val="4C1E11A7"/>
    <w:rsid w:val="4C1E2BF8"/>
    <w:rsid w:val="4C212F33"/>
    <w:rsid w:val="4C223F93"/>
    <w:rsid w:val="4C2474C5"/>
    <w:rsid w:val="4C252A17"/>
    <w:rsid w:val="4C266A32"/>
    <w:rsid w:val="4C272020"/>
    <w:rsid w:val="4C27495F"/>
    <w:rsid w:val="4C27499C"/>
    <w:rsid w:val="4C274AC1"/>
    <w:rsid w:val="4C2757BD"/>
    <w:rsid w:val="4C297FE8"/>
    <w:rsid w:val="4C2A765F"/>
    <w:rsid w:val="4C2C53B3"/>
    <w:rsid w:val="4C2E7541"/>
    <w:rsid w:val="4C3107CA"/>
    <w:rsid w:val="4C341131"/>
    <w:rsid w:val="4C364B91"/>
    <w:rsid w:val="4C3677AE"/>
    <w:rsid w:val="4C3742A0"/>
    <w:rsid w:val="4C374575"/>
    <w:rsid w:val="4C3906D3"/>
    <w:rsid w:val="4C3A3520"/>
    <w:rsid w:val="4C3B4287"/>
    <w:rsid w:val="4C3C20F1"/>
    <w:rsid w:val="4C3C6AC4"/>
    <w:rsid w:val="4C3D06BF"/>
    <w:rsid w:val="4C3E3A91"/>
    <w:rsid w:val="4C3F07AB"/>
    <w:rsid w:val="4C3F0A14"/>
    <w:rsid w:val="4C402F08"/>
    <w:rsid w:val="4C4122F3"/>
    <w:rsid w:val="4C413F3C"/>
    <w:rsid w:val="4C416FC2"/>
    <w:rsid w:val="4C421CAD"/>
    <w:rsid w:val="4C4245B2"/>
    <w:rsid w:val="4C4274B9"/>
    <w:rsid w:val="4C435405"/>
    <w:rsid w:val="4C435AA0"/>
    <w:rsid w:val="4C442CDF"/>
    <w:rsid w:val="4C4437D5"/>
    <w:rsid w:val="4C4453F9"/>
    <w:rsid w:val="4C455C51"/>
    <w:rsid w:val="4C461C82"/>
    <w:rsid w:val="4C464F2A"/>
    <w:rsid w:val="4C471AC5"/>
    <w:rsid w:val="4C483DAC"/>
    <w:rsid w:val="4C49156D"/>
    <w:rsid w:val="4C491F25"/>
    <w:rsid w:val="4C495A87"/>
    <w:rsid w:val="4C4976E2"/>
    <w:rsid w:val="4C4A0F7C"/>
    <w:rsid w:val="4C4A1A83"/>
    <w:rsid w:val="4C4C2959"/>
    <w:rsid w:val="4C4D00A9"/>
    <w:rsid w:val="4C4E56A1"/>
    <w:rsid w:val="4C4E5FC1"/>
    <w:rsid w:val="4C4F7996"/>
    <w:rsid w:val="4C50270E"/>
    <w:rsid w:val="4C5039E4"/>
    <w:rsid w:val="4C5054FC"/>
    <w:rsid w:val="4C506880"/>
    <w:rsid w:val="4C516C29"/>
    <w:rsid w:val="4C520722"/>
    <w:rsid w:val="4C5358CA"/>
    <w:rsid w:val="4C536627"/>
    <w:rsid w:val="4C546395"/>
    <w:rsid w:val="4C556C09"/>
    <w:rsid w:val="4C562473"/>
    <w:rsid w:val="4C5706CC"/>
    <w:rsid w:val="4C572AF8"/>
    <w:rsid w:val="4C57689C"/>
    <w:rsid w:val="4C580CFD"/>
    <w:rsid w:val="4C586D59"/>
    <w:rsid w:val="4C594F46"/>
    <w:rsid w:val="4C5C57B8"/>
    <w:rsid w:val="4C5F34BA"/>
    <w:rsid w:val="4C5F44CA"/>
    <w:rsid w:val="4C5F74C7"/>
    <w:rsid w:val="4C614008"/>
    <w:rsid w:val="4C615A48"/>
    <w:rsid w:val="4C6171CD"/>
    <w:rsid w:val="4C622F50"/>
    <w:rsid w:val="4C624393"/>
    <w:rsid w:val="4C6345C9"/>
    <w:rsid w:val="4C65704B"/>
    <w:rsid w:val="4C66280A"/>
    <w:rsid w:val="4C670551"/>
    <w:rsid w:val="4C6716FB"/>
    <w:rsid w:val="4C68240D"/>
    <w:rsid w:val="4C6862C5"/>
    <w:rsid w:val="4C6A1BC5"/>
    <w:rsid w:val="4C6C0005"/>
    <w:rsid w:val="4C6C3945"/>
    <w:rsid w:val="4C705DD1"/>
    <w:rsid w:val="4C710D59"/>
    <w:rsid w:val="4C713DF8"/>
    <w:rsid w:val="4C72688F"/>
    <w:rsid w:val="4C730BBB"/>
    <w:rsid w:val="4C7357EF"/>
    <w:rsid w:val="4C743FA2"/>
    <w:rsid w:val="4C755D27"/>
    <w:rsid w:val="4C761D0A"/>
    <w:rsid w:val="4C780ED3"/>
    <w:rsid w:val="4C794550"/>
    <w:rsid w:val="4C794562"/>
    <w:rsid w:val="4C7B02B7"/>
    <w:rsid w:val="4C7B0DEA"/>
    <w:rsid w:val="4C7B6452"/>
    <w:rsid w:val="4C7B743C"/>
    <w:rsid w:val="4C7D21B3"/>
    <w:rsid w:val="4C7F6FB0"/>
    <w:rsid w:val="4C8230BA"/>
    <w:rsid w:val="4C841398"/>
    <w:rsid w:val="4C84239D"/>
    <w:rsid w:val="4C846097"/>
    <w:rsid w:val="4C8567CD"/>
    <w:rsid w:val="4C8603F8"/>
    <w:rsid w:val="4C860901"/>
    <w:rsid w:val="4C866B58"/>
    <w:rsid w:val="4C883318"/>
    <w:rsid w:val="4C885B1F"/>
    <w:rsid w:val="4C8911D2"/>
    <w:rsid w:val="4C8A15F0"/>
    <w:rsid w:val="4C8A5D4C"/>
    <w:rsid w:val="4C8A79E3"/>
    <w:rsid w:val="4C8B02A1"/>
    <w:rsid w:val="4C8B7D46"/>
    <w:rsid w:val="4C91014F"/>
    <w:rsid w:val="4C9159B4"/>
    <w:rsid w:val="4C92591B"/>
    <w:rsid w:val="4C931458"/>
    <w:rsid w:val="4C9364C2"/>
    <w:rsid w:val="4C947011"/>
    <w:rsid w:val="4C974F79"/>
    <w:rsid w:val="4C98555C"/>
    <w:rsid w:val="4C9862FA"/>
    <w:rsid w:val="4C996BD6"/>
    <w:rsid w:val="4C9A308B"/>
    <w:rsid w:val="4C9A74B4"/>
    <w:rsid w:val="4C9C761A"/>
    <w:rsid w:val="4C9D3D0B"/>
    <w:rsid w:val="4CA06B1B"/>
    <w:rsid w:val="4CA150B2"/>
    <w:rsid w:val="4CA21FC9"/>
    <w:rsid w:val="4CA447CD"/>
    <w:rsid w:val="4CA6138C"/>
    <w:rsid w:val="4CA7245A"/>
    <w:rsid w:val="4CA730FD"/>
    <w:rsid w:val="4CA84B38"/>
    <w:rsid w:val="4CA95B3D"/>
    <w:rsid w:val="4CA95D2A"/>
    <w:rsid w:val="4CAA3AFB"/>
    <w:rsid w:val="4CAB5F9A"/>
    <w:rsid w:val="4CAB7DF5"/>
    <w:rsid w:val="4CAD208D"/>
    <w:rsid w:val="4CAD2BAE"/>
    <w:rsid w:val="4CAD64FC"/>
    <w:rsid w:val="4CAF1DDC"/>
    <w:rsid w:val="4CAF1FF7"/>
    <w:rsid w:val="4CAF4871"/>
    <w:rsid w:val="4CAF635F"/>
    <w:rsid w:val="4CB068A5"/>
    <w:rsid w:val="4CB07B78"/>
    <w:rsid w:val="4CB12176"/>
    <w:rsid w:val="4CB1241E"/>
    <w:rsid w:val="4CB132D9"/>
    <w:rsid w:val="4CB2090A"/>
    <w:rsid w:val="4CB30CC7"/>
    <w:rsid w:val="4CB3498B"/>
    <w:rsid w:val="4CB40DCD"/>
    <w:rsid w:val="4CB4161D"/>
    <w:rsid w:val="4CB45E24"/>
    <w:rsid w:val="4CB51332"/>
    <w:rsid w:val="4CB571E8"/>
    <w:rsid w:val="4CB65015"/>
    <w:rsid w:val="4CB65150"/>
    <w:rsid w:val="4CB673E5"/>
    <w:rsid w:val="4CB73BF3"/>
    <w:rsid w:val="4CB814E7"/>
    <w:rsid w:val="4CB90BB1"/>
    <w:rsid w:val="4CB91AC9"/>
    <w:rsid w:val="4CB93EE0"/>
    <w:rsid w:val="4CB95558"/>
    <w:rsid w:val="4CBA34DD"/>
    <w:rsid w:val="4CBB5FB8"/>
    <w:rsid w:val="4CBC2A62"/>
    <w:rsid w:val="4CBC3098"/>
    <w:rsid w:val="4CBC41EC"/>
    <w:rsid w:val="4CBE065B"/>
    <w:rsid w:val="4CBE0F72"/>
    <w:rsid w:val="4CBE369C"/>
    <w:rsid w:val="4CC16194"/>
    <w:rsid w:val="4CC207AD"/>
    <w:rsid w:val="4CC21795"/>
    <w:rsid w:val="4CC2566C"/>
    <w:rsid w:val="4CC366FC"/>
    <w:rsid w:val="4CC56D84"/>
    <w:rsid w:val="4CC76932"/>
    <w:rsid w:val="4CC77204"/>
    <w:rsid w:val="4CCA3B72"/>
    <w:rsid w:val="4CCB3F80"/>
    <w:rsid w:val="4CCC625F"/>
    <w:rsid w:val="4CCC68A3"/>
    <w:rsid w:val="4CCE0903"/>
    <w:rsid w:val="4CCE0A43"/>
    <w:rsid w:val="4CD05497"/>
    <w:rsid w:val="4CD15048"/>
    <w:rsid w:val="4CD174D7"/>
    <w:rsid w:val="4CD30C1B"/>
    <w:rsid w:val="4CD40969"/>
    <w:rsid w:val="4CD47B40"/>
    <w:rsid w:val="4CD52A12"/>
    <w:rsid w:val="4CD60F91"/>
    <w:rsid w:val="4CD64158"/>
    <w:rsid w:val="4CD67213"/>
    <w:rsid w:val="4CD75BD3"/>
    <w:rsid w:val="4CDD304E"/>
    <w:rsid w:val="4CDD37AD"/>
    <w:rsid w:val="4CDD73CD"/>
    <w:rsid w:val="4CDE1197"/>
    <w:rsid w:val="4CE04BB8"/>
    <w:rsid w:val="4CE075EB"/>
    <w:rsid w:val="4CE1479E"/>
    <w:rsid w:val="4CE21B79"/>
    <w:rsid w:val="4CE21FD8"/>
    <w:rsid w:val="4CE22293"/>
    <w:rsid w:val="4CE2367C"/>
    <w:rsid w:val="4CE31341"/>
    <w:rsid w:val="4CE31814"/>
    <w:rsid w:val="4CE3446F"/>
    <w:rsid w:val="4CE94BEC"/>
    <w:rsid w:val="4CEA0496"/>
    <w:rsid w:val="4CEA74E0"/>
    <w:rsid w:val="4CEB1B36"/>
    <w:rsid w:val="4CEC3BDB"/>
    <w:rsid w:val="4CED248A"/>
    <w:rsid w:val="4CED6147"/>
    <w:rsid w:val="4CEE6719"/>
    <w:rsid w:val="4CF00FA4"/>
    <w:rsid w:val="4CF03FE4"/>
    <w:rsid w:val="4CF13A23"/>
    <w:rsid w:val="4CF15714"/>
    <w:rsid w:val="4CF237DA"/>
    <w:rsid w:val="4CF32EBC"/>
    <w:rsid w:val="4CF34EA9"/>
    <w:rsid w:val="4CF4230D"/>
    <w:rsid w:val="4CF632FE"/>
    <w:rsid w:val="4CF70028"/>
    <w:rsid w:val="4CF71A1D"/>
    <w:rsid w:val="4CF91D9E"/>
    <w:rsid w:val="4CF93131"/>
    <w:rsid w:val="4CF95608"/>
    <w:rsid w:val="4CF96727"/>
    <w:rsid w:val="4CFA4BF8"/>
    <w:rsid w:val="4CFB0A46"/>
    <w:rsid w:val="4CFC00A3"/>
    <w:rsid w:val="4CFC096E"/>
    <w:rsid w:val="4CFC0A74"/>
    <w:rsid w:val="4CFD0457"/>
    <w:rsid w:val="4CFD7444"/>
    <w:rsid w:val="4CFE3836"/>
    <w:rsid w:val="4CFE7F36"/>
    <w:rsid w:val="4D0018BA"/>
    <w:rsid w:val="4D0158FF"/>
    <w:rsid w:val="4D035707"/>
    <w:rsid w:val="4D064401"/>
    <w:rsid w:val="4D077C75"/>
    <w:rsid w:val="4D086E80"/>
    <w:rsid w:val="4D09126D"/>
    <w:rsid w:val="4D0B1177"/>
    <w:rsid w:val="4D0B3D7A"/>
    <w:rsid w:val="4D0B60F5"/>
    <w:rsid w:val="4D0B6942"/>
    <w:rsid w:val="4D0C00AE"/>
    <w:rsid w:val="4D0C2E9A"/>
    <w:rsid w:val="4D0C5482"/>
    <w:rsid w:val="4D0D06D6"/>
    <w:rsid w:val="4D0E3078"/>
    <w:rsid w:val="4D107BB0"/>
    <w:rsid w:val="4D112B78"/>
    <w:rsid w:val="4D115B26"/>
    <w:rsid w:val="4D1618BE"/>
    <w:rsid w:val="4D161A7F"/>
    <w:rsid w:val="4D16727D"/>
    <w:rsid w:val="4D170952"/>
    <w:rsid w:val="4D172418"/>
    <w:rsid w:val="4D176B4E"/>
    <w:rsid w:val="4D19465C"/>
    <w:rsid w:val="4D1B1BC6"/>
    <w:rsid w:val="4D1B43EC"/>
    <w:rsid w:val="4D1C0534"/>
    <w:rsid w:val="4D1C0E5E"/>
    <w:rsid w:val="4D1D32A6"/>
    <w:rsid w:val="4D2029BF"/>
    <w:rsid w:val="4D213C80"/>
    <w:rsid w:val="4D215E54"/>
    <w:rsid w:val="4D226927"/>
    <w:rsid w:val="4D244C7F"/>
    <w:rsid w:val="4D247953"/>
    <w:rsid w:val="4D265B8F"/>
    <w:rsid w:val="4D270FA5"/>
    <w:rsid w:val="4D275AF9"/>
    <w:rsid w:val="4D286AE4"/>
    <w:rsid w:val="4D290BD2"/>
    <w:rsid w:val="4D2A543B"/>
    <w:rsid w:val="4D2B4789"/>
    <w:rsid w:val="4D2C0E62"/>
    <w:rsid w:val="4D2C4BB0"/>
    <w:rsid w:val="4D2C5CE8"/>
    <w:rsid w:val="4D2D14AC"/>
    <w:rsid w:val="4D2D356E"/>
    <w:rsid w:val="4D2E22B1"/>
    <w:rsid w:val="4D2F4CB4"/>
    <w:rsid w:val="4D300565"/>
    <w:rsid w:val="4D301676"/>
    <w:rsid w:val="4D306F9D"/>
    <w:rsid w:val="4D3125A5"/>
    <w:rsid w:val="4D3134E4"/>
    <w:rsid w:val="4D326EDE"/>
    <w:rsid w:val="4D3520D2"/>
    <w:rsid w:val="4D3550BB"/>
    <w:rsid w:val="4D3621A7"/>
    <w:rsid w:val="4D36490A"/>
    <w:rsid w:val="4D395B82"/>
    <w:rsid w:val="4D3B3403"/>
    <w:rsid w:val="4D3B57F2"/>
    <w:rsid w:val="4D3E44BA"/>
    <w:rsid w:val="4D3E7D33"/>
    <w:rsid w:val="4D3F2365"/>
    <w:rsid w:val="4D3F6454"/>
    <w:rsid w:val="4D4004AF"/>
    <w:rsid w:val="4D416F9C"/>
    <w:rsid w:val="4D4230D5"/>
    <w:rsid w:val="4D42361B"/>
    <w:rsid w:val="4D424D40"/>
    <w:rsid w:val="4D432F41"/>
    <w:rsid w:val="4D456AE2"/>
    <w:rsid w:val="4D4839B7"/>
    <w:rsid w:val="4D484CFB"/>
    <w:rsid w:val="4D48719A"/>
    <w:rsid w:val="4D4931E8"/>
    <w:rsid w:val="4D4A4FB8"/>
    <w:rsid w:val="4D4B779C"/>
    <w:rsid w:val="4D4D0D51"/>
    <w:rsid w:val="4D4D1D35"/>
    <w:rsid w:val="4D4E7883"/>
    <w:rsid w:val="4D4F20DB"/>
    <w:rsid w:val="4D50751B"/>
    <w:rsid w:val="4D52208C"/>
    <w:rsid w:val="4D5262EB"/>
    <w:rsid w:val="4D547408"/>
    <w:rsid w:val="4D552B63"/>
    <w:rsid w:val="4D557394"/>
    <w:rsid w:val="4D560C86"/>
    <w:rsid w:val="4D564A63"/>
    <w:rsid w:val="4D5819A6"/>
    <w:rsid w:val="4D584693"/>
    <w:rsid w:val="4D586FE4"/>
    <w:rsid w:val="4D5914FE"/>
    <w:rsid w:val="4D596DBE"/>
    <w:rsid w:val="4D597BD4"/>
    <w:rsid w:val="4D5A41FC"/>
    <w:rsid w:val="4D5B5E7F"/>
    <w:rsid w:val="4D5C4BFE"/>
    <w:rsid w:val="4D5D676F"/>
    <w:rsid w:val="4D5D6DEB"/>
    <w:rsid w:val="4D5F1A66"/>
    <w:rsid w:val="4D603C6B"/>
    <w:rsid w:val="4D616AA6"/>
    <w:rsid w:val="4D622825"/>
    <w:rsid w:val="4D646F10"/>
    <w:rsid w:val="4D657828"/>
    <w:rsid w:val="4D6619E9"/>
    <w:rsid w:val="4D663C05"/>
    <w:rsid w:val="4D6839FE"/>
    <w:rsid w:val="4D687D17"/>
    <w:rsid w:val="4D6933D6"/>
    <w:rsid w:val="4D6B16DA"/>
    <w:rsid w:val="4D6D2789"/>
    <w:rsid w:val="4D6E2C6F"/>
    <w:rsid w:val="4D6F6849"/>
    <w:rsid w:val="4D72599B"/>
    <w:rsid w:val="4D7328AD"/>
    <w:rsid w:val="4D736DF7"/>
    <w:rsid w:val="4D79722A"/>
    <w:rsid w:val="4D7A7CA6"/>
    <w:rsid w:val="4D7B2AF0"/>
    <w:rsid w:val="4D7C4F65"/>
    <w:rsid w:val="4D7D0B08"/>
    <w:rsid w:val="4D7E4A1F"/>
    <w:rsid w:val="4D7F20B7"/>
    <w:rsid w:val="4D7F213C"/>
    <w:rsid w:val="4D7F5190"/>
    <w:rsid w:val="4D7F59FA"/>
    <w:rsid w:val="4D801CE2"/>
    <w:rsid w:val="4D8074A7"/>
    <w:rsid w:val="4D815A18"/>
    <w:rsid w:val="4D832F8C"/>
    <w:rsid w:val="4D8335C5"/>
    <w:rsid w:val="4D851EA8"/>
    <w:rsid w:val="4D852EB2"/>
    <w:rsid w:val="4D854AD9"/>
    <w:rsid w:val="4D863B11"/>
    <w:rsid w:val="4D87711F"/>
    <w:rsid w:val="4D885F8C"/>
    <w:rsid w:val="4D8A1B05"/>
    <w:rsid w:val="4D8A6914"/>
    <w:rsid w:val="4D8A7129"/>
    <w:rsid w:val="4D8A77E6"/>
    <w:rsid w:val="4D8B0EC4"/>
    <w:rsid w:val="4D8C3C18"/>
    <w:rsid w:val="4D8C4290"/>
    <w:rsid w:val="4D8C7526"/>
    <w:rsid w:val="4D8D3B0E"/>
    <w:rsid w:val="4D8F7566"/>
    <w:rsid w:val="4D8F7E2E"/>
    <w:rsid w:val="4D904BF4"/>
    <w:rsid w:val="4D91164F"/>
    <w:rsid w:val="4D911E96"/>
    <w:rsid w:val="4D930065"/>
    <w:rsid w:val="4D9368BE"/>
    <w:rsid w:val="4D944206"/>
    <w:rsid w:val="4D9862E5"/>
    <w:rsid w:val="4D994984"/>
    <w:rsid w:val="4D995E8A"/>
    <w:rsid w:val="4D9A10C6"/>
    <w:rsid w:val="4D9B1F3D"/>
    <w:rsid w:val="4D9C0AF1"/>
    <w:rsid w:val="4D9D44F6"/>
    <w:rsid w:val="4D9E2974"/>
    <w:rsid w:val="4DA0745B"/>
    <w:rsid w:val="4DA2455C"/>
    <w:rsid w:val="4DA334B3"/>
    <w:rsid w:val="4DA465FB"/>
    <w:rsid w:val="4DA517B6"/>
    <w:rsid w:val="4DA573E8"/>
    <w:rsid w:val="4DA650F2"/>
    <w:rsid w:val="4DA70C54"/>
    <w:rsid w:val="4DA91E2A"/>
    <w:rsid w:val="4DA93494"/>
    <w:rsid w:val="4DA963FB"/>
    <w:rsid w:val="4DAA20E4"/>
    <w:rsid w:val="4DAB0482"/>
    <w:rsid w:val="4DAB1ACD"/>
    <w:rsid w:val="4DAB47FF"/>
    <w:rsid w:val="4DAB5D66"/>
    <w:rsid w:val="4DAB5F5A"/>
    <w:rsid w:val="4DAD089D"/>
    <w:rsid w:val="4DAD20F9"/>
    <w:rsid w:val="4DAF28C1"/>
    <w:rsid w:val="4DB044A1"/>
    <w:rsid w:val="4DB156BB"/>
    <w:rsid w:val="4DB2216C"/>
    <w:rsid w:val="4DB27B47"/>
    <w:rsid w:val="4DB322D6"/>
    <w:rsid w:val="4DB3272A"/>
    <w:rsid w:val="4DB41EE9"/>
    <w:rsid w:val="4DB62A6A"/>
    <w:rsid w:val="4DB73368"/>
    <w:rsid w:val="4DB758EF"/>
    <w:rsid w:val="4DB92332"/>
    <w:rsid w:val="4DB95D4C"/>
    <w:rsid w:val="4DB97C39"/>
    <w:rsid w:val="4DBA5236"/>
    <w:rsid w:val="4DBB1E2F"/>
    <w:rsid w:val="4DBC35CE"/>
    <w:rsid w:val="4DBC3DDC"/>
    <w:rsid w:val="4DBE5B2D"/>
    <w:rsid w:val="4DBE7530"/>
    <w:rsid w:val="4DC12BC0"/>
    <w:rsid w:val="4DC14DDB"/>
    <w:rsid w:val="4DC154DD"/>
    <w:rsid w:val="4DC240B6"/>
    <w:rsid w:val="4DC31516"/>
    <w:rsid w:val="4DC34D16"/>
    <w:rsid w:val="4DC41A75"/>
    <w:rsid w:val="4DC44F08"/>
    <w:rsid w:val="4DC4528E"/>
    <w:rsid w:val="4DC47BCE"/>
    <w:rsid w:val="4DC52C5D"/>
    <w:rsid w:val="4DC639CA"/>
    <w:rsid w:val="4DC64869"/>
    <w:rsid w:val="4DC67700"/>
    <w:rsid w:val="4DC8045B"/>
    <w:rsid w:val="4DC93293"/>
    <w:rsid w:val="4DC97CC3"/>
    <w:rsid w:val="4DCB03CA"/>
    <w:rsid w:val="4DCC1E92"/>
    <w:rsid w:val="4DCD4E20"/>
    <w:rsid w:val="4DD059E1"/>
    <w:rsid w:val="4DD07349"/>
    <w:rsid w:val="4DD10DA4"/>
    <w:rsid w:val="4DD310E1"/>
    <w:rsid w:val="4DD43AEA"/>
    <w:rsid w:val="4DD53490"/>
    <w:rsid w:val="4DD54E9C"/>
    <w:rsid w:val="4DDB0932"/>
    <w:rsid w:val="4DDB7327"/>
    <w:rsid w:val="4DDB797C"/>
    <w:rsid w:val="4DDE1EC5"/>
    <w:rsid w:val="4DDF09E8"/>
    <w:rsid w:val="4DE07F37"/>
    <w:rsid w:val="4DE12AE2"/>
    <w:rsid w:val="4DE24998"/>
    <w:rsid w:val="4DE24A45"/>
    <w:rsid w:val="4DE32F9C"/>
    <w:rsid w:val="4DE374C2"/>
    <w:rsid w:val="4DE41B4B"/>
    <w:rsid w:val="4DE731A5"/>
    <w:rsid w:val="4DE84DAF"/>
    <w:rsid w:val="4DEA291B"/>
    <w:rsid w:val="4DEC2E25"/>
    <w:rsid w:val="4DEE3E57"/>
    <w:rsid w:val="4DEF0845"/>
    <w:rsid w:val="4DEF2416"/>
    <w:rsid w:val="4DEF4C6D"/>
    <w:rsid w:val="4DF0552E"/>
    <w:rsid w:val="4DF13F1C"/>
    <w:rsid w:val="4DF24F5C"/>
    <w:rsid w:val="4DF255F0"/>
    <w:rsid w:val="4DF302B4"/>
    <w:rsid w:val="4DF429AB"/>
    <w:rsid w:val="4DF43300"/>
    <w:rsid w:val="4DF636BF"/>
    <w:rsid w:val="4DF65DD0"/>
    <w:rsid w:val="4DF86A7A"/>
    <w:rsid w:val="4DFA5164"/>
    <w:rsid w:val="4DFA7E1E"/>
    <w:rsid w:val="4DFB528B"/>
    <w:rsid w:val="4DFC3AD7"/>
    <w:rsid w:val="4DFC4A28"/>
    <w:rsid w:val="4DFE1130"/>
    <w:rsid w:val="4DFF7E59"/>
    <w:rsid w:val="4E001E5F"/>
    <w:rsid w:val="4E003A1D"/>
    <w:rsid w:val="4E023D51"/>
    <w:rsid w:val="4E0302D5"/>
    <w:rsid w:val="4E035C0C"/>
    <w:rsid w:val="4E0538DC"/>
    <w:rsid w:val="4E053B41"/>
    <w:rsid w:val="4E056318"/>
    <w:rsid w:val="4E06567B"/>
    <w:rsid w:val="4E074500"/>
    <w:rsid w:val="4E081ED8"/>
    <w:rsid w:val="4E082D70"/>
    <w:rsid w:val="4E0D4E82"/>
    <w:rsid w:val="4E0D55FF"/>
    <w:rsid w:val="4E0E5270"/>
    <w:rsid w:val="4E1252B2"/>
    <w:rsid w:val="4E1323D2"/>
    <w:rsid w:val="4E14274F"/>
    <w:rsid w:val="4E14336A"/>
    <w:rsid w:val="4E1458CD"/>
    <w:rsid w:val="4E15336A"/>
    <w:rsid w:val="4E1553B2"/>
    <w:rsid w:val="4E16285B"/>
    <w:rsid w:val="4E166C70"/>
    <w:rsid w:val="4E190B8F"/>
    <w:rsid w:val="4E192316"/>
    <w:rsid w:val="4E196161"/>
    <w:rsid w:val="4E1A5D19"/>
    <w:rsid w:val="4E1B3100"/>
    <w:rsid w:val="4E1C08D0"/>
    <w:rsid w:val="4E1C2AAC"/>
    <w:rsid w:val="4E1C47D3"/>
    <w:rsid w:val="4E1F24C4"/>
    <w:rsid w:val="4E206A15"/>
    <w:rsid w:val="4E217E17"/>
    <w:rsid w:val="4E2241FE"/>
    <w:rsid w:val="4E231E26"/>
    <w:rsid w:val="4E23513E"/>
    <w:rsid w:val="4E250BD1"/>
    <w:rsid w:val="4E253860"/>
    <w:rsid w:val="4E2677F1"/>
    <w:rsid w:val="4E28516A"/>
    <w:rsid w:val="4E291E25"/>
    <w:rsid w:val="4E2A2689"/>
    <w:rsid w:val="4E2A5655"/>
    <w:rsid w:val="4E2B033C"/>
    <w:rsid w:val="4E2D0011"/>
    <w:rsid w:val="4E2F4BE5"/>
    <w:rsid w:val="4E3007BE"/>
    <w:rsid w:val="4E3044D1"/>
    <w:rsid w:val="4E313E48"/>
    <w:rsid w:val="4E3502ED"/>
    <w:rsid w:val="4E355860"/>
    <w:rsid w:val="4E3633C8"/>
    <w:rsid w:val="4E374B86"/>
    <w:rsid w:val="4E375EF8"/>
    <w:rsid w:val="4E387481"/>
    <w:rsid w:val="4E3936A2"/>
    <w:rsid w:val="4E397355"/>
    <w:rsid w:val="4E3A7937"/>
    <w:rsid w:val="4E3D111D"/>
    <w:rsid w:val="4E3D1EA2"/>
    <w:rsid w:val="4E3D2050"/>
    <w:rsid w:val="4E3D4E0C"/>
    <w:rsid w:val="4E3F62A0"/>
    <w:rsid w:val="4E402F39"/>
    <w:rsid w:val="4E411B1E"/>
    <w:rsid w:val="4E427624"/>
    <w:rsid w:val="4E4320E1"/>
    <w:rsid w:val="4E4434C2"/>
    <w:rsid w:val="4E445EEA"/>
    <w:rsid w:val="4E484117"/>
    <w:rsid w:val="4E4B5D30"/>
    <w:rsid w:val="4E4B6FA6"/>
    <w:rsid w:val="4E4C12F3"/>
    <w:rsid w:val="4E4C5768"/>
    <w:rsid w:val="4E4C70B4"/>
    <w:rsid w:val="4E4D05A7"/>
    <w:rsid w:val="4E4E12F2"/>
    <w:rsid w:val="4E4E13E6"/>
    <w:rsid w:val="4E516A64"/>
    <w:rsid w:val="4E530680"/>
    <w:rsid w:val="4E530D28"/>
    <w:rsid w:val="4E531C24"/>
    <w:rsid w:val="4E5403C0"/>
    <w:rsid w:val="4E560B1E"/>
    <w:rsid w:val="4E562380"/>
    <w:rsid w:val="4E5847FD"/>
    <w:rsid w:val="4E59597D"/>
    <w:rsid w:val="4E5A2D3B"/>
    <w:rsid w:val="4E5A7DA3"/>
    <w:rsid w:val="4E5B5DA0"/>
    <w:rsid w:val="4E5D01F9"/>
    <w:rsid w:val="4E5D54B9"/>
    <w:rsid w:val="4E5E492D"/>
    <w:rsid w:val="4E611DBE"/>
    <w:rsid w:val="4E623B3E"/>
    <w:rsid w:val="4E624676"/>
    <w:rsid w:val="4E6337DF"/>
    <w:rsid w:val="4E64377B"/>
    <w:rsid w:val="4E646951"/>
    <w:rsid w:val="4E651BBE"/>
    <w:rsid w:val="4E6577D9"/>
    <w:rsid w:val="4E661E5D"/>
    <w:rsid w:val="4E6640CF"/>
    <w:rsid w:val="4E6763EB"/>
    <w:rsid w:val="4E683C6D"/>
    <w:rsid w:val="4E68616E"/>
    <w:rsid w:val="4E687418"/>
    <w:rsid w:val="4E6A0DEF"/>
    <w:rsid w:val="4E6A4FCD"/>
    <w:rsid w:val="4E6C6B62"/>
    <w:rsid w:val="4E6D145E"/>
    <w:rsid w:val="4E6D37FA"/>
    <w:rsid w:val="4E6E2775"/>
    <w:rsid w:val="4E6E33FD"/>
    <w:rsid w:val="4E7037AC"/>
    <w:rsid w:val="4E7056DC"/>
    <w:rsid w:val="4E7140EB"/>
    <w:rsid w:val="4E720C9C"/>
    <w:rsid w:val="4E7228D4"/>
    <w:rsid w:val="4E724CEA"/>
    <w:rsid w:val="4E731759"/>
    <w:rsid w:val="4E73306E"/>
    <w:rsid w:val="4E7416ED"/>
    <w:rsid w:val="4E772F1B"/>
    <w:rsid w:val="4E775D96"/>
    <w:rsid w:val="4E7831C4"/>
    <w:rsid w:val="4E783F19"/>
    <w:rsid w:val="4E784095"/>
    <w:rsid w:val="4E7974C8"/>
    <w:rsid w:val="4E7D3708"/>
    <w:rsid w:val="4E7D73AB"/>
    <w:rsid w:val="4E7E328C"/>
    <w:rsid w:val="4E7E3E87"/>
    <w:rsid w:val="4E7E4B6D"/>
    <w:rsid w:val="4E7F0BBF"/>
    <w:rsid w:val="4E7F166A"/>
    <w:rsid w:val="4E810A42"/>
    <w:rsid w:val="4E815D52"/>
    <w:rsid w:val="4E837DD6"/>
    <w:rsid w:val="4E840B7C"/>
    <w:rsid w:val="4E842344"/>
    <w:rsid w:val="4E850A61"/>
    <w:rsid w:val="4E856277"/>
    <w:rsid w:val="4E866E60"/>
    <w:rsid w:val="4E871E86"/>
    <w:rsid w:val="4E872E51"/>
    <w:rsid w:val="4E874B9B"/>
    <w:rsid w:val="4E8830A8"/>
    <w:rsid w:val="4E897ECE"/>
    <w:rsid w:val="4E8A6DFA"/>
    <w:rsid w:val="4E8D163E"/>
    <w:rsid w:val="4E8D16FA"/>
    <w:rsid w:val="4E8D1A22"/>
    <w:rsid w:val="4E8D2915"/>
    <w:rsid w:val="4E8D355F"/>
    <w:rsid w:val="4E8D4229"/>
    <w:rsid w:val="4E8D5F86"/>
    <w:rsid w:val="4E8E26A6"/>
    <w:rsid w:val="4E8E6859"/>
    <w:rsid w:val="4E8F08B8"/>
    <w:rsid w:val="4E8F4728"/>
    <w:rsid w:val="4E8F69E3"/>
    <w:rsid w:val="4E9071B7"/>
    <w:rsid w:val="4E915783"/>
    <w:rsid w:val="4E925726"/>
    <w:rsid w:val="4E932410"/>
    <w:rsid w:val="4E9419F9"/>
    <w:rsid w:val="4E942E04"/>
    <w:rsid w:val="4E952B74"/>
    <w:rsid w:val="4E953936"/>
    <w:rsid w:val="4E965D15"/>
    <w:rsid w:val="4E970E08"/>
    <w:rsid w:val="4E984750"/>
    <w:rsid w:val="4E9C78EE"/>
    <w:rsid w:val="4E9D3E8E"/>
    <w:rsid w:val="4E9E06A6"/>
    <w:rsid w:val="4E9E66B1"/>
    <w:rsid w:val="4EA02373"/>
    <w:rsid w:val="4EA12BA9"/>
    <w:rsid w:val="4EA34C09"/>
    <w:rsid w:val="4EA45359"/>
    <w:rsid w:val="4EA4667C"/>
    <w:rsid w:val="4EA52769"/>
    <w:rsid w:val="4EA5287D"/>
    <w:rsid w:val="4EA617F0"/>
    <w:rsid w:val="4EA620C7"/>
    <w:rsid w:val="4EA632CD"/>
    <w:rsid w:val="4EA67627"/>
    <w:rsid w:val="4EA74433"/>
    <w:rsid w:val="4EA83E51"/>
    <w:rsid w:val="4EA868D2"/>
    <w:rsid w:val="4EA92688"/>
    <w:rsid w:val="4EA93C2D"/>
    <w:rsid w:val="4EA94367"/>
    <w:rsid w:val="4EA96323"/>
    <w:rsid w:val="4EA97BA2"/>
    <w:rsid w:val="4EA97D02"/>
    <w:rsid w:val="4EAA4484"/>
    <w:rsid w:val="4EAB02E5"/>
    <w:rsid w:val="4EAD224F"/>
    <w:rsid w:val="4EAD2EE6"/>
    <w:rsid w:val="4EAE145B"/>
    <w:rsid w:val="4EAE1523"/>
    <w:rsid w:val="4EAF53AC"/>
    <w:rsid w:val="4EAF5512"/>
    <w:rsid w:val="4EB03D28"/>
    <w:rsid w:val="4EB31B91"/>
    <w:rsid w:val="4EB34F20"/>
    <w:rsid w:val="4EB527D3"/>
    <w:rsid w:val="4EB57039"/>
    <w:rsid w:val="4EB75B83"/>
    <w:rsid w:val="4EB81894"/>
    <w:rsid w:val="4EB8383E"/>
    <w:rsid w:val="4EB96475"/>
    <w:rsid w:val="4EBA4DC1"/>
    <w:rsid w:val="4EBB0867"/>
    <w:rsid w:val="4EBE0A5D"/>
    <w:rsid w:val="4EBE38B1"/>
    <w:rsid w:val="4EBE5282"/>
    <w:rsid w:val="4EBE6556"/>
    <w:rsid w:val="4EBF1534"/>
    <w:rsid w:val="4EC01843"/>
    <w:rsid w:val="4EC07803"/>
    <w:rsid w:val="4EC17661"/>
    <w:rsid w:val="4EC32FDC"/>
    <w:rsid w:val="4EC54D23"/>
    <w:rsid w:val="4EC55422"/>
    <w:rsid w:val="4EC63D8E"/>
    <w:rsid w:val="4EC679BF"/>
    <w:rsid w:val="4EC738E6"/>
    <w:rsid w:val="4EC93884"/>
    <w:rsid w:val="4ECB6BB6"/>
    <w:rsid w:val="4ECD2FC3"/>
    <w:rsid w:val="4ED162B3"/>
    <w:rsid w:val="4ED33A4A"/>
    <w:rsid w:val="4ED50C08"/>
    <w:rsid w:val="4ED75B11"/>
    <w:rsid w:val="4EDD6607"/>
    <w:rsid w:val="4EDE2ACB"/>
    <w:rsid w:val="4EDE7E9F"/>
    <w:rsid w:val="4EE01155"/>
    <w:rsid w:val="4EE10185"/>
    <w:rsid w:val="4EE23C1E"/>
    <w:rsid w:val="4EE243BD"/>
    <w:rsid w:val="4EE53AAD"/>
    <w:rsid w:val="4EE6001D"/>
    <w:rsid w:val="4EE65080"/>
    <w:rsid w:val="4EE749EB"/>
    <w:rsid w:val="4EE76345"/>
    <w:rsid w:val="4EE85D09"/>
    <w:rsid w:val="4EE86B1A"/>
    <w:rsid w:val="4EEB1CDE"/>
    <w:rsid w:val="4EEB3305"/>
    <w:rsid w:val="4EED51F9"/>
    <w:rsid w:val="4EEF00E8"/>
    <w:rsid w:val="4EEF59AA"/>
    <w:rsid w:val="4EEF7282"/>
    <w:rsid w:val="4EEF7679"/>
    <w:rsid w:val="4EF0550E"/>
    <w:rsid w:val="4EF2300A"/>
    <w:rsid w:val="4EF274C4"/>
    <w:rsid w:val="4EF4072F"/>
    <w:rsid w:val="4EF62CBC"/>
    <w:rsid w:val="4EF642F7"/>
    <w:rsid w:val="4EF91621"/>
    <w:rsid w:val="4EFA39C5"/>
    <w:rsid w:val="4EFA7CBB"/>
    <w:rsid w:val="4EFB7438"/>
    <w:rsid w:val="4EFE0778"/>
    <w:rsid w:val="4EFE1D2F"/>
    <w:rsid w:val="4EFE6FB5"/>
    <w:rsid w:val="4F014202"/>
    <w:rsid w:val="4F031DC8"/>
    <w:rsid w:val="4F03785A"/>
    <w:rsid w:val="4F046174"/>
    <w:rsid w:val="4F086642"/>
    <w:rsid w:val="4F0A2168"/>
    <w:rsid w:val="4F0A297A"/>
    <w:rsid w:val="4F0A7826"/>
    <w:rsid w:val="4F0B28FD"/>
    <w:rsid w:val="4F0B53D7"/>
    <w:rsid w:val="4F0B5421"/>
    <w:rsid w:val="4F0C2747"/>
    <w:rsid w:val="4F0C2A48"/>
    <w:rsid w:val="4F0D0B1E"/>
    <w:rsid w:val="4F0E1291"/>
    <w:rsid w:val="4F0E3DF1"/>
    <w:rsid w:val="4F1060BD"/>
    <w:rsid w:val="4F106D53"/>
    <w:rsid w:val="4F120046"/>
    <w:rsid w:val="4F1207F6"/>
    <w:rsid w:val="4F131314"/>
    <w:rsid w:val="4F133853"/>
    <w:rsid w:val="4F136BF8"/>
    <w:rsid w:val="4F1374A4"/>
    <w:rsid w:val="4F155DA1"/>
    <w:rsid w:val="4F1607D2"/>
    <w:rsid w:val="4F16695E"/>
    <w:rsid w:val="4F196337"/>
    <w:rsid w:val="4F1963D7"/>
    <w:rsid w:val="4F197EC6"/>
    <w:rsid w:val="4F1A5E51"/>
    <w:rsid w:val="4F1C738A"/>
    <w:rsid w:val="4F1D4096"/>
    <w:rsid w:val="4F1D44A9"/>
    <w:rsid w:val="4F1F3B36"/>
    <w:rsid w:val="4F1F6EDB"/>
    <w:rsid w:val="4F21200D"/>
    <w:rsid w:val="4F22312A"/>
    <w:rsid w:val="4F227ECD"/>
    <w:rsid w:val="4F2400DB"/>
    <w:rsid w:val="4F253EF4"/>
    <w:rsid w:val="4F2565B3"/>
    <w:rsid w:val="4F281B0D"/>
    <w:rsid w:val="4F296F61"/>
    <w:rsid w:val="4F2A7408"/>
    <w:rsid w:val="4F2B39AE"/>
    <w:rsid w:val="4F2B6E51"/>
    <w:rsid w:val="4F2E1910"/>
    <w:rsid w:val="4F2E1FEE"/>
    <w:rsid w:val="4F2E29BF"/>
    <w:rsid w:val="4F2E4338"/>
    <w:rsid w:val="4F2E7DE6"/>
    <w:rsid w:val="4F2F03DD"/>
    <w:rsid w:val="4F3151C1"/>
    <w:rsid w:val="4F332927"/>
    <w:rsid w:val="4F336EAF"/>
    <w:rsid w:val="4F353ACF"/>
    <w:rsid w:val="4F36049E"/>
    <w:rsid w:val="4F37656B"/>
    <w:rsid w:val="4F38411F"/>
    <w:rsid w:val="4F3A010C"/>
    <w:rsid w:val="4F3A739A"/>
    <w:rsid w:val="4F3B1410"/>
    <w:rsid w:val="4F3B70CB"/>
    <w:rsid w:val="4F3C7E5B"/>
    <w:rsid w:val="4F3E0717"/>
    <w:rsid w:val="4F3E5893"/>
    <w:rsid w:val="4F4010C4"/>
    <w:rsid w:val="4F4052F8"/>
    <w:rsid w:val="4F4176E8"/>
    <w:rsid w:val="4F43352B"/>
    <w:rsid w:val="4F445D34"/>
    <w:rsid w:val="4F4506FC"/>
    <w:rsid w:val="4F463715"/>
    <w:rsid w:val="4F465406"/>
    <w:rsid w:val="4F475A39"/>
    <w:rsid w:val="4F47641C"/>
    <w:rsid w:val="4F487EA9"/>
    <w:rsid w:val="4F4A754F"/>
    <w:rsid w:val="4F4A77E8"/>
    <w:rsid w:val="4F4B1765"/>
    <w:rsid w:val="4F4B67A5"/>
    <w:rsid w:val="4F4C7720"/>
    <w:rsid w:val="4F4E5BE9"/>
    <w:rsid w:val="4F4F2935"/>
    <w:rsid w:val="4F4F512B"/>
    <w:rsid w:val="4F550317"/>
    <w:rsid w:val="4F554C57"/>
    <w:rsid w:val="4F5636F8"/>
    <w:rsid w:val="4F566F68"/>
    <w:rsid w:val="4F5769BB"/>
    <w:rsid w:val="4F596052"/>
    <w:rsid w:val="4F5A4C54"/>
    <w:rsid w:val="4F5A5B8F"/>
    <w:rsid w:val="4F5B2C57"/>
    <w:rsid w:val="4F601387"/>
    <w:rsid w:val="4F650714"/>
    <w:rsid w:val="4F65330D"/>
    <w:rsid w:val="4F665511"/>
    <w:rsid w:val="4F693F98"/>
    <w:rsid w:val="4F694209"/>
    <w:rsid w:val="4F6A063B"/>
    <w:rsid w:val="4F6A2F98"/>
    <w:rsid w:val="4F6A4DA8"/>
    <w:rsid w:val="4F6B595B"/>
    <w:rsid w:val="4F6B6342"/>
    <w:rsid w:val="4F6D09E5"/>
    <w:rsid w:val="4F6E796B"/>
    <w:rsid w:val="4F6F0BE6"/>
    <w:rsid w:val="4F6F51D7"/>
    <w:rsid w:val="4F714994"/>
    <w:rsid w:val="4F724B31"/>
    <w:rsid w:val="4F734FFA"/>
    <w:rsid w:val="4F741AE1"/>
    <w:rsid w:val="4F76043B"/>
    <w:rsid w:val="4F762153"/>
    <w:rsid w:val="4F766114"/>
    <w:rsid w:val="4F7841EB"/>
    <w:rsid w:val="4F786330"/>
    <w:rsid w:val="4F797811"/>
    <w:rsid w:val="4F7A0BCA"/>
    <w:rsid w:val="4F7A66FF"/>
    <w:rsid w:val="4F7C1927"/>
    <w:rsid w:val="4F7D04DF"/>
    <w:rsid w:val="4F7D3281"/>
    <w:rsid w:val="4F806DD1"/>
    <w:rsid w:val="4F810942"/>
    <w:rsid w:val="4F81177B"/>
    <w:rsid w:val="4F8279EC"/>
    <w:rsid w:val="4F830173"/>
    <w:rsid w:val="4F832FF9"/>
    <w:rsid w:val="4F833840"/>
    <w:rsid w:val="4F86524D"/>
    <w:rsid w:val="4F8756B9"/>
    <w:rsid w:val="4F88304D"/>
    <w:rsid w:val="4F886C8A"/>
    <w:rsid w:val="4F891BBA"/>
    <w:rsid w:val="4F893190"/>
    <w:rsid w:val="4F89683D"/>
    <w:rsid w:val="4F8A448D"/>
    <w:rsid w:val="4F8A7DEA"/>
    <w:rsid w:val="4F8B03FA"/>
    <w:rsid w:val="4F8B2902"/>
    <w:rsid w:val="4F8D20A7"/>
    <w:rsid w:val="4F8D74C0"/>
    <w:rsid w:val="4F8E4688"/>
    <w:rsid w:val="4F8F5A34"/>
    <w:rsid w:val="4F902A3F"/>
    <w:rsid w:val="4F9179D7"/>
    <w:rsid w:val="4F9271E6"/>
    <w:rsid w:val="4F931791"/>
    <w:rsid w:val="4F933D40"/>
    <w:rsid w:val="4F9346F0"/>
    <w:rsid w:val="4F9442C0"/>
    <w:rsid w:val="4F952CD6"/>
    <w:rsid w:val="4F9546EF"/>
    <w:rsid w:val="4F9628ED"/>
    <w:rsid w:val="4F96322E"/>
    <w:rsid w:val="4F9649C2"/>
    <w:rsid w:val="4F973D71"/>
    <w:rsid w:val="4F977B52"/>
    <w:rsid w:val="4F9842DC"/>
    <w:rsid w:val="4F9846BA"/>
    <w:rsid w:val="4F9931A9"/>
    <w:rsid w:val="4F99469D"/>
    <w:rsid w:val="4F9B6BBF"/>
    <w:rsid w:val="4F9B7F01"/>
    <w:rsid w:val="4F9E58D4"/>
    <w:rsid w:val="4FA06DA1"/>
    <w:rsid w:val="4FA20533"/>
    <w:rsid w:val="4FA31A0F"/>
    <w:rsid w:val="4FA31C7F"/>
    <w:rsid w:val="4FA34CA2"/>
    <w:rsid w:val="4FA43B36"/>
    <w:rsid w:val="4FA63612"/>
    <w:rsid w:val="4FA72BEA"/>
    <w:rsid w:val="4FA7701C"/>
    <w:rsid w:val="4FA84BBB"/>
    <w:rsid w:val="4FA84C90"/>
    <w:rsid w:val="4FA85FEF"/>
    <w:rsid w:val="4FA91DFF"/>
    <w:rsid w:val="4FAD3685"/>
    <w:rsid w:val="4FAE29D6"/>
    <w:rsid w:val="4FB018A2"/>
    <w:rsid w:val="4FB2331C"/>
    <w:rsid w:val="4FB25DAF"/>
    <w:rsid w:val="4FB35157"/>
    <w:rsid w:val="4FB43DBE"/>
    <w:rsid w:val="4FB442A7"/>
    <w:rsid w:val="4FB46B47"/>
    <w:rsid w:val="4FB5256D"/>
    <w:rsid w:val="4FB61CE9"/>
    <w:rsid w:val="4FB629B4"/>
    <w:rsid w:val="4FB650F7"/>
    <w:rsid w:val="4FB773F9"/>
    <w:rsid w:val="4FB92D9B"/>
    <w:rsid w:val="4FB979A5"/>
    <w:rsid w:val="4FBA15CF"/>
    <w:rsid w:val="4FBA44A3"/>
    <w:rsid w:val="4FBB35DA"/>
    <w:rsid w:val="4FBC3966"/>
    <w:rsid w:val="4FBE5763"/>
    <w:rsid w:val="4FC059C4"/>
    <w:rsid w:val="4FC06D88"/>
    <w:rsid w:val="4FC10F01"/>
    <w:rsid w:val="4FC11A85"/>
    <w:rsid w:val="4FC21359"/>
    <w:rsid w:val="4FC3352F"/>
    <w:rsid w:val="4FC434BD"/>
    <w:rsid w:val="4FC664DA"/>
    <w:rsid w:val="4FC6709B"/>
    <w:rsid w:val="4FC7447C"/>
    <w:rsid w:val="4FC806A4"/>
    <w:rsid w:val="4FC97311"/>
    <w:rsid w:val="4FC97549"/>
    <w:rsid w:val="4FCA7FE6"/>
    <w:rsid w:val="4FCC5F93"/>
    <w:rsid w:val="4FCD7532"/>
    <w:rsid w:val="4FCE51DE"/>
    <w:rsid w:val="4FCF2537"/>
    <w:rsid w:val="4FCF7363"/>
    <w:rsid w:val="4FD02EA6"/>
    <w:rsid w:val="4FD0570B"/>
    <w:rsid w:val="4FD12F00"/>
    <w:rsid w:val="4FD236F7"/>
    <w:rsid w:val="4FD24F6D"/>
    <w:rsid w:val="4FD3745D"/>
    <w:rsid w:val="4FD41189"/>
    <w:rsid w:val="4FD8348F"/>
    <w:rsid w:val="4FD93E12"/>
    <w:rsid w:val="4FDA0576"/>
    <w:rsid w:val="4FDB360A"/>
    <w:rsid w:val="4FDB69C7"/>
    <w:rsid w:val="4FDC3AD3"/>
    <w:rsid w:val="4FDD31B9"/>
    <w:rsid w:val="4FDE097E"/>
    <w:rsid w:val="4FE02AA6"/>
    <w:rsid w:val="4FE12B4A"/>
    <w:rsid w:val="4FE22B21"/>
    <w:rsid w:val="4FE23C7C"/>
    <w:rsid w:val="4FE35897"/>
    <w:rsid w:val="4FE37157"/>
    <w:rsid w:val="4FE40219"/>
    <w:rsid w:val="4FE46355"/>
    <w:rsid w:val="4FE50C58"/>
    <w:rsid w:val="4FE64E92"/>
    <w:rsid w:val="4FE71F26"/>
    <w:rsid w:val="4FE83B1C"/>
    <w:rsid w:val="4FE85FC2"/>
    <w:rsid w:val="4FE87202"/>
    <w:rsid w:val="4FE942C0"/>
    <w:rsid w:val="4FEB3E1C"/>
    <w:rsid w:val="4FED69CA"/>
    <w:rsid w:val="4FEE476E"/>
    <w:rsid w:val="4FEE509C"/>
    <w:rsid w:val="4FEF62DA"/>
    <w:rsid w:val="4FF2005C"/>
    <w:rsid w:val="4FF22F63"/>
    <w:rsid w:val="4FF23061"/>
    <w:rsid w:val="4FF2647E"/>
    <w:rsid w:val="4FF44661"/>
    <w:rsid w:val="4FF62682"/>
    <w:rsid w:val="4FF62686"/>
    <w:rsid w:val="4FF73415"/>
    <w:rsid w:val="4FF74323"/>
    <w:rsid w:val="4FF74573"/>
    <w:rsid w:val="4FF86FFD"/>
    <w:rsid w:val="4FFA16E6"/>
    <w:rsid w:val="4FFC611E"/>
    <w:rsid w:val="4FFD1834"/>
    <w:rsid w:val="4FFF754B"/>
    <w:rsid w:val="50006333"/>
    <w:rsid w:val="50011E81"/>
    <w:rsid w:val="50027B49"/>
    <w:rsid w:val="50033D76"/>
    <w:rsid w:val="50033EE8"/>
    <w:rsid w:val="500401E0"/>
    <w:rsid w:val="50045918"/>
    <w:rsid w:val="500656A2"/>
    <w:rsid w:val="500679BD"/>
    <w:rsid w:val="50073ACD"/>
    <w:rsid w:val="50073AFC"/>
    <w:rsid w:val="50096888"/>
    <w:rsid w:val="500C4415"/>
    <w:rsid w:val="500D070C"/>
    <w:rsid w:val="500F1DB3"/>
    <w:rsid w:val="50116820"/>
    <w:rsid w:val="50131A81"/>
    <w:rsid w:val="501350FB"/>
    <w:rsid w:val="5013772A"/>
    <w:rsid w:val="50176A49"/>
    <w:rsid w:val="501919A6"/>
    <w:rsid w:val="50194D7F"/>
    <w:rsid w:val="501A165E"/>
    <w:rsid w:val="501A22EE"/>
    <w:rsid w:val="501A628F"/>
    <w:rsid w:val="501B1A58"/>
    <w:rsid w:val="501C44ED"/>
    <w:rsid w:val="501C6054"/>
    <w:rsid w:val="501D5E4C"/>
    <w:rsid w:val="501E68DD"/>
    <w:rsid w:val="501E6E60"/>
    <w:rsid w:val="501F43CF"/>
    <w:rsid w:val="50246416"/>
    <w:rsid w:val="50247AA8"/>
    <w:rsid w:val="50263FEC"/>
    <w:rsid w:val="50267AC4"/>
    <w:rsid w:val="50270739"/>
    <w:rsid w:val="502954FD"/>
    <w:rsid w:val="502A4B1B"/>
    <w:rsid w:val="502A5F4E"/>
    <w:rsid w:val="502B1B2B"/>
    <w:rsid w:val="502B3FDB"/>
    <w:rsid w:val="502C389F"/>
    <w:rsid w:val="502F6404"/>
    <w:rsid w:val="50301FC2"/>
    <w:rsid w:val="5030656E"/>
    <w:rsid w:val="503270F2"/>
    <w:rsid w:val="50344C7A"/>
    <w:rsid w:val="50350959"/>
    <w:rsid w:val="503553AA"/>
    <w:rsid w:val="503938B6"/>
    <w:rsid w:val="503C11D6"/>
    <w:rsid w:val="503C55AF"/>
    <w:rsid w:val="503D33EA"/>
    <w:rsid w:val="503D41EF"/>
    <w:rsid w:val="503D7F83"/>
    <w:rsid w:val="503E0A00"/>
    <w:rsid w:val="503E53D3"/>
    <w:rsid w:val="50401421"/>
    <w:rsid w:val="50401BF8"/>
    <w:rsid w:val="50421171"/>
    <w:rsid w:val="504447F9"/>
    <w:rsid w:val="504465FD"/>
    <w:rsid w:val="50456AA6"/>
    <w:rsid w:val="50462412"/>
    <w:rsid w:val="50476C65"/>
    <w:rsid w:val="50486FCC"/>
    <w:rsid w:val="50493A84"/>
    <w:rsid w:val="504B716D"/>
    <w:rsid w:val="504C1917"/>
    <w:rsid w:val="504E24CF"/>
    <w:rsid w:val="504F2B35"/>
    <w:rsid w:val="504F3484"/>
    <w:rsid w:val="5050051C"/>
    <w:rsid w:val="505039BE"/>
    <w:rsid w:val="50520886"/>
    <w:rsid w:val="505305E4"/>
    <w:rsid w:val="50540368"/>
    <w:rsid w:val="505411F1"/>
    <w:rsid w:val="50551E68"/>
    <w:rsid w:val="50554B17"/>
    <w:rsid w:val="50567C64"/>
    <w:rsid w:val="50571D55"/>
    <w:rsid w:val="50574EE7"/>
    <w:rsid w:val="50576A79"/>
    <w:rsid w:val="50597090"/>
    <w:rsid w:val="505D292F"/>
    <w:rsid w:val="505E41C9"/>
    <w:rsid w:val="50602B0D"/>
    <w:rsid w:val="50603447"/>
    <w:rsid w:val="50611946"/>
    <w:rsid w:val="50635CE8"/>
    <w:rsid w:val="50636774"/>
    <w:rsid w:val="50645F2A"/>
    <w:rsid w:val="5065504B"/>
    <w:rsid w:val="50655890"/>
    <w:rsid w:val="50662672"/>
    <w:rsid w:val="50684D5A"/>
    <w:rsid w:val="5068705C"/>
    <w:rsid w:val="5069012F"/>
    <w:rsid w:val="506B185A"/>
    <w:rsid w:val="506B330E"/>
    <w:rsid w:val="506C0B39"/>
    <w:rsid w:val="506E4E03"/>
    <w:rsid w:val="506F138C"/>
    <w:rsid w:val="506F7F8B"/>
    <w:rsid w:val="50701E0E"/>
    <w:rsid w:val="5071074E"/>
    <w:rsid w:val="50711C1A"/>
    <w:rsid w:val="50712353"/>
    <w:rsid w:val="50720FFE"/>
    <w:rsid w:val="507245DB"/>
    <w:rsid w:val="50735921"/>
    <w:rsid w:val="507371B2"/>
    <w:rsid w:val="5074354A"/>
    <w:rsid w:val="50743D4D"/>
    <w:rsid w:val="50760D57"/>
    <w:rsid w:val="507837EE"/>
    <w:rsid w:val="507868E5"/>
    <w:rsid w:val="50795DC4"/>
    <w:rsid w:val="507A2446"/>
    <w:rsid w:val="507C1838"/>
    <w:rsid w:val="507D0AF4"/>
    <w:rsid w:val="507D26C7"/>
    <w:rsid w:val="507F13FC"/>
    <w:rsid w:val="508166C7"/>
    <w:rsid w:val="50816F24"/>
    <w:rsid w:val="50823A7B"/>
    <w:rsid w:val="50833EEC"/>
    <w:rsid w:val="5083525D"/>
    <w:rsid w:val="50841F1B"/>
    <w:rsid w:val="50842AD1"/>
    <w:rsid w:val="508456F9"/>
    <w:rsid w:val="50863972"/>
    <w:rsid w:val="50865809"/>
    <w:rsid w:val="50873C80"/>
    <w:rsid w:val="50883669"/>
    <w:rsid w:val="50886451"/>
    <w:rsid w:val="50894EEC"/>
    <w:rsid w:val="5089574A"/>
    <w:rsid w:val="508B5D81"/>
    <w:rsid w:val="508B6240"/>
    <w:rsid w:val="508D0D01"/>
    <w:rsid w:val="508D1967"/>
    <w:rsid w:val="508D29D9"/>
    <w:rsid w:val="508E25F0"/>
    <w:rsid w:val="508F7AE4"/>
    <w:rsid w:val="509053C2"/>
    <w:rsid w:val="509108CB"/>
    <w:rsid w:val="50917615"/>
    <w:rsid w:val="50920238"/>
    <w:rsid w:val="509208AA"/>
    <w:rsid w:val="509345CE"/>
    <w:rsid w:val="50940564"/>
    <w:rsid w:val="50946768"/>
    <w:rsid w:val="50954AD7"/>
    <w:rsid w:val="50965150"/>
    <w:rsid w:val="50976152"/>
    <w:rsid w:val="50977849"/>
    <w:rsid w:val="5098172F"/>
    <w:rsid w:val="509B780E"/>
    <w:rsid w:val="509D5A05"/>
    <w:rsid w:val="50A00F61"/>
    <w:rsid w:val="50A0450E"/>
    <w:rsid w:val="50A1240E"/>
    <w:rsid w:val="50A20AC5"/>
    <w:rsid w:val="50A46CAD"/>
    <w:rsid w:val="50A53222"/>
    <w:rsid w:val="50A53C9C"/>
    <w:rsid w:val="50A56322"/>
    <w:rsid w:val="50A56328"/>
    <w:rsid w:val="50A573CD"/>
    <w:rsid w:val="50A73C3A"/>
    <w:rsid w:val="50A7714B"/>
    <w:rsid w:val="50A82E75"/>
    <w:rsid w:val="50A841F2"/>
    <w:rsid w:val="50A9136F"/>
    <w:rsid w:val="50AA07AE"/>
    <w:rsid w:val="50AB1063"/>
    <w:rsid w:val="50AB638C"/>
    <w:rsid w:val="50AC0A17"/>
    <w:rsid w:val="50AC6272"/>
    <w:rsid w:val="50AC6DB1"/>
    <w:rsid w:val="50AF3F90"/>
    <w:rsid w:val="50B04DC0"/>
    <w:rsid w:val="50B2716B"/>
    <w:rsid w:val="50B43D7B"/>
    <w:rsid w:val="50B5218B"/>
    <w:rsid w:val="50B63D2D"/>
    <w:rsid w:val="50B95090"/>
    <w:rsid w:val="50B95F15"/>
    <w:rsid w:val="50BB071B"/>
    <w:rsid w:val="50BC224C"/>
    <w:rsid w:val="50BC3265"/>
    <w:rsid w:val="50BD0396"/>
    <w:rsid w:val="50BD67A8"/>
    <w:rsid w:val="50BE03D7"/>
    <w:rsid w:val="50BF3AA0"/>
    <w:rsid w:val="50C07F8E"/>
    <w:rsid w:val="50C138A6"/>
    <w:rsid w:val="50C2103C"/>
    <w:rsid w:val="50C3535A"/>
    <w:rsid w:val="50C35EEB"/>
    <w:rsid w:val="50C36545"/>
    <w:rsid w:val="50C3711E"/>
    <w:rsid w:val="50C449DC"/>
    <w:rsid w:val="50C52946"/>
    <w:rsid w:val="50C67DBA"/>
    <w:rsid w:val="50C73B7C"/>
    <w:rsid w:val="50C86FE2"/>
    <w:rsid w:val="50CA7B32"/>
    <w:rsid w:val="50CB1490"/>
    <w:rsid w:val="50CC248F"/>
    <w:rsid w:val="50CC526F"/>
    <w:rsid w:val="50CC55EA"/>
    <w:rsid w:val="50CE78D7"/>
    <w:rsid w:val="50CF14E1"/>
    <w:rsid w:val="50CF18D0"/>
    <w:rsid w:val="50CF3557"/>
    <w:rsid w:val="50D12EC4"/>
    <w:rsid w:val="50D14DFF"/>
    <w:rsid w:val="50D2142B"/>
    <w:rsid w:val="50D25CEA"/>
    <w:rsid w:val="50D31B29"/>
    <w:rsid w:val="50D35050"/>
    <w:rsid w:val="50D51FD2"/>
    <w:rsid w:val="50D52E5D"/>
    <w:rsid w:val="50D576A2"/>
    <w:rsid w:val="50D57EE4"/>
    <w:rsid w:val="50D6285C"/>
    <w:rsid w:val="50D64953"/>
    <w:rsid w:val="50D704C4"/>
    <w:rsid w:val="50D7286F"/>
    <w:rsid w:val="50D761AE"/>
    <w:rsid w:val="50D8135E"/>
    <w:rsid w:val="50D91050"/>
    <w:rsid w:val="50DA3E19"/>
    <w:rsid w:val="50DA605E"/>
    <w:rsid w:val="50DB6513"/>
    <w:rsid w:val="50DD27B7"/>
    <w:rsid w:val="50DE6B24"/>
    <w:rsid w:val="50E14B35"/>
    <w:rsid w:val="50E20C58"/>
    <w:rsid w:val="50E23641"/>
    <w:rsid w:val="50E2584E"/>
    <w:rsid w:val="50E43A99"/>
    <w:rsid w:val="50E44C35"/>
    <w:rsid w:val="50E50ADC"/>
    <w:rsid w:val="50E51FAE"/>
    <w:rsid w:val="50E52128"/>
    <w:rsid w:val="50E53B07"/>
    <w:rsid w:val="50E635CE"/>
    <w:rsid w:val="50E72825"/>
    <w:rsid w:val="50E86451"/>
    <w:rsid w:val="50E91383"/>
    <w:rsid w:val="50EA0048"/>
    <w:rsid w:val="50EB2841"/>
    <w:rsid w:val="50ED11F0"/>
    <w:rsid w:val="50EE5503"/>
    <w:rsid w:val="50F16D11"/>
    <w:rsid w:val="50F26A7C"/>
    <w:rsid w:val="50F37CA2"/>
    <w:rsid w:val="50F41495"/>
    <w:rsid w:val="50F42845"/>
    <w:rsid w:val="50F53472"/>
    <w:rsid w:val="50F61558"/>
    <w:rsid w:val="50F63DA2"/>
    <w:rsid w:val="50F73067"/>
    <w:rsid w:val="50F87B58"/>
    <w:rsid w:val="50F9600B"/>
    <w:rsid w:val="50FD1C89"/>
    <w:rsid w:val="50FD384D"/>
    <w:rsid w:val="50FF3CCD"/>
    <w:rsid w:val="50FF4E80"/>
    <w:rsid w:val="50FF5552"/>
    <w:rsid w:val="50FF7E10"/>
    <w:rsid w:val="51024D39"/>
    <w:rsid w:val="51034A67"/>
    <w:rsid w:val="510426B3"/>
    <w:rsid w:val="51054CB5"/>
    <w:rsid w:val="5106106E"/>
    <w:rsid w:val="51063418"/>
    <w:rsid w:val="51070D8F"/>
    <w:rsid w:val="51071795"/>
    <w:rsid w:val="51072EBA"/>
    <w:rsid w:val="51073167"/>
    <w:rsid w:val="51092C20"/>
    <w:rsid w:val="510A3A93"/>
    <w:rsid w:val="510B31D9"/>
    <w:rsid w:val="510B5914"/>
    <w:rsid w:val="510C2C90"/>
    <w:rsid w:val="510C6575"/>
    <w:rsid w:val="510D3E1A"/>
    <w:rsid w:val="510E216C"/>
    <w:rsid w:val="510F53F2"/>
    <w:rsid w:val="511009E5"/>
    <w:rsid w:val="511011B8"/>
    <w:rsid w:val="51102D6B"/>
    <w:rsid w:val="51106FF7"/>
    <w:rsid w:val="51112490"/>
    <w:rsid w:val="5111306E"/>
    <w:rsid w:val="5112163A"/>
    <w:rsid w:val="511333FB"/>
    <w:rsid w:val="5113606B"/>
    <w:rsid w:val="5113711F"/>
    <w:rsid w:val="5114769F"/>
    <w:rsid w:val="5115262E"/>
    <w:rsid w:val="51153541"/>
    <w:rsid w:val="5117163E"/>
    <w:rsid w:val="51172383"/>
    <w:rsid w:val="51172CB2"/>
    <w:rsid w:val="511808CE"/>
    <w:rsid w:val="51183927"/>
    <w:rsid w:val="511A2A31"/>
    <w:rsid w:val="511C25EA"/>
    <w:rsid w:val="511F53F8"/>
    <w:rsid w:val="512007C4"/>
    <w:rsid w:val="51202517"/>
    <w:rsid w:val="512213F9"/>
    <w:rsid w:val="51227127"/>
    <w:rsid w:val="512277CC"/>
    <w:rsid w:val="512326C8"/>
    <w:rsid w:val="51254C14"/>
    <w:rsid w:val="512557B6"/>
    <w:rsid w:val="512566DF"/>
    <w:rsid w:val="5126587F"/>
    <w:rsid w:val="512777FC"/>
    <w:rsid w:val="51290A7D"/>
    <w:rsid w:val="512957E5"/>
    <w:rsid w:val="512C1411"/>
    <w:rsid w:val="512C48CE"/>
    <w:rsid w:val="512E1B11"/>
    <w:rsid w:val="512F0A70"/>
    <w:rsid w:val="512F4119"/>
    <w:rsid w:val="512F601F"/>
    <w:rsid w:val="51335B56"/>
    <w:rsid w:val="51341477"/>
    <w:rsid w:val="5138109C"/>
    <w:rsid w:val="513847A5"/>
    <w:rsid w:val="513A0D27"/>
    <w:rsid w:val="513B2412"/>
    <w:rsid w:val="513C2E4E"/>
    <w:rsid w:val="513C7155"/>
    <w:rsid w:val="513E0385"/>
    <w:rsid w:val="513E39B4"/>
    <w:rsid w:val="513F72A3"/>
    <w:rsid w:val="514075FF"/>
    <w:rsid w:val="51416EFB"/>
    <w:rsid w:val="51421AB2"/>
    <w:rsid w:val="51434B80"/>
    <w:rsid w:val="51437389"/>
    <w:rsid w:val="51452242"/>
    <w:rsid w:val="51475E6C"/>
    <w:rsid w:val="514823D7"/>
    <w:rsid w:val="5149422D"/>
    <w:rsid w:val="514A5AAA"/>
    <w:rsid w:val="514A6911"/>
    <w:rsid w:val="514C21BA"/>
    <w:rsid w:val="514D09BB"/>
    <w:rsid w:val="514D3733"/>
    <w:rsid w:val="514E68EB"/>
    <w:rsid w:val="514F099A"/>
    <w:rsid w:val="514F130A"/>
    <w:rsid w:val="51511786"/>
    <w:rsid w:val="51513B38"/>
    <w:rsid w:val="515172EA"/>
    <w:rsid w:val="51531A67"/>
    <w:rsid w:val="51531CF4"/>
    <w:rsid w:val="51532A8E"/>
    <w:rsid w:val="51545E81"/>
    <w:rsid w:val="515475D3"/>
    <w:rsid w:val="5155432B"/>
    <w:rsid w:val="5156427F"/>
    <w:rsid w:val="51595A78"/>
    <w:rsid w:val="5159708B"/>
    <w:rsid w:val="515A72DC"/>
    <w:rsid w:val="515B5DF9"/>
    <w:rsid w:val="515B7614"/>
    <w:rsid w:val="515F67E7"/>
    <w:rsid w:val="51603906"/>
    <w:rsid w:val="51611D9E"/>
    <w:rsid w:val="516219C4"/>
    <w:rsid w:val="516451CF"/>
    <w:rsid w:val="51650258"/>
    <w:rsid w:val="51652596"/>
    <w:rsid w:val="51690673"/>
    <w:rsid w:val="5169597D"/>
    <w:rsid w:val="516A7937"/>
    <w:rsid w:val="516B3447"/>
    <w:rsid w:val="516B6771"/>
    <w:rsid w:val="516C11E9"/>
    <w:rsid w:val="516C26CF"/>
    <w:rsid w:val="516C5A20"/>
    <w:rsid w:val="516D08B7"/>
    <w:rsid w:val="516D193B"/>
    <w:rsid w:val="516E5642"/>
    <w:rsid w:val="516F2995"/>
    <w:rsid w:val="51700E44"/>
    <w:rsid w:val="517103A3"/>
    <w:rsid w:val="51724F1F"/>
    <w:rsid w:val="517326EA"/>
    <w:rsid w:val="51742E47"/>
    <w:rsid w:val="517624C3"/>
    <w:rsid w:val="51766C54"/>
    <w:rsid w:val="5178266D"/>
    <w:rsid w:val="51783E01"/>
    <w:rsid w:val="51786173"/>
    <w:rsid w:val="517A2C9F"/>
    <w:rsid w:val="517B2804"/>
    <w:rsid w:val="517C5E30"/>
    <w:rsid w:val="517E15E0"/>
    <w:rsid w:val="517E6447"/>
    <w:rsid w:val="517F7502"/>
    <w:rsid w:val="518103E7"/>
    <w:rsid w:val="51817D76"/>
    <w:rsid w:val="51822665"/>
    <w:rsid w:val="518265B6"/>
    <w:rsid w:val="518429FF"/>
    <w:rsid w:val="518540E9"/>
    <w:rsid w:val="518634B0"/>
    <w:rsid w:val="51871EBD"/>
    <w:rsid w:val="518A3AE6"/>
    <w:rsid w:val="518B3151"/>
    <w:rsid w:val="518B4FCA"/>
    <w:rsid w:val="518D5527"/>
    <w:rsid w:val="518E1034"/>
    <w:rsid w:val="518E3A21"/>
    <w:rsid w:val="518E44E4"/>
    <w:rsid w:val="518F2AFC"/>
    <w:rsid w:val="51913B66"/>
    <w:rsid w:val="5192097C"/>
    <w:rsid w:val="51922E42"/>
    <w:rsid w:val="519278C0"/>
    <w:rsid w:val="519347D0"/>
    <w:rsid w:val="519351C8"/>
    <w:rsid w:val="51936C44"/>
    <w:rsid w:val="51947BAA"/>
    <w:rsid w:val="519776AF"/>
    <w:rsid w:val="5198149F"/>
    <w:rsid w:val="5198634E"/>
    <w:rsid w:val="51990FC9"/>
    <w:rsid w:val="519939AB"/>
    <w:rsid w:val="519947CE"/>
    <w:rsid w:val="519A57C0"/>
    <w:rsid w:val="519B1020"/>
    <w:rsid w:val="519B7B3E"/>
    <w:rsid w:val="519E56C8"/>
    <w:rsid w:val="519F2331"/>
    <w:rsid w:val="519F6BB3"/>
    <w:rsid w:val="519F79F7"/>
    <w:rsid w:val="51A0124C"/>
    <w:rsid w:val="51A03941"/>
    <w:rsid w:val="51A116AC"/>
    <w:rsid w:val="51A16D24"/>
    <w:rsid w:val="51A23047"/>
    <w:rsid w:val="51A345D8"/>
    <w:rsid w:val="51A43BB6"/>
    <w:rsid w:val="51A4454E"/>
    <w:rsid w:val="51A46A44"/>
    <w:rsid w:val="51A46CED"/>
    <w:rsid w:val="51A61B04"/>
    <w:rsid w:val="51A72098"/>
    <w:rsid w:val="51A779B8"/>
    <w:rsid w:val="51A81DB7"/>
    <w:rsid w:val="51A8639E"/>
    <w:rsid w:val="51AB713B"/>
    <w:rsid w:val="51AD19C3"/>
    <w:rsid w:val="51AE3AC0"/>
    <w:rsid w:val="51AE6197"/>
    <w:rsid w:val="51AE6A0E"/>
    <w:rsid w:val="51AF36FC"/>
    <w:rsid w:val="51B00003"/>
    <w:rsid w:val="51B23147"/>
    <w:rsid w:val="51B30492"/>
    <w:rsid w:val="51B379E4"/>
    <w:rsid w:val="51B40257"/>
    <w:rsid w:val="51B44C4A"/>
    <w:rsid w:val="51B47929"/>
    <w:rsid w:val="51B503BB"/>
    <w:rsid w:val="51B55408"/>
    <w:rsid w:val="51B60E04"/>
    <w:rsid w:val="51B65E44"/>
    <w:rsid w:val="51BA0D8E"/>
    <w:rsid w:val="51BA22F2"/>
    <w:rsid w:val="51BA3346"/>
    <w:rsid w:val="51BA5CDD"/>
    <w:rsid w:val="51BB04CE"/>
    <w:rsid w:val="51BB79A2"/>
    <w:rsid w:val="51BC4741"/>
    <w:rsid w:val="51BC750E"/>
    <w:rsid w:val="51BE02AC"/>
    <w:rsid w:val="51BF0383"/>
    <w:rsid w:val="51C07B7F"/>
    <w:rsid w:val="51C23785"/>
    <w:rsid w:val="51C24378"/>
    <w:rsid w:val="51C275CE"/>
    <w:rsid w:val="51C352BA"/>
    <w:rsid w:val="51C462D8"/>
    <w:rsid w:val="51C55013"/>
    <w:rsid w:val="51CB3A26"/>
    <w:rsid w:val="51CD5D21"/>
    <w:rsid w:val="51CE1868"/>
    <w:rsid w:val="51CF687C"/>
    <w:rsid w:val="51D05435"/>
    <w:rsid w:val="51D07092"/>
    <w:rsid w:val="51D14051"/>
    <w:rsid w:val="51D27512"/>
    <w:rsid w:val="51D27F79"/>
    <w:rsid w:val="51D44A74"/>
    <w:rsid w:val="51D46E31"/>
    <w:rsid w:val="51D5210A"/>
    <w:rsid w:val="51D54CC0"/>
    <w:rsid w:val="51D62DA4"/>
    <w:rsid w:val="51D75A22"/>
    <w:rsid w:val="51D77FC9"/>
    <w:rsid w:val="51D84D11"/>
    <w:rsid w:val="51D85BB0"/>
    <w:rsid w:val="51DA1478"/>
    <w:rsid w:val="51DB6E78"/>
    <w:rsid w:val="51DC073B"/>
    <w:rsid w:val="51DC2A5A"/>
    <w:rsid w:val="51DE0794"/>
    <w:rsid w:val="51DE7F23"/>
    <w:rsid w:val="51E02CD9"/>
    <w:rsid w:val="51E23091"/>
    <w:rsid w:val="51E35888"/>
    <w:rsid w:val="51E4217D"/>
    <w:rsid w:val="51E52851"/>
    <w:rsid w:val="51E77CC4"/>
    <w:rsid w:val="51E817C9"/>
    <w:rsid w:val="51E83E61"/>
    <w:rsid w:val="51E870F2"/>
    <w:rsid w:val="51EA447E"/>
    <w:rsid w:val="51EB0E80"/>
    <w:rsid w:val="51EC22F3"/>
    <w:rsid w:val="51ED4DE0"/>
    <w:rsid w:val="51EE3E35"/>
    <w:rsid w:val="51EF4629"/>
    <w:rsid w:val="51EF4D97"/>
    <w:rsid w:val="51EF6F42"/>
    <w:rsid w:val="51F10EF3"/>
    <w:rsid w:val="51F20A6E"/>
    <w:rsid w:val="51F223CA"/>
    <w:rsid w:val="51F250F7"/>
    <w:rsid w:val="51F320C7"/>
    <w:rsid w:val="51F33DC0"/>
    <w:rsid w:val="51F40E5D"/>
    <w:rsid w:val="51F41D72"/>
    <w:rsid w:val="51F6673A"/>
    <w:rsid w:val="51F73DCE"/>
    <w:rsid w:val="51F80EF0"/>
    <w:rsid w:val="51F86338"/>
    <w:rsid w:val="51FC071D"/>
    <w:rsid w:val="51FF0643"/>
    <w:rsid w:val="52014CF1"/>
    <w:rsid w:val="52017515"/>
    <w:rsid w:val="52022ABC"/>
    <w:rsid w:val="52027329"/>
    <w:rsid w:val="5203470E"/>
    <w:rsid w:val="5204689A"/>
    <w:rsid w:val="52052CD7"/>
    <w:rsid w:val="52061025"/>
    <w:rsid w:val="52067C23"/>
    <w:rsid w:val="520830D9"/>
    <w:rsid w:val="52087037"/>
    <w:rsid w:val="520A1501"/>
    <w:rsid w:val="520A7CA3"/>
    <w:rsid w:val="520B15BC"/>
    <w:rsid w:val="520D2F72"/>
    <w:rsid w:val="520D36CE"/>
    <w:rsid w:val="520E1776"/>
    <w:rsid w:val="520F0F70"/>
    <w:rsid w:val="52105C29"/>
    <w:rsid w:val="52106E92"/>
    <w:rsid w:val="52121671"/>
    <w:rsid w:val="521217E5"/>
    <w:rsid w:val="52146B09"/>
    <w:rsid w:val="521470AD"/>
    <w:rsid w:val="52166EB2"/>
    <w:rsid w:val="52177E99"/>
    <w:rsid w:val="5219272A"/>
    <w:rsid w:val="52197246"/>
    <w:rsid w:val="521A0CA7"/>
    <w:rsid w:val="521A6DD6"/>
    <w:rsid w:val="521C1A6D"/>
    <w:rsid w:val="521D3C0C"/>
    <w:rsid w:val="521E31BF"/>
    <w:rsid w:val="521E7210"/>
    <w:rsid w:val="521F08C1"/>
    <w:rsid w:val="521F3AAB"/>
    <w:rsid w:val="521F4345"/>
    <w:rsid w:val="52202F53"/>
    <w:rsid w:val="52211984"/>
    <w:rsid w:val="522131ED"/>
    <w:rsid w:val="5221333D"/>
    <w:rsid w:val="52223E7D"/>
    <w:rsid w:val="52224331"/>
    <w:rsid w:val="522421AC"/>
    <w:rsid w:val="5225599E"/>
    <w:rsid w:val="5226475E"/>
    <w:rsid w:val="52265A59"/>
    <w:rsid w:val="52266B9B"/>
    <w:rsid w:val="52267487"/>
    <w:rsid w:val="52270A90"/>
    <w:rsid w:val="52271947"/>
    <w:rsid w:val="52276D5C"/>
    <w:rsid w:val="522920D1"/>
    <w:rsid w:val="522953CA"/>
    <w:rsid w:val="52297140"/>
    <w:rsid w:val="522B3F5D"/>
    <w:rsid w:val="522B633B"/>
    <w:rsid w:val="522B634B"/>
    <w:rsid w:val="522C096F"/>
    <w:rsid w:val="522C5070"/>
    <w:rsid w:val="522D75FB"/>
    <w:rsid w:val="522D7C06"/>
    <w:rsid w:val="522E2779"/>
    <w:rsid w:val="52301531"/>
    <w:rsid w:val="52311BDC"/>
    <w:rsid w:val="5232438A"/>
    <w:rsid w:val="52331A20"/>
    <w:rsid w:val="523444CC"/>
    <w:rsid w:val="52350631"/>
    <w:rsid w:val="52353D17"/>
    <w:rsid w:val="523764CA"/>
    <w:rsid w:val="523A28E2"/>
    <w:rsid w:val="523F19B2"/>
    <w:rsid w:val="52404B00"/>
    <w:rsid w:val="52423499"/>
    <w:rsid w:val="52444609"/>
    <w:rsid w:val="52462E84"/>
    <w:rsid w:val="52475A80"/>
    <w:rsid w:val="5248591D"/>
    <w:rsid w:val="5249683C"/>
    <w:rsid w:val="524A25BA"/>
    <w:rsid w:val="524B2778"/>
    <w:rsid w:val="524D632F"/>
    <w:rsid w:val="524E13FC"/>
    <w:rsid w:val="524E4D2C"/>
    <w:rsid w:val="524F646B"/>
    <w:rsid w:val="524F695F"/>
    <w:rsid w:val="524F7ED9"/>
    <w:rsid w:val="525035E3"/>
    <w:rsid w:val="525036D9"/>
    <w:rsid w:val="52505C43"/>
    <w:rsid w:val="52507A63"/>
    <w:rsid w:val="52516DAF"/>
    <w:rsid w:val="52522CB3"/>
    <w:rsid w:val="52523969"/>
    <w:rsid w:val="52527DDF"/>
    <w:rsid w:val="52552369"/>
    <w:rsid w:val="52555A5D"/>
    <w:rsid w:val="52572DDB"/>
    <w:rsid w:val="52584846"/>
    <w:rsid w:val="5258556D"/>
    <w:rsid w:val="52593758"/>
    <w:rsid w:val="52596DC6"/>
    <w:rsid w:val="525A5E4B"/>
    <w:rsid w:val="525C76EA"/>
    <w:rsid w:val="525E19D9"/>
    <w:rsid w:val="525E4B52"/>
    <w:rsid w:val="525F3F93"/>
    <w:rsid w:val="52614A23"/>
    <w:rsid w:val="52636296"/>
    <w:rsid w:val="5264499F"/>
    <w:rsid w:val="5264572B"/>
    <w:rsid w:val="52646E2F"/>
    <w:rsid w:val="5265241F"/>
    <w:rsid w:val="52674828"/>
    <w:rsid w:val="526852C6"/>
    <w:rsid w:val="52693D45"/>
    <w:rsid w:val="52693D7E"/>
    <w:rsid w:val="52696F33"/>
    <w:rsid w:val="526A009B"/>
    <w:rsid w:val="526A3FD8"/>
    <w:rsid w:val="526F1D2E"/>
    <w:rsid w:val="526F3CB1"/>
    <w:rsid w:val="52700073"/>
    <w:rsid w:val="52721586"/>
    <w:rsid w:val="527240F9"/>
    <w:rsid w:val="52725BE0"/>
    <w:rsid w:val="52735EB6"/>
    <w:rsid w:val="52743905"/>
    <w:rsid w:val="5276123D"/>
    <w:rsid w:val="52771CF5"/>
    <w:rsid w:val="52784F6D"/>
    <w:rsid w:val="52793823"/>
    <w:rsid w:val="52794B78"/>
    <w:rsid w:val="527B7DB4"/>
    <w:rsid w:val="527C71B7"/>
    <w:rsid w:val="527C778B"/>
    <w:rsid w:val="527F1C9A"/>
    <w:rsid w:val="527F777D"/>
    <w:rsid w:val="5281015B"/>
    <w:rsid w:val="52812E79"/>
    <w:rsid w:val="52825667"/>
    <w:rsid w:val="5285005C"/>
    <w:rsid w:val="5285752F"/>
    <w:rsid w:val="52864E04"/>
    <w:rsid w:val="528958D9"/>
    <w:rsid w:val="52897A59"/>
    <w:rsid w:val="528D5C4E"/>
    <w:rsid w:val="528F021B"/>
    <w:rsid w:val="528F1BD6"/>
    <w:rsid w:val="52924A4B"/>
    <w:rsid w:val="52926000"/>
    <w:rsid w:val="529437E6"/>
    <w:rsid w:val="52944BD9"/>
    <w:rsid w:val="52947D24"/>
    <w:rsid w:val="52955E57"/>
    <w:rsid w:val="52960EE8"/>
    <w:rsid w:val="52964270"/>
    <w:rsid w:val="52966847"/>
    <w:rsid w:val="52971602"/>
    <w:rsid w:val="529A4A1F"/>
    <w:rsid w:val="529B5B8F"/>
    <w:rsid w:val="529C166A"/>
    <w:rsid w:val="529C40E3"/>
    <w:rsid w:val="529D088C"/>
    <w:rsid w:val="529D6CE6"/>
    <w:rsid w:val="52A1284F"/>
    <w:rsid w:val="52A15CA7"/>
    <w:rsid w:val="52A1794C"/>
    <w:rsid w:val="52A3530D"/>
    <w:rsid w:val="52A4416E"/>
    <w:rsid w:val="52A51083"/>
    <w:rsid w:val="52A562C2"/>
    <w:rsid w:val="52A67870"/>
    <w:rsid w:val="52A803B6"/>
    <w:rsid w:val="52A848E5"/>
    <w:rsid w:val="52A86F2C"/>
    <w:rsid w:val="52AB5E16"/>
    <w:rsid w:val="52AB75B0"/>
    <w:rsid w:val="52AE4D8A"/>
    <w:rsid w:val="52B00BCE"/>
    <w:rsid w:val="52B10BD3"/>
    <w:rsid w:val="52B20F54"/>
    <w:rsid w:val="52B238DC"/>
    <w:rsid w:val="52B335F4"/>
    <w:rsid w:val="52B33B5E"/>
    <w:rsid w:val="52B4252F"/>
    <w:rsid w:val="52B529BC"/>
    <w:rsid w:val="52B54EC7"/>
    <w:rsid w:val="52B77088"/>
    <w:rsid w:val="52B770C8"/>
    <w:rsid w:val="52B84669"/>
    <w:rsid w:val="52B903C1"/>
    <w:rsid w:val="52B95AC9"/>
    <w:rsid w:val="52BB1E52"/>
    <w:rsid w:val="52BC18FD"/>
    <w:rsid w:val="52BD24CA"/>
    <w:rsid w:val="52BD2705"/>
    <w:rsid w:val="52BD547F"/>
    <w:rsid w:val="52BD7CD4"/>
    <w:rsid w:val="52BE51BF"/>
    <w:rsid w:val="52C16C2D"/>
    <w:rsid w:val="52C23233"/>
    <w:rsid w:val="52C32E87"/>
    <w:rsid w:val="52C35DEE"/>
    <w:rsid w:val="52C421F3"/>
    <w:rsid w:val="52C4502C"/>
    <w:rsid w:val="52C5001A"/>
    <w:rsid w:val="52C81645"/>
    <w:rsid w:val="52C81E61"/>
    <w:rsid w:val="52C8264C"/>
    <w:rsid w:val="52C839E7"/>
    <w:rsid w:val="52C971CF"/>
    <w:rsid w:val="52CA104F"/>
    <w:rsid w:val="52CC0BBB"/>
    <w:rsid w:val="52CC696C"/>
    <w:rsid w:val="52CE2C5C"/>
    <w:rsid w:val="52CF3C8A"/>
    <w:rsid w:val="52CF4BE4"/>
    <w:rsid w:val="52D04F68"/>
    <w:rsid w:val="52D13F3F"/>
    <w:rsid w:val="52D34714"/>
    <w:rsid w:val="52D4608C"/>
    <w:rsid w:val="52D54833"/>
    <w:rsid w:val="52D57BBF"/>
    <w:rsid w:val="52D62DD1"/>
    <w:rsid w:val="52D6777A"/>
    <w:rsid w:val="52D72057"/>
    <w:rsid w:val="52D73358"/>
    <w:rsid w:val="52D752CC"/>
    <w:rsid w:val="52D856CE"/>
    <w:rsid w:val="52D863B7"/>
    <w:rsid w:val="52D92368"/>
    <w:rsid w:val="52D927AF"/>
    <w:rsid w:val="52DA2D79"/>
    <w:rsid w:val="52DB649F"/>
    <w:rsid w:val="52DC3E0F"/>
    <w:rsid w:val="52DD4170"/>
    <w:rsid w:val="52DD62E9"/>
    <w:rsid w:val="52DE5F59"/>
    <w:rsid w:val="52DF112F"/>
    <w:rsid w:val="52DF2B13"/>
    <w:rsid w:val="52DF79C8"/>
    <w:rsid w:val="52E00D52"/>
    <w:rsid w:val="52E3627A"/>
    <w:rsid w:val="52E464C3"/>
    <w:rsid w:val="52E647D0"/>
    <w:rsid w:val="52E66594"/>
    <w:rsid w:val="52E747AA"/>
    <w:rsid w:val="52EA2307"/>
    <w:rsid w:val="52ED2F0E"/>
    <w:rsid w:val="52ED498C"/>
    <w:rsid w:val="52F00E9C"/>
    <w:rsid w:val="52F50399"/>
    <w:rsid w:val="52F70C4A"/>
    <w:rsid w:val="52F7772B"/>
    <w:rsid w:val="52F77CCD"/>
    <w:rsid w:val="52F968DE"/>
    <w:rsid w:val="52FA5ADF"/>
    <w:rsid w:val="52FA5BA9"/>
    <w:rsid w:val="52FB705C"/>
    <w:rsid w:val="52FC67FC"/>
    <w:rsid w:val="52FD3BBE"/>
    <w:rsid w:val="52FD447A"/>
    <w:rsid w:val="52FD6ED8"/>
    <w:rsid w:val="52FD7411"/>
    <w:rsid w:val="52FF55CD"/>
    <w:rsid w:val="5300358D"/>
    <w:rsid w:val="53004D3E"/>
    <w:rsid w:val="53007CD2"/>
    <w:rsid w:val="530232BF"/>
    <w:rsid w:val="5303052B"/>
    <w:rsid w:val="53054FA3"/>
    <w:rsid w:val="53066B91"/>
    <w:rsid w:val="5306754F"/>
    <w:rsid w:val="530713A7"/>
    <w:rsid w:val="53082B6B"/>
    <w:rsid w:val="53087A49"/>
    <w:rsid w:val="530952F7"/>
    <w:rsid w:val="53096842"/>
    <w:rsid w:val="530A0613"/>
    <w:rsid w:val="530A3635"/>
    <w:rsid w:val="530C4BBD"/>
    <w:rsid w:val="530D207C"/>
    <w:rsid w:val="530E32EF"/>
    <w:rsid w:val="530E4102"/>
    <w:rsid w:val="531279D2"/>
    <w:rsid w:val="53143D04"/>
    <w:rsid w:val="53144C66"/>
    <w:rsid w:val="53145580"/>
    <w:rsid w:val="53175F59"/>
    <w:rsid w:val="53176FC7"/>
    <w:rsid w:val="53185F41"/>
    <w:rsid w:val="5319414E"/>
    <w:rsid w:val="53195EAA"/>
    <w:rsid w:val="531A5419"/>
    <w:rsid w:val="531A7244"/>
    <w:rsid w:val="531C0482"/>
    <w:rsid w:val="531E260C"/>
    <w:rsid w:val="531E2F85"/>
    <w:rsid w:val="531F00F8"/>
    <w:rsid w:val="5320141C"/>
    <w:rsid w:val="53204D14"/>
    <w:rsid w:val="5321037A"/>
    <w:rsid w:val="53213B95"/>
    <w:rsid w:val="53241A90"/>
    <w:rsid w:val="53272002"/>
    <w:rsid w:val="5327348C"/>
    <w:rsid w:val="532735D4"/>
    <w:rsid w:val="53285977"/>
    <w:rsid w:val="532A11BD"/>
    <w:rsid w:val="532B07DF"/>
    <w:rsid w:val="532B4689"/>
    <w:rsid w:val="532F15D6"/>
    <w:rsid w:val="5330305F"/>
    <w:rsid w:val="5330702A"/>
    <w:rsid w:val="533144CC"/>
    <w:rsid w:val="53323FE6"/>
    <w:rsid w:val="53342893"/>
    <w:rsid w:val="5336341E"/>
    <w:rsid w:val="53386BBC"/>
    <w:rsid w:val="53397B84"/>
    <w:rsid w:val="533B7B78"/>
    <w:rsid w:val="533C2E39"/>
    <w:rsid w:val="533C5C97"/>
    <w:rsid w:val="53405C1A"/>
    <w:rsid w:val="53410D4C"/>
    <w:rsid w:val="53413FFB"/>
    <w:rsid w:val="53416ACF"/>
    <w:rsid w:val="5343305A"/>
    <w:rsid w:val="5343572A"/>
    <w:rsid w:val="534513E5"/>
    <w:rsid w:val="5345779B"/>
    <w:rsid w:val="53464124"/>
    <w:rsid w:val="534716B2"/>
    <w:rsid w:val="534719CA"/>
    <w:rsid w:val="53471C55"/>
    <w:rsid w:val="53473515"/>
    <w:rsid w:val="53487189"/>
    <w:rsid w:val="534A3B3F"/>
    <w:rsid w:val="534A4FC6"/>
    <w:rsid w:val="534A7FE3"/>
    <w:rsid w:val="534B5081"/>
    <w:rsid w:val="534C5D70"/>
    <w:rsid w:val="534C78B7"/>
    <w:rsid w:val="534D2513"/>
    <w:rsid w:val="534E62AD"/>
    <w:rsid w:val="535023D7"/>
    <w:rsid w:val="53525971"/>
    <w:rsid w:val="535358C8"/>
    <w:rsid w:val="53544AFB"/>
    <w:rsid w:val="53562358"/>
    <w:rsid w:val="53566BF8"/>
    <w:rsid w:val="5357045D"/>
    <w:rsid w:val="535816EA"/>
    <w:rsid w:val="535D653D"/>
    <w:rsid w:val="535F216E"/>
    <w:rsid w:val="535F33C4"/>
    <w:rsid w:val="535F59FA"/>
    <w:rsid w:val="53603BC3"/>
    <w:rsid w:val="53627F0A"/>
    <w:rsid w:val="5363702E"/>
    <w:rsid w:val="5364037A"/>
    <w:rsid w:val="536434DE"/>
    <w:rsid w:val="53645C7A"/>
    <w:rsid w:val="53650F42"/>
    <w:rsid w:val="53653676"/>
    <w:rsid w:val="53670B95"/>
    <w:rsid w:val="536750EB"/>
    <w:rsid w:val="53680E29"/>
    <w:rsid w:val="53683E5E"/>
    <w:rsid w:val="53684700"/>
    <w:rsid w:val="53690A4C"/>
    <w:rsid w:val="536C01A6"/>
    <w:rsid w:val="536C2867"/>
    <w:rsid w:val="536D3D47"/>
    <w:rsid w:val="536D782E"/>
    <w:rsid w:val="536F39B8"/>
    <w:rsid w:val="5370157A"/>
    <w:rsid w:val="53737AF0"/>
    <w:rsid w:val="53753DF1"/>
    <w:rsid w:val="537559EB"/>
    <w:rsid w:val="5376232D"/>
    <w:rsid w:val="53764CFF"/>
    <w:rsid w:val="53783C45"/>
    <w:rsid w:val="537A4D81"/>
    <w:rsid w:val="537B4220"/>
    <w:rsid w:val="537B452A"/>
    <w:rsid w:val="537B6C94"/>
    <w:rsid w:val="537F248C"/>
    <w:rsid w:val="537F7493"/>
    <w:rsid w:val="53806410"/>
    <w:rsid w:val="53816E98"/>
    <w:rsid w:val="53817662"/>
    <w:rsid w:val="538517D9"/>
    <w:rsid w:val="5387484D"/>
    <w:rsid w:val="538E0C66"/>
    <w:rsid w:val="538F6FB4"/>
    <w:rsid w:val="53901E85"/>
    <w:rsid w:val="53920E9A"/>
    <w:rsid w:val="53923DFA"/>
    <w:rsid w:val="53926C01"/>
    <w:rsid w:val="539354E6"/>
    <w:rsid w:val="53943519"/>
    <w:rsid w:val="539527A9"/>
    <w:rsid w:val="5395342B"/>
    <w:rsid w:val="53957605"/>
    <w:rsid w:val="53971B08"/>
    <w:rsid w:val="539829E8"/>
    <w:rsid w:val="539831CA"/>
    <w:rsid w:val="53983397"/>
    <w:rsid w:val="539B03D7"/>
    <w:rsid w:val="539C1BA2"/>
    <w:rsid w:val="539E66FC"/>
    <w:rsid w:val="53A142B9"/>
    <w:rsid w:val="53A211AB"/>
    <w:rsid w:val="53A31153"/>
    <w:rsid w:val="53A32816"/>
    <w:rsid w:val="53A40FC1"/>
    <w:rsid w:val="53A64721"/>
    <w:rsid w:val="53A723B6"/>
    <w:rsid w:val="53A807E6"/>
    <w:rsid w:val="53A80D2E"/>
    <w:rsid w:val="53A82BBA"/>
    <w:rsid w:val="53A84665"/>
    <w:rsid w:val="53A8753C"/>
    <w:rsid w:val="53AB18E2"/>
    <w:rsid w:val="53B230DF"/>
    <w:rsid w:val="53B2366D"/>
    <w:rsid w:val="53B3348A"/>
    <w:rsid w:val="53B46876"/>
    <w:rsid w:val="53B53E0E"/>
    <w:rsid w:val="53B55421"/>
    <w:rsid w:val="53B66BAD"/>
    <w:rsid w:val="53B74AE3"/>
    <w:rsid w:val="53B74D8F"/>
    <w:rsid w:val="53B85398"/>
    <w:rsid w:val="53B9389C"/>
    <w:rsid w:val="53BB427A"/>
    <w:rsid w:val="53BB612D"/>
    <w:rsid w:val="53BC32B4"/>
    <w:rsid w:val="53BD2782"/>
    <w:rsid w:val="53BF46A2"/>
    <w:rsid w:val="53C01F6E"/>
    <w:rsid w:val="53C054FC"/>
    <w:rsid w:val="53C1524B"/>
    <w:rsid w:val="53C163FA"/>
    <w:rsid w:val="53C17368"/>
    <w:rsid w:val="53C23BE1"/>
    <w:rsid w:val="53C41C06"/>
    <w:rsid w:val="53C8197D"/>
    <w:rsid w:val="53C86136"/>
    <w:rsid w:val="53C95F47"/>
    <w:rsid w:val="53C96448"/>
    <w:rsid w:val="53C96ADF"/>
    <w:rsid w:val="53CB042F"/>
    <w:rsid w:val="53CB79A4"/>
    <w:rsid w:val="53CC25AE"/>
    <w:rsid w:val="53CC449B"/>
    <w:rsid w:val="53CC5B80"/>
    <w:rsid w:val="53CD2979"/>
    <w:rsid w:val="53CE6B91"/>
    <w:rsid w:val="53CF2A6C"/>
    <w:rsid w:val="53D16475"/>
    <w:rsid w:val="53D1668B"/>
    <w:rsid w:val="53D3540E"/>
    <w:rsid w:val="53D42C26"/>
    <w:rsid w:val="53D43ED6"/>
    <w:rsid w:val="53D51B43"/>
    <w:rsid w:val="53D71725"/>
    <w:rsid w:val="53D73A2D"/>
    <w:rsid w:val="53D8367B"/>
    <w:rsid w:val="53D8478B"/>
    <w:rsid w:val="53DA0577"/>
    <w:rsid w:val="53DB4987"/>
    <w:rsid w:val="53DB6E8D"/>
    <w:rsid w:val="53DD01D5"/>
    <w:rsid w:val="53DD499F"/>
    <w:rsid w:val="53DE101E"/>
    <w:rsid w:val="53DE7C9B"/>
    <w:rsid w:val="53DF0915"/>
    <w:rsid w:val="53E2106E"/>
    <w:rsid w:val="53E31B07"/>
    <w:rsid w:val="53E409FB"/>
    <w:rsid w:val="53E46C6C"/>
    <w:rsid w:val="53E46F54"/>
    <w:rsid w:val="53E51F5F"/>
    <w:rsid w:val="53E72C6A"/>
    <w:rsid w:val="53E835A2"/>
    <w:rsid w:val="53EA4919"/>
    <w:rsid w:val="53EB16DE"/>
    <w:rsid w:val="53EB5F27"/>
    <w:rsid w:val="53EC1E9C"/>
    <w:rsid w:val="53ED0117"/>
    <w:rsid w:val="53EE0CA3"/>
    <w:rsid w:val="53EE50CA"/>
    <w:rsid w:val="53EF6705"/>
    <w:rsid w:val="53F105BD"/>
    <w:rsid w:val="53F26BE2"/>
    <w:rsid w:val="53F27786"/>
    <w:rsid w:val="53F46A54"/>
    <w:rsid w:val="53F51195"/>
    <w:rsid w:val="53F8359B"/>
    <w:rsid w:val="53F84717"/>
    <w:rsid w:val="53FA07A5"/>
    <w:rsid w:val="53FB04DE"/>
    <w:rsid w:val="53FC0259"/>
    <w:rsid w:val="53FC5850"/>
    <w:rsid w:val="53FF27F5"/>
    <w:rsid w:val="540071AC"/>
    <w:rsid w:val="540318E0"/>
    <w:rsid w:val="5403478F"/>
    <w:rsid w:val="540379A6"/>
    <w:rsid w:val="540419FC"/>
    <w:rsid w:val="540519C1"/>
    <w:rsid w:val="54057FE3"/>
    <w:rsid w:val="54060F90"/>
    <w:rsid w:val="54062CC3"/>
    <w:rsid w:val="54071F81"/>
    <w:rsid w:val="540754DE"/>
    <w:rsid w:val="54077900"/>
    <w:rsid w:val="54087020"/>
    <w:rsid w:val="5408714C"/>
    <w:rsid w:val="54090A0E"/>
    <w:rsid w:val="54091C30"/>
    <w:rsid w:val="54094AA5"/>
    <w:rsid w:val="54097737"/>
    <w:rsid w:val="540A35BA"/>
    <w:rsid w:val="540A70BF"/>
    <w:rsid w:val="540B66C2"/>
    <w:rsid w:val="540D2079"/>
    <w:rsid w:val="540E23E6"/>
    <w:rsid w:val="540F407A"/>
    <w:rsid w:val="540F4166"/>
    <w:rsid w:val="54111C5D"/>
    <w:rsid w:val="54117D52"/>
    <w:rsid w:val="54120A0D"/>
    <w:rsid w:val="541215FF"/>
    <w:rsid w:val="54144570"/>
    <w:rsid w:val="54157D05"/>
    <w:rsid w:val="54163DC5"/>
    <w:rsid w:val="541645A2"/>
    <w:rsid w:val="54175885"/>
    <w:rsid w:val="54180FA3"/>
    <w:rsid w:val="541821A6"/>
    <w:rsid w:val="541873A8"/>
    <w:rsid w:val="54187567"/>
    <w:rsid w:val="54192BC3"/>
    <w:rsid w:val="541A6A37"/>
    <w:rsid w:val="541B4097"/>
    <w:rsid w:val="541D225F"/>
    <w:rsid w:val="541D30BF"/>
    <w:rsid w:val="541E2949"/>
    <w:rsid w:val="541E359B"/>
    <w:rsid w:val="5420031C"/>
    <w:rsid w:val="54200937"/>
    <w:rsid w:val="542018CB"/>
    <w:rsid w:val="54201CAD"/>
    <w:rsid w:val="54217413"/>
    <w:rsid w:val="54234693"/>
    <w:rsid w:val="54240825"/>
    <w:rsid w:val="54240BFC"/>
    <w:rsid w:val="54242AFB"/>
    <w:rsid w:val="542540F3"/>
    <w:rsid w:val="54270F93"/>
    <w:rsid w:val="54273970"/>
    <w:rsid w:val="54277B05"/>
    <w:rsid w:val="542853BA"/>
    <w:rsid w:val="54285899"/>
    <w:rsid w:val="542901B6"/>
    <w:rsid w:val="54296E38"/>
    <w:rsid w:val="542A3A68"/>
    <w:rsid w:val="542C067D"/>
    <w:rsid w:val="542C104C"/>
    <w:rsid w:val="542C3D51"/>
    <w:rsid w:val="542D0F30"/>
    <w:rsid w:val="542E4617"/>
    <w:rsid w:val="542F5357"/>
    <w:rsid w:val="543026DF"/>
    <w:rsid w:val="54307ACC"/>
    <w:rsid w:val="54307E41"/>
    <w:rsid w:val="54311039"/>
    <w:rsid w:val="54317BBB"/>
    <w:rsid w:val="54322CC4"/>
    <w:rsid w:val="54323FC8"/>
    <w:rsid w:val="543362A6"/>
    <w:rsid w:val="543533ED"/>
    <w:rsid w:val="543619B6"/>
    <w:rsid w:val="543620E0"/>
    <w:rsid w:val="54363FC2"/>
    <w:rsid w:val="5437405F"/>
    <w:rsid w:val="54384203"/>
    <w:rsid w:val="54387038"/>
    <w:rsid w:val="54387B77"/>
    <w:rsid w:val="543904A8"/>
    <w:rsid w:val="543A01C8"/>
    <w:rsid w:val="543A5D2C"/>
    <w:rsid w:val="543A69CB"/>
    <w:rsid w:val="543C475B"/>
    <w:rsid w:val="543C5B7E"/>
    <w:rsid w:val="543E5A1E"/>
    <w:rsid w:val="543F3A61"/>
    <w:rsid w:val="543F3D33"/>
    <w:rsid w:val="543F3E34"/>
    <w:rsid w:val="5440565E"/>
    <w:rsid w:val="54406021"/>
    <w:rsid w:val="54420405"/>
    <w:rsid w:val="54421053"/>
    <w:rsid w:val="544210B1"/>
    <w:rsid w:val="54461240"/>
    <w:rsid w:val="5447444B"/>
    <w:rsid w:val="544A5187"/>
    <w:rsid w:val="544B3295"/>
    <w:rsid w:val="544B46D2"/>
    <w:rsid w:val="544B5F35"/>
    <w:rsid w:val="544C2DA8"/>
    <w:rsid w:val="544C3868"/>
    <w:rsid w:val="544C5E87"/>
    <w:rsid w:val="544D1731"/>
    <w:rsid w:val="544D2604"/>
    <w:rsid w:val="544D53ED"/>
    <w:rsid w:val="544E04B4"/>
    <w:rsid w:val="544E3F68"/>
    <w:rsid w:val="544F23E2"/>
    <w:rsid w:val="54521D39"/>
    <w:rsid w:val="54522042"/>
    <w:rsid w:val="54523B0D"/>
    <w:rsid w:val="54523BE6"/>
    <w:rsid w:val="54540077"/>
    <w:rsid w:val="5454731F"/>
    <w:rsid w:val="54554E92"/>
    <w:rsid w:val="545753E3"/>
    <w:rsid w:val="54576D4D"/>
    <w:rsid w:val="545972E0"/>
    <w:rsid w:val="545B02F5"/>
    <w:rsid w:val="545B21BB"/>
    <w:rsid w:val="545B7439"/>
    <w:rsid w:val="545B7496"/>
    <w:rsid w:val="545D7479"/>
    <w:rsid w:val="545E06F7"/>
    <w:rsid w:val="545F2364"/>
    <w:rsid w:val="545F37BB"/>
    <w:rsid w:val="545F6EC5"/>
    <w:rsid w:val="5460548E"/>
    <w:rsid w:val="54606C62"/>
    <w:rsid w:val="5462093F"/>
    <w:rsid w:val="546351BE"/>
    <w:rsid w:val="54635BAA"/>
    <w:rsid w:val="5464235D"/>
    <w:rsid w:val="54645945"/>
    <w:rsid w:val="54646E83"/>
    <w:rsid w:val="54664800"/>
    <w:rsid w:val="54687B1F"/>
    <w:rsid w:val="54691AFA"/>
    <w:rsid w:val="546A00C0"/>
    <w:rsid w:val="546A2787"/>
    <w:rsid w:val="546B1CFC"/>
    <w:rsid w:val="546D2E0B"/>
    <w:rsid w:val="546E2385"/>
    <w:rsid w:val="546E28CB"/>
    <w:rsid w:val="546E54F1"/>
    <w:rsid w:val="546E69FF"/>
    <w:rsid w:val="546F14B2"/>
    <w:rsid w:val="546F2344"/>
    <w:rsid w:val="546F43A3"/>
    <w:rsid w:val="547040CF"/>
    <w:rsid w:val="547075D6"/>
    <w:rsid w:val="54707B7A"/>
    <w:rsid w:val="54731C29"/>
    <w:rsid w:val="547644F0"/>
    <w:rsid w:val="54774064"/>
    <w:rsid w:val="547846BD"/>
    <w:rsid w:val="54786C92"/>
    <w:rsid w:val="547917CD"/>
    <w:rsid w:val="54793D71"/>
    <w:rsid w:val="547A0629"/>
    <w:rsid w:val="547A5E85"/>
    <w:rsid w:val="547B18FF"/>
    <w:rsid w:val="547D0794"/>
    <w:rsid w:val="547F5A6B"/>
    <w:rsid w:val="54817F0E"/>
    <w:rsid w:val="54826DD8"/>
    <w:rsid w:val="54831FA1"/>
    <w:rsid w:val="54833099"/>
    <w:rsid w:val="548503F0"/>
    <w:rsid w:val="54854167"/>
    <w:rsid w:val="54867451"/>
    <w:rsid w:val="54877599"/>
    <w:rsid w:val="54881E49"/>
    <w:rsid w:val="54887E36"/>
    <w:rsid w:val="54892B59"/>
    <w:rsid w:val="548A587F"/>
    <w:rsid w:val="548B1D0B"/>
    <w:rsid w:val="548B569D"/>
    <w:rsid w:val="548B683E"/>
    <w:rsid w:val="548C355C"/>
    <w:rsid w:val="548C5513"/>
    <w:rsid w:val="548D1CA0"/>
    <w:rsid w:val="548D7AF9"/>
    <w:rsid w:val="548E68D1"/>
    <w:rsid w:val="5490008F"/>
    <w:rsid w:val="54906F9E"/>
    <w:rsid w:val="54910455"/>
    <w:rsid w:val="54942FD0"/>
    <w:rsid w:val="54950A39"/>
    <w:rsid w:val="54951B44"/>
    <w:rsid w:val="549642E3"/>
    <w:rsid w:val="549B0ECD"/>
    <w:rsid w:val="549B0FF6"/>
    <w:rsid w:val="549C1657"/>
    <w:rsid w:val="549E5EE9"/>
    <w:rsid w:val="549F0C7B"/>
    <w:rsid w:val="54A04600"/>
    <w:rsid w:val="54A072D2"/>
    <w:rsid w:val="54A2731D"/>
    <w:rsid w:val="54A64551"/>
    <w:rsid w:val="54A6473A"/>
    <w:rsid w:val="54A65D9A"/>
    <w:rsid w:val="54A84A1F"/>
    <w:rsid w:val="54A91B5E"/>
    <w:rsid w:val="54A961F6"/>
    <w:rsid w:val="54A96800"/>
    <w:rsid w:val="54AB32A8"/>
    <w:rsid w:val="54AC6AAB"/>
    <w:rsid w:val="54AE59EC"/>
    <w:rsid w:val="54AE767F"/>
    <w:rsid w:val="54B044F4"/>
    <w:rsid w:val="54B2281D"/>
    <w:rsid w:val="54B22DB9"/>
    <w:rsid w:val="54B323AE"/>
    <w:rsid w:val="54B41D61"/>
    <w:rsid w:val="54B4516E"/>
    <w:rsid w:val="54B52E3F"/>
    <w:rsid w:val="54B85654"/>
    <w:rsid w:val="54BA6552"/>
    <w:rsid w:val="54BB546A"/>
    <w:rsid w:val="54BB66D8"/>
    <w:rsid w:val="54BC087C"/>
    <w:rsid w:val="54BC62A3"/>
    <w:rsid w:val="54BD49D3"/>
    <w:rsid w:val="54BE5631"/>
    <w:rsid w:val="54C16F98"/>
    <w:rsid w:val="54C22A55"/>
    <w:rsid w:val="54C25199"/>
    <w:rsid w:val="54C274BE"/>
    <w:rsid w:val="54C33A33"/>
    <w:rsid w:val="54C46453"/>
    <w:rsid w:val="54C56D1B"/>
    <w:rsid w:val="54C76844"/>
    <w:rsid w:val="54C8171E"/>
    <w:rsid w:val="54C81E1C"/>
    <w:rsid w:val="54C82022"/>
    <w:rsid w:val="54C82808"/>
    <w:rsid w:val="54C85664"/>
    <w:rsid w:val="54C93227"/>
    <w:rsid w:val="54CB6910"/>
    <w:rsid w:val="54CC5BB9"/>
    <w:rsid w:val="54CD4D41"/>
    <w:rsid w:val="54CD5A73"/>
    <w:rsid w:val="54CD7004"/>
    <w:rsid w:val="54CE1609"/>
    <w:rsid w:val="54CE3262"/>
    <w:rsid w:val="54CE333C"/>
    <w:rsid w:val="54D04E48"/>
    <w:rsid w:val="54D17AAB"/>
    <w:rsid w:val="54D36D23"/>
    <w:rsid w:val="54D61F5C"/>
    <w:rsid w:val="54D70085"/>
    <w:rsid w:val="54D70BDD"/>
    <w:rsid w:val="54D71C79"/>
    <w:rsid w:val="54D748B7"/>
    <w:rsid w:val="54D76994"/>
    <w:rsid w:val="54D913C4"/>
    <w:rsid w:val="54D92D0B"/>
    <w:rsid w:val="54DA0AEE"/>
    <w:rsid w:val="54DA6D3E"/>
    <w:rsid w:val="54DB3B97"/>
    <w:rsid w:val="54DB66C0"/>
    <w:rsid w:val="54DC54F8"/>
    <w:rsid w:val="54DE27FA"/>
    <w:rsid w:val="54DE6C35"/>
    <w:rsid w:val="54DE7C02"/>
    <w:rsid w:val="54E061D6"/>
    <w:rsid w:val="54E07D43"/>
    <w:rsid w:val="54E4547E"/>
    <w:rsid w:val="54E4587F"/>
    <w:rsid w:val="54E706C3"/>
    <w:rsid w:val="54E81E5E"/>
    <w:rsid w:val="54E9427C"/>
    <w:rsid w:val="54E97A13"/>
    <w:rsid w:val="54EB1986"/>
    <w:rsid w:val="54EB25D9"/>
    <w:rsid w:val="54EB7F11"/>
    <w:rsid w:val="54ED0C26"/>
    <w:rsid w:val="54ED7337"/>
    <w:rsid w:val="54EE381B"/>
    <w:rsid w:val="54EE56AB"/>
    <w:rsid w:val="54EF0E42"/>
    <w:rsid w:val="54F00329"/>
    <w:rsid w:val="54F0196C"/>
    <w:rsid w:val="54F1286E"/>
    <w:rsid w:val="54F3622E"/>
    <w:rsid w:val="54F421F3"/>
    <w:rsid w:val="54F63502"/>
    <w:rsid w:val="54FB6BB9"/>
    <w:rsid w:val="54FC0C5A"/>
    <w:rsid w:val="54FD035E"/>
    <w:rsid w:val="54FD23BD"/>
    <w:rsid w:val="54FD352A"/>
    <w:rsid w:val="54FD542B"/>
    <w:rsid w:val="54FE2D69"/>
    <w:rsid w:val="54FE6F76"/>
    <w:rsid w:val="54FE7C51"/>
    <w:rsid w:val="55013FD1"/>
    <w:rsid w:val="55015E73"/>
    <w:rsid w:val="550277B3"/>
    <w:rsid w:val="55065B11"/>
    <w:rsid w:val="55070AFB"/>
    <w:rsid w:val="55086943"/>
    <w:rsid w:val="550A39F3"/>
    <w:rsid w:val="550B5326"/>
    <w:rsid w:val="550D2008"/>
    <w:rsid w:val="551073C2"/>
    <w:rsid w:val="5511734A"/>
    <w:rsid w:val="551304A3"/>
    <w:rsid w:val="55131220"/>
    <w:rsid w:val="55156F8B"/>
    <w:rsid w:val="55161808"/>
    <w:rsid w:val="55172BB9"/>
    <w:rsid w:val="5517346C"/>
    <w:rsid w:val="55195304"/>
    <w:rsid w:val="55197F57"/>
    <w:rsid w:val="551A4AA5"/>
    <w:rsid w:val="551B1C37"/>
    <w:rsid w:val="551C2016"/>
    <w:rsid w:val="551C6080"/>
    <w:rsid w:val="551D0FEC"/>
    <w:rsid w:val="551F081D"/>
    <w:rsid w:val="551F1038"/>
    <w:rsid w:val="551F2ED0"/>
    <w:rsid w:val="552015F1"/>
    <w:rsid w:val="55207487"/>
    <w:rsid w:val="55207700"/>
    <w:rsid w:val="55207E27"/>
    <w:rsid w:val="55210D3C"/>
    <w:rsid w:val="55211FCC"/>
    <w:rsid w:val="55220216"/>
    <w:rsid w:val="55222FC6"/>
    <w:rsid w:val="55223674"/>
    <w:rsid w:val="552308C4"/>
    <w:rsid w:val="55230B49"/>
    <w:rsid w:val="552407CD"/>
    <w:rsid w:val="55242D96"/>
    <w:rsid w:val="5525664E"/>
    <w:rsid w:val="55257CBA"/>
    <w:rsid w:val="55273BA2"/>
    <w:rsid w:val="55280DA5"/>
    <w:rsid w:val="5528146E"/>
    <w:rsid w:val="55284130"/>
    <w:rsid w:val="552876AF"/>
    <w:rsid w:val="552A22DF"/>
    <w:rsid w:val="552A31A4"/>
    <w:rsid w:val="552A77BA"/>
    <w:rsid w:val="552B5599"/>
    <w:rsid w:val="552D33AA"/>
    <w:rsid w:val="552D73A3"/>
    <w:rsid w:val="552E3F21"/>
    <w:rsid w:val="552E5301"/>
    <w:rsid w:val="552F26D6"/>
    <w:rsid w:val="55300F4F"/>
    <w:rsid w:val="55310C9C"/>
    <w:rsid w:val="5532051E"/>
    <w:rsid w:val="5533088E"/>
    <w:rsid w:val="55332DDE"/>
    <w:rsid w:val="55341625"/>
    <w:rsid w:val="55350E4F"/>
    <w:rsid w:val="55355AE7"/>
    <w:rsid w:val="55372890"/>
    <w:rsid w:val="55381B44"/>
    <w:rsid w:val="553912F3"/>
    <w:rsid w:val="55394C0E"/>
    <w:rsid w:val="553A3C42"/>
    <w:rsid w:val="553C4E98"/>
    <w:rsid w:val="553D058C"/>
    <w:rsid w:val="553E0358"/>
    <w:rsid w:val="553E2612"/>
    <w:rsid w:val="553E6B32"/>
    <w:rsid w:val="55421A3B"/>
    <w:rsid w:val="55422DB2"/>
    <w:rsid w:val="55432AC1"/>
    <w:rsid w:val="55442AFD"/>
    <w:rsid w:val="55451B59"/>
    <w:rsid w:val="5545499A"/>
    <w:rsid w:val="55464A04"/>
    <w:rsid w:val="5546680A"/>
    <w:rsid w:val="55475EC0"/>
    <w:rsid w:val="5548442F"/>
    <w:rsid w:val="55484B20"/>
    <w:rsid w:val="5548560A"/>
    <w:rsid w:val="55485FE7"/>
    <w:rsid w:val="55496C23"/>
    <w:rsid w:val="554B5361"/>
    <w:rsid w:val="554C74BB"/>
    <w:rsid w:val="554C7A08"/>
    <w:rsid w:val="554D2D05"/>
    <w:rsid w:val="554E3E51"/>
    <w:rsid w:val="554F79DC"/>
    <w:rsid w:val="55507CE4"/>
    <w:rsid w:val="55513374"/>
    <w:rsid w:val="555242F7"/>
    <w:rsid w:val="55531716"/>
    <w:rsid w:val="55541A59"/>
    <w:rsid w:val="55561861"/>
    <w:rsid w:val="55565EA5"/>
    <w:rsid w:val="55566921"/>
    <w:rsid w:val="55570492"/>
    <w:rsid w:val="5557091F"/>
    <w:rsid w:val="55582C27"/>
    <w:rsid w:val="555835BE"/>
    <w:rsid w:val="55584E05"/>
    <w:rsid w:val="55596C5C"/>
    <w:rsid w:val="555B77C3"/>
    <w:rsid w:val="555C3DD9"/>
    <w:rsid w:val="555C4582"/>
    <w:rsid w:val="555F0E4C"/>
    <w:rsid w:val="555F199A"/>
    <w:rsid w:val="555F3A89"/>
    <w:rsid w:val="555F6B8B"/>
    <w:rsid w:val="555F7C5F"/>
    <w:rsid w:val="55614B0D"/>
    <w:rsid w:val="55625D44"/>
    <w:rsid w:val="55634FD8"/>
    <w:rsid w:val="556350D8"/>
    <w:rsid w:val="556444A9"/>
    <w:rsid w:val="55656951"/>
    <w:rsid w:val="55685AE9"/>
    <w:rsid w:val="55687A4D"/>
    <w:rsid w:val="556916C1"/>
    <w:rsid w:val="556921D3"/>
    <w:rsid w:val="556A28DF"/>
    <w:rsid w:val="556A334E"/>
    <w:rsid w:val="556A340F"/>
    <w:rsid w:val="556D1F4A"/>
    <w:rsid w:val="556E63A3"/>
    <w:rsid w:val="556E7B5B"/>
    <w:rsid w:val="556E7FB9"/>
    <w:rsid w:val="55715E8A"/>
    <w:rsid w:val="55732F68"/>
    <w:rsid w:val="557373F5"/>
    <w:rsid w:val="5574275C"/>
    <w:rsid w:val="55754721"/>
    <w:rsid w:val="557602AB"/>
    <w:rsid w:val="55770DB0"/>
    <w:rsid w:val="55774A15"/>
    <w:rsid w:val="55793C7E"/>
    <w:rsid w:val="557A1343"/>
    <w:rsid w:val="557A52EA"/>
    <w:rsid w:val="557A73A6"/>
    <w:rsid w:val="557B7741"/>
    <w:rsid w:val="557D69CD"/>
    <w:rsid w:val="557E2A13"/>
    <w:rsid w:val="557F1FBD"/>
    <w:rsid w:val="55806F57"/>
    <w:rsid w:val="558108A1"/>
    <w:rsid w:val="55811495"/>
    <w:rsid w:val="5583158B"/>
    <w:rsid w:val="5583644D"/>
    <w:rsid w:val="55841A8C"/>
    <w:rsid w:val="55856EFB"/>
    <w:rsid w:val="55880E65"/>
    <w:rsid w:val="55886DA9"/>
    <w:rsid w:val="55890152"/>
    <w:rsid w:val="558A730A"/>
    <w:rsid w:val="558B5575"/>
    <w:rsid w:val="558B6E1C"/>
    <w:rsid w:val="558C00DD"/>
    <w:rsid w:val="558C5634"/>
    <w:rsid w:val="558D6ABE"/>
    <w:rsid w:val="558E0941"/>
    <w:rsid w:val="558F6CE9"/>
    <w:rsid w:val="55915150"/>
    <w:rsid w:val="5592477E"/>
    <w:rsid w:val="5594151A"/>
    <w:rsid w:val="55950E30"/>
    <w:rsid w:val="55950EDC"/>
    <w:rsid w:val="55971968"/>
    <w:rsid w:val="5599050A"/>
    <w:rsid w:val="559A3AB4"/>
    <w:rsid w:val="559A6239"/>
    <w:rsid w:val="559B2581"/>
    <w:rsid w:val="559B2D7B"/>
    <w:rsid w:val="559C38E9"/>
    <w:rsid w:val="559C6841"/>
    <w:rsid w:val="559D0BF3"/>
    <w:rsid w:val="559E46C1"/>
    <w:rsid w:val="55A0117A"/>
    <w:rsid w:val="55A03544"/>
    <w:rsid w:val="55A10C9F"/>
    <w:rsid w:val="55A1214A"/>
    <w:rsid w:val="55A13A0F"/>
    <w:rsid w:val="55A3427B"/>
    <w:rsid w:val="55A40203"/>
    <w:rsid w:val="55A47984"/>
    <w:rsid w:val="55A57C61"/>
    <w:rsid w:val="55A602BD"/>
    <w:rsid w:val="55A71C31"/>
    <w:rsid w:val="55A7307B"/>
    <w:rsid w:val="55A80FC5"/>
    <w:rsid w:val="55A86B30"/>
    <w:rsid w:val="55A87540"/>
    <w:rsid w:val="55A9278A"/>
    <w:rsid w:val="55A92E8C"/>
    <w:rsid w:val="55A9520F"/>
    <w:rsid w:val="55AA5364"/>
    <w:rsid w:val="55AA5E8D"/>
    <w:rsid w:val="55AB1AFF"/>
    <w:rsid w:val="55AB4742"/>
    <w:rsid w:val="55AC242B"/>
    <w:rsid w:val="55AC6714"/>
    <w:rsid w:val="55AD1323"/>
    <w:rsid w:val="55AD23B2"/>
    <w:rsid w:val="55AE020C"/>
    <w:rsid w:val="55AE3538"/>
    <w:rsid w:val="55B02929"/>
    <w:rsid w:val="55B12734"/>
    <w:rsid w:val="55B127EC"/>
    <w:rsid w:val="55B34E4F"/>
    <w:rsid w:val="55B64A47"/>
    <w:rsid w:val="55B8019D"/>
    <w:rsid w:val="55B80D3C"/>
    <w:rsid w:val="55B92D58"/>
    <w:rsid w:val="55B971F6"/>
    <w:rsid w:val="55BA1872"/>
    <w:rsid w:val="55BA6004"/>
    <w:rsid w:val="55BB108A"/>
    <w:rsid w:val="55BB5C4A"/>
    <w:rsid w:val="55BC4C95"/>
    <w:rsid w:val="55BC4EAF"/>
    <w:rsid w:val="55BC6956"/>
    <w:rsid w:val="55BC7A1B"/>
    <w:rsid w:val="55BE1627"/>
    <w:rsid w:val="55BE5375"/>
    <w:rsid w:val="55BE7880"/>
    <w:rsid w:val="55C0706B"/>
    <w:rsid w:val="55C102FA"/>
    <w:rsid w:val="55C32E72"/>
    <w:rsid w:val="55C37BD9"/>
    <w:rsid w:val="55C37C30"/>
    <w:rsid w:val="55C41674"/>
    <w:rsid w:val="55C560CC"/>
    <w:rsid w:val="55C5780A"/>
    <w:rsid w:val="55C736FE"/>
    <w:rsid w:val="55C73B6D"/>
    <w:rsid w:val="55C74584"/>
    <w:rsid w:val="55C7799E"/>
    <w:rsid w:val="55C91FBC"/>
    <w:rsid w:val="55C935C7"/>
    <w:rsid w:val="55C956AB"/>
    <w:rsid w:val="55CA5CA7"/>
    <w:rsid w:val="55CC2C4D"/>
    <w:rsid w:val="55CC38B8"/>
    <w:rsid w:val="55CF1271"/>
    <w:rsid w:val="55CF7504"/>
    <w:rsid w:val="55D07233"/>
    <w:rsid w:val="55D07E22"/>
    <w:rsid w:val="55D1483B"/>
    <w:rsid w:val="55D43B94"/>
    <w:rsid w:val="55D557A0"/>
    <w:rsid w:val="55D61B12"/>
    <w:rsid w:val="55D8103E"/>
    <w:rsid w:val="55D83684"/>
    <w:rsid w:val="55D94E03"/>
    <w:rsid w:val="55D97AD4"/>
    <w:rsid w:val="55DA6A07"/>
    <w:rsid w:val="55DC0CCC"/>
    <w:rsid w:val="55DC5CD9"/>
    <w:rsid w:val="55DD41EC"/>
    <w:rsid w:val="55DE04C7"/>
    <w:rsid w:val="55DE0C49"/>
    <w:rsid w:val="55E022CB"/>
    <w:rsid w:val="55E02539"/>
    <w:rsid w:val="55E04861"/>
    <w:rsid w:val="55E16B8A"/>
    <w:rsid w:val="55E207BB"/>
    <w:rsid w:val="55E24EC2"/>
    <w:rsid w:val="55E25D38"/>
    <w:rsid w:val="55E337E2"/>
    <w:rsid w:val="55E40AAE"/>
    <w:rsid w:val="55E54ECA"/>
    <w:rsid w:val="55E65246"/>
    <w:rsid w:val="55E658EF"/>
    <w:rsid w:val="55E66416"/>
    <w:rsid w:val="55E805DF"/>
    <w:rsid w:val="55E820F0"/>
    <w:rsid w:val="55EA2EEE"/>
    <w:rsid w:val="55EA3673"/>
    <w:rsid w:val="55EB38AC"/>
    <w:rsid w:val="55EC1B2A"/>
    <w:rsid w:val="55EC55DC"/>
    <w:rsid w:val="55EE2EA8"/>
    <w:rsid w:val="55F06D3B"/>
    <w:rsid w:val="55F13F27"/>
    <w:rsid w:val="55F41F36"/>
    <w:rsid w:val="55F442AB"/>
    <w:rsid w:val="55F62ABD"/>
    <w:rsid w:val="55F81866"/>
    <w:rsid w:val="55F97E01"/>
    <w:rsid w:val="55FA4C34"/>
    <w:rsid w:val="55FA5A4B"/>
    <w:rsid w:val="55FB0649"/>
    <w:rsid w:val="55FB7419"/>
    <w:rsid w:val="55FC03BA"/>
    <w:rsid w:val="55FC46EC"/>
    <w:rsid w:val="55FD46F1"/>
    <w:rsid w:val="55FE7DD6"/>
    <w:rsid w:val="55FF4628"/>
    <w:rsid w:val="55FF65E0"/>
    <w:rsid w:val="560147BE"/>
    <w:rsid w:val="56014966"/>
    <w:rsid w:val="56020FA4"/>
    <w:rsid w:val="5602103D"/>
    <w:rsid w:val="56024A93"/>
    <w:rsid w:val="56030B58"/>
    <w:rsid w:val="56031960"/>
    <w:rsid w:val="56031F80"/>
    <w:rsid w:val="5603647F"/>
    <w:rsid w:val="56037B17"/>
    <w:rsid w:val="56041F73"/>
    <w:rsid w:val="56051C73"/>
    <w:rsid w:val="5608540D"/>
    <w:rsid w:val="56086A8F"/>
    <w:rsid w:val="560D6153"/>
    <w:rsid w:val="560E3E86"/>
    <w:rsid w:val="56100FAA"/>
    <w:rsid w:val="56103D78"/>
    <w:rsid w:val="56127550"/>
    <w:rsid w:val="56131D66"/>
    <w:rsid w:val="561355B0"/>
    <w:rsid w:val="56136FFB"/>
    <w:rsid w:val="561461C0"/>
    <w:rsid w:val="561465FA"/>
    <w:rsid w:val="561601F1"/>
    <w:rsid w:val="561638CF"/>
    <w:rsid w:val="5616463C"/>
    <w:rsid w:val="5619060D"/>
    <w:rsid w:val="56195295"/>
    <w:rsid w:val="56196DB2"/>
    <w:rsid w:val="561B1AFE"/>
    <w:rsid w:val="561D57A7"/>
    <w:rsid w:val="561D6D23"/>
    <w:rsid w:val="561E2EB7"/>
    <w:rsid w:val="561E6193"/>
    <w:rsid w:val="561F0398"/>
    <w:rsid w:val="561F5709"/>
    <w:rsid w:val="56200A9E"/>
    <w:rsid w:val="562112EE"/>
    <w:rsid w:val="56214655"/>
    <w:rsid w:val="56215034"/>
    <w:rsid w:val="56215BDE"/>
    <w:rsid w:val="56223429"/>
    <w:rsid w:val="56232222"/>
    <w:rsid w:val="56246C1D"/>
    <w:rsid w:val="562739AA"/>
    <w:rsid w:val="56273DC6"/>
    <w:rsid w:val="562A6387"/>
    <w:rsid w:val="562B2FCE"/>
    <w:rsid w:val="562C09D2"/>
    <w:rsid w:val="562C1155"/>
    <w:rsid w:val="562C59C8"/>
    <w:rsid w:val="562C69E9"/>
    <w:rsid w:val="562C6B8E"/>
    <w:rsid w:val="562F41EA"/>
    <w:rsid w:val="562F5BBA"/>
    <w:rsid w:val="562F5BCD"/>
    <w:rsid w:val="56300FD4"/>
    <w:rsid w:val="56301712"/>
    <w:rsid w:val="5631509A"/>
    <w:rsid w:val="5631592A"/>
    <w:rsid w:val="563205BD"/>
    <w:rsid w:val="563222DF"/>
    <w:rsid w:val="56332C50"/>
    <w:rsid w:val="56335855"/>
    <w:rsid w:val="5634442B"/>
    <w:rsid w:val="563457D9"/>
    <w:rsid w:val="56353933"/>
    <w:rsid w:val="56356EB8"/>
    <w:rsid w:val="5637400E"/>
    <w:rsid w:val="563A4170"/>
    <w:rsid w:val="563A60ED"/>
    <w:rsid w:val="563C1D2B"/>
    <w:rsid w:val="563C3230"/>
    <w:rsid w:val="563C43A7"/>
    <w:rsid w:val="563C4858"/>
    <w:rsid w:val="563C729B"/>
    <w:rsid w:val="563D0D9B"/>
    <w:rsid w:val="563E5417"/>
    <w:rsid w:val="563F4DC4"/>
    <w:rsid w:val="56406597"/>
    <w:rsid w:val="564164C4"/>
    <w:rsid w:val="56425DBE"/>
    <w:rsid w:val="564271D4"/>
    <w:rsid w:val="56455408"/>
    <w:rsid w:val="564569FF"/>
    <w:rsid w:val="56457118"/>
    <w:rsid w:val="56481889"/>
    <w:rsid w:val="56493D5D"/>
    <w:rsid w:val="56494582"/>
    <w:rsid w:val="564B4AD4"/>
    <w:rsid w:val="564C16B2"/>
    <w:rsid w:val="564D4072"/>
    <w:rsid w:val="564E244D"/>
    <w:rsid w:val="564E4E96"/>
    <w:rsid w:val="564E7098"/>
    <w:rsid w:val="564F21D6"/>
    <w:rsid w:val="56501600"/>
    <w:rsid w:val="5650174B"/>
    <w:rsid w:val="5650251B"/>
    <w:rsid w:val="5650362C"/>
    <w:rsid w:val="5650462E"/>
    <w:rsid w:val="5653161A"/>
    <w:rsid w:val="56564863"/>
    <w:rsid w:val="565862B2"/>
    <w:rsid w:val="565A2D4B"/>
    <w:rsid w:val="565A7E3D"/>
    <w:rsid w:val="565B21CB"/>
    <w:rsid w:val="565C1BE4"/>
    <w:rsid w:val="565E18D7"/>
    <w:rsid w:val="566131C5"/>
    <w:rsid w:val="5661738D"/>
    <w:rsid w:val="566212ED"/>
    <w:rsid w:val="56623E23"/>
    <w:rsid w:val="566310B3"/>
    <w:rsid w:val="56634704"/>
    <w:rsid w:val="56646580"/>
    <w:rsid w:val="566513A6"/>
    <w:rsid w:val="56657B5B"/>
    <w:rsid w:val="56660613"/>
    <w:rsid w:val="56666F13"/>
    <w:rsid w:val="56671F81"/>
    <w:rsid w:val="5667559D"/>
    <w:rsid w:val="56695AF0"/>
    <w:rsid w:val="566A07BC"/>
    <w:rsid w:val="566B000C"/>
    <w:rsid w:val="566B20CE"/>
    <w:rsid w:val="566D1E16"/>
    <w:rsid w:val="566F1676"/>
    <w:rsid w:val="56702E39"/>
    <w:rsid w:val="56710432"/>
    <w:rsid w:val="56742710"/>
    <w:rsid w:val="56752420"/>
    <w:rsid w:val="56765732"/>
    <w:rsid w:val="5677219F"/>
    <w:rsid w:val="567846F1"/>
    <w:rsid w:val="567877B7"/>
    <w:rsid w:val="567B3EEA"/>
    <w:rsid w:val="567D43BC"/>
    <w:rsid w:val="567E06EC"/>
    <w:rsid w:val="567E658A"/>
    <w:rsid w:val="567E6F86"/>
    <w:rsid w:val="567F7963"/>
    <w:rsid w:val="5682312F"/>
    <w:rsid w:val="568272A3"/>
    <w:rsid w:val="5683132D"/>
    <w:rsid w:val="56844654"/>
    <w:rsid w:val="56864D35"/>
    <w:rsid w:val="5687024E"/>
    <w:rsid w:val="5687312D"/>
    <w:rsid w:val="56875127"/>
    <w:rsid w:val="568875E4"/>
    <w:rsid w:val="568906B7"/>
    <w:rsid w:val="5689686A"/>
    <w:rsid w:val="568A30CF"/>
    <w:rsid w:val="568B00FD"/>
    <w:rsid w:val="568C5D86"/>
    <w:rsid w:val="568D60A7"/>
    <w:rsid w:val="568D64AB"/>
    <w:rsid w:val="568D6D9A"/>
    <w:rsid w:val="568E01E7"/>
    <w:rsid w:val="568E1675"/>
    <w:rsid w:val="568F43BC"/>
    <w:rsid w:val="5690230A"/>
    <w:rsid w:val="56912B59"/>
    <w:rsid w:val="5692407F"/>
    <w:rsid w:val="56930F44"/>
    <w:rsid w:val="5693666A"/>
    <w:rsid w:val="569651EF"/>
    <w:rsid w:val="569671A8"/>
    <w:rsid w:val="56972965"/>
    <w:rsid w:val="56977800"/>
    <w:rsid w:val="56984DBE"/>
    <w:rsid w:val="56994E8C"/>
    <w:rsid w:val="56995EC2"/>
    <w:rsid w:val="569A32D9"/>
    <w:rsid w:val="569A5AF5"/>
    <w:rsid w:val="569B23CA"/>
    <w:rsid w:val="569B6F0F"/>
    <w:rsid w:val="569B7DEA"/>
    <w:rsid w:val="569C0564"/>
    <w:rsid w:val="569D0285"/>
    <w:rsid w:val="569E20D9"/>
    <w:rsid w:val="56A07822"/>
    <w:rsid w:val="56A3747F"/>
    <w:rsid w:val="56A71320"/>
    <w:rsid w:val="56A764B2"/>
    <w:rsid w:val="56A77E12"/>
    <w:rsid w:val="56A82A0A"/>
    <w:rsid w:val="56A838C7"/>
    <w:rsid w:val="56A87038"/>
    <w:rsid w:val="56AA0694"/>
    <w:rsid w:val="56AA4E20"/>
    <w:rsid w:val="56AA5933"/>
    <w:rsid w:val="56AA6916"/>
    <w:rsid w:val="56AB6E2E"/>
    <w:rsid w:val="56AC4BD8"/>
    <w:rsid w:val="56AD78E5"/>
    <w:rsid w:val="56AE3EE0"/>
    <w:rsid w:val="56AE4F4A"/>
    <w:rsid w:val="56AE5B70"/>
    <w:rsid w:val="56B039C9"/>
    <w:rsid w:val="56B05E54"/>
    <w:rsid w:val="56B10B3E"/>
    <w:rsid w:val="56B22E67"/>
    <w:rsid w:val="56B44CC3"/>
    <w:rsid w:val="56B91355"/>
    <w:rsid w:val="56B92578"/>
    <w:rsid w:val="56BA0FDC"/>
    <w:rsid w:val="56BA76C9"/>
    <w:rsid w:val="56BC0062"/>
    <w:rsid w:val="56BC2FF0"/>
    <w:rsid w:val="56BC3ACA"/>
    <w:rsid w:val="56BD47E9"/>
    <w:rsid w:val="56BD5FB3"/>
    <w:rsid w:val="56C106A4"/>
    <w:rsid w:val="56C154BD"/>
    <w:rsid w:val="56C20550"/>
    <w:rsid w:val="56C278B6"/>
    <w:rsid w:val="56C30D0A"/>
    <w:rsid w:val="56C31AD5"/>
    <w:rsid w:val="56C32643"/>
    <w:rsid w:val="56C40EE5"/>
    <w:rsid w:val="56C55C9E"/>
    <w:rsid w:val="56C56CE9"/>
    <w:rsid w:val="56C63D55"/>
    <w:rsid w:val="56C763E0"/>
    <w:rsid w:val="56C812D4"/>
    <w:rsid w:val="56C927E3"/>
    <w:rsid w:val="56CA7773"/>
    <w:rsid w:val="56CB2E32"/>
    <w:rsid w:val="56CC5FDE"/>
    <w:rsid w:val="56CE08D2"/>
    <w:rsid w:val="56D1633F"/>
    <w:rsid w:val="56D35F43"/>
    <w:rsid w:val="56D44BF0"/>
    <w:rsid w:val="56D47B9D"/>
    <w:rsid w:val="56D52DD6"/>
    <w:rsid w:val="56D60550"/>
    <w:rsid w:val="56D87D71"/>
    <w:rsid w:val="56D90572"/>
    <w:rsid w:val="56D94F91"/>
    <w:rsid w:val="56D952E7"/>
    <w:rsid w:val="56D96D17"/>
    <w:rsid w:val="56DA167E"/>
    <w:rsid w:val="56DA190A"/>
    <w:rsid w:val="56DA6301"/>
    <w:rsid w:val="56DA753D"/>
    <w:rsid w:val="56DB044C"/>
    <w:rsid w:val="56DC0C89"/>
    <w:rsid w:val="56DC1002"/>
    <w:rsid w:val="56DC2D93"/>
    <w:rsid w:val="56DD4808"/>
    <w:rsid w:val="56DE6305"/>
    <w:rsid w:val="56DE79EA"/>
    <w:rsid w:val="56DF57B0"/>
    <w:rsid w:val="56E11730"/>
    <w:rsid w:val="56E1514C"/>
    <w:rsid w:val="56E20EAC"/>
    <w:rsid w:val="56E22B05"/>
    <w:rsid w:val="56E33A35"/>
    <w:rsid w:val="56E36102"/>
    <w:rsid w:val="56E37128"/>
    <w:rsid w:val="56E41A78"/>
    <w:rsid w:val="56E542AB"/>
    <w:rsid w:val="56E754D7"/>
    <w:rsid w:val="56E87093"/>
    <w:rsid w:val="56E96044"/>
    <w:rsid w:val="56E9617B"/>
    <w:rsid w:val="56EA0000"/>
    <w:rsid w:val="56EA113C"/>
    <w:rsid w:val="56EA7B13"/>
    <w:rsid w:val="56EB6083"/>
    <w:rsid w:val="56EC3073"/>
    <w:rsid w:val="56EC6348"/>
    <w:rsid w:val="56EC7E85"/>
    <w:rsid w:val="56ED2B40"/>
    <w:rsid w:val="56EE31E7"/>
    <w:rsid w:val="56F13369"/>
    <w:rsid w:val="56F17079"/>
    <w:rsid w:val="56F51192"/>
    <w:rsid w:val="56F55025"/>
    <w:rsid w:val="56F817A9"/>
    <w:rsid w:val="56F82A43"/>
    <w:rsid w:val="56FA1141"/>
    <w:rsid w:val="56FF10C0"/>
    <w:rsid w:val="57004675"/>
    <w:rsid w:val="570179C6"/>
    <w:rsid w:val="570206A5"/>
    <w:rsid w:val="570212ED"/>
    <w:rsid w:val="570275DA"/>
    <w:rsid w:val="570342DD"/>
    <w:rsid w:val="57063D35"/>
    <w:rsid w:val="570647F6"/>
    <w:rsid w:val="57064B99"/>
    <w:rsid w:val="57064BEF"/>
    <w:rsid w:val="57065472"/>
    <w:rsid w:val="57076EC4"/>
    <w:rsid w:val="5707760F"/>
    <w:rsid w:val="57091B5D"/>
    <w:rsid w:val="570934F4"/>
    <w:rsid w:val="5709654F"/>
    <w:rsid w:val="570A6851"/>
    <w:rsid w:val="570B59F2"/>
    <w:rsid w:val="570B7A8A"/>
    <w:rsid w:val="570D563A"/>
    <w:rsid w:val="570E0655"/>
    <w:rsid w:val="570F64DF"/>
    <w:rsid w:val="570F757A"/>
    <w:rsid w:val="57107446"/>
    <w:rsid w:val="5710798F"/>
    <w:rsid w:val="57113628"/>
    <w:rsid w:val="57134D32"/>
    <w:rsid w:val="571361A9"/>
    <w:rsid w:val="57154464"/>
    <w:rsid w:val="571847AF"/>
    <w:rsid w:val="571A10F7"/>
    <w:rsid w:val="571A5AE4"/>
    <w:rsid w:val="571B16A5"/>
    <w:rsid w:val="571B3463"/>
    <w:rsid w:val="571D2916"/>
    <w:rsid w:val="572001ED"/>
    <w:rsid w:val="57203EE6"/>
    <w:rsid w:val="5720616D"/>
    <w:rsid w:val="57212D6C"/>
    <w:rsid w:val="57220200"/>
    <w:rsid w:val="572344BF"/>
    <w:rsid w:val="57237C05"/>
    <w:rsid w:val="57242730"/>
    <w:rsid w:val="57254DEC"/>
    <w:rsid w:val="57261A6A"/>
    <w:rsid w:val="5726296A"/>
    <w:rsid w:val="57283401"/>
    <w:rsid w:val="572B1657"/>
    <w:rsid w:val="572C428C"/>
    <w:rsid w:val="572E3441"/>
    <w:rsid w:val="572E627E"/>
    <w:rsid w:val="572F7946"/>
    <w:rsid w:val="57302595"/>
    <w:rsid w:val="573161DB"/>
    <w:rsid w:val="57333CE5"/>
    <w:rsid w:val="57335DFD"/>
    <w:rsid w:val="573468B9"/>
    <w:rsid w:val="57353FD2"/>
    <w:rsid w:val="57371EEA"/>
    <w:rsid w:val="57386D36"/>
    <w:rsid w:val="57393A80"/>
    <w:rsid w:val="573A2586"/>
    <w:rsid w:val="573A6853"/>
    <w:rsid w:val="573B0464"/>
    <w:rsid w:val="573B312C"/>
    <w:rsid w:val="573E12FB"/>
    <w:rsid w:val="573E7117"/>
    <w:rsid w:val="573F1AB8"/>
    <w:rsid w:val="573F2ACE"/>
    <w:rsid w:val="573F5AE9"/>
    <w:rsid w:val="574033AC"/>
    <w:rsid w:val="57410BE5"/>
    <w:rsid w:val="57426B18"/>
    <w:rsid w:val="57432B60"/>
    <w:rsid w:val="574432D8"/>
    <w:rsid w:val="5744701C"/>
    <w:rsid w:val="5745504F"/>
    <w:rsid w:val="57455F46"/>
    <w:rsid w:val="57465A6D"/>
    <w:rsid w:val="5747071E"/>
    <w:rsid w:val="57484357"/>
    <w:rsid w:val="57490418"/>
    <w:rsid w:val="57496986"/>
    <w:rsid w:val="574A26E4"/>
    <w:rsid w:val="574A594B"/>
    <w:rsid w:val="574B6503"/>
    <w:rsid w:val="574C4DA4"/>
    <w:rsid w:val="574D5A55"/>
    <w:rsid w:val="574D5AC8"/>
    <w:rsid w:val="574E3282"/>
    <w:rsid w:val="57514C29"/>
    <w:rsid w:val="57517139"/>
    <w:rsid w:val="5752104A"/>
    <w:rsid w:val="5752436B"/>
    <w:rsid w:val="5752785E"/>
    <w:rsid w:val="575475B2"/>
    <w:rsid w:val="57547A10"/>
    <w:rsid w:val="57552822"/>
    <w:rsid w:val="57561862"/>
    <w:rsid w:val="575925A3"/>
    <w:rsid w:val="57594D6B"/>
    <w:rsid w:val="575A32CA"/>
    <w:rsid w:val="575B0EB7"/>
    <w:rsid w:val="575C259C"/>
    <w:rsid w:val="575F6A77"/>
    <w:rsid w:val="57604AA4"/>
    <w:rsid w:val="57606D91"/>
    <w:rsid w:val="576113BC"/>
    <w:rsid w:val="576154BD"/>
    <w:rsid w:val="57616B44"/>
    <w:rsid w:val="576201BE"/>
    <w:rsid w:val="57620D6A"/>
    <w:rsid w:val="576228CA"/>
    <w:rsid w:val="57631D4B"/>
    <w:rsid w:val="57662ACB"/>
    <w:rsid w:val="576640CE"/>
    <w:rsid w:val="57664298"/>
    <w:rsid w:val="57664702"/>
    <w:rsid w:val="57664CC0"/>
    <w:rsid w:val="5766572E"/>
    <w:rsid w:val="5768324E"/>
    <w:rsid w:val="57685960"/>
    <w:rsid w:val="57693D16"/>
    <w:rsid w:val="57695A05"/>
    <w:rsid w:val="5769765E"/>
    <w:rsid w:val="576A7AB4"/>
    <w:rsid w:val="576B1088"/>
    <w:rsid w:val="576C7DAF"/>
    <w:rsid w:val="576D32C2"/>
    <w:rsid w:val="576D5883"/>
    <w:rsid w:val="576D6A1E"/>
    <w:rsid w:val="576E511B"/>
    <w:rsid w:val="57711FE2"/>
    <w:rsid w:val="57717D15"/>
    <w:rsid w:val="57745FD8"/>
    <w:rsid w:val="57754285"/>
    <w:rsid w:val="577A5211"/>
    <w:rsid w:val="577C11EF"/>
    <w:rsid w:val="577C331B"/>
    <w:rsid w:val="577D4124"/>
    <w:rsid w:val="577D7C72"/>
    <w:rsid w:val="577E0B1B"/>
    <w:rsid w:val="577E0C48"/>
    <w:rsid w:val="577F6109"/>
    <w:rsid w:val="57800573"/>
    <w:rsid w:val="57802BD2"/>
    <w:rsid w:val="57824460"/>
    <w:rsid w:val="5783548A"/>
    <w:rsid w:val="5783717D"/>
    <w:rsid w:val="578431D7"/>
    <w:rsid w:val="578465B2"/>
    <w:rsid w:val="5785057F"/>
    <w:rsid w:val="57853747"/>
    <w:rsid w:val="57855F29"/>
    <w:rsid w:val="5786209C"/>
    <w:rsid w:val="57865E41"/>
    <w:rsid w:val="57883967"/>
    <w:rsid w:val="57885596"/>
    <w:rsid w:val="57891963"/>
    <w:rsid w:val="57895550"/>
    <w:rsid w:val="57897743"/>
    <w:rsid w:val="578B63E7"/>
    <w:rsid w:val="578C6C36"/>
    <w:rsid w:val="578C6CA9"/>
    <w:rsid w:val="578C7B31"/>
    <w:rsid w:val="578D176B"/>
    <w:rsid w:val="578D3F26"/>
    <w:rsid w:val="578F0B59"/>
    <w:rsid w:val="578F69AF"/>
    <w:rsid w:val="57901EFB"/>
    <w:rsid w:val="57911CE2"/>
    <w:rsid w:val="579268AE"/>
    <w:rsid w:val="57931272"/>
    <w:rsid w:val="579331E5"/>
    <w:rsid w:val="579448C0"/>
    <w:rsid w:val="5794546A"/>
    <w:rsid w:val="5794675D"/>
    <w:rsid w:val="57952D44"/>
    <w:rsid w:val="57953F10"/>
    <w:rsid w:val="5797229E"/>
    <w:rsid w:val="5798092D"/>
    <w:rsid w:val="579857A2"/>
    <w:rsid w:val="579A7861"/>
    <w:rsid w:val="579B705F"/>
    <w:rsid w:val="579B729A"/>
    <w:rsid w:val="579C7C7B"/>
    <w:rsid w:val="579D149E"/>
    <w:rsid w:val="579D1E5C"/>
    <w:rsid w:val="579D217C"/>
    <w:rsid w:val="579D6D11"/>
    <w:rsid w:val="57A06022"/>
    <w:rsid w:val="57A26D91"/>
    <w:rsid w:val="57A407E2"/>
    <w:rsid w:val="57A41371"/>
    <w:rsid w:val="57A4777E"/>
    <w:rsid w:val="57A478E8"/>
    <w:rsid w:val="57A55866"/>
    <w:rsid w:val="57A71001"/>
    <w:rsid w:val="57A878F5"/>
    <w:rsid w:val="57AB5572"/>
    <w:rsid w:val="57AD19CA"/>
    <w:rsid w:val="57AD2856"/>
    <w:rsid w:val="57AD3186"/>
    <w:rsid w:val="57AF0E34"/>
    <w:rsid w:val="57AF1480"/>
    <w:rsid w:val="57B1329F"/>
    <w:rsid w:val="57B14E43"/>
    <w:rsid w:val="57B23AC9"/>
    <w:rsid w:val="57B24D05"/>
    <w:rsid w:val="57B27D25"/>
    <w:rsid w:val="57B3146C"/>
    <w:rsid w:val="57B331FA"/>
    <w:rsid w:val="57B46314"/>
    <w:rsid w:val="57B522AC"/>
    <w:rsid w:val="57B55B4F"/>
    <w:rsid w:val="57B61557"/>
    <w:rsid w:val="57B70101"/>
    <w:rsid w:val="57B868DF"/>
    <w:rsid w:val="57B91BD7"/>
    <w:rsid w:val="57B92819"/>
    <w:rsid w:val="57BA07B4"/>
    <w:rsid w:val="57BC1A48"/>
    <w:rsid w:val="57BD0A95"/>
    <w:rsid w:val="57BD38A6"/>
    <w:rsid w:val="57BE4DEF"/>
    <w:rsid w:val="57BF138B"/>
    <w:rsid w:val="57BF6A53"/>
    <w:rsid w:val="57C063BD"/>
    <w:rsid w:val="57C2388B"/>
    <w:rsid w:val="57C437A2"/>
    <w:rsid w:val="57C51CFA"/>
    <w:rsid w:val="57C51EE9"/>
    <w:rsid w:val="57C74EBE"/>
    <w:rsid w:val="57CA6079"/>
    <w:rsid w:val="57CB0F5D"/>
    <w:rsid w:val="57CB438E"/>
    <w:rsid w:val="57CC79AB"/>
    <w:rsid w:val="57CE7945"/>
    <w:rsid w:val="57CF0289"/>
    <w:rsid w:val="57D00BE7"/>
    <w:rsid w:val="57D12A81"/>
    <w:rsid w:val="57D12C24"/>
    <w:rsid w:val="57D147D9"/>
    <w:rsid w:val="57D25298"/>
    <w:rsid w:val="57D31A9A"/>
    <w:rsid w:val="57D37536"/>
    <w:rsid w:val="57D77D86"/>
    <w:rsid w:val="57D84B55"/>
    <w:rsid w:val="57D86D2C"/>
    <w:rsid w:val="57D87D88"/>
    <w:rsid w:val="57D947D0"/>
    <w:rsid w:val="57D96DF9"/>
    <w:rsid w:val="57DB631A"/>
    <w:rsid w:val="57DB7EED"/>
    <w:rsid w:val="57DC0045"/>
    <w:rsid w:val="57DC467C"/>
    <w:rsid w:val="57DC50FB"/>
    <w:rsid w:val="57DC7769"/>
    <w:rsid w:val="57DF1FCD"/>
    <w:rsid w:val="57E030B0"/>
    <w:rsid w:val="57E13C2A"/>
    <w:rsid w:val="57E27E20"/>
    <w:rsid w:val="57E35E2F"/>
    <w:rsid w:val="57E66E36"/>
    <w:rsid w:val="57E85F0C"/>
    <w:rsid w:val="57E87172"/>
    <w:rsid w:val="57E90BE5"/>
    <w:rsid w:val="57E9590B"/>
    <w:rsid w:val="57EA3726"/>
    <w:rsid w:val="57EA58F1"/>
    <w:rsid w:val="57ED6FDA"/>
    <w:rsid w:val="57EE0DD8"/>
    <w:rsid w:val="57F0168A"/>
    <w:rsid w:val="57F4049A"/>
    <w:rsid w:val="57F50AA4"/>
    <w:rsid w:val="57F62579"/>
    <w:rsid w:val="57F71D99"/>
    <w:rsid w:val="57F74620"/>
    <w:rsid w:val="57F8448D"/>
    <w:rsid w:val="57F92829"/>
    <w:rsid w:val="57FB5A45"/>
    <w:rsid w:val="57FB5DA3"/>
    <w:rsid w:val="57FC1F34"/>
    <w:rsid w:val="57FC5905"/>
    <w:rsid w:val="57FD169F"/>
    <w:rsid w:val="57FD5A31"/>
    <w:rsid w:val="57FD7570"/>
    <w:rsid w:val="57FE55BA"/>
    <w:rsid w:val="57FF1B93"/>
    <w:rsid w:val="57FF2736"/>
    <w:rsid w:val="58003366"/>
    <w:rsid w:val="580063AF"/>
    <w:rsid w:val="580067C9"/>
    <w:rsid w:val="5800682C"/>
    <w:rsid w:val="58032B94"/>
    <w:rsid w:val="58041D81"/>
    <w:rsid w:val="58044E63"/>
    <w:rsid w:val="58047C3F"/>
    <w:rsid w:val="58054468"/>
    <w:rsid w:val="58057DAB"/>
    <w:rsid w:val="5806097D"/>
    <w:rsid w:val="58060989"/>
    <w:rsid w:val="58062E48"/>
    <w:rsid w:val="580757CA"/>
    <w:rsid w:val="58086222"/>
    <w:rsid w:val="580901E4"/>
    <w:rsid w:val="580949EC"/>
    <w:rsid w:val="58094A6A"/>
    <w:rsid w:val="580A44EA"/>
    <w:rsid w:val="580A5034"/>
    <w:rsid w:val="580A6AF6"/>
    <w:rsid w:val="580A6CE8"/>
    <w:rsid w:val="580C1D0B"/>
    <w:rsid w:val="580D3F78"/>
    <w:rsid w:val="580E78D3"/>
    <w:rsid w:val="58101096"/>
    <w:rsid w:val="58114C84"/>
    <w:rsid w:val="58136280"/>
    <w:rsid w:val="581439CF"/>
    <w:rsid w:val="58144DF0"/>
    <w:rsid w:val="581574A9"/>
    <w:rsid w:val="581616D7"/>
    <w:rsid w:val="58163B21"/>
    <w:rsid w:val="58163D1C"/>
    <w:rsid w:val="5816480F"/>
    <w:rsid w:val="581754FA"/>
    <w:rsid w:val="58192664"/>
    <w:rsid w:val="581A4428"/>
    <w:rsid w:val="581A58B9"/>
    <w:rsid w:val="581B7766"/>
    <w:rsid w:val="581D6954"/>
    <w:rsid w:val="581E00D1"/>
    <w:rsid w:val="581E0947"/>
    <w:rsid w:val="582019D9"/>
    <w:rsid w:val="5823020E"/>
    <w:rsid w:val="582317CD"/>
    <w:rsid w:val="58262998"/>
    <w:rsid w:val="58266116"/>
    <w:rsid w:val="58282453"/>
    <w:rsid w:val="58286472"/>
    <w:rsid w:val="582B0D88"/>
    <w:rsid w:val="582C00D2"/>
    <w:rsid w:val="582C498D"/>
    <w:rsid w:val="582F7DF6"/>
    <w:rsid w:val="58317F12"/>
    <w:rsid w:val="58330DE2"/>
    <w:rsid w:val="58354EE9"/>
    <w:rsid w:val="58356C4B"/>
    <w:rsid w:val="5838257C"/>
    <w:rsid w:val="58396201"/>
    <w:rsid w:val="583C46E2"/>
    <w:rsid w:val="583D0A79"/>
    <w:rsid w:val="583D36C5"/>
    <w:rsid w:val="583E38C5"/>
    <w:rsid w:val="583E3CA8"/>
    <w:rsid w:val="583E48CA"/>
    <w:rsid w:val="583F1137"/>
    <w:rsid w:val="583F3410"/>
    <w:rsid w:val="58410493"/>
    <w:rsid w:val="58414034"/>
    <w:rsid w:val="584146A0"/>
    <w:rsid w:val="584314DB"/>
    <w:rsid w:val="58435705"/>
    <w:rsid w:val="584359C1"/>
    <w:rsid w:val="584414A5"/>
    <w:rsid w:val="58442858"/>
    <w:rsid w:val="58450D79"/>
    <w:rsid w:val="58450E31"/>
    <w:rsid w:val="58457D65"/>
    <w:rsid w:val="58462A68"/>
    <w:rsid w:val="58482183"/>
    <w:rsid w:val="584869DE"/>
    <w:rsid w:val="584931D3"/>
    <w:rsid w:val="58493783"/>
    <w:rsid w:val="584A0FB2"/>
    <w:rsid w:val="584A16A5"/>
    <w:rsid w:val="584A710A"/>
    <w:rsid w:val="584B119B"/>
    <w:rsid w:val="58500BAA"/>
    <w:rsid w:val="58500D5B"/>
    <w:rsid w:val="58504648"/>
    <w:rsid w:val="5851035A"/>
    <w:rsid w:val="5851229B"/>
    <w:rsid w:val="58531BFD"/>
    <w:rsid w:val="58531F29"/>
    <w:rsid w:val="58540660"/>
    <w:rsid w:val="585432DB"/>
    <w:rsid w:val="58546227"/>
    <w:rsid w:val="585518E5"/>
    <w:rsid w:val="58553340"/>
    <w:rsid w:val="5855396E"/>
    <w:rsid w:val="58554ED4"/>
    <w:rsid w:val="5855515B"/>
    <w:rsid w:val="58557B66"/>
    <w:rsid w:val="58571A56"/>
    <w:rsid w:val="585A272A"/>
    <w:rsid w:val="585A6991"/>
    <w:rsid w:val="585A723F"/>
    <w:rsid w:val="585B6434"/>
    <w:rsid w:val="585D7798"/>
    <w:rsid w:val="58610B1C"/>
    <w:rsid w:val="58611E1A"/>
    <w:rsid w:val="5861424C"/>
    <w:rsid w:val="58626580"/>
    <w:rsid w:val="58647F05"/>
    <w:rsid w:val="58663F9D"/>
    <w:rsid w:val="586706CA"/>
    <w:rsid w:val="58670CF0"/>
    <w:rsid w:val="58673314"/>
    <w:rsid w:val="58693314"/>
    <w:rsid w:val="586958C8"/>
    <w:rsid w:val="586A0FEA"/>
    <w:rsid w:val="586A5709"/>
    <w:rsid w:val="586D05F4"/>
    <w:rsid w:val="586E1BAB"/>
    <w:rsid w:val="586E5A95"/>
    <w:rsid w:val="586F4C25"/>
    <w:rsid w:val="586F4D55"/>
    <w:rsid w:val="58710265"/>
    <w:rsid w:val="5872296D"/>
    <w:rsid w:val="58724AA4"/>
    <w:rsid w:val="587250C8"/>
    <w:rsid w:val="58755F89"/>
    <w:rsid w:val="58763272"/>
    <w:rsid w:val="587756AF"/>
    <w:rsid w:val="587953AF"/>
    <w:rsid w:val="58795AB7"/>
    <w:rsid w:val="587C6A81"/>
    <w:rsid w:val="587C70A3"/>
    <w:rsid w:val="587D4996"/>
    <w:rsid w:val="587D6134"/>
    <w:rsid w:val="587E3FBE"/>
    <w:rsid w:val="587F1EB4"/>
    <w:rsid w:val="58806918"/>
    <w:rsid w:val="588658D3"/>
    <w:rsid w:val="58881A6C"/>
    <w:rsid w:val="58890A16"/>
    <w:rsid w:val="588F6154"/>
    <w:rsid w:val="58902C2D"/>
    <w:rsid w:val="58912CC2"/>
    <w:rsid w:val="5892526B"/>
    <w:rsid w:val="589349A1"/>
    <w:rsid w:val="58936E76"/>
    <w:rsid w:val="58944A94"/>
    <w:rsid w:val="58950C9C"/>
    <w:rsid w:val="58951A88"/>
    <w:rsid w:val="58954EB3"/>
    <w:rsid w:val="589575C5"/>
    <w:rsid w:val="589D1D28"/>
    <w:rsid w:val="589D213D"/>
    <w:rsid w:val="58A0079E"/>
    <w:rsid w:val="58A258FF"/>
    <w:rsid w:val="58A342E3"/>
    <w:rsid w:val="58A43E90"/>
    <w:rsid w:val="58A77AB4"/>
    <w:rsid w:val="58A824B5"/>
    <w:rsid w:val="58AA43DA"/>
    <w:rsid w:val="58AD0EBF"/>
    <w:rsid w:val="58AF18DB"/>
    <w:rsid w:val="58B011B5"/>
    <w:rsid w:val="58B12AFF"/>
    <w:rsid w:val="58B40580"/>
    <w:rsid w:val="58B448DF"/>
    <w:rsid w:val="58B6125A"/>
    <w:rsid w:val="58B81BC5"/>
    <w:rsid w:val="58B8595B"/>
    <w:rsid w:val="58B86044"/>
    <w:rsid w:val="58BA528D"/>
    <w:rsid w:val="58BA5A41"/>
    <w:rsid w:val="58BB043A"/>
    <w:rsid w:val="58BB0C45"/>
    <w:rsid w:val="58BD6C2C"/>
    <w:rsid w:val="58BE3149"/>
    <w:rsid w:val="58C00880"/>
    <w:rsid w:val="58C06EC1"/>
    <w:rsid w:val="58C12ACA"/>
    <w:rsid w:val="58C135AA"/>
    <w:rsid w:val="58C1773E"/>
    <w:rsid w:val="58C24E7F"/>
    <w:rsid w:val="58C26A99"/>
    <w:rsid w:val="58C3401A"/>
    <w:rsid w:val="58C46E99"/>
    <w:rsid w:val="58C50010"/>
    <w:rsid w:val="58C659C3"/>
    <w:rsid w:val="58C7035F"/>
    <w:rsid w:val="58C70B5F"/>
    <w:rsid w:val="58C742E6"/>
    <w:rsid w:val="58CA6A8D"/>
    <w:rsid w:val="58CB34BC"/>
    <w:rsid w:val="58CB389A"/>
    <w:rsid w:val="58CB6105"/>
    <w:rsid w:val="58CB6EEC"/>
    <w:rsid w:val="58CD3813"/>
    <w:rsid w:val="58CD6D59"/>
    <w:rsid w:val="58CE02C8"/>
    <w:rsid w:val="58CE1116"/>
    <w:rsid w:val="58CE31FC"/>
    <w:rsid w:val="58CE5223"/>
    <w:rsid w:val="58CE6951"/>
    <w:rsid w:val="58CF7ED0"/>
    <w:rsid w:val="58D07201"/>
    <w:rsid w:val="58D2573C"/>
    <w:rsid w:val="58D27C05"/>
    <w:rsid w:val="58D3023A"/>
    <w:rsid w:val="58D6626F"/>
    <w:rsid w:val="58D70B00"/>
    <w:rsid w:val="58D74F21"/>
    <w:rsid w:val="58D81079"/>
    <w:rsid w:val="58D87BF1"/>
    <w:rsid w:val="58DE1359"/>
    <w:rsid w:val="58DF017E"/>
    <w:rsid w:val="58DF3223"/>
    <w:rsid w:val="58E00B7D"/>
    <w:rsid w:val="58E2044D"/>
    <w:rsid w:val="58E208BA"/>
    <w:rsid w:val="58E25894"/>
    <w:rsid w:val="58E26CEE"/>
    <w:rsid w:val="58E40FD5"/>
    <w:rsid w:val="58E457D6"/>
    <w:rsid w:val="58E54168"/>
    <w:rsid w:val="58E709B8"/>
    <w:rsid w:val="58E86459"/>
    <w:rsid w:val="58EA5F80"/>
    <w:rsid w:val="58EB7463"/>
    <w:rsid w:val="58EC6345"/>
    <w:rsid w:val="58EC74C2"/>
    <w:rsid w:val="58EF4E82"/>
    <w:rsid w:val="58EF52AE"/>
    <w:rsid w:val="58F30B32"/>
    <w:rsid w:val="58F4446B"/>
    <w:rsid w:val="58F47832"/>
    <w:rsid w:val="58F47B71"/>
    <w:rsid w:val="58F629F1"/>
    <w:rsid w:val="58F75817"/>
    <w:rsid w:val="58F807B0"/>
    <w:rsid w:val="58F844EF"/>
    <w:rsid w:val="58F95C39"/>
    <w:rsid w:val="58FE5D1D"/>
    <w:rsid w:val="59001289"/>
    <w:rsid w:val="590024E3"/>
    <w:rsid w:val="59034A2A"/>
    <w:rsid w:val="59052CD2"/>
    <w:rsid w:val="59056AB6"/>
    <w:rsid w:val="59080730"/>
    <w:rsid w:val="59093C3A"/>
    <w:rsid w:val="590958E0"/>
    <w:rsid w:val="590A03EB"/>
    <w:rsid w:val="590B2CC1"/>
    <w:rsid w:val="590D0D86"/>
    <w:rsid w:val="590D2DD2"/>
    <w:rsid w:val="590D357D"/>
    <w:rsid w:val="590E5687"/>
    <w:rsid w:val="590E7F03"/>
    <w:rsid w:val="590F776B"/>
    <w:rsid w:val="591469AE"/>
    <w:rsid w:val="59146D1D"/>
    <w:rsid w:val="59153231"/>
    <w:rsid w:val="59170416"/>
    <w:rsid w:val="59184FE8"/>
    <w:rsid w:val="59186930"/>
    <w:rsid w:val="591D1B68"/>
    <w:rsid w:val="591F15CA"/>
    <w:rsid w:val="59214BE1"/>
    <w:rsid w:val="5921500A"/>
    <w:rsid w:val="592258F0"/>
    <w:rsid w:val="592265D1"/>
    <w:rsid w:val="592311BE"/>
    <w:rsid w:val="59232EBF"/>
    <w:rsid w:val="5924273D"/>
    <w:rsid w:val="59244DA6"/>
    <w:rsid w:val="592676CC"/>
    <w:rsid w:val="5928045E"/>
    <w:rsid w:val="59282A0B"/>
    <w:rsid w:val="592917F9"/>
    <w:rsid w:val="59291B61"/>
    <w:rsid w:val="592A6F9A"/>
    <w:rsid w:val="592C47AC"/>
    <w:rsid w:val="592D4F52"/>
    <w:rsid w:val="592D6228"/>
    <w:rsid w:val="592E3E96"/>
    <w:rsid w:val="59311639"/>
    <w:rsid w:val="593212FE"/>
    <w:rsid w:val="59325458"/>
    <w:rsid w:val="593274D6"/>
    <w:rsid w:val="59343DCF"/>
    <w:rsid w:val="59352049"/>
    <w:rsid w:val="5936273A"/>
    <w:rsid w:val="59375A29"/>
    <w:rsid w:val="593769EB"/>
    <w:rsid w:val="59376D32"/>
    <w:rsid w:val="59385BDC"/>
    <w:rsid w:val="59392C4B"/>
    <w:rsid w:val="5939414E"/>
    <w:rsid w:val="593A0AC4"/>
    <w:rsid w:val="593A7BF0"/>
    <w:rsid w:val="593B5784"/>
    <w:rsid w:val="593C14B7"/>
    <w:rsid w:val="593C1E22"/>
    <w:rsid w:val="593C68F6"/>
    <w:rsid w:val="593D2631"/>
    <w:rsid w:val="593D524C"/>
    <w:rsid w:val="593F0375"/>
    <w:rsid w:val="593F5431"/>
    <w:rsid w:val="5941471B"/>
    <w:rsid w:val="594170A8"/>
    <w:rsid w:val="594216B1"/>
    <w:rsid w:val="594253CD"/>
    <w:rsid w:val="59435745"/>
    <w:rsid w:val="59436753"/>
    <w:rsid w:val="594463DE"/>
    <w:rsid w:val="594504C2"/>
    <w:rsid w:val="59452E50"/>
    <w:rsid w:val="59457535"/>
    <w:rsid w:val="59464664"/>
    <w:rsid w:val="59483A72"/>
    <w:rsid w:val="594A1D1F"/>
    <w:rsid w:val="594C6333"/>
    <w:rsid w:val="594D1C37"/>
    <w:rsid w:val="594D3DD3"/>
    <w:rsid w:val="594D541B"/>
    <w:rsid w:val="594D67AC"/>
    <w:rsid w:val="594F4739"/>
    <w:rsid w:val="595102A0"/>
    <w:rsid w:val="5951727B"/>
    <w:rsid w:val="59521E3F"/>
    <w:rsid w:val="59525393"/>
    <w:rsid w:val="5953355B"/>
    <w:rsid w:val="5953388F"/>
    <w:rsid w:val="59533EDE"/>
    <w:rsid w:val="595432FF"/>
    <w:rsid w:val="595438B4"/>
    <w:rsid w:val="59543917"/>
    <w:rsid w:val="5955333E"/>
    <w:rsid w:val="59563142"/>
    <w:rsid w:val="59566E72"/>
    <w:rsid w:val="59567A00"/>
    <w:rsid w:val="59567A12"/>
    <w:rsid w:val="59572260"/>
    <w:rsid w:val="59574E37"/>
    <w:rsid w:val="59586945"/>
    <w:rsid w:val="59592683"/>
    <w:rsid w:val="595A7515"/>
    <w:rsid w:val="595B5FF1"/>
    <w:rsid w:val="595D2486"/>
    <w:rsid w:val="595D2573"/>
    <w:rsid w:val="595E0507"/>
    <w:rsid w:val="595E1424"/>
    <w:rsid w:val="595E524B"/>
    <w:rsid w:val="59616026"/>
    <w:rsid w:val="59617E35"/>
    <w:rsid w:val="59624E46"/>
    <w:rsid w:val="59637F5C"/>
    <w:rsid w:val="59645F1C"/>
    <w:rsid w:val="59646F04"/>
    <w:rsid w:val="596875FA"/>
    <w:rsid w:val="59692273"/>
    <w:rsid w:val="596953B7"/>
    <w:rsid w:val="59697626"/>
    <w:rsid w:val="596A7F5B"/>
    <w:rsid w:val="596C5D74"/>
    <w:rsid w:val="596E67EE"/>
    <w:rsid w:val="596E6971"/>
    <w:rsid w:val="596F5B3F"/>
    <w:rsid w:val="59724F0D"/>
    <w:rsid w:val="59726F04"/>
    <w:rsid w:val="5974084D"/>
    <w:rsid w:val="597524EB"/>
    <w:rsid w:val="59753BC4"/>
    <w:rsid w:val="5975535F"/>
    <w:rsid w:val="5975660F"/>
    <w:rsid w:val="59756728"/>
    <w:rsid w:val="59796F2C"/>
    <w:rsid w:val="597A1E04"/>
    <w:rsid w:val="597B683F"/>
    <w:rsid w:val="597D0209"/>
    <w:rsid w:val="597D1654"/>
    <w:rsid w:val="597E4B43"/>
    <w:rsid w:val="597E5F4D"/>
    <w:rsid w:val="59800933"/>
    <w:rsid w:val="59804F08"/>
    <w:rsid w:val="59824180"/>
    <w:rsid w:val="59831B59"/>
    <w:rsid w:val="59832025"/>
    <w:rsid w:val="5983763E"/>
    <w:rsid w:val="5987037B"/>
    <w:rsid w:val="5987402E"/>
    <w:rsid w:val="59877D05"/>
    <w:rsid w:val="59882AE2"/>
    <w:rsid w:val="598B2538"/>
    <w:rsid w:val="598B6F0A"/>
    <w:rsid w:val="598E2DF0"/>
    <w:rsid w:val="598F00B3"/>
    <w:rsid w:val="599007AD"/>
    <w:rsid w:val="599029F9"/>
    <w:rsid w:val="599051DA"/>
    <w:rsid w:val="5991071A"/>
    <w:rsid w:val="59917593"/>
    <w:rsid w:val="59937371"/>
    <w:rsid w:val="59951FB2"/>
    <w:rsid w:val="59957A2E"/>
    <w:rsid w:val="59972B38"/>
    <w:rsid w:val="59973612"/>
    <w:rsid w:val="59975448"/>
    <w:rsid w:val="5998116E"/>
    <w:rsid w:val="599A4988"/>
    <w:rsid w:val="599A7840"/>
    <w:rsid w:val="599B50F5"/>
    <w:rsid w:val="599C047E"/>
    <w:rsid w:val="599F0350"/>
    <w:rsid w:val="59A033AF"/>
    <w:rsid w:val="59A05520"/>
    <w:rsid w:val="59A30508"/>
    <w:rsid w:val="59A3278D"/>
    <w:rsid w:val="59A564A8"/>
    <w:rsid w:val="59A57ADA"/>
    <w:rsid w:val="59A6210C"/>
    <w:rsid w:val="59A667C5"/>
    <w:rsid w:val="59A6748F"/>
    <w:rsid w:val="59A86336"/>
    <w:rsid w:val="59AA034B"/>
    <w:rsid w:val="59AA1E5B"/>
    <w:rsid w:val="59AA4A65"/>
    <w:rsid w:val="59AA4C03"/>
    <w:rsid w:val="59AB103E"/>
    <w:rsid w:val="59AE02C2"/>
    <w:rsid w:val="59AE3FCD"/>
    <w:rsid w:val="59AF3048"/>
    <w:rsid w:val="59B227FD"/>
    <w:rsid w:val="59B27B0A"/>
    <w:rsid w:val="59B302AC"/>
    <w:rsid w:val="59B3314D"/>
    <w:rsid w:val="59B41482"/>
    <w:rsid w:val="59B47D1B"/>
    <w:rsid w:val="59B621BF"/>
    <w:rsid w:val="59B62F70"/>
    <w:rsid w:val="59B70B06"/>
    <w:rsid w:val="59BA3EBE"/>
    <w:rsid w:val="59BB5304"/>
    <w:rsid w:val="59BD19DB"/>
    <w:rsid w:val="59BD1E33"/>
    <w:rsid w:val="59BD24A7"/>
    <w:rsid w:val="59BD6ACF"/>
    <w:rsid w:val="59C00168"/>
    <w:rsid w:val="59C04B5B"/>
    <w:rsid w:val="59C22963"/>
    <w:rsid w:val="59C2698B"/>
    <w:rsid w:val="59C36CD4"/>
    <w:rsid w:val="59C47978"/>
    <w:rsid w:val="59C542CF"/>
    <w:rsid w:val="59C559FD"/>
    <w:rsid w:val="59C65904"/>
    <w:rsid w:val="59C730A5"/>
    <w:rsid w:val="59C76A10"/>
    <w:rsid w:val="59C90628"/>
    <w:rsid w:val="59C919CF"/>
    <w:rsid w:val="59C94A01"/>
    <w:rsid w:val="59CB121E"/>
    <w:rsid w:val="59CB5552"/>
    <w:rsid w:val="59CC4E6F"/>
    <w:rsid w:val="59CE3315"/>
    <w:rsid w:val="59CE3871"/>
    <w:rsid w:val="59CF7761"/>
    <w:rsid w:val="59D030E6"/>
    <w:rsid w:val="59D170C2"/>
    <w:rsid w:val="59D17A28"/>
    <w:rsid w:val="59D3014E"/>
    <w:rsid w:val="59D54865"/>
    <w:rsid w:val="59D55802"/>
    <w:rsid w:val="59D643E2"/>
    <w:rsid w:val="59D725AC"/>
    <w:rsid w:val="59D81AE6"/>
    <w:rsid w:val="59D86AEA"/>
    <w:rsid w:val="59D877C3"/>
    <w:rsid w:val="59D93F13"/>
    <w:rsid w:val="59D96AE1"/>
    <w:rsid w:val="59DA2086"/>
    <w:rsid w:val="59DC00FB"/>
    <w:rsid w:val="59DC47C5"/>
    <w:rsid w:val="59DD1C2A"/>
    <w:rsid w:val="59DD4C84"/>
    <w:rsid w:val="59DE3233"/>
    <w:rsid w:val="59DF0E1F"/>
    <w:rsid w:val="59DF36A1"/>
    <w:rsid w:val="59E04B1D"/>
    <w:rsid w:val="59E05351"/>
    <w:rsid w:val="59E20717"/>
    <w:rsid w:val="59E25D13"/>
    <w:rsid w:val="59E3218E"/>
    <w:rsid w:val="59E47CE3"/>
    <w:rsid w:val="59E566F5"/>
    <w:rsid w:val="59E840AC"/>
    <w:rsid w:val="59E92A5A"/>
    <w:rsid w:val="59E955DA"/>
    <w:rsid w:val="59EC651D"/>
    <w:rsid w:val="59EC7985"/>
    <w:rsid w:val="59ED163C"/>
    <w:rsid w:val="59EE3075"/>
    <w:rsid w:val="59F03D4D"/>
    <w:rsid w:val="59F04FD0"/>
    <w:rsid w:val="59F05264"/>
    <w:rsid w:val="59F0535E"/>
    <w:rsid w:val="59F053FA"/>
    <w:rsid w:val="59F179C2"/>
    <w:rsid w:val="59F20757"/>
    <w:rsid w:val="59F21D95"/>
    <w:rsid w:val="59F25F2F"/>
    <w:rsid w:val="59F265B8"/>
    <w:rsid w:val="59F30A0B"/>
    <w:rsid w:val="59F34C51"/>
    <w:rsid w:val="59F466F7"/>
    <w:rsid w:val="59F53640"/>
    <w:rsid w:val="59F5457E"/>
    <w:rsid w:val="59F83A7B"/>
    <w:rsid w:val="59F86982"/>
    <w:rsid w:val="59F93C1C"/>
    <w:rsid w:val="59FA0238"/>
    <w:rsid w:val="59FD084B"/>
    <w:rsid w:val="59FD70B2"/>
    <w:rsid w:val="59FE0647"/>
    <w:rsid w:val="59FF38D6"/>
    <w:rsid w:val="59FF6B3A"/>
    <w:rsid w:val="59FF6FA8"/>
    <w:rsid w:val="5A0225D0"/>
    <w:rsid w:val="5A0312BE"/>
    <w:rsid w:val="5A0438EB"/>
    <w:rsid w:val="5A044B33"/>
    <w:rsid w:val="5A060B44"/>
    <w:rsid w:val="5A0631A4"/>
    <w:rsid w:val="5A070945"/>
    <w:rsid w:val="5A08486F"/>
    <w:rsid w:val="5A0871E2"/>
    <w:rsid w:val="5A090245"/>
    <w:rsid w:val="5A0919AC"/>
    <w:rsid w:val="5A0A015F"/>
    <w:rsid w:val="5A0C3E74"/>
    <w:rsid w:val="5A0D283D"/>
    <w:rsid w:val="5A0E6F7A"/>
    <w:rsid w:val="5A0F3CFB"/>
    <w:rsid w:val="5A112068"/>
    <w:rsid w:val="5A117165"/>
    <w:rsid w:val="5A131D1B"/>
    <w:rsid w:val="5A1457D6"/>
    <w:rsid w:val="5A15643D"/>
    <w:rsid w:val="5A16411C"/>
    <w:rsid w:val="5A175894"/>
    <w:rsid w:val="5A18678D"/>
    <w:rsid w:val="5A192DC1"/>
    <w:rsid w:val="5A1A11E2"/>
    <w:rsid w:val="5A1A7B69"/>
    <w:rsid w:val="5A1A7C29"/>
    <w:rsid w:val="5A1A7CE4"/>
    <w:rsid w:val="5A1B4BF7"/>
    <w:rsid w:val="5A1B5031"/>
    <w:rsid w:val="5A1B5FFB"/>
    <w:rsid w:val="5A1B7AD6"/>
    <w:rsid w:val="5A1C4D92"/>
    <w:rsid w:val="5A1E3F28"/>
    <w:rsid w:val="5A201804"/>
    <w:rsid w:val="5A220673"/>
    <w:rsid w:val="5A237A00"/>
    <w:rsid w:val="5A24061E"/>
    <w:rsid w:val="5A245E4B"/>
    <w:rsid w:val="5A25667B"/>
    <w:rsid w:val="5A265B15"/>
    <w:rsid w:val="5A271C73"/>
    <w:rsid w:val="5A276C3D"/>
    <w:rsid w:val="5A29120C"/>
    <w:rsid w:val="5A297C5F"/>
    <w:rsid w:val="5A2A093E"/>
    <w:rsid w:val="5A2B01C2"/>
    <w:rsid w:val="5A2C32E0"/>
    <w:rsid w:val="5A2D36E4"/>
    <w:rsid w:val="5A2D3AF4"/>
    <w:rsid w:val="5A2E3C63"/>
    <w:rsid w:val="5A2F356F"/>
    <w:rsid w:val="5A32033D"/>
    <w:rsid w:val="5A343D89"/>
    <w:rsid w:val="5A350240"/>
    <w:rsid w:val="5A351461"/>
    <w:rsid w:val="5A352675"/>
    <w:rsid w:val="5A357BFD"/>
    <w:rsid w:val="5A366BEA"/>
    <w:rsid w:val="5A372AC6"/>
    <w:rsid w:val="5A3978FE"/>
    <w:rsid w:val="5A3979E3"/>
    <w:rsid w:val="5A3A07D7"/>
    <w:rsid w:val="5A3B3C10"/>
    <w:rsid w:val="5A3B7AC8"/>
    <w:rsid w:val="5A3C6ACF"/>
    <w:rsid w:val="5A3C7D8B"/>
    <w:rsid w:val="5A3D6D5F"/>
    <w:rsid w:val="5A3E5F09"/>
    <w:rsid w:val="5A3E63EC"/>
    <w:rsid w:val="5A3F5490"/>
    <w:rsid w:val="5A40505D"/>
    <w:rsid w:val="5A411AE3"/>
    <w:rsid w:val="5A4129B2"/>
    <w:rsid w:val="5A4204EF"/>
    <w:rsid w:val="5A421A14"/>
    <w:rsid w:val="5A425459"/>
    <w:rsid w:val="5A430A51"/>
    <w:rsid w:val="5A440016"/>
    <w:rsid w:val="5A467FE9"/>
    <w:rsid w:val="5A4762F5"/>
    <w:rsid w:val="5A481FC3"/>
    <w:rsid w:val="5A485B89"/>
    <w:rsid w:val="5A487388"/>
    <w:rsid w:val="5A4D68CB"/>
    <w:rsid w:val="5A4E2167"/>
    <w:rsid w:val="5A4F1224"/>
    <w:rsid w:val="5A4F2157"/>
    <w:rsid w:val="5A4F3951"/>
    <w:rsid w:val="5A4F50C3"/>
    <w:rsid w:val="5A5018C9"/>
    <w:rsid w:val="5A503375"/>
    <w:rsid w:val="5A50775F"/>
    <w:rsid w:val="5A51119B"/>
    <w:rsid w:val="5A5308DE"/>
    <w:rsid w:val="5A534C74"/>
    <w:rsid w:val="5A553CB9"/>
    <w:rsid w:val="5A562C7E"/>
    <w:rsid w:val="5A583FA4"/>
    <w:rsid w:val="5A59453C"/>
    <w:rsid w:val="5A594F59"/>
    <w:rsid w:val="5A5A2707"/>
    <w:rsid w:val="5A5A482E"/>
    <w:rsid w:val="5A5B0264"/>
    <w:rsid w:val="5A5C20CA"/>
    <w:rsid w:val="5A5D7DD2"/>
    <w:rsid w:val="5A5F4374"/>
    <w:rsid w:val="5A633683"/>
    <w:rsid w:val="5A63527E"/>
    <w:rsid w:val="5A657C91"/>
    <w:rsid w:val="5A662451"/>
    <w:rsid w:val="5A671FCD"/>
    <w:rsid w:val="5A677D00"/>
    <w:rsid w:val="5A681849"/>
    <w:rsid w:val="5A6823B9"/>
    <w:rsid w:val="5A683F48"/>
    <w:rsid w:val="5A6A3D35"/>
    <w:rsid w:val="5A6B46A8"/>
    <w:rsid w:val="5A6B46AD"/>
    <w:rsid w:val="5A6E20C0"/>
    <w:rsid w:val="5A6E21EB"/>
    <w:rsid w:val="5A701241"/>
    <w:rsid w:val="5A70185B"/>
    <w:rsid w:val="5A7050C0"/>
    <w:rsid w:val="5A7209A1"/>
    <w:rsid w:val="5A7242A6"/>
    <w:rsid w:val="5A7270C0"/>
    <w:rsid w:val="5A732DD9"/>
    <w:rsid w:val="5A733B1E"/>
    <w:rsid w:val="5A740C73"/>
    <w:rsid w:val="5A7637BF"/>
    <w:rsid w:val="5A7832EA"/>
    <w:rsid w:val="5A7A1201"/>
    <w:rsid w:val="5A7C29CC"/>
    <w:rsid w:val="5A7C5307"/>
    <w:rsid w:val="5A7E0621"/>
    <w:rsid w:val="5A7E44DE"/>
    <w:rsid w:val="5A7E65C4"/>
    <w:rsid w:val="5A7F47D9"/>
    <w:rsid w:val="5A800D7A"/>
    <w:rsid w:val="5A8170AB"/>
    <w:rsid w:val="5A822DB0"/>
    <w:rsid w:val="5A823E81"/>
    <w:rsid w:val="5A8409B3"/>
    <w:rsid w:val="5A851D74"/>
    <w:rsid w:val="5A852F61"/>
    <w:rsid w:val="5A861F30"/>
    <w:rsid w:val="5A864F6E"/>
    <w:rsid w:val="5A88259F"/>
    <w:rsid w:val="5A8B41D5"/>
    <w:rsid w:val="5A8C7BE9"/>
    <w:rsid w:val="5A8D12B0"/>
    <w:rsid w:val="5A8D24F1"/>
    <w:rsid w:val="5A8D37A6"/>
    <w:rsid w:val="5A90027D"/>
    <w:rsid w:val="5A900C8C"/>
    <w:rsid w:val="5A91204E"/>
    <w:rsid w:val="5A917137"/>
    <w:rsid w:val="5A91777A"/>
    <w:rsid w:val="5A962F3A"/>
    <w:rsid w:val="5A971C0E"/>
    <w:rsid w:val="5A977A82"/>
    <w:rsid w:val="5A984CC1"/>
    <w:rsid w:val="5A9B1BB6"/>
    <w:rsid w:val="5A9B4546"/>
    <w:rsid w:val="5A9F2A31"/>
    <w:rsid w:val="5AA052E0"/>
    <w:rsid w:val="5AA10A1C"/>
    <w:rsid w:val="5AA227B9"/>
    <w:rsid w:val="5AA33E76"/>
    <w:rsid w:val="5AA47A34"/>
    <w:rsid w:val="5AA61FA3"/>
    <w:rsid w:val="5AA748D1"/>
    <w:rsid w:val="5AA8671F"/>
    <w:rsid w:val="5AAB448B"/>
    <w:rsid w:val="5AAC18DD"/>
    <w:rsid w:val="5AAC3332"/>
    <w:rsid w:val="5AB02E22"/>
    <w:rsid w:val="5AB148FD"/>
    <w:rsid w:val="5AB42DE0"/>
    <w:rsid w:val="5AB45A0C"/>
    <w:rsid w:val="5AB47F9D"/>
    <w:rsid w:val="5AB648BE"/>
    <w:rsid w:val="5AB95A55"/>
    <w:rsid w:val="5ABB73D8"/>
    <w:rsid w:val="5ABB7543"/>
    <w:rsid w:val="5ABC75E8"/>
    <w:rsid w:val="5ABE1B2D"/>
    <w:rsid w:val="5ABE520F"/>
    <w:rsid w:val="5AC07D08"/>
    <w:rsid w:val="5AC12B86"/>
    <w:rsid w:val="5AC239B6"/>
    <w:rsid w:val="5AC57111"/>
    <w:rsid w:val="5AC728B7"/>
    <w:rsid w:val="5AC754B9"/>
    <w:rsid w:val="5AC773B0"/>
    <w:rsid w:val="5AC803B5"/>
    <w:rsid w:val="5AC94081"/>
    <w:rsid w:val="5ACA41BA"/>
    <w:rsid w:val="5ACB13AB"/>
    <w:rsid w:val="5ACD7D7F"/>
    <w:rsid w:val="5ACE2866"/>
    <w:rsid w:val="5ACE2971"/>
    <w:rsid w:val="5ACE3F00"/>
    <w:rsid w:val="5ACE5F73"/>
    <w:rsid w:val="5ACF478A"/>
    <w:rsid w:val="5ACF4FBC"/>
    <w:rsid w:val="5AD00583"/>
    <w:rsid w:val="5AD17239"/>
    <w:rsid w:val="5AD17455"/>
    <w:rsid w:val="5AD45019"/>
    <w:rsid w:val="5AD50B6F"/>
    <w:rsid w:val="5AD55947"/>
    <w:rsid w:val="5AD57A4C"/>
    <w:rsid w:val="5AD7215D"/>
    <w:rsid w:val="5AD75716"/>
    <w:rsid w:val="5AD9685B"/>
    <w:rsid w:val="5ADA53F5"/>
    <w:rsid w:val="5ADA5C83"/>
    <w:rsid w:val="5ADB3245"/>
    <w:rsid w:val="5ADB43F1"/>
    <w:rsid w:val="5ADB48B4"/>
    <w:rsid w:val="5ADD25B4"/>
    <w:rsid w:val="5ADE0228"/>
    <w:rsid w:val="5ADF1F02"/>
    <w:rsid w:val="5AE40D1D"/>
    <w:rsid w:val="5AE52B34"/>
    <w:rsid w:val="5AE60E0A"/>
    <w:rsid w:val="5AE6328A"/>
    <w:rsid w:val="5AE652D4"/>
    <w:rsid w:val="5AE65F64"/>
    <w:rsid w:val="5AE665DC"/>
    <w:rsid w:val="5AE825BC"/>
    <w:rsid w:val="5AEA6567"/>
    <w:rsid w:val="5AEB399F"/>
    <w:rsid w:val="5AEC1DFA"/>
    <w:rsid w:val="5AEE161E"/>
    <w:rsid w:val="5AEE4465"/>
    <w:rsid w:val="5AEE4A32"/>
    <w:rsid w:val="5AEF50A5"/>
    <w:rsid w:val="5AEF52A2"/>
    <w:rsid w:val="5AEF6FBB"/>
    <w:rsid w:val="5AF04080"/>
    <w:rsid w:val="5AF04CE1"/>
    <w:rsid w:val="5AF25292"/>
    <w:rsid w:val="5AF26C85"/>
    <w:rsid w:val="5AF34ABD"/>
    <w:rsid w:val="5AF60087"/>
    <w:rsid w:val="5AF64DC1"/>
    <w:rsid w:val="5AF71974"/>
    <w:rsid w:val="5AF74AAE"/>
    <w:rsid w:val="5AF8576E"/>
    <w:rsid w:val="5AF9024E"/>
    <w:rsid w:val="5AF92001"/>
    <w:rsid w:val="5AF9576F"/>
    <w:rsid w:val="5AF96132"/>
    <w:rsid w:val="5AFA24B2"/>
    <w:rsid w:val="5AFC2886"/>
    <w:rsid w:val="5AFE4943"/>
    <w:rsid w:val="5B0148DB"/>
    <w:rsid w:val="5B024844"/>
    <w:rsid w:val="5B033368"/>
    <w:rsid w:val="5B040D4B"/>
    <w:rsid w:val="5B042506"/>
    <w:rsid w:val="5B0509CE"/>
    <w:rsid w:val="5B070792"/>
    <w:rsid w:val="5B0A48FE"/>
    <w:rsid w:val="5B0B7ED8"/>
    <w:rsid w:val="5B0C22B5"/>
    <w:rsid w:val="5B0E0EED"/>
    <w:rsid w:val="5B101429"/>
    <w:rsid w:val="5B102832"/>
    <w:rsid w:val="5B11349E"/>
    <w:rsid w:val="5B13219B"/>
    <w:rsid w:val="5B134146"/>
    <w:rsid w:val="5B14639D"/>
    <w:rsid w:val="5B14682A"/>
    <w:rsid w:val="5B156996"/>
    <w:rsid w:val="5B160A7E"/>
    <w:rsid w:val="5B166492"/>
    <w:rsid w:val="5B182531"/>
    <w:rsid w:val="5B186628"/>
    <w:rsid w:val="5B1873E4"/>
    <w:rsid w:val="5B1934C8"/>
    <w:rsid w:val="5B1B024E"/>
    <w:rsid w:val="5B1B48BC"/>
    <w:rsid w:val="5B1B560D"/>
    <w:rsid w:val="5B203C45"/>
    <w:rsid w:val="5B205A3D"/>
    <w:rsid w:val="5B211F44"/>
    <w:rsid w:val="5B223A11"/>
    <w:rsid w:val="5B25101C"/>
    <w:rsid w:val="5B256E7C"/>
    <w:rsid w:val="5B26656D"/>
    <w:rsid w:val="5B273877"/>
    <w:rsid w:val="5B2939EB"/>
    <w:rsid w:val="5B2A27B8"/>
    <w:rsid w:val="5B2B37EB"/>
    <w:rsid w:val="5B2B400B"/>
    <w:rsid w:val="5B2C725D"/>
    <w:rsid w:val="5B2F6B3A"/>
    <w:rsid w:val="5B3006FC"/>
    <w:rsid w:val="5B303D5A"/>
    <w:rsid w:val="5B303F63"/>
    <w:rsid w:val="5B322383"/>
    <w:rsid w:val="5B323837"/>
    <w:rsid w:val="5B32685C"/>
    <w:rsid w:val="5B345801"/>
    <w:rsid w:val="5B395305"/>
    <w:rsid w:val="5B3B26CA"/>
    <w:rsid w:val="5B3D2DC0"/>
    <w:rsid w:val="5B4170BB"/>
    <w:rsid w:val="5B4215F5"/>
    <w:rsid w:val="5B463D52"/>
    <w:rsid w:val="5B47266A"/>
    <w:rsid w:val="5B4812AC"/>
    <w:rsid w:val="5B482BC7"/>
    <w:rsid w:val="5B4B286D"/>
    <w:rsid w:val="5B4B5805"/>
    <w:rsid w:val="5B4D7EE9"/>
    <w:rsid w:val="5B4E23B3"/>
    <w:rsid w:val="5B532124"/>
    <w:rsid w:val="5B537784"/>
    <w:rsid w:val="5B542975"/>
    <w:rsid w:val="5B551238"/>
    <w:rsid w:val="5B555426"/>
    <w:rsid w:val="5B5714EF"/>
    <w:rsid w:val="5B584945"/>
    <w:rsid w:val="5B5A35B8"/>
    <w:rsid w:val="5B5A5EFE"/>
    <w:rsid w:val="5B5A6C28"/>
    <w:rsid w:val="5B5D45CE"/>
    <w:rsid w:val="5B5D7F4D"/>
    <w:rsid w:val="5B5F0820"/>
    <w:rsid w:val="5B622E69"/>
    <w:rsid w:val="5B632ABF"/>
    <w:rsid w:val="5B646BFF"/>
    <w:rsid w:val="5B647768"/>
    <w:rsid w:val="5B653525"/>
    <w:rsid w:val="5B656096"/>
    <w:rsid w:val="5B68446F"/>
    <w:rsid w:val="5B690FBF"/>
    <w:rsid w:val="5B6A1364"/>
    <w:rsid w:val="5B6B34FD"/>
    <w:rsid w:val="5B6B6AAD"/>
    <w:rsid w:val="5B6C0260"/>
    <w:rsid w:val="5B6C60C6"/>
    <w:rsid w:val="5B6C7B1A"/>
    <w:rsid w:val="5B6E46BC"/>
    <w:rsid w:val="5B6E6B8F"/>
    <w:rsid w:val="5B6F3AA9"/>
    <w:rsid w:val="5B702AC5"/>
    <w:rsid w:val="5B726782"/>
    <w:rsid w:val="5B745820"/>
    <w:rsid w:val="5B7641CC"/>
    <w:rsid w:val="5B77071E"/>
    <w:rsid w:val="5B770E54"/>
    <w:rsid w:val="5B785537"/>
    <w:rsid w:val="5B79346D"/>
    <w:rsid w:val="5B7935F2"/>
    <w:rsid w:val="5B793972"/>
    <w:rsid w:val="5B7A31F6"/>
    <w:rsid w:val="5B7B26DD"/>
    <w:rsid w:val="5B7B333C"/>
    <w:rsid w:val="5B7B3A96"/>
    <w:rsid w:val="5B7B51DE"/>
    <w:rsid w:val="5B7B62A4"/>
    <w:rsid w:val="5B7C4B71"/>
    <w:rsid w:val="5B7C4D6C"/>
    <w:rsid w:val="5B7D0F55"/>
    <w:rsid w:val="5B7D30BD"/>
    <w:rsid w:val="5B7D50D0"/>
    <w:rsid w:val="5B7D5608"/>
    <w:rsid w:val="5B7E563F"/>
    <w:rsid w:val="5B7F41C5"/>
    <w:rsid w:val="5B8110A7"/>
    <w:rsid w:val="5B8160EE"/>
    <w:rsid w:val="5B823367"/>
    <w:rsid w:val="5B850923"/>
    <w:rsid w:val="5B861B68"/>
    <w:rsid w:val="5B865183"/>
    <w:rsid w:val="5B871654"/>
    <w:rsid w:val="5B8935E0"/>
    <w:rsid w:val="5B8A52D7"/>
    <w:rsid w:val="5B8B056A"/>
    <w:rsid w:val="5B8B2607"/>
    <w:rsid w:val="5B8D04F0"/>
    <w:rsid w:val="5B8D5FED"/>
    <w:rsid w:val="5B8E0B92"/>
    <w:rsid w:val="5B8E4DC8"/>
    <w:rsid w:val="5B90143E"/>
    <w:rsid w:val="5B9036ED"/>
    <w:rsid w:val="5B914F1D"/>
    <w:rsid w:val="5B94588C"/>
    <w:rsid w:val="5B963D27"/>
    <w:rsid w:val="5B9673F7"/>
    <w:rsid w:val="5B9A5641"/>
    <w:rsid w:val="5B9A79FD"/>
    <w:rsid w:val="5B9F2F9A"/>
    <w:rsid w:val="5BA05D70"/>
    <w:rsid w:val="5BA06BC6"/>
    <w:rsid w:val="5BA20A4D"/>
    <w:rsid w:val="5BA302CC"/>
    <w:rsid w:val="5BA46B30"/>
    <w:rsid w:val="5BA54C2A"/>
    <w:rsid w:val="5BA61087"/>
    <w:rsid w:val="5BA67288"/>
    <w:rsid w:val="5BA70B10"/>
    <w:rsid w:val="5BA72CE5"/>
    <w:rsid w:val="5BAA7FA2"/>
    <w:rsid w:val="5BAC27E4"/>
    <w:rsid w:val="5BAC4F37"/>
    <w:rsid w:val="5BAD222A"/>
    <w:rsid w:val="5BAD55EC"/>
    <w:rsid w:val="5BAE5B41"/>
    <w:rsid w:val="5BAF6AE6"/>
    <w:rsid w:val="5BB948E2"/>
    <w:rsid w:val="5BBA691E"/>
    <w:rsid w:val="5BBC77EB"/>
    <w:rsid w:val="5BBD3BBC"/>
    <w:rsid w:val="5BBE3136"/>
    <w:rsid w:val="5BBF3047"/>
    <w:rsid w:val="5BBF7F5B"/>
    <w:rsid w:val="5BC00E43"/>
    <w:rsid w:val="5BC16969"/>
    <w:rsid w:val="5BC219D5"/>
    <w:rsid w:val="5BC341E2"/>
    <w:rsid w:val="5BC42FE5"/>
    <w:rsid w:val="5BC44E2F"/>
    <w:rsid w:val="5BC55341"/>
    <w:rsid w:val="5BC702EF"/>
    <w:rsid w:val="5BC73DB0"/>
    <w:rsid w:val="5BC84A3C"/>
    <w:rsid w:val="5BC86729"/>
    <w:rsid w:val="5BC95655"/>
    <w:rsid w:val="5BCE10EB"/>
    <w:rsid w:val="5BCE35A5"/>
    <w:rsid w:val="5BD00F29"/>
    <w:rsid w:val="5BD03526"/>
    <w:rsid w:val="5BD0502C"/>
    <w:rsid w:val="5BD11929"/>
    <w:rsid w:val="5BD13B0B"/>
    <w:rsid w:val="5BD26DC8"/>
    <w:rsid w:val="5BD32D0A"/>
    <w:rsid w:val="5BD43953"/>
    <w:rsid w:val="5BD4694A"/>
    <w:rsid w:val="5BD552E9"/>
    <w:rsid w:val="5BD61567"/>
    <w:rsid w:val="5BD643F7"/>
    <w:rsid w:val="5BD65E2C"/>
    <w:rsid w:val="5BD671F6"/>
    <w:rsid w:val="5BD743DE"/>
    <w:rsid w:val="5BD83E35"/>
    <w:rsid w:val="5BD84102"/>
    <w:rsid w:val="5BD85616"/>
    <w:rsid w:val="5BD874F7"/>
    <w:rsid w:val="5BDA4CDA"/>
    <w:rsid w:val="5BDB4667"/>
    <w:rsid w:val="5BDB490F"/>
    <w:rsid w:val="5BDB6A3D"/>
    <w:rsid w:val="5BDC73A1"/>
    <w:rsid w:val="5BDD4DEE"/>
    <w:rsid w:val="5BDE4E60"/>
    <w:rsid w:val="5BE06E39"/>
    <w:rsid w:val="5BE13491"/>
    <w:rsid w:val="5BE216A8"/>
    <w:rsid w:val="5BE32046"/>
    <w:rsid w:val="5BE333F6"/>
    <w:rsid w:val="5BE528A8"/>
    <w:rsid w:val="5BE7445D"/>
    <w:rsid w:val="5BE76009"/>
    <w:rsid w:val="5BE96B51"/>
    <w:rsid w:val="5BEB0321"/>
    <w:rsid w:val="5BEB556B"/>
    <w:rsid w:val="5BEB5712"/>
    <w:rsid w:val="5BEC6D54"/>
    <w:rsid w:val="5BED1ACF"/>
    <w:rsid w:val="5BEE4C1A"/>
    <w:rsid w:val="5BEE7BC6"/>
    <w:rsid w:val="5BEF23E4"/>
    <w:rsid w:val="5BEF5F42"/>
    <w:rsid w:val="5BF143BE"/>
    <w:rsid w:val="5BF56841"/>
    <w:rsid w:val="5BF568C4"/>
    <w:rsid w:val="5BF60B42"/>
    <w:rsid w:val="5BF7203E"/>
    <w:rsid w:val="5BF74973"/>
    <w:rsid w:val="5BF97DC5"/>
    <w:rsid w:val="5BFA68D1"/>
    <w:rsid w:val="5BFB023B"/>
    <w:rsid w:val="5BFB2A83"/>
    <w:rsid w:val="5BFB4DBB"/>
    <w:rsid w:val="5BFB57BC"/>
    <w:rsid w:val="5BFC0DD8"/>
    <w:rsid w:val="5BFC2F7F"/>
    <w:rsid w:val="5BFD7D86"/>
    <w:rsid w:val="5BFE4078"/>
    <w:rsid w:val="5BFE5E0F"/>
    <w:rsid w:val="5BFF1F0A"/>
    <w:rsid w:val="5BFF6F19"/>
    <w:rsid w:val="5C00373D"/>
    <w:rsid w:val="5C00645E"/>
    <w:rsid w:val="5C013A03"/>
    <w:rsid w:val="5C020EF8"/>
    <w:rsid w:val="5C024989"/>
    <w:rsid w:val="5C0431DC"/>
    <w:rsid w:val="5C091E31"/>
    <w:rsid w:val="5C0A085E"/>
    <w:rsid w:val="5C0A51C6"/>
    <w:rsid w:val="5C0B4437"/>
    <w:rsid w:val="5C0F432E"/>
    <w:rsid w:val="5C110A0D"/>
    <w:rsid w:val="5C115B42"/>
    <w:rsid w:val="5C1304BB"/>
    <w:rsid w:val="5C1348DE"/>
    <w:rsid w:val="5C141DB2"/>
    <w:rsid w:val="5C153347"/>
    <w:rsid w:val="5C180C7F"/>
    <w:rsid w:val="5C1813BA"/>
    <w:rsid w:val="5C184803"/>
    <w:rsid w:val="5C1B15A2"/>
    <w:rsid w:val="5C1E23FD"/>
    <w:rsid w:val="5C1F1DA5"/>
    <w:rsid w:val="5C1F22C4"/>
    <w:rsid w:val="5C1F546D"/>
    <w:rsid w:val="5C1F79C2"/>
    <w:rsid w:val="5C201CE2"/>
    <w:rsid w:val="5C2131EB"/>
    <w:rsid w:val="5C2230C4"/>
    <w:rsid w:val="5C2271C1"/>
    <w:rsid w:val="5C237311"/>
    <w:rsid w:val="5C2444E5"/>
    <w:rsid w:val="5C244F7B"/>
    <w:rsid w:val="5C2538E6"/>
    <w:rsid w:val="5C2572A9"/>
    <w:rsid w:val="5C261A6B"/>
    <w:rsid w:val="5C264F9A"/>
    <w:rsid w:val="5C271485"/>
    <w:rsid w:val="5C274FCC"/>
    <w:rsid w:val="5C292DA1"/>
    <w:rsid w:val="5C2A6C04"/>
    <w:rsid w:val="5C2B1E97"/>
    <w:rsid w:val="5C2B4371"/>
    <w:rsid w:val="5C2C0A97"/>
    <w:rsid w:val="5C2E4171"/>
    <w:rsid w:val="5C3015EE"/>
    <w:rsid w:val="5C3065DD"/>
    <w:rsid w:val="5C322C94"/>
    <w:rsid w:val="5C324B25"/>
    <w:rsid w:val="5C333275"/>
    <w:rsid w:val="5C334452"/>
    <w:rsid w:val="5C341831"/>
    <w:rsid w:val="5C344EC8"/>
    <w:rsid w:val="5C350269"/>
    <w:rsid w:val="5C3603CE"/>
    <w:rsid w:val="5C3627CD"/>
    <w:rsid w:val="5C3671D5"/>
    <w:rsid w:val="5C382C77"/>
    <w:rsid w:val="5C390668"/>
    <w:rsid w:val="5C391F0B"/>
    <w:rsid w:val="5C393BBC"/>
    <w:rsid w:val="5C3A0536"/>
    <w:rsid w:val="5C3A4E49"/>
    <w:rsid w:val="5C3C0290"/>
    <w:rsid w:val="5C3C119B"/>
    <w:rsid w:val="5C3C2D5A"/>
    <w:rsid w:val="5C3E0880"/>
    <w:rsid w:val="5C3E5889"/>
    <w:rsid w:val="5C40192E"/>
    <w:rsid w:val="5C42393C"/>
    <w:rsid w:val="5C431356"/>
    <w:rsid w:val="5C466019"/>
    <w:rsid w:val="5C466B3A"/>
    <w:rsid w:val="5C4B2013"/>
    <w:rsid w:val="5C4B3BE4"/>
    <w:rsid w:val="5C4D1B68"/>
    <w:rsid w:val="5C4D54E1"/>
    <w:rsid w:val="5C4F1611"/>
    <w:rsid w:val="5C4F2421"/>
    <w:rsid w:val="5C501329"/>
    <w:rsid w:val="5C505EF2"/>
    <w:rsid w:val="5C511DB1"/>
    <w:rsid w:val="5C524432"/>
    <w:rsid w:val="5C5305BE"/>
    <w:rsid w:val="5C5435CD"/>
    <w:rsid w:val="5C545FDA"/>
    <w:rsid w:val="5C57150F"/>
    <w:rsid w:val="5C590186"/>
    <w:rsid w:val="5C597479"/>
    <w:rsid w:val="5C5A53EE"/>
    <w:rsid w:val="5C5A7077"/>
    <w:rsid w:val="5C5B51DC"/>
    <w:rsid w:val="5C5B53DF"/>
    <w:rsid w:val="5C5B6202"/>
    <w:rsid w:val="5C5B6E35"/>
    <w:rsid w:val="5C5D4DE6"/>
    <w:rsid w:val="5C5E1628"/>
    <w:rsid w:val="5C5E5062"/>
    <w:rsid w:val="5C5F4B51"/>
    <w:rsid w:val="5C5F618B"/>
    <w:rsid w:val="5C605E56"/>
    <w:rsid w:val="5C613E94"/>
    <w:rsid w:val="5C6167B3"/>
    <w:rsid w:val="5C623A3D"/>
    <w:rsid w:val="5C623E8B"/>
    <w:rsid w:val="5C642116"/>
    <w:rsid w:val="5C646CFF"/>
    <w:rsid w:val="5C652E47"/>
    <w:rsid w:val="5C6647C2"/>
    <w:rsid w:val="5C665388"/>
    <w:rsid w:val="5C6658AA"/>
    <w:rsid w:val="5C6754AE"/>
    <w:rsid w:val="5C6756E0"/>
    <w:rsid w:val="5C684CA0"/>
    <w:rsid w:val="5C6905C0"/>
    <w:rsid w:val="5C69500C"/>
    <w:rsid w:val="5C6A0795"/>
    <w:rsid w:val="5C6B0169"/>
    <w:rsid w:val="5C6D6CE4"/>
    <w:rsid w:val="5C6F0796"/>
    <w:rsid w:val="5C6F1CC2"/>
    <w:rsid w:val="5C6F45F7"/>
    <w:rsid w:val="5C6F5C97"/>
    <w:rsid w:val="5C726A01"/>
    <w:rsid w:val="5C74002E"/>
    <w:rsid w:val="5C75499E"/>
    <w:rsid w:val="5C7551D0"/>
    <w:rsid w:val="5C790EB2"/>
    <w:rsid w:val="5C795318"/>
    <w:rsid w:val="5C7A252B"/>
    <w:rsid w:val="5C7A32BF"/>
    <w:rsid w:val="5C7B5AFE"/>
    <w:rsid w:val="5C7C42E1"/>
    <w:rsid w:val="5C7C4BF0"/>
    <w:rsid w:val="5C7C6F01"/>
    <w:rsid w:val="5C7D4BA2"/>
    <w:rsid w:val="5C7D6820"/>
    <w:rsid w:val="5C7E0366"/>
    <w:rsid w:val="5C7E2037"/>
    <w:rsid w:val="5C7E3BD1"/>
    <w:rsid w:val="5C7F545C"/>
    <w:rsid w:val="5C7F560E"/>
    <w:rsid w:val="5C82113B"/>
    <w:rsid w:val="5C833255"/>
    <w:rsid w:val="5C840C60"/>
    <w:rsid w:val="5C8475D0"/>
    <w:rsid w:val="5C8569D4"/>
    <w:rsid w:val="5C861A75"/>
    <w:rsid w:val="5C86777B"/>
    <w:rsid w:val="5C8879F9"/>
    <w:rsid w:val="5C887CC6"/>
    <w:rsid w:val="5C89091D"/>
    <w:rsid w:val="5C895859"/>
    <w:rsid w:val="5C8A274E"/>
    <w:rsid w:val="5C8A4D8B"/>
    <w:rsid w:val="5C8C5252"/>
    <w:rsid w:val="5C8C60DC"/>
    <w:rsid w:val="5C8E2134"/>
    <w:rsid w:val="5C8F299A"/>
    <w:rsid w:val="5C917CBA"/>
    <w:rsid w:val="5C922808"/>
    <w:rsid w:val="5C925BCE"/>
    <w:rsid w:val="5C925E6C"/>
    <w:rsid w:val="5C9323EF"/>
    <w:rsid w:val="5C960309"/>
    <w:rsid w:val="5C970D21"/>
    <w:rsid w:val="5C976196"/>
    <w:rsid w:val="5C994E88"/>
    <w:rsid w:val="5C9B1DEE"/>
    <w:rsid w:val="5C9D4D8C"/>
    <w:rsid w:val="5C9D7C3E"/>
    <w:rsid w:val="5C9F3C48"/>
    <w:rsid w:val="5C9F7B8F"/>
    <w:rsid w:val="5CA054DA"/>
    <w:rsid w:val="5CA1062E"/>
    <w:rsid w:val="5CA17CAE"/>
    <w:rsid w:val="5CA20248"/>
    <w:rsid w:val="5CA20D9C"/>
    <w:rsid w:val="5CA329F1"/>
    <w:rsid w:val="5CA34618"/>
    <w:rsid w:val="5CA34F2D"/>
    <w:rsid w:val="5CA352AA"/>
    <w:rsid w:val="5CA43184"/>
    <w:rsid w:val="5CA644DC"/>
    <w:rsid w:val="5CA72002"/>
    <w:rsid w:val="5CA87B5C"/>
    <w:rsid w:val="5CA94EAB"/>
    <w:rsid w:val="5CA95B5F"/>
    <w:rsid w:val="5CA96C07"/>
    <w:rsid w:val="5CAA45CA"/>
    <w:rsid w:val="5CB01B2C"/>
    <w:rsid w:val="5CB063A8"/>
    <w:rsid w:val="5CB06557"/>
    <w:rsid w:val="5CB07109"/>
    <w:rsid w:val="5CB12CBC"/>
    <w:rsid w:val="5CB14FB6"/>
    <w:rsid w:val="5CB16EE9"/>
    <w:rsid w:val="5CB32323"/>
    <w:rsid w:val="5CB336CA"/>
    <w:rsid w:val="5CB5511A"/>
    <w:rsid w:val="5CB75ED8"/>
    <w:rsid w:val="5CB95293"/>
    <w:rsid w:val="5CB96C39"/>
    <w:rsid w:val="5CBA0712"/>
    <w:rsid w:val="5CBA7173"/>
    <w:rsid w:val="5CBB09D3"/>
    <w:rsid w:val="5CBB7A3B"/>
    <w:rsid w:val="5CBC4FCE"/>
    <w:rsid w:val="5CBD5382"/>
    <w:rsid w:val="5CBD5463"/>
    <w:rsid w:val="5CBF75AC"/>
    <w:rsid w:val="5CC0421C"/>
    <w:rsid w:val="5CC05A4C"/>
    <w:rsid w:val="5CC06285"/>
    <w:rsid w:val="5CC064DB"/>
    <w:rsid w:val="5CC12077"/>
    <w:rsid w:val="5CC130C4"/>
    <w:rsid w:val="5CC153A6"/>
    <w:rsid w:val="5CC26192"/>
    <w:rsid w:val="5CC34A11"/>
    <w:rsid w:val="5CC35E84"/>
    <w:rsid w:val="5CC37588"/>
    <w:rsid w:val="5CC7617D"/>
    <w:rsid w:val="5CC77696"/>
    <w:rsid w:val="5CC87593"/>
    <w:rsid w:val="5CC90570"/>
    <w:rsid w:val="5CC9093D"/>
    <w:rsid w:val="5CCA2CB6"/>
    <w:rsid w:val="5CCA6255"/>
    <w:rsid w:val="5CCB21FD"/>
    <w:rsid w:val="5CCB2FA2"/>
    <w:rsid w:val="5CCE11A6"/>
    <w:rsid w:val="5CCE34E5"/>
    <w:rsid w:val="5CCF3A7E"/>
    <w:rsid w:val="5CCF70FE"/>
    <w:rsid w:val="5CD03A9E"/>
    <w:rsid w:val="5CD07398"/>
    <w:rsid w:val="5CD172E1"/>
    <w:rsid w:val="5CD17CE8"/>
    <w:rsid w:val="5CD3323C"/>
    <w:rsid w:val="5CD401C2"/>
    <w:rsid w:val="5CD436B7"/>
    <w:rsid w:val="5CD5091E"/>
    <w:rsid w:val="5CD517A4"/>
    <w:rsid w:val="5CD5428A"/>
    <w:rsid w:val="5CD5632F"/>
    <w:rsid w:val="5CD575BF"/>
    <w:rsid w:val="5CD62F96"/>
    <w:rsid w:val="5CD80498"/>
    <w:rsid w:val="5CD85A87"/>
    <w:rsid w:val="5CD8651F"/>
    <w:rsid w:val="5CD906DC"/>
    <w:rsid w:val="5CD95354"/>
    <w:rsid w:val="5CDA1B5D"/>
    <w:rsid w:val="5CDC0F5F"/>
    <w:rsid w:val="5CDC7EFE"/>
    <w:rsid w:val="5CDD00DA"/>
    <w:rsid w:val="5CDE05EE"/>
    <w:rsid w:val="5CDE162E"/>
    <w:rsid w:val="5CDE34A5"/>
    <w:rsid w:val="5CDF4EC8"/>
    <w:rsid w:val="5CE06901"/>
    <w:rsid w:val="5CE15FCD"/>
    <w:rsid w:val="5CE2128D"/>
    <w:rsid w:val="5CE24D79"/>
    <w:rsid w:val="5CE33773"/>
    <w:rsid w:val="5CE42419"/>
    <w:rsid w:val="5CE61CEE"/>
    <w:rsid w:val="5CE62F23"/>
    <w:rsid w:val="5CE83632"/>
    <w:rsid w:val="5CE85ABB"/>
    <w:rsid w:val="5CEA59C7"/>
    <w:rsid w:val="5CEC6AB1"/>
    <w:rsid w:val="5CED2DC1"/>
    <w:rsid w:val="5CED36E4"/>
    <w:rsid w:val="5CED3F19"/>
    <w:rsid w:val="5CF1035F"/>
    <w:rsid w:val="5CF42B83"/>
    <w:rsid w:val="5CF50185"/>
    <w:rsid w:val="5CF50388"/>
    <w:rsid w:val="5CF504AA"/>
    <w:rsid w:val="5CF628A9"/>
    <w:rsid w:val="5CF659BC"/>
    <w:rsid w:val="5CF748DC"/>
    <w:rsid w:val="5CF8481E"/>
    <w:rsid w:val="5CF9570A"/>
    <w:rsid w:val="5CF96B9D"/>
    <w:rsid w:val="5CFA0B6A"/>
    <w:rsid w:val="5CFB0902"/>
    <w:rsid w:val="5CFC40FC"/>
    <w:rsid w:val="5CFD7E74"/>
    <w:rsid w:val="5CFF1AF3"/>
    <w:rsid w:val="5CFF609E"/>
    <w:rsid w:val="5D022657"/>
    <w:rsid w:val="5D0609B0"/>
    <w:rsid w:val="5D06131D"/>
    <w:rsid w:val="5D0645C0"/>
    <w:rsid w:val="5D075AFE"/>
    <w:rsid w:val="5D080DF9"/>
    <w:rsid w:val="5D09542A"/>
    <w:rsid w:val="5D095FFC"/>
    <w:rsid w:val="5D09634A"/>
    <w:rsid w:val="5D0B519D"/>
    <w:rsid w:val="5D0B5D0D"/>
    <w:rsid w:val="5D0E2082"/>
    <w:rsid w:val="5D101956"/>
    <w:rsid w:val="5D106296"/>
    <w:rsid w:val="5D106CE9"/>
    <w:rsid w:val="5D107167"/>
    <w:rsid w:val="5D121BBC"/>
    <w:rsid w:val="5D1271C6"/>
    <w:rsid w:val="5D1310A9"/>
    <w:rsid w:val="5D131523"/>
    <w:rsid w:val="5D13168D"/>
    <w:rsid w:val="5D13234D"/>
    <w:rsid w:val="5D136B12"/>
    <w:rsid w:val="5D137394"/>
    <w:rsid w:val="5D17007A"/>
    <w:rsid w:val="5D176671"/>
    <w:rsid w:val="5D176AAA"/>
    <w:rsid w:val="5D184091"/>
    <w:rsid w:val="5D18445A"/>
    <w:rsid w:val="5D190C7F"/>
    <w:rsid w:val="5D191F06"/>
    <w:rsid w:val="5D1C2EF6"/>
    <w:rsid w:val="5D1E30A7"/>
    <w:rsid w:val="5D1F418E"/>
    <w:rsid w:val="5D2168B4"/>
    <w:rsid w:val="5D217535"/>
    <w:rsid w:val="5D2314E4"/>
    <w:rsid w:val="5D2359DB"/>
    <w:rsid w:val="5D247886"/>
    <w:rsid w:val="5D266842"/>
    <w:rsid w:val="5D2741F1"/>
    <w:rsid w:val="5D285924"/>
    <w:rsid w:val="5D292958"/>
    <w:rsid w:val="5D2B3A86"/>
    <w:rsid w:val="5D2B6375"/>
    <w:rsid w:val="5D2C1D82"/>
    <w:rsid w:val="5D2D017C"/>
    <w:rsid w:val="5D2D448C"/>
    <w:rsid w:val="5D2E4738"/>
    <w:rsid w:val="5D314138"/>
    <w:rsid w:val="5D3177BB"/>
    <w:rsid w:val="5D323FC2"/>
    <w:rsid w:val="5D380C78"/>
    <w:rsid w:val="5D3A1941"/>
    <w:rsid w:val="5D3A227C"/>
    <w:rsid w:val="5D3A5A32"/>
    <w:rsid w:val="5D3B6694"/>
    <w:rsid w:val="5D3C04FD"/>
    <w:rsid w:val="5D3C6102"/>
    <w:rsid w:val="5D3C7F8F"/>
    <w:rsid w:val="5D3D23CD"/>
    <w:rsid w:val="5D3D35A2"/>
    <w:rsid w:val="5D3D778B"/>
    <w:rsid w:val="5D3F0654"/>
    <w:rsid w:val="5D3F3B47"/>
    <w:rsid w:val="5D41777A"/>
    <w:rsid w:val="5D427B73"/>
    <w:rsid w:val="5D436FB5"/>
    <w:rsid w:val="5D443FC0"/>
    <w:rsid w:val="5D444C6C"/>
    <w:rsid w:val="5D4456FE"/>
    <w:rsid w:val="5D445C70"/>
    <w:rsid w:val="5D44750E"/>
    <w:rsid w:val="5D4502EE"/>
    <w:rsid w:val="5D451261"/>
    <w:rsid w:val="5D4542A9"/>
    <w:rsid w:val="5D464F1C"/>
    <w:rsid w:val="5D473561"/>
    <w:rsid w:val="5D490BF4"/>
    <w:rsid w:val="5D490F13"/>
    <w:rsid w:val="5D4A0EED"/>
    <w:rsid w:val="5D4B2883"/>
    <w:rsid w:val="5D5062C9"/>
    <w:rsid w:val="5D541B87"/>
    <w:rsid w:val="5D552B7C"/>
    <w:rsid w:val="5D567F70"/>
    <w:rsid w:val="5D5A0707"/>
    <w:rsid w:val="5D5A704F"/>
    <w:rsid w:val="5D5B6A14"/>
    <w:rsid w:val="5D5C046C"/>
    <w:rsid w:val="5D5D3DBD"/>
    <w:rsid w:val="5D5E4568"/>
    <w:rsid w:val="5D5F09E0"/>
    <w:rsid w:val="5D5F1AC7"/>
    <w:rsid w:val="5D5F5654"/>
    <w:rsid w:val="5D5F7B3C"/>
    <w:rsid w:val="5D62735F"/>
    <w:rsid w:val="5D652034"/>
    <w:rsid w:val="5D661B98"/>
    <w:rsid w:val="5D673F12"/>
    <w:rsid w:val="5D676822"/>
    <w:rsid w:val="5D692EA0"/>
    <w:rsid w:val="5D6B07A3"/>
    <w:rsid w:val="5D6B17F6"/>
    <w:rsid w:val="5D6B31A7"/>
    <w:rsid w:val="5D6B61E4"/>
    <w:rsid w:val="5D6C1FC4"/>
    <w:rsid w:val="5D6C312F"/>
    <w:rsid w:val="5D6D5FA1"/>
    <w:rsid w:val="5D6D707E"/>
    <w:rsid w:val="5D6E34A7"/>
    <w:rsid w:val="5D6E6D44"/>
    <w:rsid w:val="5D6F5A3B"/>
    <w:rsid w:val="5D7033B6"/>
    <w:rsid w:val="5D703DC9"/>
    <w:rsid w:val="5D711DA6"/>
    <w:rsid w:val="5D714C1E"/>
    <w:rsid w:val="5D716FAF"/>
    <w:rsid w:val="5D72385B"/>
    <w:rsid w:val="5D7335A5"/>
    <w:rsid w:val="5D734D7F"/>
    <w:rsid w:val="5D7374E4"/>
    <w:rsid w:val="5D744906"/>
    <w:rsid w:val="5D7562EA"/>
    <w:rsid w:val="5D7627C7"/>
    <w:rsid w:val="5D763175"/>
    <w:rsid w:val="5D7744D9"/>
    <w:rsid w:val="5D774542"/>
    <w:rsid w:val="5D787EB8"/>
    <w:rsid w:val="5D792994"/>
    <w:rsid w:val="5D7A1223"/>
    <w:rsid w:val="5D7A3E83"/>
    <w:rsid w:val="5D7A662F"/>
    <w:rsid w:val="5D7B3CB4"/>
    <w:rsid w:val="5D7C6094"/>
    <w:rsid w:val="5D7D1C68"/>
    <w:rsid w:val="5D7F36A7"/>
    <w:rsid w:val="5D7F7BBF"/>
    <w:rsid w:val="5D801D71"/>
    <w:rsid w:val="5D804E4D"/>
    <w:rsid w:val="5D816E7A"/>
    <w:rsid w:val="5D820585"/>
    <w:rsid w:val="5D823810"/>
    <w:rsid w:val="5D825D18"/>
    <w:rsid w:val="5D8441AE"/>
    <w:rsid w:val="5D8622E7"/>
    <w:rsid w:val="5D8A1A35"/>
    <w:rsid w:val="5D8A4633"/>
    <w:rsid w:val="5D8C769B"/>
    <w:rsid w:val="5D8D742A"/>
    <w:rsid w:val="5D8F5F35"/>
    <w:rsid w:val="5D8F7CCF"/>
    <w:rsid w:val="5D910D95"/>
    <w:rsid w:val="5D911106"/>
    <w:rsid w:val="5D9249FB"/>
    <w:rsid w:val="5D935EDA"/>
    <w:rsid w:val="5D9576BD"/>
    <w:rsid w:val="5D966726"/>
    <w:rsid w:val="5D967352"/>
    <w:rsid w:val="5D9923AF"/>
    <w:rsid w:val="5D9B7117"/>
    <w:rsid w:val="5D9C158A"/>
    <w:rsid w:val="5D9C1FA0"/>
    <w:rsid w:val="5D9C4C84"/>
    <w:rsid w:val="5D9E24AF"/>
    <w:rsid w:val="5DA04B23"/>
    <w:rsid w:val="5DA05B0D"/>
    <w:rsid w:val="5DA15359"/>
    <w:rsid w:val="5DA35AE2"/>
    <w:rsid w:val="5DA402F0"/>
    <w:rsid w:val="5DA4166D"/>
    <w:rsid w:val="5DA42214"/>
    <w:rsid w:val="5DA61866"/>
    <w:rsid w:val="5DA62C46"/>
    <w:rsid w:val="5DA76D5E"/>
    <w:rsid w:val="5DA82366"/>
    <w:rsid w:val="5DA933E3"/>
    <w:rsid w:val="5DAA2ED1"/>
    <w:rsid w:val="5DAA3B58"/>
    <w:rsid w:val="5DAA3F2A"/>
    <w:rsid w:val="5DAB4E83"/>
    <w:rsid w:val="5DAC0222"/>
    <w:rsid w:val="5DAD23A1"/>
    <w:rsid w:val="5DAE425E"/>
    <w:rsid w:val="5DAE6197"/>
    <w:rsid w:val="5DAE641D"/>
    <w:rsid w:val="5DAE7F7C"/>
    <w:rsid w:val="5DAF088B"/>
    <w:rsid w:val="5DAF116F"/>
    <w:rsid w:val="5DAF1B1E"/>
    <w:rsid w:val="5DB1128E"/>
    <w:rsid w:val="5DB17F94"/>
    <w:rsid w:val="5DB207EA"/>
    <w:rsid w:val="5DB2371D"/>
    <w:rsid w:val="5DB50BB9"/>
    <w:rsid w:val="5DB533A2"/>
    <w:rsid w:val="5DB53D20"/>
    <w:rsid w:val="5DB70D97"/>
    <w:rsid w:val="5DB830EA"/>
    <w:rsid w:val="5DB85DBE"/>
    <w:rsid w:val="5DB94C0B"/>
    <w:rsid w:val="5DBB7922"/>
    <w:rsid w:val="5DBC4D17"/>
    <w:rsid w:val="5DBD7CA0"/>
    <w:rsid w:val="5DBF1ED2"/>
    <w:rsid w:val="5DC027B1"/>
    <w:rsid w:val="5DC2245C"/>
    <w:rsid w:val="5DC56A0C"/>
    <w:rsid w:val="5DC64A40"/>
    <w:rsid w:val="5DC66D0D"/>
    <w:rsid w:val="5DC672CA"/>
    <w:rsid w:val="5DC81DB3"/>
    <w:rsid w:val="5DC821C4"/>
    <w:rsid w:val="5DC828E8"/>
    <w:rsid w:val="5DC94546"/>
    <w:rsid w:val="5DCB64C3"/>
    <w:rsid w:val="5DCC769B"/>
    <w:rsid w:val="5DCE2EA5"/>
    <w:rsid w:val="5DD021DC"/>
    <w:rsid w:val="5DD03620"/>
    <w:rsid w:val="5DD07CEB"/>
    <w:rsid w:val="5DD15187"/>
    <w:rsid w:val="5DD35C01"/>
    <w:rsid w:val="5DD36AED"/>
    <w:rsid w:val="5DD72944"/>
    <w:rsid w:val="5DD82384"/>
    <w:rsid w:val="5DD844CC"/>
    <w:rsid w:val="5DD97268"/>
    <w:rsid w:val="5DDA04BD"/>
    <w:rsid w:val="5DDA5236"/>
    <w:rsid w:val="5DDB7E53"/>
    <w:rsid w:val="5DDC15F7"/>
    <w:rsid w:val="5DDC48C0"/>
    <w:rsid w:val="5DDD2180"/>
    <w:rsid w:val="5DDD477F"/>
    <w:rsid w:val="5DDE735C"/>
    <w:rsid w:val="5DDF153C"/>
    <w:rsid w:val="5DDF202F"/>
    <w:rsid w:val="5DE1696E"/>
    <w:rsid w:val="5DE223F4"/>
    <w:rsid w:val="5DE41B1D"/>
    <w:rsid w:val="5DE47BA2"/>
    <w:rsid w:val="5DE51680"/>
    <w:rsid w:val="5DE663F9"/>
    <w:rsid w:val="5DE82209"/>
    <w:rsid w:val="5DE82BBF"/>
    <w:rsid w:val="5DEB0E40"/>
    <w:rsid w:val="5DEB35E9"/>
    <w:rsid w:val="5DEB6FFC"/>
    <w:rsid w:val="5DED0F3C"/>
    <w:rsid w:val="5DED1C97"/>
    <w:rsid w:val="5DED7C8E"/>
    <w:rsid w:val="5DEE0465"/>
    <w:rsid w:val="5DEE193E"/>
    <w:rsid w:val="5DEE53BB"/>
    <w:rsid w:val="5DEE610F"/>
    <w:rsid w:val="5DEF1A9D"/>
    <w:rsid w:val="5DEF2AA3"/>
    <w:rsid w:val="5DEF2BAF"/>
    <w:rsid w:val="5DEF6D0D"/>
    <w:rsid w:val="5DF03411"/>
    <w:rsid w:val="5DF216BB"/>
    <w:rsid w:val="5DF36B65"/>
    <w:rsid w:val="5DF63241"/>
    <w:rsid w:val="5DF660E2"/>
    <w:rsid w:val="5DF725B7"/>
    <w:rsid w:val="5DF85036"/>
    <w:rsid w:val="5DF92CED"/>
    <w:rsid w:val="5DF96BF3"/>
    <w:rsid w:val="5DFB736C"/>
    <w:rsid w:val="5DFC1061"/>
    <w:rsid w:val="5DFC2EC2"/>
    <w:rsid w:val="5DFD0069"/>
    <w:rsid w:val="5DFD11EC"/>
    <w:rsid w:val="5DFD5554"/>
    <w:rsid w:val="5DFF6095"/>
    <w:rsid w:val="5E0038A7"/>
    <w:rsid w:val="5E0064CD"/>
    <w:rsid w:val="5E00710A"/>
    <w:rsid w:val="5E00739B"/>
    <w:rsid w:val="5E053654"/>
    <w:rsid w:val="5E060B11"/>
    <w:rsid w:val="5E071F21"/>
    <w:rsid w:val="5E0835BD"/>
    <w:rsid w:val="5E09194B"/>
    <w:rsid w:val="5E096277"/>
    <w:rsid w:val="5E0975A8"/>
    <w:rsid w:val="5E0A6545"/>
    <w:rsid w:val="5E0B7C3A"/>
    <w:rsid w:val="5E0F5974"/>
    <w:rsid w:val="5E103450"/>
    <w:rsid w:val="5E11009F"/>
    <w:rsid w:val="5E112839"/>
    <w:rsid w:val="5E11426A"/>
    <w:rsid w:val="5E126169"/>
    <w:rsid w:val="5E133992"/>
    <w:rsid w:val="5E140358"/>
    <w:rsid w:val="5E150D73"/>
    <w:rsid w:val="5E152030"/>
    <w:rsid w:val="5E16358F"/>
    <w:rsid w:val="5E177589"/>
    <w:rsid w:val="5E184B70"/>
    <w:rsid w:val="5E185137"/>
    <w:rsid w:val="5E195418"/>
    <w:rsid w:val="5E196FDD"/>
    <w:rsid w:val="5E197C64"/>
    <w:rsid w:val="5E1A5344"/>
    <w:rsid w:val="5E1C0630"/>
    <w:rsid w:val="5E1C7BED"/>
    <w:rsid w:val="5E1D0D8E"/>
    <w:rsid w:val="5E1D1C84"/>
    <w:rsid w:val="5E1D510C"/>
    <w:rsid w:val="5E1E00A2"/>
    <w:rsid w:val="5E1E55B6"/>
    <w:rsid w:val="5E1F19C0"/>
    <w:rsid w:val="5E21402D"/>
    <w:rsid w:val="5E224000"/>
    <w:rsid w:val="5E22594D"/>
    <w:rsid w:val="5E255489"/>
    <w:rsid w:val="5E2620E8"/>
    <w:rsid w:val="5E2828C2"/>
    <w:rsid w:val="5E292293"/>
    <w:rsid w:val="5E29765C"/>
    <w:rsid w:val="5E2A784C"/>
    <w:rsid w:val="5E2B5B54"/>
    <w:rsid w:val="5E2B6B98"/>
    <w:rsid w:val="5E2B7893"/>
    <w:rsid w:val="5E2C3A0E"/>
    <w:rsid w:val="5E2C6030"/>
    <w:rsid w:val="5E2D5CB7"/>
    <w:rsid w:val="5E2E5F31"/>
    <w:rsid w:val="5E305C33"/>
    <w:rsid w:val="5E306AAB"/>
    <w:rsid w:val="5E3220E7"/>
    <w:rsid w:val="5E323C38"/>
    <w:rsid w:val="5E3405FB"/>
    <w:rsid w:val="5E34302E"/>
    <w:rsid w:val="5E352AD2"/>
    <w:rsid w:val="5E360B34"/>
    <w:rsid w:val="5E381705"/>
    <w:rsid w:val="5E3B1B66"/>
    <w:rsid w:val="5E3B4503"/>
    <w:rsid w:val="5E3B59B4"/>
    <w:rsid w:val="5E3D0500"/>
    <w:rsid w:val="5E3D3534"/>
    <w:rsid w:val="5E3D4042"/>
    <w:rsid w:val="5E3D6338"/>
    <w:rsid w:val="5E3E3201"/>
    <w:rsid w:val="5E3F4DDB"/>
    <w:rsid w:val="5E402893"/>
    <w:rsid w:val="5E420055"/>
    <w:rsid w:val="5E424BC0"/>
    <w:rsid w:val="5E424D0A"/>
    <w:rsid w:val="5E444078"/>
    <w:rsid w:val="5E4440D7"/>
    <w:rsid w:val="5E445FAB"/>
    <w:rsid w:val="5E4476A0"/>
    <w:rsid w:val="5E451501"/>
    <w:rsid w:val="5E453F66"/>
    <w:rsid w:val="5E4544CF"/>
    <w:rsid w:val="5E473B34"/>
    <w:rsid w:val="5E473E8F"/>
    <w:rsid w:val="5E476233"/>
    <w:rsid w:val="5E477F1C"/>
    <w:rsid w:val="5E48511F"/>
    <w:rsid w:val="5E485EC0"/>
    <w:rsid w:val="5E494A0F"/>
    <w:rsid w:val="5E4D2F95"/>
    <w:rsid w:val="5E4D7D79"/>
    <w:rsid w:val="5E504151"/>
    <w:rsid w:val="5E5154BA"/>
    <w:rsid w:val="5E5212FE"/>
    <w:rsid w:val="5E525DF6"/>
    <w:rsid w:val="5E527FF4"/>
    <w:rsid w:val="5E5500BB"/>
    <w:rsid w:val="5E565274"/>
    <w:rsid w:val="5E5A488F"/>
    <w:rsid w:val="5E5C58AA"/>
    <w:rsid w:val="5E5F1A16"/>
    <w:rsid w:val="5E5F2157"/>
    <w:rsid w:val="5E5F6236"/>
    <w:rsid w:val="5E60690D"/>
    <w:rsid w:val="5E6104EC"/>
    <w:rsid w:val="5E610B52"/>
    <w:rsid w:val="5E620097"/>
    <w:rsid w:val="5E6202E5"/>
    <w:rsid w:val="5E621D31"/>
    <w:rsid w:val="5E662127"/>
    <w:rsid w:val="5E674344"/>
    <w:rsid w:val="5E685027"/>
    <w:rsid w:val="5E692260"/>
    <w:rsid w:val="5E6A01FB"/>
    <w:rsid w:val="5E6C2ED2"/>
    <w:rsid w:val="5E6C51B6"/>
    <w:rsid w:val="5E6D65E6"/>
    <w:rsid w:val="5E6D7DF3"/>
    <w:rsid w:val="5E7141E6"/>
    <w:rsid w:val="5E715446"/>
    <w:rsid w:val="5E715556"/>
    <w:rsid w:val="5E765FB5"/>
    <w:rsid w:val="5E774898"/>
    <w:rsid w:val="5E78162C"/>
    <w:rsid w:val="5E781E1E"/>
    <w:rsid w:val="5E781FD1"/>
    <w:rsid w:val="5E796D2A"/>
    <w:rsid w:val="5E7B1995"/>
    <w:rsid w:val="5E7B7B6D"/>
    <w:rsid w:val="5E7C640A"/>
    <w:rsid w:val="5E7D1584"/>
    <w:rsid w:val="5E8053ED"/>
    <w:rsid w:val="5E8125F3"/>
    <w:rsid w:val="5E82182D"/>
    <w:rsid w:val="5E8311B4"/>
    <w:rsid w:val="5E833C13"/>
    <w:rsid w:val="5E842BC1"/>
    <w:rsid w:val="5E885FEA"/>
    <w:rsid w:val="5E895D2C"/>
    <w:rsid w:val="5E8A2B64"/>
    <w:rsid w:val="5E8A7E82"/>
    <w:rsid w:val="5E8B1F19"/>
    <w:rsid w:val="5E8E2EA6"/>
    <w:rsid w:val="5E924E39"/>
    <w:rsid w:val="5E940A12"/>
    <w:rsid w:val="5E951DE2"/>
    <w:rsid w:val="5E954265"/>
    <w:rsid w:val="5E962CB2"/>
    <w:rsid w:val="5E973592"/>
    <w:rsid w:val="5E980D1F"/>
    <w:rsid w:val="5E9A05B6"/>
    <w:rsid w:val="5E9A3D77"/>
    <w:rsid w:val="5E9A5863"/>
    <w:rsid w:val="5E9A7ACC"/>
    <w:rsid w:val="5E9B7BE0"/>
    <w:rsid w:val="5E9C24E5"/>
    <w:rsid w:val="5E9C2C1B"/>
    <w:rsid w:val="5E9C35DE"/>
    <w:rsid w:val="5E9D19DC"/>
    <w:rsid w:val="5E9E6673"/>
    <w:rsid w:val="5E9F1DB2"/>
    <w:rsid w:val="5E9F4C3F"/>
    <w:rsid w:val="5EA017AE"/>
    <w:rsid w:val="5EA14683"/>
    <w:rsid w:val="5EA167DD"/>
    <w:rsid w:val="5EA17C7D"/>
    <w:rsid w:val="5EA20E35"/>
    <w:rsid w:val="5EA20EE2"/>
    <w:rsid w:val="5EA37559"/>
    <w:rsid w:val="5EA42C3A"/>
    <w:rsid w:val="5EA52601"/>
    <w:rsid w:val="5EA6669F"/>
    <w:rsid w:val="5EA71ED7"/>
    <w:rsid w:val="5EA753C6"/>
    <w:rsid w:val="5EA76EE0"/>
    <w:rsid w:val="5EA84AC3"/>
    <w:rsid w:val="5EA96BD8"/>
    <w:rsid w:val="5EAA489E"/>
    <w:rsid w:val="5EAC0950"/>
    <w:rsid w:val="5EAC3129"/>
    <w:rsid w:val="5EAD1AE1"/>
    <w:rsid w:val="5EAE46C0"/>
    <w:rsid w:val="5EAE51E0"/>
    <w:rsid w:val="5EAF396B"/>
    <w:rsid w:val="5EB15895"/>
    <w:rsid w:val="5EB20096"/>
    <w:rsid w:val="5EB24BA4"/>
    <w:rsid w:val="5EB278D5"/>
    <w:rsid w:val="5EB47418"/>
    <w:rsid w:val="5EB54DDB"/>
    <w:rsid w:val="5EB63D3F"/>
    <w:rsid w:val="5EB63F4D"/>
    <w:rsid w:val="5EB715CB"/>
    <w:rsid w:val="5EB71F93"/>
    <w:rsid w:val="5EB7323A"/>
    <w:rsid w:val="5EB767CF"/>
    <w:rsid w:val="5EB76991"/>
    <w:rsid w:val="5EB824A7"/>
    <w:rsid w:val="5EB8295B"/>
    <w:rsid w:val="5EB85817"/>
    <w:rsid w:val="5EB868D4"/>
    <w:rsid w:val="5EB90543"/>
    <w:rsid w:val="5EB93798"/>
    <w:rsid w:val="5EBA4C97"/>
    <w:rsid w:val="5EBA7349"/>
    <w:rsid w:val="5EBB3008"/>
    <w:rsid w:val="5EBC32C3"/>
    <w:rsid w:val="5EBD4BE0"/>
    <w:rsid w:val="5EBE2D51"/>
    <w:rsid w:val="5EC03ED3"/>
    <w:rsid w:val="5EC04399"/>
    <w:rsid w:val="5EC064BC"/>
    <w:rsid w:val="5EC065F2"/>
    <w:rsid w:val="5EC10CF6"/>
    <w:rsid w:val="5EC51F9E"/>
    <w:rsid w:val="5EC6783E"/>
    <w:rsid w:val="5EC8603E"/>
    <w:rsid w:val="5ECA341F"/>
    <w:rsid w:val="5ECA610D"/>
    <w:rsid w:val="5ECB6759"/>
    <w:rsid w:val="5ECB6E3F"/>
    <w:rsid w:val="5ECC178F"/>
    <w:rsid w:val="5ECD69E3"/>
    <w:rsid w:val="5ECF0F1E"/>
    <w:rsid w:val="5ECF2662"/>
    <w:rsid w:val="5ECF274A"/>
    <w:rsid w:val="5ED012C7"/>
    <w:rsid w:val="5ED077E3"/>
    <w:rsid w:val="5ED15687"/>
    <w:rsid w:val="5ED2038A"/>
    <w:rsid w:val="5ED20B6F"/>
    <w:rsid w:val="5ED24F0E"/>
    <w:rsid w:val="5ED25AFA"/>
    <w:rsid w:val="5ED3094B"/>
    <w:rsid w:val="5ED32F72"/>
    <w:rsid w:val="5ED52E57"/>
    <w:rsid w:val="5ED5446C"/>
    <w:rsid w:val="5ED5580D"/>
    <w:rsid w:val="5ED66DBB"/>
    <w:rsid w:val="5ED77DE1"/>
    <w:rsid w:val="5EDA0178"/>
    <w:rsid w:val="5EDA68B2"/>
    <w:rsid w:val="5EDA6D96"/>
    <w:rsid w:val="5EDF7381"/>
    <w:rsid w:val="5EE21B54"/>
    <w:rsid w:val="5EE260F6"/>
    <w:rsid w:val="5EE507FC"/>
    <w:rsid w:val="5EE52AB4"/>
    <w:rsid w:val="5EE5753E"/>
    <w:rsid w:val="5EE703F0"/>
    <w:rsid w:val="5EE75003"/>
    <w:rsid w:val="5EE926A9"/>
    <w:rsid w:val="5EEA03EF"/>
    <w:rsid w:val="5EEA1183"/>
    <w:rsid w:val="5EEA208C"/>
    <w:rsid w:val="5EEA32FC"/>
    <w:rsid w:val="5EEA6B6D"/>
    <w:rsid w:val="5EEC5625"/>
    <w:rsid w:val="5EEC6888"/>
    <w:rsid w:val="5EED36DC"/>
    <w:rsid w:val="5EF40CA9"/>
    <w:rsid w:val="5EF4340C"/>
    <w:rsid w:val="5EF44E64"/>
    <w:rsid w:val="5EF62013"/>
    <w:rsid w:val="5EF64CAE"/>
    <w:rsid w:val="5EF64DDB"/>
    <w:rsid w:val="5EF8226E"/>
    <w:rsid w:val="5EF84D97"/>
    <w:rsid w:val="5EFB1B53"/>
    <w:rsid w:val="5EFC0847"/>
    <w:rsid w:val="5F0054DC"/>
    <w:rsid w:val="5F010E06"/>
    <w:rsid w:val="5F0228E5"/>
    <w:rsid w:val="5F032A6B"/>
    <w:rsid w:val="5F034596"/>
    <w:rsid w:val="5F036EF0"/>
    <w:rsid w:val="5F050952"/>
    <w:rsid w:val="5F07191B"/>
    <w:rsid w:val="5F071F45"/>
    <w:rsid w:val="5F0A446A"/>
    <w:rsid w:val="5F0A5408"/>
    <w:rsid w:val="5F0B35E7"/>
    <w:rsid w:val="5F0B3FCB"/>
    <w:rsid w:val="5F0B5C41"/>
    <w:rsid w:val="5F0B7DA9"/>
    <w:rsid w:val="5F0C25F1"/>
    <w:rsid w:val="5F0C3060"/>
    <w:rsid w:val="5F0C40D1"/>
    <w:rsid w:val="5F0D4E11"/>
    <w:rsid w:val="5F0E45BB"/>
    <w:rsid w:val="5F0F19C1"/>
    <w:rsid w:val="5F0F7512"/>
    <w:rsid w:val="5F104CE7"/>
    <w:rsid w:val="5F125059"/>
    <w:rsid w:val="5F125AC4"/>
    <w:rsid w:val="5F13000A"/>
    <w:rsid w:val="5F145FA5"/>
    <w:rsid w:val="5F1516B2"/>
    <w:rsid w:val="5F154DBE"/>
    <w:rsid w:val="5F165266"/>
    <w:rsid w:val="5F16735C"/>
    <w:rsid w:val="5F18737F"/>
    <w:rsid w:val="5F19702A"/>
    <w:rsid w:val="5F1A4659"/>
    <w:rsid w:val="5F1B42DE"/>
    <w:rsid w:val="5F1C4231"/>
    <w:rsid w:val="5F1E2626"/>
    <w:rsid w:val="5F1E2BA0"/>
    <w:rsid w:val="5F1F2431"/>
    <w:rsid w:val="5F1F332C"/>
    <w:rsid w:val="5F205D1E"/>
    <w:rsid w:val="5F223D86"/>
    <w:rsid w:val="5F232525"/>
    <w:rsid w:val="5F237FD9"/>
    <w:rsid w:val="5F242A99"/>
    <w:rsid w:val="5F247D34"/>
    <w:rsid w:val="5F2511C4"/>
    <w:rsid w:val="5F2553E7"/>
    <w:rsid w:val="5F256F3F"/>
    <w:rsid w:val="5F266D5B"/>
    <w:rsid w:val="5F2A1955"/>
    <w:rsid w:val="5F2B212F"/>
    <w:rsid w:val="5F2C3B56"/>
    <w:rsid w:val="5F2E0174"/>
    <w:rsid w:val="5F2E6012"/>
    <w:rsid w:val="5F2F3484"/>
    <w:rsid w:val="5F306759"/>
    <w:rsid w:val="5F312917"/>
    <w:rsid w:val="5F326A1C"/>
    <w:rsid w:val="5F327115"/>
    <w:rsid w:val="5F343F36"/>
    <w:rsid w:val="5F350EC0"/>
    <w:rsid w:val="5F355608"/>
    <w:rsid w:val="5F35723A"/>
    <w:rsid w:val="5F380A56"/>
    <w:rsid w:val="5F3A045C"/>
    <w:rsid w:val="5F3A75A8"/>
    <w:rsid w:val="5F3A7801"/>
    <w:rsid w:val="5F3C662E"/>
    <w:rsid w:val="5F3C6D9C"/>
    <w:rsid w:val="5F3D45B0"/>
    <w:rsid w:val="5F3D51F0"/>
    <w:rsid w:val="5F3E0894"/>
    <w:rsid w:val="5F3E230E"/>
    <w:rsid w:val="5F3E6A61"/>
    <w:rsid w:val="5F3E7D16"/>
    <w:rsid w:val="5F4104EC"/>
    <w:rsid w:val="5F415918"/>
    <w:rsid w:val="5F44049E"/>
    <w:rsid w:val="5F443529"/>
    <w:rsid w:val="5F452F2A"/>
    <w:rsid w:val="5F4934CB"/>
    <w:rsid w:val="5F4964FE"/>
    <w:rsid w:val="5F4A14A0"/>
    <w:rsid w:val="5F4B7F07"/>
    <w:rsid w:val="5F4D7D41"/>
    <w:rsid w:val="5F4F25DB"/>
    <w:rsid w:val="5F50365D"/>
    <w:rsid w:val="5F522C39"/>
    <w:rsid w:val="5F52529E"/>
    <w:rsid w:val="5F5314C3"/>
    <w:rsid w:val="5F532C99"/>
    <w:rsid w:val="5F540F4F"/>
    <w:rsid w:val="5F54154F"/>
    <w:rsid w:val="5F543DF3"/>
    <w:rsid w:val="5F545C85"/>
    <w:rsid w:val="5F555DEC"/>
    <w:rsid w:val="5F5563D5"/>
    <w:rsid w:val="5F563B1A"/>
    <w:rsid w:val="5F5652C4"/>
    <w:rsid w:val="5F594571"/>
    <w:rsid w:val="5F5A6127"/>
    <w:rsid w:val="5F5E4657"/>
    <w:rsid w:val="5F5E6F20"/>
    <w:rsid w:val="5F5F53F9"/>
    <w:rsid w:val="5F60061E"/>
    <w:rsid w:val="5F6008C3"/>
    <w:rsid w:val="5F6030FF"/>
    <w:rsid w:val="5F60331F"/>
    <w:rsid w:val="5F606546"/>
    <w:rsid w:val="5F6143D3"/>
    <w:rsid w:val="5F614EBD"/>
    <w:rsid w:val="5F650831"/>
    <w:rsid w:val="5F66580F"/>
    <w:rsid w:val="5F667774"/>
    <w:rsid w:val="5F695105"/>
    <w:rsid w:val="5F6A26B8"/>
    <w:rsid w:val="5F6A66A9"/>
    <w:rsid w:val="5F6C20F3"/>
    <w:rsid w:val="5F6C45B5"/>
    <w:rsid w:val="5F6E64CF"/>
    <w:rsid w:val="5F70746A"/>
    <w:rsid w:val="5F7162BE"/>
    <w:rsid w:val="5F733C6D"/>
    <w:rsid w:val="5F751D93"/>
    <w:rsid w:val="5F76562C"/>
    <w:rsid w:val="5F7727D4"/>
    <w:rsid w:val="5F77380B"/>
    <w:rsid w:val="5F7742D7"/>
    <w:rsid w:val="5F785B2A"/>
    <w:rsid w:val="5F7929BD"/>
    <w:rsid w:val="5F7A6D1D"/>
    <w:rsid w:val="5F7B4388"/>
    <w:rsid w:val="5F7B5CBA"/>
    <w:rsid w:val="5F7B7CAA"/>
    <w:rsid w:val="5F7C6DCE"/>
    <w:rsid w:val="5F7D016D"/>
    <w:rsid w:val="5F7E6396"/>
    <w:rsid w:val="5F803A8F"/>
    <w:rsid w:val="5F8131BD"/>
    <w:rsid w:val="5F8140E2"/>
    <w:rsid w:val="5F8252A0"/>
    <w:rsid w:val="5F825B77"/>
    <w:rsid w:val="5F831592"/>
    <w:rsid w:val="5F83483C"/>
    <w:rsid w:val="5F8417FB"/>
    <w:rsid w:val="5F8446F5"/>
    <w:rsid w:val="5F84515A"/>
    <w:rsid w:val="5F874F8E"/>
    <w:rsid w:val="5F8925D6"/>
    <w:rsid w:val="5F8933D4"/>
    <w:rsid w:val="5F8C0873"/>
    <w:rsid w:val="5F8E3F33"/>
    <w:rsid w:val="5F8F1635"/>
    <w:rsid w:val="5F8F7EB6"/>
    <w:rsid w:val="5F9002C5"/>
    <w:rsid w:val="5F906452"/>
    <w:rsid w:val="5F911DFA"/>
    <w:rsid w:val="5F916313"/>
    <w:rsid w:val="5F9216E1"/>
    <w:rsid w:val="5F927E57"/>
    <w:rsid w:val="5F937621"/>
    <w:rsid w:val="5F9429C3"/>
    <w:rsid w:val="5F945433"/>
    <w:rsid w:val="5F95058C"/>
    <w:rsid w:val="5F97010C"/>
    <w:rsid w:val="5F970543"/>
    <w:rsid w:val="5F981508"/>
    <w:rsid w:val="5F986FF9"/>
    <w:rsid w:val="5F987AC7"/>
    <w:rsid w:val="5F991129"/>
    <w:rsid w:val="5F9A048A"/>
    <w:rsid w:val="5F9A635A"/>
    <w:rsid w:val="5F9D2A36"/>
    <w:rsid w:val="5F9D4375"/>
    <w:rsid w:val="5F9D6CF7"/>
    <w:rsid w:val="5F9F20A6"/>
    <w:rsid w:val="5FA02F8F"/>
    <w:rsid w:val="5FA2532E"/>
    <w:rsid w:val="5FA3381E"/>
    <w:rsid w:val="5FA42829"/>
    <w:rsid w:val="5FA840C8"/>
    <w:rsid w:val="5FAA046E"/>
    <w:rsid w:val="5FAD09A9"/>
    <w:rsid w:val="5FAE1155"/>
    <w:rsid w:val="5FAE5370"/>
    <w:rsid w:val="5FAE7F5E"/>
    <w:rsid w:val="5FAF204C"/>
    <w:rsid w:val="5FAF2302"/>
    <w:rsid w:val="5FB04C89"/>
    <w:rsid w:val="5FB24F46"/>
    <w:rsid w:val="5FB35281"/>
    <w:rsid w:val="5FB43D44"/>
    <w:rsid w:val="5FB46EFB"/>
    <w:rsid w:val="5FB52142"/>
    <w:rsid w:val="5FB54700"/>
    <w:rsid w:val="5FB54A36"/>
    <w:rsid w:val="5FB65E91"/>
    <w:rsid w:val="5FB7255D"/>
    <w:rsid w:val="5FB73ADE"/>
    <w:rsid w:val="5FB77B94"/>
    <w:rsid w:val="5FB804A6"/>
    <w:rsid w:val="5FB85F18"/>
    <w:rsid w:val="5FB871DA"/>
    <w:rsid w:val="5FB914B3"/>
    <w:rsid w:val="5FB97BEC"/>
    <w:rsid w:val="5FBA28FA"/>
    <w:rsid w:val="5FBA595B"/>
    <w:rsid w:val="5FBA5D0C"/>
    <w:rsid w:val="5FBC77AD"/>
    <w:rsid w:val="5FBF2475"/>
    <w:rsid w:val="5FC06DB5"/>
    <w:rsid w:val="5FC133DB"/>
    <w:rsid w:val="5FC313F1"/>
    <w:rsid w:val="5FC45D35"/>
    <w:rsid w:val="5FCA121E"/>
    <w:rsid w:val="5FCA534B"/>
    <w:rsid w:val="5FCB7748"/>
    <w:rsid w:val="5FCC7137"/>
    <w:rsid w:val="5FCD471F"/>
    <w:rsid w:val="5FCE0F1E"/>
    <w:rsid w:val="5FCE4CBF"/>
    <w:rsid w:val="5FCE6F14"/>
    <w:rsid w:val="5FCF2D5B"/>
    <w:rsid w:val="5FCF710A"/>
    <w:rsid w:val="5FD02E5F"/>
    <w:rsid w:val="5FD23D28"/>
    <w:rsid w:val="5FD3307C"/>
    <w:rsid w:val="5FD41BC5"/>
    <w:rsid w:val="5FD52CD2"/>
    <w:rsid w:val="5FD6424A"/>
    <w:rsid w:val="5FD70F10"/>
    <w:rsid w:val="5FD91BE3"/>
    <w:rsid w:val="5FD93C99"/>
    <w:rsid w:val="5FDA4ADD"/>
    <w:rsid w:val="5FDA5A49"/>
    <w:rsid w:val="5FDB468D"/>
    <w:rsid w:val="5FDF7007"/>
    <w:rsid w:val="5FE1663B"/>
    <w:rsid w:val="5FE177B4"/>
    <w:rsid w:val="5FE3434F"/>
    <w:rsid w:val="5FE42D89"/>
    <w:rsid w:val="5FE44D59"/>
    <w:rsid w:val="5FE561B5"/>
    <w:rsid w:val="5FE61094"/>
    <w:rsid w:val="5FE715AF"/>
    <w:rsid w:val="5FE76BF0"/>
    <w:rsid w:val="5FE84A2B"/>
    <w:rsid w:val="5FE8756A"/>
    <w:rsid w:val="5FE9517E"/>
    <w:rsid w:val="5FEA349E"/>
    <w:rsid w:val="5FEA6394"/>
    <w:rsid w:val="5FEA6E38"/>
    <w:rsid w:val="5FEB03B5"/>
    <w:rsid w:val="5FEB4346"/>
    <w:rsid w:val="5FEF5B9B"/>
    <w:rsid w:val="5FF05295"/>
    <w:rsid w:val="5FF12CC7"/>
    <w:rsid w:val="5FF2344D"/>
    <w:rsid w:val="5FF331A4"/>
    <w:rsid w:val="5FF427FF"/>
    <w:rsid w:val="5FF43B46"/>
    <w:rsid w:val="5FF464BF"/>
    <w:rsid w:val="5FF61B9E"/>
    <w:rsid w:val="5FF774ED"/>
    <w:rsid w:val="5FFA0811"/>
    <w:rsid w:val="5FFA5345"/>
    <w:rsid w:val="5FFB4DB9"/>
    <w:rsid w:val="5FFC0420"/>
    <w:rsid w:val="5FFC2C35"/>
    <w:rsid w:val="5FFC4B99"/>
    <w:rsid w:val="5FFE1D9D"/>
    <w:rsid w:val="5FFF18D9"/>
    <w:rsid w:val="60000B9F"/>
    <w:rsid w:val="60011D18"/>
    <w:rsid w:val="60017045"/>
    <w:rsid w:val="60025256"/>
    <w:rsid w:val="600334E8"/>
    <w:rsid w:val="60035B57"/>
    <w:rsid w:val="60043DEF"/>
    <w:rsid w:val="60046FD7"/>
    <w:rsid w:val="60051AE5"/>
    <w:rsid w:val="60062105"/>
    <w:rsid w:val="60065D84"/>
    <w:rsid w:val="60066213"/>
    <w:rsid w:val="60082049"/>
    <w:rsid w:val="60082641"/>
    <w:rsid w:val="60084182"/>
    <w:rsid w:val="600849A1"/>
    <w:rsid w:val="60086B74"/>
    <w:rsid w:val="6009147A"/>
    <w:rsid w:val="6009224F"/>
    <w:rsid w:val="600A04D9"/>
    <w:rsid w:val="600A6D33"/>
    <w:rsid w:val="600B6D5F"/>
    <w:rsid w:val="600B78DB"/>
    <w:rsid w:val="600D1414"/>
    <w:rsid w:val="600E0A3C"/>
    <w:rsid w:val="600E0F63"/>
    <w:rsid w:val="60107EBF"/>
    <w:rsid w:val="6012145B"/>
    <w:rsid w:val="601216EB"/>
    <w:rsid w:val="60125A0E"/>
    <w:rsid w:val="6013234F"/>
    <w:rsid w:val="60140941"/>
    <w:rsid w:val="601426E9"/>
    <w:rsid w:val="60143000"/>
    <w:rsid w:val="60151626"/>
    <w:rsid w:val="60156998"/>
    <w:rsid w:val="60156E31"/>
    <w:rsid w:val="60176DC9"/>
    <w:rsid w:val="60187669"/>
    <w:rsid w:val="60191290"/>
    <w:rsid w:val="601C5BF4"/>
    <w:rsid w:val="601D272C"/>
    <w:rsid w:val="601D6A76"/>
    <w:rsid w:val="601F718C"/>
    <w:rsid w:val="60214EB1"/>
    <w:rsid w:val="6022111A"/>
    <w:rsid w:val="60255718"/>
    <w:rsid w:val="60255EBF"/>
    <w:rsid w:val="602816AC"/>
    <w:rsid w:val="602B10D2"/>
    <w:rsid w:val="602B5882"/>
    <w:rsid w:val="602C15DF"/>
    <w:rsid w:val="602D2AAB"/>
    <w:rsid w:val="602D5A02"/>
    <w:rsid w:val="602E0E91"/>
    <w:rsid w:val="602F3358"/>
    <w:rsid w:val="602F57DC"/>
    <w:rsid w:val="60315F2B"/>
    <w:rsid w:val="6031784A"/>
    <w:rsid w:val="60325EAB"/>
    <w:rsid w:val="60326879"/>
    <w:rsid w:val="60331859"/>
    <w:rsid w:val="60331860"/>
    <w:rsid w:val="60346A5F"/>
    <w:rsid w:val="60353952"/>
    <w:rsid w:val="60383C32"/>
    <w:rsid w:val="603841C5"/>
    <w:rsid w:val="60385BCE"/>
    <w:rsid w:val="60390D9C"/>
    <w:rsid w:val="603B3811"/>
    <w:rsid w:val="603C1492"/>
    <w:rsid w:val="603C4F45"/>
    <w:rsid w:val="603C5333"/>
    <w:rsid w:val="603D6DB7"/>
    <w:rsid w:val="603D6F06"/>
    <w:rsid w:val="604063C0"/>
    <w:rsid w:val="604076B1"/>
    <w:rsid w:val="60411483"/>
    <w:rsid w:val="60412847"/>
    <w:rsid w:val="6042481A"/>
    <w:rsid w:val="60441C21"/>
    <w:rsid w:val="604459A9"/>
    <w:rsid w:val="6045778F"/>
    <w:rsid w:val="60470B9C"/>
    <w:rsid w:val="60470CE0"/>
    <w:rsid w:val="60471A17"/>
    <w:rsid w:val="6047442B"/>
    <w:rsid w:val="604B47C2"/>
    <w:rsid w:val="604B61C9"/>
    <w:rsid w:val="604C365E"/>
    <w:rsid w:val="604D3404"/>
    <w:rsid w:val="604D4773"/>
    <w:rsid w:val="604D7BD0"/>
    <w:rsid w:val="60502E32"/>
    <w:rsid w:val="6051709B"/>
    <w:rsid w:val="6052159C"/>
    <w:rsid w:val="60522285"/>
    <w:rsid w:val="60536F7F"/>
    <w:rsid w:val="60541A5D"/>
    <w:rsid w:val="605424A1"/>
    <w:rsid w:val="60544FF5"/>
    <w:rsid w:val="60545664"/>
    <w:rsid w:val="6054746E"/>
    <w:rsid w:val="605503F1"/>
    <w:rsid w:val="60550D9C"/>
    <w:rsid w:val="60553E5B"/>
    <w:rsid w:val="60555D62"/>
    <w:rsid w:val="60556138"/>
    <w:rsid w:val="60564A62"/>
    <w:rsid w:val="6057792D"/>
    <w:rsid w:val="60581D57"/>
    <w:rsid w:val="60583D23"/>
    <w:rsid w:val="60583E6E"/>
    <w:rsid w:val="6059757B"/>
    <w:rsid w:val="605A1FB1"/>
    <w:rsid w:val="605A4FD1"/>
    <w:rsid w:val="605B363A"/>
    <w:rsid w:val="605C3184"/>
    <w:rsid w:val="605D6A6C"/>
    <w:rsid w:val="605F1577"/>
    <w:rsid w:val="605F292F"/>
    <w:rsid w:val="6060312A"/>
    <w:rsid w:val="60603E77"/>
    <w:rsid w:val="606058A6"/>
    <w:rsid w:val="606063E8"/>
    <w:rsid w:val="60614416"/>
    <w:rsid w:val="6063440B"/>
    <w:rsid w:val="60644415"/>
    <w:rsid w:val="606447B7"/>
    <w:rsid w:val="606454DA"/>
    <w:rsid w:val="60663C75"/>
    <w:rsid w:val="6066795F"/>
    <w:rsid w:val="606813DB"/>
    <w:rsid w:val="60681A88"/>
    <w:rsid w:val="60683F42"/>
    <w:rsid w:val="60690C08"/>
    <w:rsid w:val="6069374C"/>
    <w:rsid w:val="60693C01"/>
    <w:rsid w:val="606A26EA"/>
    <w:rsid w:val="606A446B"/>
    <w:rsid w:val="606A52D8"/>
    <w:rsid w:val="606B3C15"/>
    <w:rsid w:val="606B7896"/>
    <w:rsid w:val="606B7DC0"/>
    <w:rsid w:val="606D13C6"/>
    <w:rsid w:val="606D7B57"/>
    <w:rsid w:val="606F21FD"/>
    <w:rsid w:val="6071095D"/>
    <w:rsid w:val="60711FB2"/>
    <w:rsid w:val="60717705"/>
    <w:rsid w:val="60723D5C"/>
    <w:rsid w:val="60732B6E"/>
    <w:rsid w:val="607332FD"/>
    <w:rsid w:val="6073555A"/>
    <w:rsid w:val="60743781"/>
    <w:rsid w:val="607543C6"/>
    <w:rsid w:val="607633B6"/>
    <w:rsid w:val="60767414"/>
    <w:rsid w:val="607855EE"/>
    <w:rsid w:val="607B0D19"/>
    <w:rsid w:val="607D2B6E"/>
    <w:rsid w:val="607F4727"/>
    <w:rsid w:val="607F4CC2"/>
    <w:rsid w:val="608026AC"/>
    <w:rsid w:val="6080280B"/>
    <w:rsid w:val="60804ADE"/>
    <w:rsid w:val="60807E50"/>
    <w:rsid w:val="60823521"/>
    <w:rsid w:val="60823F2D"/>
    <w:rsid w:val="60843AD5"/>
    <w:rsid w:val="60845AF8"/>
    <w:rsid w:val="60845F3F"/>
    <w:rsid w:val="60850566"/>
    <w:rsid w:val="6085304E"/>
    <w:rsid w:val="60860128"/>
    <w:rsid w:val="60862A50"/>
    <w:rsid w:val="60872920"/>
    <w:rsid w:val="60872EB9"/>
    <w:rsid w:val="60881AA0"/>
    <w:rsid w:val="60894803"/>
    <w:rsid w:val="608A2EF4"/>
    <w:rsid w:val="608C3A44"/>
    <w:rsid w:val="608C56C2"/>
    <w:rsid w:val="608D10CD"/>
    <w:rsid w:val="608E6D6C"/>
    <w:rsid w:val="609166D1"/>
    <w:rsid w:val="609256C9"/>
    <w:rsid w:val="6092756E"/>
    <w:rsid w:val="60932A98"/>
    <w:rsid w:val="60935322"/>
    <w:rsid w:val="60945CB9"/>
    <w:rsid w:val="609624FE"/>
    <w:rsid w:val="60984BCB"/>
    <w:rsid w:val="609B2485"/>
    <w:rsid w:val="609B59DA"/>
    <w:rsid w:val="609B7768"/>
    <w:rsid w:val="609C44CE"/>
    <w:rsid w:val="609C4C8A"/>
    <w:rsid w:val="609D493D"/>
    <w:rsid w:val="609D7827"/>
    <w:rsid w:val="609E7A36"/>
    <w:rsid w:val="60A1490E"/>
    <w:rsid w:val="60A249AE"/>
    <w:rsid w:val="60A350E1"/>
    <w:rsid w:val="60A35E54"/>
    <w:rsid w:val="60A50FC5"/>
    <w:rsid w:val="60A64382"/>
    <w:rsid w:val="60A75742"/>
    <w:rsid w:val="60A92383"/>
    <w:rsid w:val="60A94708"/>
    <w:rsid w:val="60A97CC3"/>
    <w:rsid w:val="60AA3E6F"/>
    <w:rsid w:val="60AA638C"/>
    <w:rsid w:val="60AC253D"/>
    <w:rsid w:val="60AC27F9"/>
    <w:rsid w:val="60AC4C28"/>
    <w:rsid w:val="60AC52AE"/>
    <w:rsid w:val="60AD1DC4"/>
    <w:rsid w:val="60AD743D"/>
    <w:rsid w:val="60AE1AAA"/>
    <w:rsid w:val="60AE333B"/>
    <w:rsid w:val="60B05FFA"/>
    <w:rsid w:val="60B12BA0"/>
    <w:rsid w:val="60B151FE"/>
    <w:rsid w:val="60B33AF0"/>
    <w:rsid w:val="60B56839"/>
    <w:rsid w:val="60B62DF6"/>
    <w:rsid w:val="60B66BEE"/>
    <w:rsid w:val="60B7629E"/>
    <w:rsid w:val="60B763B0"/>
    <w:rsid w:val="60B87F78"/>
    <w:rsid w:val="60BA28E5"/>
    <w:rsid w:val="60BC14F8"/>
    <w:rsid w:val="60BC2609"/>
    <w:rsid w:val="60BC2FCB"/>
    <w:rsid w:val="60BC3573"/>
    <w:rsid w:val="60BD0047"/>
    <w:rsid w:val="60BD18D9"/>
    <w:rsid w:val="60BD4F71"/>
    <w:rsid w:val="60BE5601"/>
    <w:rsid w:val="60C050AF"/>
    <w:rsid w:val="60C15067"/>
    <w:rsid w:val="60C229EE"/>
    <w:rsid w:val="60C30C01"/>
    <w:rsid w:val="60C4100B"/>
    <w:rsid w:val="60C47B05"/>
    <w:rsid w:val="60C746DC"/>
    <w:rsid w:val="60C7745F"/>
    <w:rsid w:val="60C775E0"/>
    <w:rsid w:val="60C864BC"/>
    <w:rsid w:val="60C90FB3"/>
    <w:rsid w:val="60C93A27"/>
    <w:rsid w:val="60CA6A02"/>
    <w:rsid w:val="60CC1A24"/>
    <w:rsid w:val="60CE24D7"/>
    <w:rsid w:val="60D05E27"/>
    <w:rsid w:val="60D1015B"/>
    <w:rsid w:val="60D1450C"/>
    <w:rsid w:val="60D22D1C"/>
    <w:rsid w:val="60D237B6"/>
    <w:rsid w:val="60D4075C"/>
    <w:rsid w:val="60D44E55"/>
    <w:rsid w:val="60D61108"/>
    <w:rsid w:val="60D61325"/>
    <w:rsid w:val="60D8794C"/>
    <w:rsid w:val="60D94C7A"/>
    <w:rsid w:val="60D961F0"/>
    <w:rsid w:val="60DA57F3"/>
    <w:rsid w:val="60DA7855"/>
    <w:rsid w:val="60DB172E"/>
    <w:rsid w:val="60DB6684"/>
    <w:rsid w:val="60DC28C1"/>
    <w:rsid w:val="60DE7A73"/>
    <w:rsid w:val="60DF136F"/>
    <w:rsid w:val="60DF430A"/>
    <w:rsid w:val="60E02696"/>
    <w:rsid w:val="60E0420C"/>
    <w:rsid w:val="60E07959"/>
    <w:rsid w:val="60E12847"/>
    <w:rsid w:val="60E1685E"/>
    <w:rsid w:val="60E2226B"/>
    <w:rsid w:val="60E320DB"/>
    <w:rsid w:val="60E34553"/>
    <w:rsid w:val="60E34830"/>
    <w:rsid w:val="60E34F4E"/>
    <w:rsid w:val="60E40B87"/>
    <w:rsid w:val="60E514E1"/>
    <w:rsid w:val="60E637C2"/>
    <w:rsid w:val="60E70207"/>
    <w:rsid w:val="60E9341C"/>
    <w:rsid w:val="60EA55FF"/>
    <w:rsid w:val="60EB0D7C"/>
    <w:rsid w:val="60EB3260"/>
    <w:rsid w:val="60EC22C1"/>
    <w:rsid w:val="60EC5775"/>
    <w:rsid w:val="60ED2219"/>
    <w:rsid w:val="60ED295E"/>
    <w:rsid w:val="60ED5F8E"/>
    <w:rsid w:val="60EE67D3"/>
    <w:rsid w:val="60EF1ECC"/>
    <w:rsid w:val="60EF47FE"/>
    <w:rsid w:val="60F13A7F"/>
    <w:rsid w:val="60F1402D"/>
    <w:rsid w:val="60F148CB"/>
    <w:rsid w:val="60F245DA"/>
    <w:rsid w:val="60F255CC"/>
    <w:rsid w:val="60F344E8"/>
    <w:rsid w:val="60F45B56"/>
    <w:rsid w:val="60F50B67"/>
    <w:rsid w:val="60F56B69"/>
    <w:rsid w:val="60F60FC6"/>
    <w:rsid w:val="60F75C84"/>
    <w:rsid w:val="60F8065A"/>
    <w:rsid w:val="60F810EF"/>
    <w:rsid w:val="60F83A26"/>
    <w:rsid w:val="60F93B48"/>
    <w:rsid w:val="60F95867"/>
    <w:rsid w:val="60FA4FD0"/>
    <w:rsid w:val="60FB003A"/>
    <w:rsid w:val="60FE5389"/>
    <w:rsid w:val="60FE7336"/>
    <w:rsid w:val="60FF6C3C"/>
    <w:rsid w:val="610047A4"/>
    <w:rsid w:val="61015BE8"/>
    <w:rsid w:val="610369CE"/>
    <w:rsid w:val="610434DE"/>
    <w:rsid w:val="610508D3"/>
    <w:rsid w:val="61051566"/>
    <w:rsid w:val="61073070"/>
    <w:rsid w:val="610A7539"/>
    <w:rsid w:val="610B2792"/>
    <w:rsid w:val="610B58A0"/>
    <w:rsid w:val="610B76D1"/>
    <w:rsid w:val="610C3F56"/>
    <w:rsid w:val="610E35A5"/>
    <w:rsid w:val="610F43A8"/>
    <w:rsid w:val="611122AC"/>
    <w:rsid w:val="611132D8"/>
    <w:rsid w:val="61113E67"/>
    <w:rsid w:val="611159DB"/>
    <w:rsid w:val="61116D85"/>
    <w:rsid w:val="61117E6B"/>
    <w:rsid w:val="61122606"/>
    <w:rsid w:val="611242A1"/>
    <w:rsid w:val="61126AAC"/>
    <w:rsid w:val="61140344"/>
    <w:rsid w:val="61143232"/>
    <w:rsid w:val="6114685A"/>
    <w:rsid w:val="61151279"/>
    <w:rsid w:val="61152409"/>
    <w:rsid w:val="61162814"/>
    <w:rsid w:val="61167A2E"/>
    <w:rsid w:val="611853ED"/>
    <w:rsid w:val="61190FA1"/>
    <w:rsid w:val="61194498"/>
    <w:rsid w:val="6119793F"/>
    <w:rsid w:val="611C179C"/>
    <w:rsid w:val="611E4577"/>
    <w:rsid w:val="611E4D1A"/>
    <w:rsid w:val="612131DD"/>
    <w:rsid w:val="612141B2"/>
    <w:rsid w:val="61215D0F"/>
    <w:rsid w:val="61223243"/>
    <w:rsid w:val="61237F84"/>
    <w:rsid w:val="61245484"/>
    <w:rsid w:val="612705C7"/>
    <w:rsid w:val="61282EE1"/>
    <w:rsid w:val="612831B4"/>
    <w:rsid w:val="612D62DF"/>
    <w:rsid w:val="612D73B8"/>
    <w:rsid w:val="613249BE"/>
    <w:rsid w:val="613318FD"/>
    <w:rsid w:val="613329F7"/>
    <w:rsid w:val="6133313A"/>
    <w:rsid w:val="6133411C"/>
    <w:rsid w:val="613349B6"/>
    <w:rsid w:val="6134513B"/>
    <w:rsid w:val="6134673B"/>
    <w:rsid w:val="613512B7"/>
    <w:rsid w:val="6135490B"/>
    <w:rsid w:val="61367CA8"/>
    <w:rsid w:val="61374254"/>
    <w:rsid w:val="613A4002"/>
    <w:rsid w:val="613B10C4"/>
    <w:rsid w:val="613B3E1F"/>
    <w:rsid w:val="613C3B3A"/>
    <w:rsid w:val="613D108C"/>
    <w:rsid w:val="613D1607"/>
    <w:rsid w:val="613D4F5C"/>
    <w:rsid w:val="613D6EF1"/>
    <w:rsid w:val="61403889"/>
    <w:rsid w:val="614150AB"/>
    <w:rsid w:val="6142510D"/>
    <w:rsid w:val="6143127A"/>
    <w:rsid w:val="614377DD"/>
    <w:rsid w:val="61442407"/>
    <w:rsid w:val="614452D3"/>
    <w:rsid w:val="61447800"/>
    <w:rsid w:val="61457E68"/>
    <w:rsid w:val="61467C77"/>
    <w:rsid w:val="614718D6"/>
    <w:rsid w:val="61484EF4"/>
    <w:rsid w:val="61491705"/>
    <w:rsid w:val="614936E9"/>
    <w:rsid w:val="614B3ABF"/>
    <w:rsid w:val="614C15B0"/>
    <w:rsid w:val="614E3908"/>
    <w:rsid w:val="614F1B89"/>
    <w:rsid w:val="61507D23"/>
    <w:rsid w:val="615102A5"/>
    <w:rsid w:val="61513421"/>
    <w:rsid w:val="61522A8B"/>
    <w:rsid w:val="615A2E2D"/>
    <w:rsid w:val="615A3AE7"/>
    <w:rsid w:val="615B0E7C"/>
    <w:rsid w:val="615B308E"/>
    <w:rsid w:val="615B3DCB"/>
    <w:rsid w:val="615B6389"/>
    <w:rsid w:val="615E24D3"/>
    <w:rsid w:val="61603314"/>
    <w:rsid w:val="61606BD1"/>
    <w:rsid w:val="61612F6C"/>
    <w:rsid w:val="616238CC"/>
    <w:rsid w:val="616260C3"/>
    <w:rsid w:val="61645E1E"/>
    <w:rsid w:val="616511EE"/>
    <w:rsid w:val="61652761"/>
    <w:rsid w:val="616562E0"/>
    <w:rsid w:val="61677D10"/>
    <w:rsid w:val="616927D7"/>
    <w:rsid w:val="616A497A"/>
    <w:rsid w:val="616B7E57"/>
    <w:rsid w:val="616C5B8D"/>
    <w:rsid w:val="616D1523"/>
    <w:rsid w:val="616D7365"/>
    <w:rsid w:val="6170299F"/>
    <w:rsid w:val="617050B9"/>
    <w:rsid w:val="61735A58"/>
    <w:rsid w:val="61736957"/>
    <w:rsid w:val="61736DC9"/>
    <w:rsid w:val="617453B3"/>
    <w:rsid w:val="6175614A"/>
    <w:rsid w:val="61760D78"/>
    <w:rsid w:val="61762670"/>
    <w:rsid w:val="617674CE"/>
    <w:rsid w:val="61784C76"/>
    <w:rsid w:val="61791FA1"/>
    <w:rsid w:val="61795184"/>
    <w:rsid w:val="617957BE"/>
    <w:rsid w:val="617A7837"/>
    <w:rsid w:val="617A7CE6"/>
    <w:rsid w:val="617C12C0"/>
    <w:rsid w:val="617C1CB0"/>
    <w:rsid w:val="617C3106"/>
    <w:rsid w:val="617D181A"/>
    <w:rsid w:val="617E6D30"/>
    <w:rsid w:val="617E796C"/>
    <w:rsid w:val="617F1CC7"/>
    <w:rsid w:val="617F40FF"/>
    <w:rsid w:val="617F5DFC"/>
    <w:rsid w:val="61810AF5"/>
    <w:rsid w:val="6181342D"/>
    <w:rsid w:val="61854A83"/>
    <w:rsid w:val="618620EA"/>
    <w:rsid w:val="618717AA"/>
    <w:rsid w:val="61876922"/>
    <w:rsid w:val="61887DBE"/>
    <w:rsid w:val="6189269C"/>
    <w:rsid w:val="61896F3D"/>
    <w:rsid w:val="61897467"/>
    <w:rsid w:val="618B0764"/>
    <w:rsid w:val="618B41D8"/>
    <w:rsid w:val="618C1BAA"/>
    <w:rsid w:val="618D4786"/>
    <w:rsid w:val="618D7BCB"/>
    <w:rsid w:val="618E0EA9"/>
    <w:rsid w:val="619079CF"/>
    <w:rsid w:val="619322C1"/>
    <w:rsid w:val="6193288C"/>
    <w:rsid w:val="619519DB"/>
    <w:rsid w:val="619560DC"/>
    <w:rsid w:val="619651B4"/>
    <w:rsid w:val="61967AEC"/>
    <w:rsid w:val="61976E8B"/>
    <w:rsid w:val="61994610"/>
    <w:rsid w:val="619A6190"/>
    <w:rsid w:val="619B0ADB"/>
    <w:rsid w:val="619C24F5"/>
    <w:rsid w:val="619D056C"/>
    <w:rsid w:val="619D37BF"/>
    <w:rsid w:val="619D784A"/>
    <w:rsid w:val="619D7B5E"/>
    <w:rsid w:val="619E3D1C"/>
    <w:rsid w:val="619F4F2B"/>
    <w:rsid w:val="61A10838"/>
    <w:rsid w:val="61A139D4"/>
    <w:rsid w:val="61A15A59"/>
    <w:rsid w:val="61A171A2"/>
    <w:rsid w:val="61A22E70"/>
    <w:rsid w:val="61A34C42"/>
    <w:rsid w:val="61A36202"/>
    <w:rsid w:val="61A50DCF"/>
    <w:rsid w:val="61A548E5"/>
    <w:rsid w:val="61A601A5"/>
    <w:rsid w:val="61A678BD"/>
    <w:rsid w:val="61A7582A"/>
    <w:rsid w:val="61A82A1C"/>
    <w:rsid w:val="61AA34F9"/>
    <w:rsid w:val="61AC5240"/>
    <w:rsid w:val="61AF60EA"/>
    <w:rsid w:val="61B07353"/>
    <w:rsid w:val="61B12CD5"/>
    <w:rsid w:val="61B43DE4"/>
    <w:rsid w:val="61B45B51"/>
    <w:rsid w:val="61B62375"/>
    <w:rsid w:val="61B954A9"/>
    <w:rsid w:val="61B95535"/>
    <w:rsid w:val="61B96A89"/>
    <w:rsid w:val="61BC3DE1"/>
    <w:rsid w:val="61BC498E"/>
    <w:rsid w:val="61BE0E33"/>
    <w:rsid w:val="61C0299F"/>
    <w:rsid w:val="61C14A70"/>
    <w:rsid w:val="61C210BD"/>
    <w:rsid w:val="61C31175"/>
    <w:rsid w:val="61C43CC1"/>
    <w:rsid w:val="61C53838"/>
    <w:rsid w:val="61C62815"/>
    <w:rsid w:val="61C70453"/>
    <w:rsid w:val="61C859A1"/>
    <w:rsid w:val="61C8673E"/>
    <w:rsid w:val="61CA3163"/>
    <w:rsid w:val="61CC2648"/>
    <w:rsid w:val="61CC637C"/>
    <w:rsid w:val="61CE56EE"/>
    <w:rsid w:val="61CE704F"/>
    <w:rsid w:val="61CF0097"/>
    <w:rsid w:val="61CF2574"/>
    <w:rsid w:val="61D11CA2"/>
    <w:rsid w:val="61D35DF9"/>
    <w:rsid w:val="61D50DC3"/>
    <w:rsid w:val="61D51516"/>
    <w:rsid w:val="61D51AC6"/>
    <w:rsid w:val="61D53125"/>
    <w:rsid w:val="61D62432"/>
    <w:rsid w:val="61D64082"/>
    <w:rsid w:val="61D66587"/>
    <w:rsid w:val="61D707CA"/>
    <w:rsid w:val="61D82F7A"/>
    <w:rsid w:val="61D83750"/>
    <w:rsid w:val="61D94DAC"/>
    <w:rsid w:val="61D9565D"/>
    <w:rsid w:val="61DC48F1"/>
    <w:rsid w:val="61DD012C"/>
    <w:rsid w:val="61DD1F0D"/>
    <w:rsid w:val="61DD4573"/>
    <w:rsid w:val="61DE2FAF"/>
    <w:rsid w:val="61E16F6E"/>
    <w:rsid w:val="61E17D65"/>
    <w:rsid w:val="61E21230"/>
    <w:rsid w:val="61E23677"/>
    <w:rsid w:val="61E23876"/>
    <w:rsid w:val="61E35AE7"/>
    <w:rsid w:val="61E433AE"/>
    <w:rsid w:val="61E5120A"/>
    <w:rsid w:val="61E54777"/>
    <w:rsid w:val="61E62A03"/>
    <w:rsid w:val="61E77D89"/>
    <w:rsid w:val="61EA4294"/>
    <w:rsid w:val="61EB421A"/>
    <w:rsid w:val="61EC1402"/>
    <w:rsid w:val="61EC3AF1"/>
    <w:rsid w:val="61EC4190"/>
    <w:rsid w:val="61EC4A27"/>
    <w:rsid w:val="61EC7F2D"/>
    <w:rsid w:val="61EC7F43"/>
    <w:rsid w:val="61ED68EF"/>
    <w:rsid w:val="61EE333C"/>
    <w:rsid w:val="61EF0AAB"/>
    <w:rsid w:val="61EF581B"/>
    <w:rsid w:val="61F51ABC"/>
    <w:rsid w:val="61F61CE5"/>
    <w:rsid w:val="61F76B70"/>
    <w:rsid w:val="61F8267C"/>
    <w:rsid w:val="61F83242"/>
    <w:rsid w:val="61F85352"/>
    <w:rsid w:val="61F94418"/>
    <w:rsid w:val="61FA3E55"/>
    <w:rsid w:val="61FB1D87"/>
    <w:rsid w:val="61FB41B9"/>
    <w:rsid w:val="61FD341F"/>
    <w:rsid w:val="61FE3C5C"/>
    <w:rsid w:val="61FE3D3D"/>
    <w:rsid w:val="61FF2D75"/>
    <w:rsid w:val="61FF71FB"/>
    <w:rsid w:val="6200109E"/>
    <w:rsid w:val="62005435"/>
    <w:rsid w:val="6202037B"/>
    <w:rsid w:val="620205CF"/>
    <w:rsid w:val="62033107"/>
    <w:rsid w:val="62066A43"/>
    <w:rsid w:val="620765BB"/>
    <w:rsid w:val="62086D0E"/>
    <w:rsid w:val="620917ED"/>
    <w:rsid w:val="620940D6"/>
    <w:rsid w:val="620A4219"/>
    <w:rsid w:val="620B0398"/>
    <w:rsid w:val="620C1B37"/>
    <w:rsid w:val="620C6488"/>
    <w:rsid w:val="620D3D40"/>
    <w:rsid w:val="620E392D"/>
    <w:rsid w:val="620F3C4B"/>
    <w:rsid w:val="620F6C0D"/>
    <w:rsid w:val="621038BE"/>
    <w:rsid w:val="621047E7"/>
    <w:rsid w:val="62106FAD"/>
    <w:rsid w:val="62117B1F"/>
    <w:rsid w:val="62120973"/>
    <w:rsid w:val="62124C80"/>
    <w:rsid w:val="621261F4"/>
    <w:rsid w:val="62152190"/>
    <w:rsid w:val="621538EF"/>
    <w:rsid w:val="62161769"/>
    <w:rsid w:val="6216208B"/>
    <w:rsid w:val="62163B4E"/>
    <w:rsid w:val="62196323"/>
    <w:rsid w:val="62197145"/>
    <w:rsid w:val="621A193C"/>
    <w:rsid w:val="621A38A2"/>
    <w:rsid w:val="621A416A"/>
    <w:rsid w:val="621B0543"/>
    <w:rsid w:val="621B34DB"/>
    <w:rsid w:val="621B3721"/>
    <w:rsid w:val="621D5024"/>
    <w:rsid w:val="621D779F"/>
    <w:rsid w:val="621F691E"/>
    <w:rsid w:val="622173D1"/>
    <w:rsid w:val="6224195F"/>
    <w:rsid w:val="62267AB6"/>
    <w:rsid w:val="62271CBF"/>
    <w:rsid w:val="62272343"/>
    <w:rsid w:val="62273014"/>
    <w:rsid w:val="62276AFD"/>
    <w:rsid w:val="62276CDE"/>
    <w:rsid w:val="622A2FAA"/>
    <w:rsid w:val="622D420D"/>
    <w:rsid w:val="622D6CC2"/>
    <w:rsid w:val="622F10CC"/>
    <w:rsid w:val="623225F2"/>
    <w:rsid w:val="62333FA9"/>
    <w:rsid w:val="62343F5D"/>
    <w:rsid w:val="623454E8"/>
    <w:rsid w:val="62361BA1"/>
    <w:rsid w:val="62361E5F"/>
    <w:rsid w:val="62364E2C"/>
    <w:rsid w:val="623B6CD3"/>
    <w:rsid w:val="623C4455"/>
    <w:rsid w:val="623C712A"/>
    <w:rsid w:val="623E0D13"/>
    <w:rsid w:val="623F65DC"/>
    <w:rsid w:val="62404A8B"/>
    <w:rsid w:val="6241309D"/>
    <w:rsid w:val="624220DC"/>
    <w:rsid w:val="62423E81"/>
    <w:rsid w:val="6243269D"/>
    <w:rsid w:val="624350C6"/>
    <w:rsid w:val="62456B4E"/>
    <w:rsid w:val="624576BA"/>
    <w:rsid w:val="624732D2"/>
    <w:rsid w:val="62486673"/>
    <w:rsid w:val="624876F3"/>
    <w:rsid w:val="62496448"/>
    <w:rsid w:val="624A0C63"/>
    <w:rsid w:val="624A76B8"/>
    <w:rsid w:val="624D70AF"/>
    <w:rsid w:val="624E18DD"/>
    <w:rsid w:val="624E5B7B"/>
    <w:rsid w:val="625127FC"/>
    <w:rsid w:val="62514EEA"/>
    <w:rsid w:val="6252538F"/>
    <w:rsid w:val="6254024E"/>
    <w:rsid w:val="6254478E"/>
    <w:rsid w:val="62554D2C"/>
    <w:rsid w:val="625553DB"/>
    <w:rsid w:val="62557299"/>
    <w:rsid w:val="62571DD5"/>
    <w:rsid w:val="62584E2C"/>
    <w:rsid w:val="62584F67"/>
    <w:rsid w:val="62590526"/>
    <w:rsid w:val="6259752C"/>
    <w:rsid w:val="625A2751"/>
    <w:rsid w:val="625A4FD2"/>
    <w:rsid w:val="625B040E"/>
    <w:rsid w:val="625B499A"/>
    <w:rsid w:val="625C1520"/>
    <w:rsid w:val="625C628B"/>
    <w:rsid w:val="625C6810"/>
    <w:rsid w:val="625D2F64"/>
    <w:rsid w:val="62605826"/>
    <w:rsid w:val="62610091"/>
    <w:rsid w:val="62617F2E"/>
    <w:rsid w:val="62633E7E"/>
    <w:rsid w:val="626438D5"/>
    <w:rsid w:val="62646DBB"/>
    <w:rsid w:val="62655758"/>
    <w:rsid w:val="62667D09"/>
    <w:rsid w:val="62670359"/>
    <w:rsid w:val="626B0EBB"/>
    <w:rsid w:val="626B727A"/>
    <w:rsid w:val="626E32D0"/>
    <w:rsid w:val="626F21A4"/>
    <w:rsid w:val="626F4335"/>
    <w:rsid w:val="626F6702"/>
    <w:rsid w:val="62715CBB"/>
    <w:rsid w:val="62720302"/>
    <w:rsid w:val="62720F43"/>
    <w:rsid w:val="62721792"/>
    <w:rsid w:val="62732B66"/>
    <w:rsid w:val="6273658E"/>
    <w:rsid w:val="62746BAC"/>
    <w:rsid w:val="62747C48"/>
    <w:rsid w:val="62753287"/>
    <w:rsid w:val="62754CA1"/>
    <w:rsid w:val="62762328"/>
    <w:rsid w:val="62767C2D"/>
    <w:rsid w:val="62772D64"/>
    <w:rsid w:val="62780949"/>
    <w:rsid w:val="62787800"/>
    <w:rsid w:val="62791D4B"/>
    <w:rsid w:val="627A1FEF"/>
    <w:rsid w:val="627A571F"/>
    <w:rsid w:val="627C2264"/>
    <w:rsid w:val="627C277D"/>
    <w:rsid w:val="627D1C6B"/>
    <w:rsid w:val="627E00D2"/>
    <w:rsid w:val="627E5C52"/>
    <w:rsid w:val="627E77AF"/>
    <w:rsid w:val="627F0B6E"/>
    <w:rsid w:val="6281078E"/>
    <w:rsid w:val="628108D0"/>
    <w:rsid w:val="62816B01"/>
    <w:rsid w:val="62821CBE"/>
    <w:rsid w:val="62822660"/>
    <w:rsid w:val="628232F1"/>
    <w:rsid w:val="6283114F"/>
    <w:rsid w:val="62837AE2"/>
    <w:rsid w:val="6285155F"/>
    <w:rsid w:val="62851A8D"/>
    <w:rsid w:val="628539D1"/>
    <w:rsid w:val="628769CE"/>
    <w:rsid w:val="6288169B"/>
    <w:rsid w:val="628A0E0D"/>
    <w:rsid w:val="628A1FE2"/>
    <w:rsid w:val="628A628B"/>
    <w:rsid w:val="628C0F94"/>
    <w:rsid w:val="628E5FB8"/>
    <w:rsid w:val="629001F9"/>
    <w:rsid w:val="62907FF9"/>
    <w:rsid w:val="62937093"/>
    <w:rsid w:val="62970FAB"/>
    <w:rsid w:val="6297731E"/>
    <w:rsid w:val="62981E54"/>
    <w:rsid w:val="6298416D"/>
    <w:rsid w:val="629A27F9"/>
    <w:rsid w:val="629B6312"/>
    <w:rsid w:val="629B69EE"/>
    <w:rsid w:val="629C0DBF"/>
    <w:rsid w:val="629C2BCB"/>
    <w:rsid w:val="629C3149"/>
    <w:rsid w:val="629C5D3A"/>
    <w:rsid w:val="629D08F4"/>
    <w:rsid w:val="629E631A"/>
    <w:rsid w:val="629F1B17"/>
    <w:rsid w:val="629F4DD0"/>
    <w:rsid w:val="62A04ED3"/>
    <w:rsid w:val="62A136A3"/>
    <w:rsid w:val="62A507B7"/>
    <w:rsid w:val="62A52FDD"/>
    <w:rsid w:val="62A5754F"/>
    <w:rsid w:val="62A719DD"/>
    <w:rsid w:val="62A71AFE"/>
    <w:rsid w:val="62A816AE"/>
    <w:rsid w:val="62AB14F8"/>
    <w:rsid w:val="62AB2593"/>
    <w:rsid w:val="62AC7359"/>
    <w:rsid w:val="62AE33DD"/>
    <w:rsid w:val="62AE6109"/>
    <w:rsid w:val="62AE78A6"/>
    <w:rsid w:val="62AF60CF"/>
    <w:rsid w:val="62B11774"/>
    <w:rsid w:val="62B157B0"/>
    <w:rsid w:val="62B2471B"/>
    <w:rsid w:val="62B410E5"/>
    <w:rsid w:val="62B4481A"/>
    <w:rsid w:val="62B5158C"/>
    <w:rsid w:val="62B5269B"/>
    <w:rsid w:val="62B53B5D"/>
    <w:rsid w:val="62B603B6"/>
    <w:rsid w:val="62B827CA"/>
    <w:rsid w:val="62BB15CB"/>
    <w:rsid w:val="62BD2B88"/>
    <w:rsid w:val="62C01B2F"/>
    <w:rsid w:val="62C155C9"/>
    <w:rsid w:val="62C27E6C"/>
    <w:rsid w:val="62C36823"/>
    <w:rsid w:val="62C36843"/>
    <w:rsid w:val="62C41C99"/>
    <w:rsid w:val="62C543DA"/>
    <w:rsid w:val="62C54558"/>
    <w:rsid w:val="62C54CD2"/>
    <w:rsid w:val="62C558B9"/>
    <w:rsid w:val="62C60826"/>
    <w:rsid w:val="62C65B05"/>
    <w:rsid w:val="62C75DA3"/>
    <w:rsid w:val="62C80AD6"/>
    <w:rsid w:val="62C82F54"/>
    <w:rsid w:val="62C930A1"/>
    <w:rsid w:val="62C95CDA"/>
    <w:rsid w:val="62CA2914"/>
    <w:rsid w:val="62CB4862"/>
    <w:rsid w:val="62CC1254"/>
    <w:rsid w:val="62CD252A"/>
    <w:rsid w:val="62CE56FB"/>
    <w:rsid w:val="62CE58A9"/>
    <w:rsid w:val="62CF60A7"/>
    <w:rsid w:val="62D13ACB"/>
    <w:rsid w:val="62D13BAC"/>
    <w:rsid w:val="62D1704D"/>
    <w:rsid w:val="62D636E6"/>
    <w:rsid w:val="62D65836"/>
    <w:rsid w:val="62D71393"/>
    <w:rsid w:val="62D717E1"/>
    <w:rsid w:val="62D82298"/>
    <w:rsid w:val="62D832D4"/>
    <w:rsid w:val="62D86217"/>
    <w:rsid w:val="62DC05B1"/>
    <w:rsid w:val="62DD6C1C"/>
    <w:rsid w:val="62DE35D5"/>
    <w:rsid w:val="62DE435B"/>
    <w:rsid w:val="62DF0332"/>
    <w:rsid w:val="62DF0731"/>
    <w:rsid w:val="62DF7FEC"/>
    <w:rsid w:val="62E05C72"/>
    <w:rsid w:val="62E21D62"/>
    <w:rsid w:val="62E3256D"/>
    <w:rsid w:val="62E43FC4"/>
    <w:rsid w:val="62E60372"/>
    <w:rsid w:val="62E616AD"/>
    <w:rsid w:val="62E672AF"/>
    <w:rsid w:val="62E83DD8"/>
    <w:rsid w:val="62E87922"/>
    <w:rsid w:val="62E87A1D"/>
    <w:rsid w:val="62E91AB1"/>
    <w:rsid w:val="62EA04F4"/>
    <w:rsid w:val="62EA4E6B"/>
    <w:rsid w:val="62EB0655"/>
    <w:rsid w:val="62EB5486"/>
    <w:rsid w:val="62ED09C9"/>
    <w:rsid w:val="62EE062C"/>
    <w:rsid w:val="62EE08C5"/>
    <w:rsid w:val="62EF7C6A"/>
    <w:rsid w:val="62F10094"/>
    <w:rsid w:val="62F13196"/>
    <w:rsid w:val="62F146C7"/>
    <w:rsid w:val="62F23608"/>
    <w:rsid w:val="62F4226E"/>
    <w:rsid w:val="62F477E7"/>
    <w:rsid w:val="62F60958"/>
    <w:rsid w:val="62F64234"/>
    <w:rsid w:val="62F659FF"/>
    <w:rsid w:val="62F65FD7"/>
    <w:rsid w:val="62F67840"/>
    <w:rsid w:val="62F72C82"/>
    <w:rsid w:val="62F76A15"/>
    <w:rsid w:val="62F80BF4"/>
    <w:rsid w:val="62FA1241"/>
    <w:rsid w:val="62FD0268"/>
    <w:rsid w:val="62FE085D"/>
    <w:rsid w:val="62FE7ECE"/>
    <w:rsid w:val="63004BBD"/>
    <w:rsid w:val="630120BA"/>
    <w:rsid w:val="63013006"/>
    <w:rsid w:val="63013B43"/>
    <w:rsid w:val="630308C6"/>
    <w:rsid w:val="63035190"/>
    <w:rsid w:val="6304524A"/>
    <w:rsid w:val="63056126"/>
    <w:rsid w:val="630577E1"/>
    <w:rsid w:val="63067A92"/>
    <w:rsid w:val="630731A7"/>
    <w:rsid w:val="63074D1A"/>
    <w:rsid w:val="63090F38"/>
    <w:rsid w:val="630930CF"/>
    <w:rsid w:val="63094873"/>
    <w:rsid w:val="630A1501"/>
    <w:rsid w:val="630A361E"/>
    <w:rsid w:val="630A5BD4"/>
    <w:rsid w:val="630A718F"/>
    <w:rsid w:val="630B32EB"/>
    <w:rsid w:val="630C0737"/>
    <w:rsid w:val="630C60B1"/>
    <w:rsid w:val="630E77CF"/>
    <w:rsid w:val="631066E4"/>
    <w:rsid w:val="63120965"/>
    <w:rsid w:val="63152C77"/>
    <w:rsid w:val="63157669"/>
    <w:rsid w:val="63192FB4"/>
    <w:rsid w:val="631945F9"/>
    <w:rsid w:val="631B11DF"/>
    <w:rsid w:val="631D1373"/>
    <w:rsid w:val="631D2FBC"/>
    <w:rsid w:val="631E0038"/>
    <w:rsid w:val="632169CA"/>
    <w:rsid w:val="6322395F"/>
    <w:rsid w:val="63224AF0"/>
    <w:rsid w:val="632377F0"/>
    <w:rsid w:val="63245265"/>
    <w:rsid w:val="63250AC6"/>
    <w:rsid w:val="63253D82"/>
    <w:rsid w:val="63256D5D"/>
    <w:rsid w:val="63266D82"/>
    <w:rsid w:val="6327220D"/>
    <w:rsid w:val="63277944"/>
    <w:rsid w:val="63293BC4"/>
    <w:rsid w:val="632A3D08"/>
    <w:rsid w:val="632B424B"/>
    <w:rsid w:val="632C27EB"/>
    <w:rsid w:val="632E4E0A"/>
    <w:rsid w:val="63311827"/>
    <w:rsid w:val="63322DA7"/>
    <w:rsid w:val="63325763"/>
    <w:rsid w:val="63334A55"/>
    <w:rsid w:val="63334F8E"/>
    <w:rsid w:val="633458B0"/>
    <w:rsid w:val="63365BF9"/>
    <w:rsid w:val="633747DB"/>
    <w:rsid w:val="6338417A"/>
    <w:rsid w:val="63397C81"/>
    <w:rsid w:val="633A081D"/>
    <w:rsid w:val="633A6125"/>
    <w:rsid w:val="633C6113"/>
    <w:rsid w:val="633D3E04"/>
    <w:rsid w:val="633D5A5F"/>
    <w:rsid w:val="633E64B0"/>
    <w:rsid w:val="633F49BF"/>
    <w:rsid w:val="63414345"/>
    <w:rsid w:val="634261EB"/>
    <w:rsid w:val="634345D5"/>
    <w:rsid w:val="6344155E"/>
    <w:rsid w:val="63442359"/>
    <w:rsid w:val="6344425E"/>
    <w:rsid w:val="63446FE6"/>
    <w:rsid w:val="6347009B"/>
    <w:rsid w:val="63471056"/>
    <w:rsid w:val="63471BF6"/>
    <w:rsid w:val="634854D7"/>
    <w:rsid w:val="634A7AAD"/>
    <w:rsid w:val="634B60DC"/>
    <w:rsid w:val="634C3EB2"/>
    <w:rsid w:val="634C4163"/>
    <w:rsid w:val="634C5808"/>
    <w:rsid w:val="634F27F6"/>
    <w:rsid w:val="63503F82"/>
    <w:rsid w:val="6351659B"/>
    <w:rsid w:val="6352047C"/>
    <w:rsid w:val="63533C87"/>
    <w:rsid w:val="635609D8"/>
    <w:rsid w:val="63561EB0"/>
    <w:rsid w:val="6357122B"/>
    <w:rsid w:val="6358561A"/>
    <w:rsid w:val="635A0E3F"/>
    <w:rsid w:val="635A1F86"/>
    <w:rsid w:val="635B6E34"/>
    <w:rsid w:val="635C3693"/>
    <w:rsid w:val="635D7079"/>
    <w:rsid w:val="635E473A"/>
    <w:rsid w:val="635E5B7C"/>
    <w:rsid w:val="635F4ADD"/>
    <w:rsid w:val="63602EAB"/>
    <w:rsid w:val="6361311B"/>
    <w:rsid w:val="636531CC"/>
    <w:rsid w:val="63653317"/>
    <w:rsid w:val="63660F74"/>
    <w:rsid w:val="636649D9"/>
    <w:rsid w:val="63666921"/>
    <w:rsid w:val="6367429D"/>
    <w:rsid w:val="636B45BD"/>
    <w:rsid w:val="636C0133"/>
    <w:rsid w:val="636D1A4C"/>
    <w:rsid w:val="636E56FE"/>
    <w:rsid w:val="636F1EE5"/>
    <w:rsid w:val="636F6844"/>
    <w:rsid w:val="636F7F1F"/>
    <w:rsid w:val="63700472"/>
    <w:rsid w:val="637028EF"/>
    <w:rsid w:val="63722F20"/>
    <w:rsid w:val="63733CFD"/>
    <w:rsid w:val="6374053C"/>
    <w:rsid w:val="6374440D"/>
    <w:rsid w:val="63753E26"/>
    <w:rsid w:val="63766CE4"/>
    <w:rsid w:val="63774AC3"/>
    <w:rsid w:val="63777466"/>
    <w:rsid w:val="63785A78"/>
    <w:rsid w:val="637B0715"/>
    <w:rsid w:val="637E3994"/>
    <w:rsid w:val="63801466"/>
    <w:rsid w:val="63807013"/>
    <w:rsid w:val="638073E7"/>
    <w:rsid w:val="63830FE8"/>
    <w:rsid w:val="63831999"/>
    <w:rsid w:val="63834C9B"/>
    <w:rsid w:val="63835447"/>
    <w:rsid w:val="63843068"/>
    <w:rsid w:val="638579B7"/>
    <w:rsid w:val="63874065"/>
    <w:rsid w:val="638D4E9E"/>
    <w:rsid w:val="638D6BD9"/>
    <w:rsid w:val="638E5C02"/>
    <w:rsid w:val="638E76BD"/>
    <w:rsid w:val="639037F0"/>
    <w:rsid w:val="63903B43"/>
    <w:rsid w:val="639075FB"/>
    <w:rsid w:val="63912FEC"/>
    <w:rsid w:val="639158BE"/>
    <w:rsid w:val="63920C7C"/>
    <w:rsid w:val="6392141E"/>
    <w:rsid w:val="63942B0E"/>
    <w:rsid w:val="63947C50"/>
    <w:rsid w:val="639517F9"/>
    <w:rsid w:val="63973CEB"/>
    <w:rsid w:val="63975137"/>
    <w:rsid w:val="63976DE5"/>
    <w:rsid w:val="639772C4"/>
    <w:rsid w:val="63983EA4"/>
    <w:rsid w:val="639A0740"/>
    <w:rsid w:val="639A4DB4"/>
    <w:rsid w:val="639B5BB2"/>
    <w:rsid w:val="639C0A3D"/>
    <w:rsid w:val="639C4850"/>
    <w:rsid w:val="639D2F90"/>
    <w:rsid w:val="639D5588"/>
    <w:rsid w:val="639E1028"/>
    <w:rsid w:val="639E6C51"/>
    <w:rsid w:val="639F57E1"/>
    <w:rsid w:val="63A0473F"/>
    <w:rsid w:val="63A11554"/>
    <w:rsid w:val="63A12FD5"/>
    <w:rsid w:val="63A167B8"/>
    <w:rsid w:val="63A30A03"/>
    <w:rsid w:val="63A332CE"/>
    <w:rsid w:val="63A62219"/>
    <w:rsid w:val="63A92B38"/>
    <w:rsid w:val="63A94841"/>
    <w:rsid w:val="63A9560C"/>
    <w:rsid w:val="63AA02A4"/>
    <w:rsid w:val="63AB46AA"/>
    <w:rsid w:val="63AD58D5"/>
    <w:rsid w:val="63AE3918"/>
    <w:rsid w:val="63AE3A3B"/>
    <w:rsid w:val="63AF176C"/>
    <w:rsid w:val="63AF319A"/>
    <w:rsid w:val="63B021D3"/>
    <w:rsid w:val="63B05C41"/>
    <w:rsid w:val="63B1371B"/>
    <w:rsid w:val="63B16CCD"/>
    <w:rsid w:val="63B20D46"/>
    <w:rsid w:val="63B2364F"/>
    <w:rsid w:val="63B25503"/>
    <w:rsid w:val="63B35EDA"/>
    <w:rsid w:val="63B37462"/>
    <w:rsid w:val="63B41F66"/>
    <w:rsid w:val="63B430E2"/>
    <w:rsid w:val="63B50114"/>
    <w:rsid w:val="63B514A9"/>
    <w:rsid w:val="63B7509E"/>
    <w:rsid w:val="63B87A1C"/>
    <w:rsid w:val="63BA12C9"/>
    <w:rsid w:val="63BA23B7"/>
    <w:rsid w:val="63BA53E5"/>
    <w:rsid w:val="63BB4637"/>
    <w:rsid w:val="63BB7BB5"/>
    <w:rsid w:val="63BC1B44"/>
    <w:rsid w:val="63BC2300"/>
    <w:rsid w:val="63BD1759"/>
    <w:rsid w:val="63BF3F3E"/>
    <w:rsid w:val="63BF7E09"/>
    <w:rsid w:val="63C049E2"/>
    <w:rsid w:val="63C14DCC"/>
    <w:rsid w:val="63C22258"/>
    <w:rsid w:val="63C26000"/>
    <w:rsid w:val="63C30F3B"/>
    <w:rsid w:val="63C323A3"/>
    <w:rsid w:val="63C359ED"/>
    <w:rsid w:val="63C4765E"/>
    <w:rsid w:val="63C556D2"/>
    <w:rsid w:val="63C90F97"/>
    <w:rsid w:val="63C9187C"/>
    <w:rsid w:val="63C96057"/>
    <w:rsid w:val="63CA32DD"/>
    <w:rsid w:val="63CC1979"/>
    <w:rsid w:val="63CE118C"/>
    <w:rsid w:val="63CF10DB"/>
    <w:rsid w:val="63CF604E"/>
    <w:rsid w:val="63D163BD"/>
    <w:rsid w:val="63D316EB"/>
    <w:rsid w:val="63D3419A"/>
    <w:rsid w:val="63D50686"/>
    <w:rsid w:val="63D5209C"/>
    <w:rsid w:val="63D612DE"/>
    <w:rsid w:val="63D63291"/>
    <w:rsid w:val="63D74BAD"/>
    <w:rsid w:val="63D83D3E"/>
    <w:rsid w:val="63DB277F"/>
    <w:rsid w:val="63DD4072"/>
    <w:rsid w:val="63DD659B"/>
    <w:rsid w:val="63DF0A59"/>
    <w:rsid w:val="63DF22F3"/>
    <w:rsid w:val="63DF7780"/>
    <w:rsid w:val="63E10901"/>
    <w:rsid w:val="63E27209"/>
    <w:rsid w:val="63E27F19"/>
    <w:rsid w:val="63E40DE5"/>
    <w:rsid w:val="63E51341"/>
    <w:rsid w:val="63E60193"/>
    <w:rsid w:val="63E638A6"/>
    <w:rsid w:val="63E72098"/>
    <w:rsid w:val="63E724E0"/>
    <w:rsid w:val="63E73CE1"/>
    <w:rsid w:val="63E7505C"/>
    <w:rsid w:val="63EA3D29"/>
    <w:rsid w:val="63EA51F1"/>
    <w:rsid w:val="63EA7FCB"/>
    <w:rsid w:val="63ED0E3E"/>
    <w:rsid w:val="63ED3E8B"/>
    <w:rsid w:val="63ED5F1F"/>
    <w:rsid w:val="63EF3FEB"/>
    <w:rsid w:val="63F33872"/>
    <w:rsid w:val="63F4278C"/>
    <w:rsid w:val="63F42C41"/>
    <w:rsid w:val="63F451BC"/>
    <w:rsid w:val="63F53E04"/>
    <w:rsid w:val="63F61E55"/>
    <w:rsid w:val="63F72D15"/>
    <w:rsid w:val="63F75376"/>
    <w:rsid w:val="63F927B1"/>
    <w:rsid w:val="63F92DE6"/>
    <w:rsid w:val="63F96754"/>
    <w:rsid w:val="63FA6EBC"/>
    <w:rsid w:val="63FB0BF3"/>
    <w:rsid w:val="63FF57A2"/>
    <w:rsid w:val="63FF77A1"/>
    <w:rsid w:val="640166F1"/>
    <w:rsid w:val="640326CF"/>
    <w:rsid w:val="64032709"/>
    <w:rsid w:val="640409C0"/>
    <w:rsid w:val="64050503"/>
    <w:rsid w:val="640505FD"/>
    <w:rsid w:val="6406149D"/>
    <w:rsid w:val="64061C72"/>
    <w:rsid w:val="64065F37"/>
    <w:rsid w:val="640721D2"/>
    <w:rsid w:val="64072E1E"/>
    <w:rsid w:val="640747C7"/>
    <w:rsid w:val="64084242"/>
    <w:rsid w:val="640910A0"/>
    <w:rsid w:val="64095630"/>
    <w:rsid w:val="640B0819"/>
    <w:rsid w:val="640B253D"/>
    <w:rsid w:val="640B2FC6"/>
    <w:rsid w:val="640B6887"/>
    <w:rsid w:val="640C48C1"/>
    <w:rsid w:val="640E11CD"/>
    <w:rsid w:val="640E5656"/>
    <w:rsid w:val="640F0673"/>
    <w:rsid w:val="6410581F"/>
    <w:rsid w:val="64115D00"/>
    <w:rsid w:val="64126CEE"/>
    <w:rsid w:val="6413646B"/>
    <w:rsid w:val="641576DA"/>
    <w:rsid w:val="64166967"/>
    <w:rsid w:val="64196535"/>
    <w:rsid w:val="641B1F67"/>
    <w:rsid w:val="641B5C11"/>
    <w:rsid w:val="641D1BAA"/>
    <w:rsid w:val="641E5285"/>
    <w:rsid w:val="641F0019"/>
    <w:rsid w:val="641F72ED"/>
    <w:rsid w:val="642030F7"/>
    <w:rsid w:val="64205198"/>
    <w:rsid w:val="64220DF0"/>
    <w:rsid w:val="642319C8"/>
    <w:rsid w:val="64264083"/>
    <w:rsid w:val="64267E59"/>
    <w:rsid w:val="64294926"/>
    <w:rsid w:val="64295868"/>
    <w:rsid w:val="642A7040"/>
    <w:rsid w:val="642A77A1"/>
    <w:rsid w:val="642B5467"/>
    <w:rsid w:val="642B5782"/>
    <w:rsid w:val="642C1F01"/>
    <w:rsid w:val="642C44D3"/>
    <w:rsid w:val="642C51B0"/>
    <w:rsid w:val="642D53D1"/>
    <w:rsid w:val="642E438C"/>
    <w:rsid w:val="642F39D5"/>
    <w:rsid w:val="642F5696"/>
    <w:rsid w:val="6430620E"/>
    <w:rsid w:val="64306AD8"/>
    <w:rsid w:val="64307286"/>
    <w:rsid w:val="643161CB"/>
    <w:rsid w:val="64337AB5"/>
    <w:rsid w:val="64395A43"/>
    <w:rsid w:val="643A15CA"/>
    <w:rsid w:val="643B2DF3"/>
    <w:rsid w:val="643C2229"/>
    <w:rsid w:val="643D204C"/>
    <w:rsid w:val="643E1671"/>
    <w:rsid w:val="643E4ACD"/>
    <w:rsid w:val="64411A0B"/>
    <w:rsid w:val="6441301E"/>
    <w:rsid w:val="64413809"/>
    <w:rsid w:val="6442555B"/>
    <w:rsid w:val="64450089"/>
    <w:rsid w:val="64454FD6"/>
    <w:rsid w:val="6447405D"/>
    <w:rsid w:val="64485E79"/>
    <w:rsid w:val="6449399F"/>
    <w:rsid w:val="644A3F35"/>
    <w:rsid w:val="644A6C77"/>
    <w:rsid w:val="644B632A"/>
    <w:rsid w:val="644C0C6E"/>
    <w:rsid w:val="644E218A"/>
    <w:rsid w:val="644E2727"/>
    <w:rsid w:val="644E4282"/>
    <w:rsid w:val="644E6F59"/>
    <w:rsid w:val="644E7CD2"/>
    <w:rsid w:val="6450011E"/>
    <w:rsid w:val="6450040C"/>
    <w:rsid w:val="6450704A"/>
    <w:rsid w:val="64513F31"/>
    <w:rsid w:val="64514DEF"/>
    <w:rsid w:val="6452002F"/>
    <w:rsid w:val="64534E71"/>
    <w:rsid w:val="64542A70"/>
    <w:rsid w:val="64557DD0"/>
    <w:rsid w:val="64573948"/>
    <w:rsid w:val="645744A9"/>
    <w:rsid w:val="64574955"/>
    <w:rsid w:val="64591E34"/>
    <w:rsid w:val="6459427F"/>
    <w:rsid w:val="64596BF3"/>
    <w:rsid w:val="645B2050"/>
    <w:rsid w:val="645C0FA3"/>
    <w:rsid w:val="645C5A5C"/>
    <w:rsid w:val="645C7437"/>
    <w:rsid w:val="645D0476"/>
    <w:rsid w:val="645D128C"/>
    <w:rsid w:val="645E09FC"/>
    <w:rsid w:val="645F0637"/>
    <w:rsid w:val="645F3EA9"/>
    <w:rsid w:val="6460274F"/>
    <w:rsid w:val="64611F86"/>
    <w:rsid w:val="646152FD"/>
    <w:rsid w:val="64637E3D"/>
    <w:rsid w:val="6464272F"/>
    <w:rsid w:val="64643030"/>
    <w:rsid w:val="646515C2"/>
    <w:rsid w:val="64661785"/>
    <w:rsid w:val="64687258"/>
    <w:rsid w:val="646A0F92"/>
    <w:rsid w:val="646B214F"/>
    <w:rsid w:val="646D053E"/>
    <w:rsid w:val="646F0A16"/>
    <w:rsid w:val="646F1E26"/>
    <w:rsid w:val="64700B56"/>
    <w:rsid w:val="64700B65"/>
    <w:rsid w:val="647208B8"/>
    <w:rsid w:val="64732AD3"/>
    <w:rsid w:val="64737E50"/>
    <w:rsid w:val="64782D71"/>
    <w:rsid w:val="647A6034"/>
    <w:rsid w:val="647B1242"/>
    <w:rsid w:val="647B46DF"/>
    <w:rsid w:val="647C6FFD"/>
    <w:rsid w:val="647D160B"/>
    <w:rsid w:val="647F7DC5"/>
    <w:rsid w:val="64804BDC"/>
    <w:rsid w:val="64805815"/>
    <w:rsid w:val="64813415"/>
    <w:rsid w:val="64822025"/>
    <w:rsid w:val="648334AD"/>
    <w:rsid w:val="64837218"/>
    <w:rsid w:val="648405E8"/>
    <w:rsid w:val="6484141F"/>
    <w:rsid w:val="64844371"/>
    <w:rsid w:val="64844FDE"/>
    <w:rsid w:val="64851321"/>
    <w:rsid w:val="6485392B"/>
    <w:rsid w:val="6485500C"/>
    <w:rsid w:val="64881994"/>
    <w:rsid w:val="64885776"/>
    <w:rsid w:val="648A1406"/>
    <w:rsid w:val="648B53E6"/>
    <w:rsid w:val="648C5C84"/>
    <w:rsid w:val="648E0908"/>
    <w:rsid w:val="648E7AB1"/>
    <w:rsid w:val="648F0150"/>
    <w:rsid w:val="64911A72"/>
    <w:rsid w:val="64915A72"/>
    <w:rsid w:val="649206EB"/>
    <w:rsid w:val="6492473D"/>
    <w:rsid w:val="64930DD6"/>
    <w:rsid w:val="64934E8C"/>
    <w:rsid w:val="649362FC"/>
    <w:rsid w:val="64951702"/>
    <w:rsid w:val="649533CF"/>
    <w:rsid w:val="64964FB7"/>
    <w:rsid w:val="6499151F"/>
    <w:rsid w:val="649971E6"/>
    <w:rsid w:val="649A196A"/>
    <w:rsid w:val="649A6A8C"/>
    <w:rsid w:val="649B0D1C"/>
    <w:rsid w:val="649C34EE"/>
    <w:rsid w:val="649C3604"/>
    <w:rsid w:val="649E0E8F"/>
    <w:rsid w:val="649E2A73"/>
    <w:rsid w:val="649E45B4"/>
    <w:rsid w:val="649E5AAA"/>
    <w:rsid w:val="649F4B0B"/>
    <w:rsid w:val="64A07A63"/>
    <w:rsid w:val="64A23504"/>
    <w:rsid w:val="64A248A4"/>
    <w:rsid w:val="64A2509B"/>
    <w:rsid w:val="64A27D5F"/>
    <w:rsid w:val="64A65AB3"/>
    <w:rsid w:val="64A66CA1"/>
    <w:rsid w:val="64A71C6D"/>
    <w:rsid w:val="64A741C0"/>
    <w:rsid w:val="64A86DDE"/>
    <w:rsid w:val="64A95169"/>
    <w:rsid w:val="64AA2690"/>
    <w:rsid w:val="64AB5264"/>
    <w:rsid w:val="64AB599A"/>
    <w:rsid w:val="64AC07CD"/>
    <w:rsid w:val="64AC28AC"/>
    <w:rsid w:val="64AF7CA6"/>
    <w:rsid w:val="64B0691F"/>
    <w:rsid w:val="64B15BC5"/>
    <w:rsid w:val="64B206E0"/>
    <w:rsid w:val="64B21F5E"/>
    <w:rsid w:val="64B2363A"/>
    <w:rsid w:val="64B33019"/>
    <w:rsid w:val="64B35171"/>
    <w:rsid w:val="64B65318"/>
    <w:rsid w:val="64B67D08"/>
    <w:rsid w:val="64B8379C"/>
    <w:rsid w:val="64B90B25"/>
    <w:rsid w:val="64BB70F4"/>
    <w:rsid w:val="64BD1164"/>
    <w:rsid w:val="64BD131C"/>
    <w:rsid w:val="64BD6C49"/>
    <w:rsid w:val="64BD71C9"/>
    <w:rsid w:val="64BF4772"/>
    <w:rsid w:val="64BF7015"/>
    <w:rsid w:val="64C10AE3"/>
    <w:rsid w:val="64C146A5"/>
    <w:rsid w:val="64C26F19"/>
    <w:rsid w:val="64C30A8F"/>
    <w:rsid w:val="64C51E8B"/>
    <w:rsid w:val="64C522E5"/>
    <w:rsid w:val="64C6374A"/>
    <w:rsid w:val="64C72779"/>
    <w:rsid w:val="64C734BD"/>
    <w:rsid w:val="64C74166"/>
    <w:rsid w:val="64C80323"/>
    <w:rsid w:val="64C843E3"/>
    <w:rsid w:val="64CB4B0B"/>
    <w:rsid w:val="64CC426D"/>
    <w:rsid w:val="64CC683E"/>
    <w:rsid w:val="64CD48B8"/>
    <w:rsid w:val="64CD57D4"/>
    <w:rsid w:val="64CD67C9"/>
    <w:rsid w:val="64CD7EB9"/>
    <w:rsid w:val="64CE087D"/>
    <w:rsid w:val="64CE60DD"/>
    <w:rsid w:val="64CF5885"/>
    <w:rsid w:val="64D00544"/>
    <w:rsid w:val="64D01483"/>
    <w:rsid w:val="64D271B0"/>
    <w:rsid w:val="64D309C2"/>
    <w:rsid w:val="64D36B32"/>
    <w:rsid w:val="64D37A7F"/>
    <w:rsid w:val="64D41D0E"/>
    <w:rsid w:val="64D42519"/>
    <w:rsid w:val="64D435E7"/>
    <w:rsid w:val="64D43E1E"/>
    <w:rsid w:val="64D46C6B"/>
    <w:rsid w:val="64D51F60"/>
    <w:rsid w:val="64D53103"/>
    <w:rsid w:val="64D8544F"/>
    <w:rsid w:val="64DB2FF7"/>
    <w:rsid w:val="64DB6FCC"/>
    <w:rsid w:val="64DC5072"/>
    <w:rsid w:val="64E06110"/>
    <w:rsid w:val="64E412EB"/>
    <w:rsid w:val="64E465C8"/>
    <w:rsid w:val="64E53FDB"/>
    <w:rsid w:val="64E6300E"/>
    <w:rsid w:val="64E6351C"/>
    <w:rsid w:val="64E726D0"/>
    <w:rsid w:val="64EB75AC"/>
    <w:rsid w:val="64EE1491"/>
    <w:rsid w:val="64EE2AF5"/>
    <w:rsid w:val="64EF312E"/>
    <w:rsid w:val="64EF39E6"/>
    <w:rsid w:val="64F01410"/>
    <w:rsid w:val="64F03620"/>
    <w:rsid w:val="64F12E10"/>
    <w:rsid w:val="64F2206E"/>
    <w:rsid w:val="64F27118"/>
    <w:rsid w:val="64F3477E"/>
    <w:rsid w:val="64F35D40"/>
    <w:rsid w:val="64F4384F"/>
    <w:rsid w:val="64F45003"/>
    <w:rsid w:val="64F5013C"/>
    <w:rsid w:val="64F55705"/>
    <w:rsid w:val="64F55AB6"/>
    <w:rsid w:val="64F62D3C"/>
    <w:rsid w:val="64F8366D"/>
    <w:rsid w:val="64F84E7F"/>
    <w:rsid w:val="64F878C6"/>
    <w:rsid w:val="64F95B2C"/>
    <w:rsid w:val="64F95EAB"/>
    <w:rsid w:val="64FA2604"/>
    <w:rsid w:val="64FF24C5"/>
    <w:rsid w:val="65001623"/>
    <w:rsid w:val="65007688"/>
    <w:rsid w:val="65012E46"/>
    <w:rsid w:val="65023CC6"/>
    <w:rsid w:val="65030864"/>
    <w:rsid w:val="65032C1A"/>
    <w:rsid w:val="65043CF8"/>
    <w:rsid w:val="65074A94"/>
    <w:rsid w:val="65090284"/>
    <w:rsid w:val="650959E9"/>
    <w:rsid w:val="650C22A8"/>
    <w:rsid w:val="650C57D2"/>
    <w:rsid w:val="650F058F"/>
    <w:rsid w:val="650F6547"/>
    <w:rsid w:val="650F7FC9"/>
    <w:rsid w:val="65110DA1"/>
    <w:rsid w:val="65112CD6"/>
    <w:rsid w:val="65127BEB"/>
    <w:rsid w:val="6513079B"/>
    <w:rsid w:val="6513569F"/>
    <w:rsid w:val="651540D9"/>
    <w:rsid w:val="6516082D"/>
    <w:rsid w:val="65175F2F"/>
    <w:rsid w:val="65177A65"/>
    <w:rsid w:val="65183D57"/>
    <w:rsid w:val="651C2A8A"/>
    <w:rsid w:val="651C4A05"/>
    <w:rsid w:val="651C6B91"/>
    <w:rsid w:val="651D0D8B"/>
    <w:rsid w:val="651D471C"/>
    <w:rsid w:val="651F40F4"/>
    <w:rsid w:val="65206CA8"/>
    <w:rsid w:val="652129C4"/>
    <w:rsid w:val="65222106"/>
    <w:rsid w:val="65222DFC"/>
    <w:rsid w:val="65232D68"/>
    <w:rsid w:val="652342A8"/>
    <w:rsid w:val="65235263"/>
    <w:rsid w:val="65251BE7"/>
    <w:rsid w:val="65264279"/>
    <w:rsid w:val="652643B2"/>
    <w:rsid w:val="65273081"/>
    <w:rsid w:val="65293DFF"/>
    <w:rsid w:val="652B0F80"/>
    <w:rsid w:val="652B3DFE"/>
    <w:rsid w:val="652B6C5B"/>
    <w:rsid w:val="652B762F"/>
    <w:rsid w:val="652D01E3"/>
    <w:rsid w:val="652F0C98"/>
    <w:rsid w:val="6531344C"/>
    <w:rsid w:val="65320251"/>
    <w:rsid w:val="65334787"/>
    <w:rsid w:val="65343F8E"/>
    <w:rsid w:val="653509DC"/>
    <w:rsid w:val="653533F6"/>
    <w:rsid w:val="65364423"/>
    <w:rsid w:val="653803C3"/>
    <w:rsid w:val="653803D5"/>
    <w:rsid w:val="65383481"/>
    <w:rsid w:val="65387027"/>
    <w:rsid w:val="653A754D"/>
    <w:rsid w:val="653B758F"/>
    <w:rsid w:val="653C0D9D"/>
    <w:rsid w:val="653F4EF2"/>
    <w:rsid w:val="65400BBE"/>
    <w:rsid w:val="65417B03"/>
    <w:rsid w:val="65427DCA"/>
    <w:rsid w:val="65443195"/>
    <w:rsid w:val="654523B9"/>
    <w:rsid w:val="654835E6"/>
    <w:rsid w:val="654959CB"/>
    <w:rsid w:val="654A1EFA"/>
    <w:rsid w:val="654A2ACE"/>
    <w:rsid w:val="654C739E"/>
    <w:rsid w:val="654E3322"/>
    <w:rsid w:val="654E4375"/>
    <w:rsid w:val="654E51D4"/>
    <w:rsid w:val="654E757A"/>
    <w:rsid w:val="6550471A"/>
    <w:rsid w:val="65511C5F"/>
    <w:rsid w:val="65513746"/>
    <w:rsid w:val="65516B02"/>
    <w:rsid w:val="65526CC8"/>
    <w:rsid w:val="655336C0"/>
    <w:rsid w:val="6554084E"/>
    <w:rsid w:val="6554168B"/>
    <w:rsid w:val="6555705E"/>
    <w:rsid w:val="65570FDB"/>
    <w:rsid w:val="65574034"/>
    <w:rsid w:val="65582A1D"/>
    <w:rsid w:val="65585653"/>
    <w:rsid w:val="655954C6"/>
    <w:rsid w:val="655979E2"/>
    <w:rsid w:val="655A11D1"/>
    <w:rsid w:val="655B1A7F"/>
    <w:rsid w:val="655C2B7B"/>
    <w:rsid w:val="655E7D80"/>
    <w:rsid w:val="655F1BEE"/>
    <w:rsid w:val="6560311A"/>
    <w:rsid w:val="6562740E"/>
    <w:rsid w:val="6563602B"/>
    <w:rsid w:val="65657885"/>
    <w:rsid w:val="6569111C"/>
    <w:rsid w:val="65696798"/>
    <w:rsid w:val="656A2663"/>
    <w:rsid w:val="656A2708"/>
    <w:rsid w:val="656A3148"/>
    <w:rsid w:val="656C1E10"/>
    <w:rsid w:val="656C1FB5"/>
    <w:rsid w:val="656C6997"/>
    <w:rsid w:val="656E3451"/>
    <w:rsid w:val="656F47F7"/>
    <w:rsid w:val="656F5970"/>
    <w:rsid w:val="6570558C"/>
    <w:rsid w:val="657122EE"/>
    <w:rsid w:val="65726C15"/>
    <w:rsid w:val="65732547"/>
    <w:rsid w:val="65741DCD"/>
    <w:rsid w:val="65744BE4"/>
    <w:rsid w:val="657452C9"/>
    <w:rsid w:val="65760922"/>
    <w:rsid w:val="65763E50"/>
    <w:rsid w:val="65766DA1"/>
    <w:rsid w:val="65776C33"/>
    <w:rsid w:val="65783A6B"/>
    <w:rsid w:val="65783E2F"/>
    <w:rsid w:val="657A02B4"/>
    <w:rsid w:val="657C170B"/>
    <w:rsid w:val="657C291F"/>
    <w:rsid w:val="657C6B8C"/>
    <w:rsid w:val="657E2AEB"/>
    <w:rsid w:val="65804D7B"/>
    <w:rsid w:val="65811530"/>
    <w:rsid w:val="65831CD1"/>
    <w:rsid w:val="65837BE6"/>
    <w:rsid w:val="658531E0"/>
    <w:rsid w:val="65856187"/>
    <w:rsid w:val="65864EAB"/>
    <w:rsid w:val="65877684"/>
    <w:rsid w:val="658800B8"/>
    <w:rsid w:val="6589499B"/>
    <w:rsid w:val="65895B9C"/>
    <w:rsid w:val="658C4361"/>
    <w:rsid w:val="658C748E"/>
    <w:rsid w:val="658D5F98"/>
    <w:rsid w:val="658D6343"/>
    <w:rsid w:val="658E1F7A"/>
    <w:rsid w:val="658E69C6"/>
    <w:rsid w:val="658F271E"/>
    <w:rsid w:val="65902742"/>
    <w:rsid w:val="65912F75"/>
    <w:rsid w:val="65921797"/>
    <w:rsid w:val="65953014"/>
    <w:rsid w:val="65967231"/>
    <w:rsid w:val="659734B4"/>
    <w:rsid w:val="65976DD7"/>
    <w:rsid w:val="659B11FF"/>
    <w:rsid w:val="659C33A9"/>
    <w:rsid w:val="659D0D4E"/>
    <w:rsid w:val="659D23BC"/>
    <w:rsid w:val="65A108D0"/>
    <w:rsid w:val="65A20DC2"/>
    <w:rsid w:val="65A307CC"/>
    <w:rsid w:val="65A41558"/>
    <w:rsid w:val="65A46AEC"/>
    <w:rsid w:val="65A47076"/>
    <w:rsid w:val="65A74E21"/>
    <w:rsid w:val="65A81409"/>
    <w:rsid w:val="65A83527"/>
    <w:rsid w:val="65A87235"/>
    <w:rsid w:val="65A87DB7"/>
    <w:rsid w:val="65A9287F"/>
    <w:rsid w:val="65A95A05"/>
    <w:rsid w:val="65AA6ABC"/>
    <w:rsid w:val="65AB0171"/>
    <w:rsid w:val="65AB7147"/>
    <w:rsid w:val="65AE21DA"/>
    <w:rsid w:val="65AE7F5E"/>
    <w:rsid w:val="65AF32BC"/>
    <w:rsid w:val="65B379F2"/>
    <w:rsid w:val="65B5290C"/>
    <w:rsid w:val="65B611D4"/>
    <w:rsid w:val="65B6602C"/>
    <w:rsid w:val="65B700A9"/>
    <w:rsid w:val="65B75614"/>
    <w:rsid w:val="65B8098C"/>
    <w:rsid w:val="65B95EAC"/>
    <w:rsid w:val="65BB01B9"/>
    <w:rsid w:val="65BB7F4D"/>
    <w:rsid w:val="65BC7B50"/>
    <w:rsid w:val="65BD0CAC"/>
    <w:rsid w:val="65BD3418"/>
    <w:rsid w:val="65BE7F15"/>
    <w:rsid w:val="65C03542"/>
    <w:rsid w:val="65C0543D"/>
    <w:rsid w:val="65C05AFE"/>
    <w:rsid w:val="65C14970"/>
    <w:rsid w:val="65C224D6"/>
    <w:rsid w:val="65C22D54"/>
    <w:rsid w:val="65C3555C"/>
    <w:rsid w:val="65C45A2E"/>
    <w:rsid w:val="65C473FD"/>
    <w:rsid w:val="65C6675C"/>
    <w:rsid w:val="65CB20B3"/>
    <w:rsid w:val="65CB4633"/>
    <w:rsid w:val="65CC0ABA"/>
    <w:rsid w:val="65CC1C1F"/>
    <w:rsid w:val="65CC2ACD"/>
    <w:rsid w:val="65CD1049"/>
    <w:rsid w:val="65CF31C8"/>
    <w:rsid w:val="65CF4B7A"/>
    <w:rsid w:val="65D04179"/>
    <w:rsid w:val="65D35DB3"/>
    <w:rsid w:val="65D46F08"/>
    <w:rsid w:val="65D62801"/>
    <w:rsid w:val="65D64770"/>
    <w:rsid w:val="65D75ACD"/>
    <w:rsid w:val="65D835E5"/>
    <w:rsid w:val="65DA3F3D"/>
    <w:rsid w:val="65DC5465"/>
    <w:rsid w:val="65DE1FFB"/>
    <w:rsid w:val="65E07AC1"/>
    <w:rsid w:val="65E10333"/>
    <w:rsid w:val="65E322FD"/>
    <w:rsid w:val="65E37A9F"/>
    <w:rsid w:val="65E61AC2"/>
    <w:rsid w:val="65E66249"/>
    <w:rsid w:val="65E72193"/>
    <w:rsid w:val="65E7594B"/>
    <w:rsid w:val="65E82456"/>
    <w:rsid w:val="65E83009"/>
    <w:rsid w:val="65E9576B"/>
    <w:rsid w:val="65EA20F5"/>
    <w:rsid w:val="65EA36CC"/>
    <w:rsid w:val="65EA38BA"/>
    <w:rsid w:val="65EB1015"/>
    <w:rsid w:val="65EB7654"/>
    <w:rsid w:val="65EC55D3"/>
    <w:rsid w:val="65EE6E3A"/>
    <w:rsid w:val="65EF5397"/>
    <w:rsid w:val="65F31AA6"/>
    <w:rsid w:val="65F529ED"/>
    <w:rsid w:val="65F81413"/>
    <w:rsid w:val="65F90AA1"/>
    <w:rsid w:val="65FB4657"/>
    <w:rsid w:val="65FC1967"/>
    <w:rsid w:val="65FC43F7"/>
    <w:rsid w:val="65FD3459"/>
    <w:rsid w:val="65FD3E53"/>
    <w:rsid w:val="65FE68DF"/>
    <w:rsid w:val="66001A17"/>
    <w:rsid w:val="66015006"/>
    <w:rsid w:val="66022A00"/>
    <w:rsid w:val="66022B1D"/>
    <w:rsid w:val="660477EB"/>
    <w:rsid w:val="6605315C"/>
    <w:rsid w:val="66062E9A"/>
    <w:rsid w:val="66072E68"/>
    <w:rsid w:val="660823C9"/>
    <w:rsid w:val="660912E0"/>
    <w:rsid w:val="6609219B"/>
    <w:rsid w:val="66097735"/>
    <w:rsid w:val="660A2484"/>
    <w:rsid w:val="660B228D"/>
    <w:rsid w:val="660B3A2F"/>
    <w:rsid w:val="660C17A0"/>
    <w:rsid w:val="660C7724"/>
    <w:rsid w:val="660D0BA0"/>
    <w:rsid w:val="660D4179"/>
    <w:rsid w:val="660D71E6"/>
    <w:rsid w:val="660E177C"/>
    <w:rsid w:val="660E2FAA"/>
    <w:rsid w:val="66100343"/>
    <w:rsid w:val="66141EAC"/>
    <w:rsid w:val="66146038"/>
    <w:rsid w:val="661510FB"/>
    <w:rsid w:val="661533BF"/>
    <w:rsid w:val="66173695"/>
    <w:rsid w:val="6618120B"/>
    <w:rsid w:val="6618217E"/>
    <w:rsid w:val="6618790A"/>
    <w:rsid w:val="661A6B25"/>
    <w:rsid w:val="661B60EB"/>
    <w:rsid w:val="661C46B8"/>
    <w:rsid w:val="661D6C6E"/>
    <w:rsid w:val="661E2C98"/>
    <w:rsid w:val="661F77EC"/>
    <w:rsid w:val="6620053A"/>
    <w:rsid w:val="662017D8"/>
    <w:rsid w:val="66211C37"/>
    <w:rsid w:val="66236178"/>
    <w:rsid w:val="66241E2F"/>
    <w:rsid w:val="6624670B"/>
    <w:rsid w:val="66256B0D"/>
    <w:rsid w:val="662756B1"/>
    <w:rsid w:val="66275F83"/>
    <w:rsid w:val="66277A2E"/>
    <w:rsid w:val="66286BC2"/>
    <w:rsid w:val="66297D40"/>
    <w:rsid w:val="662A38E7"/>
    <w:rsid w:val="662A4860"/>
    <w:rsid w:val="662B12B9"/>
    <w:rsid w:val="662B2FED"/>
    <w:rsid w:val="662B6B98"/>
    <w:rsid w:val="662B76B9"/>
    <w:rsid w:val="662C12D0"/>
    <w:rsid w:val="662C7B45"/>
    <w:rsid w:val="662E02B9"/>
    <w:rsid w:val="662E1BA3"/>
    <w:rsid w:val="662E58F0"/>
    <w:rsid w:val="662F0133"/>
    <w:rsid w:val="66300CAD"/>
    <w:rsid w:val="66301434"/>
    <w:rsid w:val="66316E97"/>
    <w:rsid w:val="66356649"/>
    <w:rsid w:val="66357F07"/>
    <w:rsid w:val="66362562"/>
    <w:rsid w:val="663643A4"/>
    <w:rsid w:val="663866F9"/>
    <w:rsid w:val="6639016F"/>
    <w:rsid w:val="66390E88"/>
    <w:rsid w:val="663A5093"/>
    <w:rsid w:val="663A7A43"/>
    <w:rsid w:val="663B35B8"/>
    <w:rsid w:val="663D1854"/>
    <w:rsid w:val="663E3421"/>
    <w:rsid w:val="663F6E84"/>
    <w:rsid w:val="66412536"/>
    <w:rsid w:val="66415838"/>
    <w:rsid w:val="664237B1"/>
    <w:rsid w:val="66430B14"/>
    <w:rsid w:val="6644300D"/>
    <w:rsid w:val="66453AAF"/>
    <w:rsid w:val="66473D3A"/>
    <w:rsid w:val="664769C3"/>
    <w:rsid w:val="66491DEC"/>
    <w:rsid w:val="664B56E9"/>
    <w:rsid w:val="664B794C"/>
    <w:rsid w:val="664C0E97"/>
    <w:rsid w:val="664C1C94"/>
    <w:rsid w:val="664C2B60"/>
    <w:rsid w:val="664D347D"/>
    <w:rsid w:val="664E7907"/>
    <w:rsid w:val="664F37C1"/>
    <w:rsid w:val="66504916"/>
    <w:rsid w:val="665119B3"/>
    <w:rsid w:val="66517C68"/>
    <w:rsid w:val="6652176A"/>
    <w:rsid w:val="66532288"/>
    <w:rsid w:val="66551212"/>
    <w:rsid w:val="66560D9E"/>
    <w:rsid w:val="66565F95"/>
    <w:rsid w:val="665A1AC9"/>
    <w:rsid w:val="665C716E"/>
    <w:rsid w:val="665D4AF3"/>
    <w:rsid w:val="665D5BB9"/>
    <w:rsid w:val="6660141A"/>
    <w:rsid w:val="666054F6"/>
    <w:rsid w:val="6660663A"/>
    <w:rsid w:val="666123E1"/>
    <w:rsid w:val="66623603"/>
    <w:rsid w:val="666321D2"/>
    <w:rsid w:val="6663379F"/>
    <w:rsid w:val="66641960"/>
    <w:rsid w:val="66652808"/>
    <w:rsid w:val="66656025"/>
    <w:rsid w:val="666622ED"/>
    <w:rsid w:val="666623B5"/>
    <w:rsid w:val="666642CF"/>
    <w:rsid w:val="66671470"/>
    <w:rsid w:val="666777E5"/>
    <w:rsid w:val="666822CA"/>
    <w:rsid w:val="66685199"/>
    <w:rsid w:val="66687664"/>
    <w:rsid w:val="66687DF7"/>
    <w:rsid w:val="666952D5"/>
    <w:rsid w:val="666B5302"/>
    <w:rsid w:val="666C0403"/>
    <w:rsid w:val="666E007F"/>
    <w:rsid w:val="666E281B"/>
    <w:rsid w:val="666E3909"/>
    <w:rsid w:val="666E41C4"/>
    <w:rsid w:val="666F09D9"/>
    <w:rsid w:val="667063B9"/>
    <w:rsid w:val="667154A4"/>
    <w:rsid w:val="66736DBC"/>
    <w:rsid w:val="667473F9"/>
    <w:rsid w:val="667538CA"/>
    <w:rsid w:val="66756B10"/>
    <w:rsid w:val="66776578"/>
    <w:rsid w:val="66776BFB"/>
    <w:rsid w:val="66786A2D"/>
    <w:rsid w:val="66791368"/>
    <w:rsid w:val="667975F7"/>
    <w:rsid w:val="667D3133"/>
    <w:rsid w:val="667D5DAF"/>
    <w:rsid w:val="667E2D3A"/>
    <w:rsid w:val="66800534"/>
    <w:rsid w:val="66802C84"/>
    <w:rsid w:val="668145BB"/>
    <w:rsid w:val="668219C4"/>
    <w:rsid w:val="66824137"/>
    <w:rsid w:val="66827D3D"/>
    <w:rsid w:val="668302D2"/>
    <w:rsid w:val="668340B8"/>
    <w:rsid w:val="66847E92"/>
    <w:rsid w:val="66860BAC"/>
    <w:rsid w:val="66865E9E"/>
    <w:rsid w:val="66870FD5"/>
    <w:rsid w:val="6687332C"/>
    <w:rsid w:val="66887AB0"/>
    <w:rsid w:val="668940AF"/>
    <w:rsid w:val="668959E8"/>
    <w:rsid w:val="668A13F0"/>
    <w:rsid w:val="668B199B"/>
    <w:rsid w:val="668B1E6A"/>
    <w:rsid w:val="668C1DE7"/>
    <w:rsid w:val="668C5B28"/>
    <w:rsid w:val="66911AAC"/>
    <w:rsid w:val="669361F1"/>
    <w:rsid w:val="66941351"/>
    <w:rsid w:val="669606CD"/>
    <w:rsid w:val="66962B30"/>
    <w:rsid w:val="66995ACA"/>
    <w:rsid w:val="66996818"/>
    <w:rsid w:val="669A1F35"/>
    <w:rsid w:val="669A256A"/>
    <w:rsid w:val="669C007A"/>
    <w:rsid w:val="669C4381"/>
    <w:rsid w:val="669C635D"/>
    <w:rsid w:val="669D5F70"/>
    <w:rsid w:val="669E3141"/>
    <w:rsid w:val="669E5230"/>
    <w:rsid w:val="669F547F"/>
    <w:rsid w:val="66A10292"/>
    <w:rsid w:val="66A14BCE"/>
    <w:rsid w:val="66A2538E"/>
    <w:rsid w:val="66A257F1"/>
    <w:rsid w:val="66A26B30"/>
    <w:rsid w:val="66A61DC0"/>
    <w:rsid w:val="66A83D04"/>
    <w:rsid w:val="66A8511D"/>
    <w:rsid w:val="66A95730"/>
    <w:rsid w:val="66AA70F7"/>
    <w:rsid w:val="66AB1EE7"/>
    <w:rsid w:val="66AC1DC6"/>
    <w:rsid w:val="66AD2C49"/>
    <w:rsid w:val="66AD48E1"/>
    <w:rsid w:val="66AD7F19"/>
    <w:rsid w:val="66AF3357"/>
    <w:rsid w:val="66B01E81"/>
    <w:rsid w:val="66B042CF"/>
    <w:rsid w:val="66B11614"/>
    <w:rsid w:val="66B131ED"/>
    <w:rsid w:val="66B20711"/>
    <w:rsid w:val="66B27262"/>
    <w:rsid w:val="66B37D7A"/>
    <w:rsid w:val="66B60516"/>
    <w:rsid w:val="66B67AEA"/>
    <w:rsid w:val="66B86AFE"/>
    <w:rsid w:val="66B87F57"/>
    <w:rsid w:val="66B90744"/>
    <w:rsid w:val="66B95BDB"/>
    <w:rsid w:val="66BB7AB0"/>
    <w:rsid w:val="66BD0360"/>
    <w:rsid w:val="66BE29C6"/>
    <w:rsid w:val="66C10842"/>
    <w:rsid w:val="66C20EB4"/>
    <w:rsid w:val="66C26A87"/>
    <w:rsid w:val="66C358BF"/>
    <w:rsid w:val="66C3798E"/>
    <w:rsid w:val="66C40E3B"/>
    <w:rsid w:val="66C453E3"/>
    <w:rsid w:val="66C464ED"/>
    <w:rsid w:val="66C76150"/>
    <w:rsid w:val="66C80507"/>
    <w:rsid w:val="66C843A5"/>
    <w:rsid w:val="66CA4FA3"/>
    <w:rsid w:val="66CB021C"/>
    <w:rsid w:val="66CB26CF"/>
    <w:rsid w:val="66CC454E"/>
    <w:rsid w:val="66CF096D"/>
    <w:rsid w:val="66CF0A14"/>
    <w:rsid w:val="66CF2461"/>
    <w:rsid w:val="66CF35B4"/>
    <w:rsid w:val="66D01B7F"/>
    <w:rsid w:val="66D070EE"/>
    <w:rsid w:val="66D55F54"/>
    <w:rsid w:val="66D66DCB"/>
    <w:rsid w:val="66D84E36"/>
    <w:rsid w:val="66D85EA6"/>
    <w:rsid w:val="66D91933"/>
    <w:rsid w:val="66D91F10"/>
    <w:rsid w:val="66DA15CD"/>
    <w:rsid w:val="66DA5AC3"/>
    <w:rsid w:val="66DB0CC1"/>
    <w:rsid w:val="66DB678F"/>
    <w:rsid w:val="66DE71BD"/>
    <w:rsid w:val="66E0029F"/>
    <w:rsid w:val="66E11B56"/>
    <w:rsid w:val="66E11DE1"/>
    <w:rsid w:val="66E12649"/>
    <w:rsid w:val="66E20929"/>
    <w:rsid w:val="66E30339"/>
    <w:rsid w:val="66E80AAF"/>
    <w:rsid w:val="66E83F73"/>
    <w:rsid w:val="66EA60F9"/>
    <w:rsid w:val="66EE6D24"/>
    <w:rsid w:val="66EE6FDA"/>
    <w:rsid w:val="66EF49FD"/>
    <w:rsid w:val="66EF7FBE"/>
    <w:rsid w:val="66F05D82"/>
    <w:rsid w:val="66F14F06"/>
    <w:rsid w:val="66F8282D"/>
    <w:rsid w:val="66F87450"/>
    <w:rsid w:val="66F8782C"/>
    <w:rsid w:val="66FC6B2E"/>
    <w:rsid w:val="66FE3CF8"/>
    <w:rsid w:val="66FF2F3E"/>
    <w:rsid w:val="66FF7D75"/>
    <w:rsid w:val="67010791"/>
    <w:rsid w:val="670214EE"/>
    <w:rsid w:val="670317DC"/>
    <w:rsid w:val="67054732"/>
    <w:rsid w:val="6706409C"/>
    <w:rsid w:val="67097998"/>
    <w:rsid w:val="670A35EF"/>
    <w:rsid w:val="670A4051"/>
    <w:rsid w:val="670B180C"/>
    <w:rsid w:val="670B78D5"/>
    <w:rsid w:val="670C4159"/>
    <w:rsid w:val="670C62E0"/>
    <w:rsid w:val="670C7632"/>
    <w:rsid w:val="670D1FF3"/>
    <w:rsid w:val="670D24F1"/>
    <w:rsid w:val="670E6D43"/>
    <w:rsid w:val="670F5B5F"/>
    <w:rsid w:val="670F7267"/>
    <w:rsid w:val="6710331E"/>
    <w:rsid w:val="67106A35"/>
    <w:rsid w:val="67142711"/>
    <w:rsid w:val="67190E35"/>
    <w:rsid w:val="67190FCC"/>
    <w:rsid w:val="6719483A"/>
    <w:rsid w:val="67196D92"/>
    <w:rsid w:val="67197973"/>
    <w:rsid w:val="67197D7D"/>
    <w:rsid w:val="671A0B9E"/>
    <w:rsid w:val="671A6DC9"/>
    <w:rsid w:val="671C464F"/>
    <w:rsid w:val="671E14F1"/>
    <w:rsid w:val="671E2EC2"/>
    <w:rsid w:val="67250D17"/>
    <w:rsid w:val="67274892"/>
    <w:rsid w:val="67282832"/>
    <w:rsid w:val="672A4502"/>
    <w:rsid w:val="672B22D0"/>
    <w:rsid w:val="672C29CE"/>
    <w:rsid w:val="672C50F9"/>
    <w:rsid w:val="672D2A10"/>
    <w:rsid w:val="672D4BAA"/>
    <w:rsid w:val="6730698B"/>
    <w:rsid w:val="67316F27"/>
    <w:rsid w:val="673235E0"/>
    <w:rsid w:val="67327B6F"/>
    <w:rsid w:val="673413BB"/>
    <w:rsid w:val="67343DB6"/>
    <w:rsid w:val="67346377"/>
    <w:rsid w:val="67363261"/>
    <w:rsid w:val="6737097C"/>
    <w:rsid w:val="67371EF3"/>
    <w:rsid w:val="67373AA0"/>
    <w:rsid w:val="673756F3"/>
    <w:rsid w:val="673778DC"/>
    <w:rsid w:val="67385F34"/>
    <w:rsid w:val="673A2353"/>
    <w:rsid w:val="673A273F"/>
    <w:rsid w:val="673F1F87"/>
    <w:rsid w:val="673F3905"/>
    <w:rsid w:val="673F443C"/>
    <w:rsid w:val="67401089"/>
    <w:rsid w:val="67416E01"/>
    <w:rsid w:val="67423E5B"/>
    <w:rsid w:val="67426C99"/>
    <w:rsid w:val="67430463"/>
    <w:rsid w:val="67432562"/>
    <w:rsid w:val="67433187"/>
    <w:rsid w:val="674357AE"/>
    <w:rsid w:val="6743656C"/>
    <w:rsid w:val="67437B82"/>
    <w:rsid w:val="67466D28"/>
    <w:rsid w:val="67477763"/>
    <w:rsid w:val="674A3A45"/>
    <w:rsid w:val="674B726E"/>
    <w:rsid w:val="674C7A2E"/>
    <w:rsid w:val="674F22FC"/>
    <w:rsid w:val="674F4052"/>
    <w:rsid w:val="674F6A3F"/>
    <w:rsid w:val="6750005A"/>
    <w:rsid w:val="67510C3F"/>
    <w:rsid w:val="67516915"/>
    <w:rsid w:val="67535B4D"/>
    <w:rsid w:val="675361D5"/>
    <w:rsid w:val="67537B14"/>
    <w:rsid w:val="67540D13"/>
    <w:rsid w:val="67543C03"/>
    <w:rsid w:val="67550188"/>
    <w:rsid w:val="67550338"/>
    <w:rsid w:val="67563C8E"/>
    <w:rsid w:val="67577F61"/>
    <w:rsid w:val="67583F88"/>
    <w:rsid w:val="675C62CA"/>
    <w:rsid w:val="675D3C18"/>
    <w:rsid w:val="675E16E1"/>
    <w:rsid w:val="675E5AC8"/>
    <w:rsid w:val="675F18DB"/>
    <w:rsid w:val="675F3C2E"/>
    <w:rsid w:val="676021BE"/>
    <w:rsid w:val="67605C70"/>
    <w:rsid w:val="67615C97"/>
    <w:rsid w:val="6762328C"/>
    <w:rsid w:val="67630A34"/>
    <w:rsid w:val="67631CFA"/>
    <w:rsid w:val="67643B33"/>
    <w:rsid w:val="67652920"/>
    <w:rsid w:val="67665176"/>
    <w:rsid w:val="6767099D"/>
    <w:rsid w:val="67677186"/>
    <w:rsid w:val="67683ED9"/>
    <w:rsid w:val="6769703E"/>
    <w:rsid w:val="676B0277"/>
    <w:rsid w:val="676B0390"/>
    <w:rsid w:val="676E209D"/>
    <w:rsid w:val="676E2A0A"/>
    <w:rsid w:val="676E4C97"/>
    <w:rsid w:val="676F62F4"/>
    <w:rsid w:val="67701B41"/>
    <w:rsid w:val="67704B38"/>
    <w:rsid w:val="677111C9"/>
    <w:rsid w:val="67713889"/>
    <w:rsid w:val="67713A46"/>
    <w:rsid w:val="67714846"/>
    <w:rsid w:val="67725D08"/>
    <w:rsid w:val="67754B48"/>
    <w:rsid w:val="67765200"/>
    <w:rsid w:val="67773CF6"/>
    <w:rsid w:val="677B202D"/>
    <w:rsid w:val="677C130A"/>
    <w:rsid w:val="677C54A5"/>
    <w:rsid w:val="677C77C1"/>
    <w:rsid w:val="677E0D49"/>
    <w:rsid w:val="677E419B"/>
    <w:rsid w:val="677E68C2"/>
    <w:rsid w:val="67810565"/>
    <w:rsid w:val="678354EF"/>
    <w:rsid w:val="67835506"/>
    <w:rsid w:val="6783662B"/>
    <w:rsid w:val="67841AC6"/>
    <w:rsid w:val="67845ADF"/>
    <w:rsid w:val="6785151E"/>
    <w:rsid w:val="67855436"/>
    <w:rsid w:val="678565B3"/>
    <w:rsid w:val="67856A25"/>
    <w:rsid w:val="67857DEA"/>
    <w:rsid w:val="67861060"/>
    <w:rsid w:val="67877E1F"/>
    <w:rsid w:val="678829E7"/>
    <w:rsid w:val="678A132B"/>
    <w:rsid w:val="678A7C07"/>
    <w:rsid w:val="678B06C9"/>
    <w:rsid w:val="678B6524"/>
    <w:rsid w:val="678C468E"/>
    <w:rsid w:val="678F1D45"/>
    <w:rsid w:val="67902CDB"/>
    <w:rsid w:val="67904F4A"/>
    <w:rsid w:val="67911DAB"/>
    <w:rsid w:val="679178BA"/>
    <w:rsid w:val="67920DB1"/>
    <w:rsid w:val="679465F1"/>
    <w:rsid w:val="67967022"/>
    <w:rsid w:val="679708FD"/>
    <w:rsid w:val="679710CD"/>
    <w:rsid w:val="67974636"/>
    <w:rsid w:val="679821D7"/>
    <w:rsid w:val="679831B2"/>
    <w:rsid w:val="67986407"/>
    <w:rsid w:val="67993975"/>
    <w:rsid w:val="679A246F"/>
    <w:rsid w:val="679A2E90"/>
    <w:rsid w:val="679C25CB"/>
    <w:rsid w:val="679E4065"/>
    <w:rsid w:val="679F6C3F"/>
    <w:rsid w:val="67A025E3"/>
    <w:rsid w:val="67A0657A"/>
    <w:rsid w:val="67A2393F"/>
    <w:rsid w:val="67A27081"/>
    <w:rsid w:val="67A439CD"/>
    <w:rsid w:val="67A46BF7"/>
    <w:rsid w:val="67A559C8"/>
    <w:rsid w:val="67A64C43"/>
    <w:rsid w:val="67A70C4C"/>
    <w:rsid w:val="67A7122A"/>
    <w:rsid w:val="67A73D61"/>
    <w:rsid w:val="67A7481F"/>
    <w:rsid w:val="67A80ED1"/>
    <w:rsid w:val="67A902D5"/>
    <w:rsid w:val="67AA187F"/>
    <w:rsid w:val="67AB11D5"/>
    <w:rsid w:val="67AE49E8"/>
    <w:rsid w:val="67AE4DB5"/>
    <w:rsid w:val="67B04E44"/>
    <w:rsid w:val="67B1361F"/>
    <w:rsid w:val="67B333EF"/>
    <w:rsid w:val="67B34637"/>
    <w:rsid w:val="67B44FEB"/>
    <w:rsid w:val="67B54A11"/>
    <w:rsid w:val="67B573CA"/>
    <w:rsid w:val="67B732F2"/>
    <w:rsid w:val="67B97E03"/>
    <w:rsid w:val="67BB3634"/>
    <w:rsid w:val="67BC1CD2"/>
    <w:rsid w:val="67BC5B3D"/>
    <w:rsid w:val="67BC72BC"/>
    <w:rsid w:val="67BF6452"/>
    <w:rsid w:val="67C00A75"/>
    <w:rsid w:val="67C143B3"/>
    <w:rsid w:val="67C14F90"/>
    <w:rsid w:val="67C24F26"/>
    <w:rsid w:val="67C47409"/>
    <w:rsid w:val="67C5748F"/>
    <w:rsid w:val="67C7235E"/>
    <w:rsid w:val="67C80208"/>
    <w:rsid w:val="67C82589"/>
    <w:rsid w:val="67C92A1E"/>
    <w:rsid w:val="67C96374"/>
    <w:rsid w:val="67C97744"/>
    <w:rsid w:val="67C97D0C"/>
    <w:rsid w:val="67CA070B"/>
    <w:rsid w:val="67CA2A43"/>
    <w:rsid w:val="67CA41CB"/>
    <w:rsid w:val="67CA5E03"/>
    <w:rsid w:val="67CB13F6"/>
    <w:rsid w:val="67CB1B8E"/>
    <w:rsid w:val="67CE203A"/>
    <w:rsid w:val="67CE3666"/>
    <w:rsid w:val="67CE7D25"/>
    <w:rsid w:val="67CF67E2"/>
    <w:rsid w:val="67D21691"/>
    <w:rsid w:val="67D33B21"/>
    <w:rsid w:val="67D373DE"/>
    <w:rsid w:val="67D4119D"/>
    <w:rsid w:val="67D542EA"/>
    <w:rsid w:val="67D80A2B"/>
    <w:rsid w:val="67D9310B"/>
    <w:rsid w:val="67DB1B8C"/>
    <w:rsid w:val="67DC00DB"/>
    <w:rsid w:val="67DC662F"/>
    <w:rsid w:val="67DD0A9B"/>
    <w:rsid w:val="67DE436A"/>
    <w:rsid w:val="67DF0232"/>
    <w:rsid w:val="67E01BA8"/>
    <w:rsid w:val="67E05985"/>
    <w:rsid w:val="67E35011"/>
    <w:rsid w:val="67E42FB3"/>
    <w:rsid w:val="67E52C47"/>
    <w:rsid w:val="67E53848"/>
    <w:rsid w:val="67E90E8E"/>
    <w:rsid w:val="67EA7C3E"/>
    <w:rsid w:val="67EC09E1"/>
    <w:rsid w:val="67EC527E"/>
    <w:rsid w:val="67EC57BC"/>
    <w:rsid w:val="67ED2921"/>
    <w:rsid w:val="67EE2E38"/>
    <w:rsid w:val="67EE593A"/>
    <w:rsid w:val="67EE6818"/>
    <w:rsid w:val="67F021CA"/>
    <w:rsid w:val="67F25560"/>
    <w:rsid w:val="67F2668A"/>
    <w:rsid w:val="67F34548"/>
    <w:rsid w:val="67F3688F"/>
    <w:rsid w:val="67F40285"/>
    <w:rsid w:val="67F41A80"/>
    <w:rsid w:val="67F42234"/>
    <w:rsid w:val="67F67742"/>
    <w:rsid w:val="67F72C6B"/>
    <w:rsid w:val="67F82E8E"/>
    <w:rsid w:val="67F9716C"/>
    <w:rsid w:val="67FA1406"/>
    <w:rsid w:val="67FD6C42"/>
    <w:rsid w:val="680134C3"/>
    <w:rsid w:val="680377C3"/>
    <w:rsid w:val="68041BAF"/>
    <w:rsid w:val="68076E92"/>
    <w:rsid w:val="68077322"/>
    <w:rsid w:val="68081CF5"/>
    <w:rsid w:val="680840D9"/>
    <w:rsid w:val="680930B0"/>
    <w:rsid w:val="680B3BB8"/>
    <w:rsid w:val="680C5410"/>
    <w:rsid w:val="680D0640"/>
    <w:rsid w:val="680D4113"/>
    <w:rsid w:val="680D6703"/>
    <w:rsid w:val="680D7E3C"/>
    <w:rsid w:val="680E57A0"/>
    <w:rsid w:val="680F2990"/>
    <w:rsid w:val="68124F88"/>
    <w:rsid w:val="6813373D"/>
    <w:rsid w:val="68147CCD"/>
    <w:rsid w:val="68154F43"/>
    <w:rsid w:val="68185D32"/>
    <w:rsid w:val="68186060"/>
    <w:rsid w:val="68191A14"/>
    <w:rsid w:val="68195441"/>
    <w:rsid w:val="681957D0"/>
    <w:rsid w:val="68197BA9"/>
    <w:rsid w:val="681A04A3"/>
    <w:rsid w:val="681A210E"/>
    <w:rsid w:val="681A41B8"/>
    <w:rsid w:val="681A58A6"/>
    <w:rsid w:val="681B3A5B"/>
    <w:rsid w:val="681C01A5"/>
    <w:rsid w:val="681D73A1"/>
    <w:rsid w:val="681E1515"/>
    <w:rsid w:val="681F1153"/>
    <w:rsid w:val="68201289"/>
    <w:rsid w:val="682101C7"/>
    <w:rsid w:val="68220AB0"/>
    <w:rsid w:val="682235BB"/>
    <w:rsid w:val="68224C33"/>
    <w:rsid w:val="68255673"/>
    <w:rsid w:val="6825733F"/>
    <w:rsid w:val="682650E1"/>
    <w:rsid w:val="68266F56"/>
    <w:rsid w:val="6827677A"/>
    <w:rsid w:val="68282351"/>
    <w:rsid w:val="682A1221"/>
    <w:rsid w:val="682A3CCB"/>
    <w:rsid w:val="682A4DD7"/>
    <w:rsid w:val="682A641F"/>
    <w:rsid w:val="682A6ACF"/>
    <w:rsid w:val="682B121C"/>
    <w:rsid w:val="682B2899"/>
    <w:rsid w:val="682B627A"/>
    <w:rsid w:val="682D7860"/>
    <w:rsid w:val="682E6068"/>
    <w:rsid w:val="682E7CE8"/>
    <w:rsid w:val="682F5D14"/>
    <w:rsid w:val="682F75A0"/>
    <w:rsid w:val="683121EC"/>
    <w:rsid w:val="68325C61"/>
    <w:rsid w:val="68334346"/>
    <w:rsid w:val="683364F5"/>
    <w:rsid w:val="6833761C"/>
    <w:rsid w:val="6834450F"/>
    <w:rsid w:val="68360A0F"/>
    <w:rsid w:val="6836304E"/>
    <w:rsid w:val="68367C3A"/>
    <w:rsid w:val="68387021"/>
    <w:rsid w:val="683A57F6"/>
    <w:rsid w:val="683B1EF9"/>
    <w:rsid w:val="683B2EEA"/>
    <w:rsid w:val="683B44A9"/>
    <w:rsid w:val="683C2AC2"/>
    <w:rsid w:val="683C7B80"/>
    <w:rsid w:val="683E31F9"/>
    <w:rsid w:val="68413CC0"/>
    <w:rsid w:val="68427AF4"/>
    <w:rsid w:val="68441CCD"/>
    <w:rsid w:val="6844314E"/>
    <w:rsid w:val="68443A04"/>
    <w:rsid w:val="684532E6"/>
    <w:rsid w:val="68454191"/>
    <w:rsid w:val="684602B0"/>
    <w:rsid w:val="684631E7"/>
    <w:rsid w:val="684676D1"/>
    <w:rsid w:val="684804CD"/>
    <w:rsid w:val="68480F7E"/>
    <w:rsid w:val="684841AC"/>
    <w:rsid w:val="68495EE9"/>
    <w:rsid w:val="684A2EFA"/>
    <w:rsid w:val="684B6B9C"/>
    <w:rsid w:val="684C1920"/>
    <w:rsid w:val="684C43B6"/>
    <w:rsid w:val="684D5DFB"/>
    <w:rsid w:val="685079F2"/>
    <w:rsid w:val="6854341C"/>
    <w:rsid w:val="68556BCB"/>
    <w:rsid w:val="685939E5"/>
    <w:rsid w:val="685A66E5"/>
    <w:rsid w:val="685B1E68"/>
    <w:rsid w:val="685D6FD5"/>
    <w:rsid w:val="685F0215"/>
    <w:rsid w:val="6860292D"/>
    <w:rsid w:val="68604DC6"/>
    <w:rsid w:val="68610B28"/>
    <w:rsid w:val="686174BD"/>
    <w:rsid w:val="6863003A"/>
    <w:rsid w:val="6864046D"/>
    <w:rsid w:val="68643263"/>
    <w:rsid w:val="68657DE2"/>
    <w:rsid w:val="686674AB"/>
    <w:rsid w:val="68670E46"/>
    <w:rsid w:val="68676359"/>
    <w:rsid w:val="6867691B"/>
    <w:rsid w:val="68686C1E"/>
    <w:rsid w:val="686A0C90"/>
    <w:rsid w:val="686A18A3"/>
    <w:rsid w:val="686B3E6D"/>
    <w:rsid w:val="686C7AAF"/>
    <w:rsid w:val="686C7C64"/>
    <w:rsid w:val="68710728"/>
    <w:rsid w:val="68714668"/>
    <w:rsid w:val="68723801"/>
    <w:rsid w:val="68723D4A"/>
    <w:rsid w:val="68747C0D"/>
    <w:rsid w:val="68756798"/>
    <w:rsid w:val="68762373"/>
    <w:rsid w:val="68763711"/>
    <w:rsid w:val="68773ECD"/>
    <w:rsid w:val="687A194C"/>
    <w:rsid w:val="687B4F06"/>
    <w:rsid w:val="687D62BC"/>
    <w:rsid w:val="687E1B27"/>
    <w:rsid w:val="687F3240"/>
    <w:rsid w:val="687F4CE6"/>
    <w:rsid w:val="68804BDB"/>
    <w:rsid w:val="68814D1D"/>
    <w:rsid w:val="68821783"/>
    <w:rsid w:val="68834229"/>
    <w:rsid w:val="68835EF0"/>
    <w:rsid w:val="68862CFB"/>
    <w:rsid w:val="68863AD0"/>
    <w:rsid w:val="68870718"/>
    <w:rsid w:val="68875A02"/>
    <w:rsid w:val="68892F6C"/>
    <w:rsid w:val="688C29F9"/>
    <w:rsid w:val="688C6C6E"/>
    <w:rsid w:val="688F0E6D"/>
    <w:rsid w:val="689023AD"/>
    <w:rsid w:val="6890492B"/>
    <w:rsid w:val="689063C9"/>
    <w:rsid w:val="68910811"/>
    <w:rsid w:val="68910F78"/>
    <w:rsid w:val="68913951"/>
    <w:rsid w:val="68917899"/>
    <w:rsid w:val="689233FA"/>
    <w:rsid w:val="68930BE9"/>
    <w:rsid w:val="68936565"/>
    <w:rsid w:val="68940D41"/>
    <w:rsid w:val="68955405"/>
    <w:rsid w:val="68963970"/>
    <w:rsid w:val="68964469"/>
    <w:rsid w:val="68970A5A"/>
    <w:rsid w:val="68971EFD"/>
    <w:rsid w:val="689773CF"/>
    <w:rsid w:val="68980E16"/>
    <w:rsid w:val="68982A8E"/>
    <w:rsid w:val="68983F1E"/>
    <w:rsid w:val="68984631"/>
    <w:rsid w:val="689868D1"/>
    <w:rsid w:val="68991661"/>
    <w:rsid w:val="68997142"/>
    <w:rsid w:val="689B6C2A"/>
    <w:rsid w:val="689B76BA"/>
    <w:rsid w:val="689C60DA"/>
    <w:rsid w:val="689D58E9"/>
    <w:rsid w:val="689E0070"/>
    <w:rsid w:val="68A00E8C"/>
    <w:rsid w:val="68A204DA"/>
    <w:rsid w:val="68A26036"/>
    <w:rsid w:val="68A33CC8"/>
    <w:rsid w:val="68A34E9D"/>
    <w:rsid w:val="68A50198"/>
    <w:rsid w:val="68A711C6"/>
    <w:rsid w:val="68A71CDE"/>
    <w:rsid w:val="68A774BA"/>
    <w:rsid w:val="68A8401A"/>
    <w:rsid w:val="68A91803"/>
    <w:rsid w:val="68A9649C"/>
    <w:rsid w:val="68AA0EB0"/>
    <w:rsid w:val="68AB63A5"/>
    <w:rsid w:val="68AB69D7"/>
    <w:rsid w:val="68AC6D64"/>
    <w:rsid w:val="68AD18C9"/>
    <w:rsid w:val="68AD7432"/>
    <w:rsid w:val="68AE020B"/>
    <w:rsid w:val="68AF2FF9"/>
    <w:rsid w:val="68B0223F"/>
    <w:rsid w:val="68B03321"/>
    <w:rsid w:val="68B06267"/>
    <w:rsid w:val="68B22A3D"/>
    <w:rsid w:val="68B316F7"/>
    <w:rsid w:val="68B37957"/>
    <w:rsid w:val="68B47A79"/>
    <w:rsid w:val="68B61981"/>
    <w:rsid w:val="68B6459D"/>
    <w:rsid w:val="68B65F5C"/>
    <w:rsid w:val="68B66893"/>
    <w:rsid w:val="68B7001F"/>
    <w:rsid w:val="68B70368"/>
    <w:rsid w:val="68B82932"/>
    <w:rsid w:val="68B82C68"/>
    <w:rsid w:val="68B82FAF"/>
    <w:rsid w:val="68BA54EB"/>
    <w:rsid w:val="68BA6B0F"/>
    <w:rsid w:val="68BA7BBD"/>
    <w:rsid w:val="68BB67F5"/>
    <w:rsid w:val="68BC1735"/>
    <w:rsid w:val="68BD253B"/>
    <w:rsid w:val="68BD47D3"/>
    <w:rsid w:val="68C0017F"/>
    <w:rsid w:val="68C00A0C"/>
    <w:rsid w:val="68C113AE"/>
    <w:rsid w:val="68C117EE"/>
    <w:rsid w:val="68C118D9"/>
    <w:rsid w:val="68C12023"/>
    <w:rsid w:val="68C16140"/>
    <w:rsid w:val="68C17176"/>
    <w:rsid w:val="68C22133"/>
    <w:rsid w:val="68C52074"/>
    <w:rsid w:val="68C57F29"/>
    <w:rsid w:val="68C62680"/>
    <w:rsid w:val="68C62716"/>
    <w:rsid w:val="68C65452"/>
    <w:rsid w:val="68C7081C"/>
    <w:rsid w:val="68C94A39"/>
    <w:rsid w:val="68CA1354"/>
    <w:rsid w:val="68CB33BD"/>
    <w:rsid w:val="68CB3A1A"/>
    <w:rsid w:val="68CB5DAA"/>
    <w:rsid w:val="68CC09CE"/>
    <w:rsid w:val="68CC13C1"/>
    <w:rsid w:val="68CC17B5"/>
    <w:rsid w:val="68CE42C3"/>
    <w:rsid w:val="68CF308E"/>
    <w:rsid w:val="68D00A83"/>
    <w:rsid w:val="68D214D9"/>
    <w:rsid w:val="68D353D0"/>
    <w:rsid w:val="68D40856"/>
    <w:rsid w:val="68D41494"/>
    <w:rsid w:val="68D43CD7"/>
    <w:rsid w:val="68D5662D"/>
    <w:rsid w:val="68D57C03"/>
    <w:rsid w:val="68D67773"/>
    <w:rsid w:val="68D76C7A"/>
    <w:rsid w:val="68D77EA0"/>
    <w:rsid w:val="68D843E1"/>
    <w:rsid w:val="68DA0C85"/>
    <w:rsid w:val="68DA5CB2"/>
    <w:rsid w:val="68DC3EA4"/>
    <w:rsid w:val="68DC5DC1"/>
    <w:rsid w:val="68DC7C5D"/>
    <w:rsid w:val="68DD2233"/>
    <w:rsid w:val="68DD6538"/>
    <w:rsid w:val="68DF06A5"/>
    <w:rsid w:val="68E11C96"/>
    <w:rsid w:val="68E179C6"/>
    <w:rsid w:val="68E25A44"/>
    <w:rsid w:val="68E62946"/>
    <w:rsid w:val="68E62EC3"/>
    <w:rsid w:val="68E62F2E"/>
    <w:rsid w:val="68E63185"/>
    <w:rsid w:val="68E75A86"/>
    <w:rsid w:val="68E92407"/>
    <w:rsid w:val="68EB285E"/>
    <w:rsid w:val="68EB5411"/>
    <w:rsid w:val="68EB5E39"/>
    <w:rsid w:val="68EB77B8"/>
    <w:rsid w:val="68EC6016"/>
    <w:rsid w:val="68ED214D"/>
    <w:rsid w:val="68ED6499"/>
    <w:rsid w:val="68ED6958"/>
    <w:rsid w:val="68EE0A20"/>
    <w:rsid w:val="68EE3C45"/>
    <w:rsid w:val="68EF4B15"/>
    <w:rsid w:val="68EF4E38"/>
    <w:rsid w:val="68F1350F"/>
    <w:rsid w:val="68F2474A"/>
    <w:rsid w:val="68F340E8"/>
    <w:rsid w:val="68F34686"/>
    <w:rsid w:val="68F42D46"/>
    <w:rsid w:val="68F74079"/>
    <w:rsid w:val="68F86618"/>
    <w:rsid w:val="68FB228A"/>
    <w:rsid w:val="68FC5484"/>
    <w:rsid w:val="68FD70EF"/>
    <w:rsid w:val="68FE20D3"/>
    <w:rsid w:val="6900077B"/>
    <w:rsid w:val="690146E9"/>
    <w:rsid w:val="69023B8D"/>
    <w:rsid w:val="690819AF"/>
    <w:rsid w:val="690C24EE"/>
    <w:rsid w:val="690C4F29"/>
    <w:rsid w:val="690C5F1F"/>
    <w:rsid w:val="690D0B02"/>
    <w:rsid w:val="690D14C0"/>
    <w:rsid w:val="690F4F77"/>
    <w:rsid w:val="690F68D0"/>
    <w:rsid w:val="69124CA8"/>
    <w:rsid w:val="691337A3"/>
    <w:rsid w:val="69145ED0"/>
    <w:rsid w:val="691534E4"/>
    <w:rsid w:val="69166F16"/>
    <w:rsid w:val="69167818"/>
    <w:rsid w:val="69170E6A"/>
    <w:rsid w:val="691733B7"/>
    <w:rsid w:val="69182A02"/>
    <w:rsid w:val="69183B91"/>
    <w:rsid w:val="691862B9"/>
    <w:rsid w:val="69186DBE"/>
    <w:rsid w:val="691871A2"/>
    <w:rsid w:val="69195AA0"/>
    <w:rsid w:val="69197FFF"/>
    <w:rsid w:val="691A1BE9"/>
    <w:rsid w:val="691A5A79"/>
    <w:rsid w:val="691B4302"/>
    <w:rsid w:val="691D5752"/>
    <w:rsid w:val="691F7660"/>
    <w:rsid w:val="69201173"/>
    <w:rsid w:val="69201EC1"/>
    <w:rsid w:val="692061F1"/>
    <w:rsid w:val="69217F25"/>
    <w:rsid w:val="692457F9"/>
    <w:rsid w:val="6927702B"/>
    <w:rsid w:val="6929512F"/>
    <w:rsid w:val="69296B07"/>
    <w:rsid w:val="692C1477"/>
    <w:rsid w:val="692C5735"/>
    <w:rsid w:val="692D20ED"/>
    <w:rsid w:val="692D4134"/>
    <w:rsid w:val="692F2D98"/>
    <w:rsid w:val="69310A66"/>
    <w:rsid w:val="6931666E"/>
    <w:rsid w:val="69321223"/>
    <w:rsid w:val="693342CC"/>
    <w:rsid w:val="6933534A"/>
    <w:rsid w:val="693466D8"/>
    <w:rsid w:val="6935619F"/>
    <w:rsid w:val="69367536"/>
    <w:rsid w:val="69367D40"/>
    <w:rsid w:val="69374DF8"/>
    <w:rsid w:val="69375675"/>
    <w:rsid w:val="693812B6"/>
    <w:rsid w:val="69381925"/>
    <w:rsid w:val="693850BB"/>
    <w:rsid w:val="693A153E"/>
    <w:rsid w:val="693A5F45"/>
    <w:rsid w:val="693A70C3"/>
    <w:rsid w:val="693B535D"/>
    <w:rsid w:val="693D7785"/>
    <w:rsid w:val="693D7F76"/>
    <w:rsid w:val="693E0812"/>
    <w:rsid w:val="693F090D"/>
    <w:rsid w:val="693F50A3"/>
    <w:rsid w:val="693F7F36"/>
    <w:rsid w:val="694029D8"/>
    <w:rsid w:val="6941147C"/>
    <w:rsid w:val="694141CF"/>
    <w:rsid w:val="69417F8E"/>
    <w:rsid w:val="69426404"/>
    <w:rsid w:val="69434AED"/>
    <w:rsid w:val="694625FF"/>
    <w:rsid w:val="694668C0"/>
    <w:rsid w:val="69480B84"/>
    <w:rsid w:val="69490E12"/>
    <w:rsid w:val="69494073"/>
    <w:rsid w:val="69495E1D"/>
    <w:rsid w:val="694A4A15"/>
    <w:rsid w:val="694C2F42"/>
    <w:rsid w:val="694D10F8"/>
    <w:rsid w:val="694F0055"/>
    <w:rsid w:val="69513A22"/>
    <w:rsid w:val="6951675A"/>
    <w:rsid w:val="69516C80"/>
    <w:rsid w:val="695262AE"/>
    <w:rsid w:val="69531EE2"/>
    <w:rsid w:val="69534F79"/>
    <w:rsid w:val="6958294A"/>
    <w:rsid w:val="69592A61"/>
    <w:rsid w:val="69594021"/>
    <w:rsid w:val="695C1183"/>
    <w:rsid w:val="695C4B97"/>
    <w:rsid w:val="695E4A98"/>
    <w:rsid w:val="695F37E6"/>
    <w:rsid w:val="69603D3F"/>
    <w:rsid w:val="69605039"/>
    <w:rsid w:val="69615747"/>
    <w:rsid w:val="696254B8"/>
    <w:rsid w:val="6962552C"/>
    <w:rsid w:val="69635CCE"/>
    <w:rsid w:val="696407C1"/>
    <w:rsid w:val="69644A9C"/>
    <w:rsid w:val="69654FCE"/>
    <w:rsid w:val="696729C1"/>
    <w:rsid w:val="69682A80"/>
    <w:rsid w:val="6968616D"/>
    <w:rsid w:val="69690968"/>
    <w:rsid w:val="696937E4"/>
    <w:rsid w:val="696938BD"/>
    <w:rsid w:val="696A510F"/>
    <w:rsid w:val="696C2A7C"/>
    <w:rsid w:val="696C65AA"/>
    <w:rsid w:val="696E3A25"/>
    <w:rsid w:val="696E46C0"/>
    <w:rsid w:val="696F060D"/>
    <w:rsid w:val="696F16C8"/>
    <w:rsid w:val="696F54A6"/>
    <w:rsid w:val="696F6EF6"/>
    <w:rsid w:val="69702875"/>
    <w:rsid w:val="69717927"/>
    <w:rsid w:val="697257EB"/>
    <w:rsid w:val="697316C0"/>
    <w:rsid w:val="697366DA"/>
    <w:rsid w:val="69746744"/>
    <w:rsid w:val="69757D2F"/>
    <w:rsid w:val="69764B06"/>
    <w:rsid w:val="69765946"/>
    <w:rsid w:val="697A1631"/>
    <w:rsid w:val="697C6B3E"/>
    <w:rsid w:val="697E0DCC"/>
    <w:rsid w:val="697F3CC1"/>
    <w:rsid w:val="697F7C5B"/>
    <w:rsid w:val="69813EB6"/>
    <w:rsid w:val="698152F5"/>
    <w:rsid w:val="698163A2"/>
    <w:rsid w:val="698258D3"/>
    <w:rsid w:val="69845BA5"/>
    <w:rsid w:val="698670A8"/>
    <w:rsid w:val="6987194D"/>
    <w:rsid w:val="69874A57"/>
    <w:rsid w:val="6989077C"/>
    <w:rsid w:val="698A15E2"/>
    <w:rsid w:val="698A7EBC"/>
    <w:rsid w:val="698D3AC0"/>
    <w:rsid w:val="698F09E6"/>
    <w:rsid w:val="698F7603"/>
    <w:rsid w:val="699043F2"/>
    <w:rsid w:val="69904B29"/>
    <w:rsid w:val="699148F2"/>
    <w:rsid w:val="69917587"/>
    <w:rsid w:val="69942AC8"/>
    <w:rsid w:val="69946952"/>
    <w:rsid w:val="699763DE"/>
    <w:rsid w:val="699856A3"/>
    <w:rsid w:val="6999771F"/>
    <w:rsid w:val="699B49E6"/>
    <w:rsid w:val="699C3B21"/>
    <w:rsid w:val="699C3D34"/>
    <w:rsid w:val="699D4FF1"/>
    <w:rsid w:val="699D5AC7"/>
    <w:rsid w:val="699D71CE"/>
    <w:rsid w:val="699E2DDE"/>
    <w:rsid w:val="699F3B05"/>
    <w:rsid w:val="699F4097"/>
    <w:rsid w:val="699F610A"/>
    <w:rsid w:val="69A0706E"/>
    <w:rsid w:val="69A236B0"/>
    <w:rsid w:val="69A24B6F"/>
    <w:rsid w:val="69A41DA4"/>
    <w:rsid w:val="69A463ED"/>
    <w:rsid w:val="69A502D8"/>
    <w:rsid w:val="69A734A5"/>
    <w:rsid w:val="69A865A8"/>
    <w:rsid w:val="69A87AC3"/>
    <w:rsid w:val="69AA245A"/>
    <w:rsid w:val="69AB7B74"/>
    <w:rsid w:val="69AC0258"/>
    <w:rsid w:val="69AC37FB"/>
    <w:rsid w:val="69AE42DB"/>
    <w:rsid w:val="69AE7260"/>
    <w:rsid w:val="69B02E76"/>
    <w:rsid w:val="69B1061C"/>
    <w:rsid w:val="69B30767"/>
    <w:rsid w:val="69B71206"/>
    <w:rsid w:val="69B722D7"/>
    <w:rsid w:val="69B74859"/>
    <w:rsid w:val="69B77972"/>
    <w:rsid w:val="69B874A1"/>
    <w:rsid w:val="69BC7A90"/>
    <w:rsid w:val="69BD51A4"/>
    <w:rsid w:val="69BE24A0"/>
    <w:rsid w:val="69BF1B58"/>
    <w:rsid w:val="69BF2FC7"/>
    <w:rsid w:val="69BF6ADF"/>
    <w:rsid w:val="69C029AA"/>
    <w:rsid w:val="69C06881"/>
    <w:rsid w:val="69C1664B"/>
    <w:rsid w:val="69C24A81"/>
    <w:rsid w:val="69C47083"/>
    <w:rsid w:val="69C77332"/>
    <w:rsid w:val="69C808F0"/>
    <w:rsid w:val="69C91FE5"/>
    <w:rsid w:val="69CA5FC0"/>
    <w:rsid w:val="69CD4C1C"/>
    <w:rsid w:val="69CE0D7F"/>
    <w:rsid w:val="69CF2CDA"/>
    <w:rsid w:val="69CF7AC0"/>
    <w:rsid w:val="69D00DEB"/>
    <w:rsid w:val="69D13186"/>
    <w:rsid w:val="69D42DDB"/>
    <w:rsid w:val="69D53C41"/>
    <w:rsid w:val="69D62050"/>
    <w:rsid w:val="69D6236B"/>
    <w:rsid w:val="69D6792E"/>
    <w:rsid w:val="69D708DD"/>
    <w:rsid w:val="69D73412"/>
    <w:rsid w:val="69D86F10"/>
    <w:rsid w:val="69DC6E0D"/>
    <w:rsid w:val="69DE10F3"/>
    <w:rsid w:val="69DF1986"/>
    <w:rsid w:val="69E022E0"/>
    <w:rsid w:val="69E13D2E"/>
    <w:rsid w:val="69E14FC4"/>
    <w:rsid w:val="69E20B6D"/>
    <w:rsid w:val="69E317A8"/>
    <w:rsid w:val="69E61A6C"/>
    <w:rsid w:val="69E64ED7"/>
    <w:rsid w:val="69E822E0"/>
    <w:rsid w:val="69E93C5A"/>
    <w:rsid w:val="69EA6122"/>
    <w:rsid w:val="69EC583B"/>
    <w:rsid w:val="69EC5CC2"/>
    <w:rsid w:val="69ED09A8"/>
    <w:rsid w:val="69ED66A5"/>
    <w:rsid w:val="69EE2FFB"/>
    <w:rsid w:val="69EF422A"/>
    <w:rsid w:val="69F04E1C"/>
    <w:rsid w:val="69F112DF"/>
    <w:rsid w:val="69F27522"/>
    <w:rsid w:val="69F34C03"/>
    <w:rsid w:val="69F81B05"/>
    <w:rsid w:val="69F85C4B"/>
    <w:rsid w:val="69FA030B"/>
    <w:rsid w:val="69FC30E0"/>
    <w:rsid w:val="69FC5B4F"/>
    <w:rsid w:val="69FC7DE7"/>
    <w:rsid w:val="69FD21E2"/>
    <w:rsid w:val="69FD7261"/>
    <w:rsid w:val="69FF533F"/>
    <w:rsid w:val="6A0048FF"/>
    <w:rsid w:val="6A021814"/>
    <w:rsid w:val="6A023C48"/>
    <w:rsid w:val="6A027774"/>
    <w:rsid w:val="6A03343F"/>
    <w:rsid w:val="6A03384D"/>
    <w:rsid w:val="6A03386C"/>
    <w:rsid w:val="6A036A86"/>
    <w:rsid w:val="6A0407DF"/>
    <w:rsid w:val="6A0601F1"/>
    <w:rsid w:val="6A065AFF"/>
    <w:rsid w:val="6A073885"/>
    <w:rsid w:val="6A080F6C"/>
    <w:rsid w:val="6A0B3804"/>
    <w:rsid w:val="6A0C16F7"/>
    <w:rsid w:val="6A0C468E"/>
    <w:rsid w:val="6A0C60EB"/>
    <w:rsid w:val="6A0D624D"/>
    <w:rsid w:val="6A0F461E"/>
    <w:rsid w:val="6A0F634D"/>
    <w:rsid w:val="6A0F7429"/>
    <w:rsid w:val="6A1119B6"/>
    <w:rsid w:val="6A121F35"/>
    <w:rsid w:val="6A122EB0"/>
    <w:rsid w:val="6A1464A1"/>
    <w:rsid w:val="6A146FEC"/>
    <w:rsid w:val="6A147D39"/>
    <w:rsid w:val="6A176CD5"/>
    <w:rsid w:val="6A1828A6"/>
    <w:rsid w:val="6A186F4E"/>
    <w:rsid w:val="6A187A9B"/>
    <w:rsid w:val="6A1B0EC5"/>
    <w:rsid w:val="6A1C4C20"/>
    <w:rsid w:val="6A1D23AB"/>
    <w:rsid w:val="6A1D49E6"/>
    <w:rsid w:val="6A1D56B2"/>
    <w:rsid w:val="6A1E475A"/>
    <w:rsid w:val="6A1F7ADD"/>
    <w:rsid w:val="6A2057B8"/>
    <w:rsid w:val="6A2509EE"/>
    <w:rsid w:val="6A252E06"/>
    <w:rsid w:val="6A26307E"/>
    <w:rsid w:val="6A265093"/>
    <w:rsid w:val="6A271723"/>
    <w:rsid w:val="6A281D14"/>
    <w:rsid w:val="6A2928AF"/>
    <w:rsid w:val="6A2971BA"/>
    <w:rsid w:val="6A2A5A71"/>
    <w:rsid w:val="6A2D59DF"/>
    <w:rsid w:val="6A2E361E"/>
    <w:rsid w:val="6A3065A9"/>
    <w:rsid w:val="6A307EB9"/>
    <w:rsid w:val="6A311B82"/>
    <w:rsid w:val="6A312B2A"/>
    <w:rsid w:val="6A327BDB"/>
    <w:rsid w:val="6A3348A6"/>
    <w:rsid w:val="6A334CA2"/>
    <w:rsid w:val="6A3536BA"/>
    <w:rsid w:val="6A357E8D"/>
    <w:rsid w:val="6A364768"/>
    <w:rsid w:val="6A37053F"/>
    <w:rsid w:val="6A384B21"/>
    <w:rsid w:val="6A386B5F"/>
    <w:rsid w:val="6A390FBB"/>
    <w:rsid w:val="6A3A2F44"/>
    <w:rsid w:val="6A3B0FF1"/>
    <w:rsid w:val="6A3B135B"/>
    <w:rsid w:val="6A3C47B3"/>
    <w:rsid w:val="6A3E28E9"/>
    <w:rsid w:val="6A3E30B7"/>
    <w:rsid w:val="6A3F1BA9"/>
    <w:rsid w:val="6A3F4098"/>
    <w:rsid w:val="6A405C25"/>
    <w:rsid w:val="6A407944"/>
    <w:rsid w:val="6A411D57"/>
    <w:rsid w:val="6A4175F2"/>
    <w:rsid w:val="6A42304D"/>
    <w:rsid w:val="6A430C4E"/>
    <w:rsid w:val="6A447DFA"/>
    <w:rsid w:val="6A4563E5"/>
    <w:rsid w:val="6A456FB0"/>
    <w:rsid w:val="6A462C9A"/>
    <w:rsid w:val="6A464AD0"/>
    <w:rsid w:val="6A477ABD"/>
    <w:rsid w:val="6A494BF7"/>
    <w:rsid w:val="6A4A583D"/>
    <w:rsid w:val="6A4B23F9"/>
    <w:rsid w:val="6A4B41C9"/>
    <w:rsid w:val="6A4C12ED"/>
    <w:rsid w:val="6A4D14B9"/>
    <w:rsid w:val="6A4E15F6"/>
    <w:rsid w:val="6A4E7B68"/>
    <w:rsid w:val="6A4F0F97"/>
    <w:rsid w:val="6A4F678D"/>
    <w:rsid w:val="6A4F7163"/>
    <w:rsid w:val="6A524D83"/>
    <w:rsid w:val="6A5250A9"/>
    <w:rsid w:val="6A547160"/>
    <w:rsid w:val="6A5771E9"/>
    <w:rsid w:val="6A591319"/>
    <w:rsid w:val="6A5B4299"/>
    <w:rsid w:val="6A5C08F0"/>
    <w:rsid w:val="6A5D4117"/>
    <w:rsid w:val="6A5E2A41"/>
    <w:rsid w:val="6A5E6911"/>
    <w:rsid w:val="6A5F3CF8"/>
    <w:rsid w:val="6A5F5946"/>
    <w:rsid w:val="6A5F7DF7"/>
    <w:rsid w:val="6A601163"/>
    <w:rsid w:val="6A605217"/>
    <w:rsid w:val="6A6074EF"/>
    <w:rsid w:val="6A611E2F"/>
    <w:rsid w:val="6A617014"/>
    <w:rsid w:val="6A627D69"/>
    <w:rsid w:val="6A642413"/>
    <w:rsid w:val="6A6450E8"/>
    <w:rsid w:val="6A645C75"/>
    <w:rsid w:val="6A672621"/>
    <w:rsid w:val="6A675583"/>
    <w:rsid w:val="6A687894"/>
    <w:rsid w:val="6A6A24C1"/>
    <w:rsid w:val="6A6B0730"/>
    <w:rsid w:val="6A6B2DA9"/>
    <w:rsid w:val="6A6B66E0"/>
    <w:rsid w:val="6A6D4950"/>
    <w:rsid w:val="6A6E2A40"/>
    <w:rsid w:val="6A6E4F37"/>
    <w:rsid w:val="6A6F0545"/>
    <w:rsid w:val="6A70234F"/>
    <w:rsid w:val="6A702F5C"/>
    <w:rsid w:val="6A7046B9"/>
    <w:rsid w:val="6A70580C"/>
    <w:rsid w:val="6A7079FD"/>
    <w:rsid w:val="6A7321D9"/>
    <w:rsid w:val="6A74428F"/>
    <w:rsid w:val="6A744AB6"/>
    <w:rsid w:val="6A7470B7"/>
    <w:rsid w:val="6A761531"/>
    <w:rsid w:val="6A76358E"/>
    <w:rsid w:val="6A783CF6"/>
    <w:rsid w:val="6A7855B3"/>
    <w:rsid w:val="6A79231E"/>
    <w:rsid w:val="6A7B1131"/>
    <w:rsid w:val="6A7D70AD"/>
    <w:rsid w:val="6A7E0C01"/>
    <w:rsid w:val="6A7E224E"/>
    <w:rsid w:val="6A7E6C41"/>
    <w:rsid w:val="6A7F0438"/>
    <w:rsid w:val="6A811315"/>
    <w:rsid w:val="6A81462C"/>
    <w:rsid w:val="6A8325C9"/>
    <w:rsid w:val="6A88377E"/>
    <w:rsid w:val="6A89004C"/>
    <w:rsid w:val="6A8A42F9"/>
    <w:rsid w:val="6A8A529D"/>
    <w:rsid w:val="6A8B4A59"/>
    <w:rsid w:val="6A8C462D"/>
    <w:rsid w:val="6A8D7680"/>
    <w:rsid w:val="6A8E2C83"/>
    <w:rsid w:val="6A8E64E0"/>
    <w:rsid w:val="6A8E73AB"/>
    <w:rsid w:val="6A8E7895"/>
    <w:rsid w:val="6A8F2BFB"/>
    <w:rsid w:val="6A8F2D56"/>
    <w:rsid w:val="6A911A98"/>
    <w:rsid w:val="6A913A4E"/>
    <w:rsid w:val="6A9253AA"/>
    <w:rsid w:val="6A934B17"/>
    <w:rsid w:val="6A947363"/>
    <w:rsid w:val="6A96025D"/>
    <w:rsid w:val="6A965CD9"/>
    <w:rsid w:val="6A9800C0"/>
    <w:rsid w:val="6A9A2DBC"/>
    <w:rsid w:val="6A9A6B93"/>
    <w:rsid w:val="6A9B3627"/>
    <w:rsid w:val="6A9C4A65"/>
    <w:rsid w:val="6A9C5F46"/>
    <w:rsid w:val="6A9D7B13"/>
    <w:rsid w:val="6A9E1D09"/>
    <w:rsid w:val="6A9E1F27"/>
    <w:rsid w:val="6AA12CA7"/>
    <w:rsid w:val="6AA162E3"/>
    <w:rsid w:val="6AA34744"/>
    <w:rsid w:val="6AA37ACC"/>
    <w:rsid w:val="6AA45DD3"/>
    <w:rsid w:val="6AA521A6"/>
    <w:rsid w:val="6AA575BC"/>
    <w:rsid w:val="6AA63C78"/>
    <w:rsid w:val="6AA6740A"/>
    <w:rsid w:val="6AA71C80"/>
    <w:rsid w:val="6AA7367A"/>
    <w:rsid w:val="6AA76C12"/>
    <w:rsid w:val="6AA8068C"/>
    <w:rsid w:val="6AA92730"/>
    <w:rsid w:val="6AA930F2"/>
    <w:rsid w:val="6AAA28CA"/>
    <w:rsid w:val="6AAA2903"/>
    <w:rsid w:val="6AAA2D51"/>
    <w:rsid w:val="6AAA71B6"/>
    <w:rsid w:val="6AAC070C"/>
    <w:rsid w:val="6AAE630C"/>
    <w:rsid w:val="6AAF4DD6"/>
    <w:rsid w:val="6AAF78EA"/>
    <w:rsid w:val="6AB052F4"/>
    <w:rsid w:val="6AB1099D"/>
    <w:rsid w:val="6AB20E44"/>
    <w:rsid w:val="6AB3764E"/>
    <w:rsid w:val="6AB43FC2"/>
    <w:rsid w:val="6AB4619C"/>
    <w:rsid w:val="6AB478D8"/>
    <w:rsid w:val="6AB51DAF"/>
    <w:rsid w:val="6AB56047"/>
    <w:rsid w:val="6AB65D69"/>
    <w:rsid w:val="6AB73A86"/>
    <w:rsid w:val="6AB776D9"/>
    <w:rsid w:val="6AB875D0"/>
    <w:rsid w:val="6AB91395"/>
    <w:rsid w:val="6AB917C7"/>
    <w:rsid w:val="6AB927C7"/>
    <w:rsid w:val="6AB93BE1"/>
    <w:rsid w:val="6AB9530C"/>
    <w:rsid w:val="6AB9716D"/>
    <w:rsid w:val="6ABA068F"/>
    <w:rsid w:val="6ABA73A5"/>
    <w:rsid w:val="6ABB2AE2"/>
    <w:rsid w:val="6ABC414A"/>
    <w:rsid w:val="6ABD3C7E"/>
    <w:rsid w:val="6ABE5276"/>
    <w:rsid w:val="6ABF48D2"/>
    <w:rsid w:val="6ABF65D9"/>
    <w:rsid w:val="6ABF65DE"/>
    <w:rsid w:val="6AC1330E"/>
    <w:rsid w:val="6AC25FBE"/>
    <w:rsid w:val="6AC32691"/>
    <w:rsid w:val="6AC32F77"/>
    <w:rsid w:val="6AC552F4"/>
    <w:rsid w:val="6AC56E51"/>
    <w:rsid w:val="6AC76EB8"/>
    <w:rsid w:val="6AC9508C"/>
    <w:rsid w:val="6AC956CE"/>
    <w:rsid w:val="6ACA5B7F"/>
    <w:rsid w:val="6ACA7280"/>
    <w:rsid w:val="6ACB2046"/>
    <w:rsid w:val="6ACD6D8F"/>
    <w:rsid w:val="6ACD7DF0"/>
    <w:rsid w:val="6ACE395D"/>
    <w:rsid w:val="6ACF4C49"/>
    <w:rsid w:val="6AD06BC8"/>
    <w:rsid w:val="6AD07CAD"/>
    <w:rsid w:val="6AD13D56"/>
    <w:rsid w:val="6AD22940"/>
    <w:rsid w:val="6AD24877"/>
    <w:rsid w:val="6AD2665D"/>
    <w:rsid w:val="6AD27517"/>
    <w:rsid w:val="6AD40467"/>
    <w:rsid w:val="6AD50457"/>
    <w:rsid w:val="6AD60261"/>
    <w:rsid w:val="6AD60A5C"/>
    <w:rsid w:val="6AD64EA1"/>
    <w:rsid w:val="6AD705ED"/>
    <w:rsid w:val="6AD72286"/>
    <w:rsid w:val="6AD76E4A"/>
    <w:rsid w:val="6AD825D2"/>
    <w:rsid w:val="6ADA436F"/>
    <w:rsid w:val="6ADB0840"/>
    <w:rsid w:val="6ADC26F2"/>
    <w:rsid w:val="6ADD0F1F"/>
    <w:rsid w:val="6ADF066D"/>
    <w:rsid w:val="6AE0120C"/>
    <w:rsid w:val="6AE12A37"/>
    <w:rsid w:val="6AE14B8A"/>
    <w:rsid w:val="6AE1653F"/>
    <w:rsid w:val="6AE22502"/>
    <w:rsid w:val="6AE37B53"/>
    <w:rsid w:val="6AE45B4E"/>
    <w:rsid w:val="6AE608DB"/>
    <w:rsid w:val="6AE736DE"/>
    <w:rsid w:val="6AE73F06"/>
    <w:rsid w:val="6AE82A4B"/>
    <w:rsid w:val="6AE83033"/>
    <w:rsid w:val="6AE9017C"/>
    <w:rsid w:val="6AE90D28"/>
    <w:rsid w:val="6AEB242A"/>
    <w:rsid w:val="6AEB3F95"/>
    <w:rsid w:val="6AEB6592"/>
    <w:rsid w:val="6AED618E"/>
    <w:rsid w:val="6AEF162D"/>
    <w:rsid w:val="6AEF6F75"/>
    <w:rsid w:val="6AF24A6D"/>
    <w:rsid w:val="6AF31853"/>
    <w:rsid w:val="6AF405DA"/>
    <w:rsid w:val="6AF40938"/>
    <w:rsid w:val="6AF42059"/>
    <w:rsid w:val="6AF4385A"/>
    <w:rsid w:val="6AF43B00"/>
    <w:rsid w:val="6AF6184E"/>
    <w:rsid w:val="6AF62723"/>
    <w:rsid w:val="6AF72BFA"/>
    <w:rsid w:val="6AF7579A"/>
    <w:rsid w:val="6AF84298"/>
    <w:rsid w:val="6AF928CE"/>
    <w:rsid w:val="6AF92D5A"/>
    <w:rsid w:val="6AF9677D"/>
    <w:rsid w:val="6AFA1A73"/>
    <w:rsid w:val="6AFB2135"/>
    <w:rsid w:val="6AFC5D2E"/>
    <w:rsid w:val="6AFE2A15"/>
    <w:rsid w:val="6B0113F9"/>
    <w:rsid w:val="6B013584"/>
    <w:rsid w:val="6B01685F"/>
    <w:rsid w:val="6B030B12"/>
    <w:rsid w:val="6B037B77"/>
    <w:rsid w:val="6B0403F4"/>
    <w:rsid w:val="6B054AC4"/>
    <w:rsid w:val="6B062EAF"/>
    <w:rsid w:val="6B066DD4"/>
    <w:rsid w:val="6B06751F"/>
    <w:rsid w:val="6B070DB0"/>
    <w:rsid w:val="6B086A31"/>
    <w:rsid w:val="6B094ADB"/>
    <w:rsid w:val="6B0A1FDE"/>
    <w:rsid w:val="6B0A5F88"/>
    <w:rsid w:val="6B0B6EBC"/>
    <w:rsid w:val="6B0C109A"/>
    <w:rsid w:val="6B0C5E52"/>
    <w:rsid w:val="6B0D50E3"/>
    <w:rsid w:val="6B0F3A74"/>
    <w:rsid w:val="6B105217"/>
    <w:rsid w:val="6B105A4B"/>
    <w:rsid w:val="6B105B7D"/>
    <w:rsid w:val="6B10675B"/>
    <w:rsid w:val="6B110FD0"/>
    <w:rsid w:val="6B1150D2"/>
    <w:rsid w:val="6B11699B"/>
    <w:rsid w:val="6B15567A"/>
    <w:rsid w:val="6B166045"/>
    <w:rsid w:val="6B170C45"/>
    <w:rsid w:val="6B1822D2"/>
    <w:rsid w:val="6B197C76"/>
    <w:rsid w:val="6B1A0E7A"/>
    <w:rsid w:val="6B1B2535"/>
    <w:rsid w:val="6B1B4D71"/>
    <w:rsid w:val="6B1E734B"/>
    <w:rsid w:val="6B204F80"/>
    <w:rsid w:val="6B207F87"/>
    <w:rsid w:val="6B2147CF"/>
    <w:rsid w:val="6B215301"/>
    <w:rsid w:val="6B226028"/>
    <w:rsid w:val="6B226D44"/>
    <w:rsid w:val="6B231B90"/>
    <w:rsid w:val="6B237021"/>
    <w:rsid w:val="6B2430E0"/>
    <w:rsid w:val="6B2524DB"/>
    <w:rsid w:val="6B2565DE"/>
    <w:rsid w:val="6B2602AA"/>
    <w:rsid w:val="6B263AAF"/>
    <w:rsid w:val="6B265255"/>
    <w:rsid w:val="6B2749BB"/>
    <w:rsid w:val="6B2806FF"/>
    <w:rsid w:val="6B2A4CD6"/>
    <w:rsid w:val="6B2A63A4"/>
    <w:rsid w:val="6B2A7AC0"/>
    <w:rsid w:val="6B2B5B06"/>
    <w:rsid w:val="6B2C56FF"/>
    <w:rsid w:val="6B2D2DC0"/>
    <w:rsid w:val="6B2D47CD"/>
    <w:rsid w:val="6B2F28E5"/>
    <w:rsid w:val="6B341140"/>
    <w:rsid w:val="6B353B64"/>
    <w:rsid w:val="6B354A0F"/>
    <w:rsid w:val="6B364D54"/>
    <w:rsid w:val="6B374F06"/>
    <w:rsid w:val="6B390FF7"/>
    <w:rsid w:val="6B393DD5"/>
    <w:rsid w:val="6B394D5A"/>
    <w:rsid w:val="6B3C6388"/>
    <w:rsid w:val="6B3D1D01"/>
    <w:rsid w:val="6B3E18D9"/>
    <w:rsid w:val="6B3F2BA1"/>
    <w:rsid w:val="6B417133"/>
    <w:rsid w:val="6B417340"/>
    <w:rsid w:val="6B425395"/>
    <w:rsid w:val="6B445E54"/>
    <w:rsid w:val="6B4518E0"/>
    <w:rsid w:val="6B4534E1"/>
    <w:rsid w:val="6B456043"/>
    <w:rsid w:val="6B4857B5"/>
    <w:rsid w:val="6B485AC5"/>
    <w:rsid w:val="6B4D1859"/>
    <w:rsid w:val="6B4E0C55"/>
    <w:rsid w:val="6B4E4F36"/>
    <w:rsid w:val="6B544017"/>
    <w:rsid w:val="6B544CEF"/>
    <w:rsid w:val="6B557759"/>
    <w:rsid w:val="6B560E7C"/>
    <w:rsid w:val="6B562A52"/>
    <w:rsid w:val="6B5718FA"/>
    <w:rsid w:val="6B5856D2"/>
    <w:rsid w:val="6B5A52FA"/>
    <w:rsid w:val="6B5B46DD"/>
    <w:rsid w:val="6B5C0EBF"/>
    <w:rsid w:val="6B5C20B6"/>
    <w:rsid w:val="6B5D0A58"/>
    <w:rsid w:val="6B5D24FF"/>
    <w:rsid w:val="6B5E0A86"/>
    <w:rsid w:val="6B5E0E5E"/>
    <w:rsid w:val="6B5F5421"/>
    <w:rsid w:val="6B6303FD"/>
    <w:rsid w:val="6B63172F"/>
    <w:rsid w:val="6B6360F5"/>
    <w:rsid w:val="6B6361CB"/>
    <w:rsid w:val="6B647288"/>
    <w:rsid w:val="6B6719F1"/>
    <w:rsid w:val="6B6822A9"/>
    <w:rsid w:val="6B694606"/>
    <w:rsid w:val="6B6C565E"/>
    <w:rsid w:val="6B6E39AB"/>
    <w:rsid w:val="6B6F4B0E"/>
    <w:rsid w:val="6B71690B"/>
    <w:rsid w:val="6B753648"/>
    <w:rsid w:val="6B765DE7"/>
    <w:rsid w:val="6B767C76"/>
    <w:rsid w:val="6B770829"/>
    <w:rsid w:val="6B7949F3"/>
    <w:rsid w:val="6B7B0FA5"/>
    <w:rsid w:val="6B7B7526"/>
    <w:rsid w:val="6B7C0675"/>
    <w:rsid w:val="6B7C7317"/>
    <w:rsid w:val="6B7E1CAD"/>
    <w:rsid w:val="6B7E4333"/>
    <w:rsid w:val="6B7E7B79"/>
    <w:rsid w:val="6B7F6615"/>
    <w:rsid w:val="6B7F7A6A"/>
    <w:rsid w:val="6B801EEC"/>
    <w:rsid w:val="6B81427F"/>
    <w:rsid w:val="6B816317"/>
    <w:rsid w:val="6B826EB0"/>
    <w:rsid w:val="6B831AD1"/>
    <w:rsid w:val="6B8331C6"/>
    <w:rsid w:val="6B855F6C"/>
    <w:rsid w:val="6B861C90"/>
    <w:rsid w:val="6B866937"/>
    <w:rsid w:val="6B876587"/>
    <w:rsid w:val="6B887441"/>
    <w:rsid w:val="6B8A3FF0"/>
    <w:rsid w:val="6B8A74D8"/>
    <w:rsid w:val="6B8C6160"/>
    <w:rsid w:val="6B8E37E8"/>
    <w:rsid w:val="6B8E66AA"/>
    <w:rsid w:val="6B8F3144"/>
    <w:rsid w:val="6B8F6C3B"/>
    <w:rsid w:val="6B910D0B"/>
    <w:rsid w:val="6B92118D"/>
    <w:rsid w:val="6B926908"/>
    <w:rsid w:val="6B981DD3"/>
    <w:rsid w:val="6B9A3D01"/>
    <w:rsid w:val="6B9A7F33"/>
    <w:rsid w:val="6B9B43B3"/>
    <w:rsid w:val="6B9B78E8"/>
    <w:rsid w:val="6B9C12FA"/>
    <w:rsid w:val="6B9C53D8"/>
    <w:rsid w:val="6B9F44A4"/>
    <w:rsid w:val="6BA0135A"/>
    <w:rsid w:val="6BA067F4"/>
    <w:rsid w:val="6BA2382C"/>
    <w:rsid w:val="6BA2489A"/>
    <w:rsid w:val="6BA31114"/>
    <w:rsid w:val="6BA33C71"/>
    <w:rsid w:val="6BA35F18"/>
    <w:rsid w:val="6BA36CE1"/>
    <w:rsid w:val="6BA45704"/>
    <w:rsid w:val="6BA57F6E"/>
    <w:rsid w:val="6BA75796"/>
    <w:rsid w:val="6BA8252B"/>
    <w:rsid w:val="6BA90D4E"/>
    <w:rsid w:val="6BA92C3F"/>
    <w:rsid w:val="6BAA7419"/>
    <w:rsid w:val="6BAC03BC"/>
    <w:rsid w:val="6BAC13B4"/>
    <w:rsid w:val="6BAC30DC"/>
    <w:rsid w:val="6BAC3C42"/>
    <w:rsid w:val="6BAD7CE8"/>
    <w:rsid w:val="6BAF2400"/>
    <w:rsid w:val="6BAF40B2"/>
    <w:rsid w:val="6BAF44BC"/>
    <w:rsid w:val="6BAF7155"/>
    <w:rsid w:val="6BB01857"/>
    <w:rsid w:val="6BB07226"/>
    <w:rsid w:val="6BB1266B"/>
    <w:rsid w:val="6BB268CB"/>
    <w:rsid w:val="6BB36AB8"/>
    <w:rsid w:val="6BB63B1A"/>
    <w:rsid w:val="6BB7303C"/>
    <w:rsid w:val="6BB9487A"/>
    <w:rsid w:val="6BB95D5A"/>
    <w:rsid w:val="6BB96D6D"/>
    <w:rsid w:val="6BBD2F9D"/>
    <w:rsid w:val="6BBE3CE2"/>
    <w:rsid w:val="6BBF51C8"/>
    <w:rsid w:val="6BC072A8"/>
    <w:rsid w:val="6BC14658"/>
    <w:rsid w:val="6BC2360A"/>
    <w:rsid w:val="6BC24D08"/>
    <w:rsid w:val="6BC40E40"/>
    <w:rsid w:val="6BC41949"/>
    <w:rsid w:val="6BC613B1"/>
    <w:rsid w:val="6BC75B14"/>
    <w:rsid w:val="6BC80DE9"/>
    <w:rsid w:val="6BC81ECE"/>
    <w:rsid w:val="6BC9114D"/>
    <w:rsid w:val="6BC95BB9"/>
    <w:rsid w:val="6BC96A20"/>
    <w:rsid w:val="6BCA255D"/>
    <w:rsid w:val="6BCA4132"/>
    <w:rsid w:val="6BCC2D51"/>
    <w:rsid w:val="6BCC6E7C"/>
    <w:rsid w:val="6BCD2F22"/>
    <w:rsid w:val="6BCD45AC"/>
    <w:rsid w:val="6BCE07F2"/>
    <w:rsid w:val="6BCF2D51"/>
    <w:rsid w:val="6BD03FF8"/>
    <w:rsid w:val="6BD424EE"/>
    <w:rsid w:val="6BD450F5"/>
    <w:rsid w:val="6BD5368A"/>
    <w:rsid w:val="6BD65F4F"/>
    <w:rsid w:val="6BD67E73"/>
    <w:rsid w:val="6BD74C5F"/>
    <w:rsid w:val="6BD87F46"/>
    <w:rsid w:val="6BD91AAD"/>
    <w:rsid w:val="6BD932AA"/>
    <w:rsid w:val="6BD967CB"/>
    <w:rsid w:val="6BDA6A31"/>
    <w:rsid w:val="6BDC063C"/>
    <w:rsid w:val="6BDC3ECA"/>
    <w:rsid w:val="6BDC5BD4"/>
    <w:rsid w:val="6BDE2A7C"/>
    <w:rsid w:val="6BDF68A4"/>
    <w:rsid w:val="6BE00665"/>
    <w:rsid w:val="6BE0187F"/>
    <w:rsid w:val="6BE049A7"/>
    <w:rsid w:val="6BE72A5B"/>
    <w:rsid w:val="6BE73F80"/>
    <w:rsid w:val="6BE768CE"/>
    <w:rsid w:val="6BE865D3"/>
    <w:rsid w:val="6BE95E45"/>
    <w:rsid w:val="6BEA3461"/>
    <w:rsid w:val="6BEA6A8B"/>
    <w:rsid w:val="6BEC2154"/>
    <w:rsid w:val="6BEC4B36"/>
    <w:rsid w:val="6BEF28CC"/>
    <w:rsid w:val="6BEF4CF7"/>
    <w:rsid w:val="6BEF72BC"/>
    <w:rsid w:val="6BF0202A"/>
    <w:rsid w:val="6BF04049"/>
    <w:rsid w:val="6BF10B05"/>
    <w:rsid w:val="6BF17A14"/>
    <w:rsid w:val="6BF21607"/>
    <w:rsid w:val="6BF225A9"/>
    <w:rsid w:val="6BF22A05"/>
    <w:rsid w:val="6BF32B6E"/>
    <w:rsid w:val="6BF3318C"/>
    <w:rsid w:val="6BF40357"/>
    <w:rsid w:val="6BF55570"/>
    <w:rsid w:val="6BF65D41"/>
    <w:rsid w:val="6BF7151D"/>
    <w:rsid w:val="6BF84629"/>
    <w:rsid w:val="6BF876FD"/>
    <w:rsid w:val="6BF91973"/>
    <w:rsid w:val="6BFA62D3"/>
    <w:rsid w:val="6BFB101C"/>
    <w:rsid w:val="6BFB1E50"/>
    <w:rsid w:val="6BFB4801"/>
    <w:rsid w:val="6BFC1888"/>
    <w:rsid w:val="6BFC6BC5"/>
    <w:rsid w:val="6BFD55CC"/>
    <w:rsid w:val="6BFF02C1"/>
    <w:rsid w:val="6BFF4FDC"/>
    <w:rsid w:val="6C007BA3"/>
    <w:rsid w:val="6C015C3F"/>
    <w:rsid w:val="6C0358E4"/>
    <w:rsid w:val="6C0403BE"/>
    <w:rsid w:val="6C040E69"/>
    <w:rsid w:val="6C041E9D"/>
    <w:rsid w:val="6C05248C"/>
    <w:rsid w:val="6C05353C"/>
    <w:rsid w:val="6C06371C"/>
    <w:rsid w:val="6C067B84"/>
    <w:rsid w:val="6C08691C"/>
    <w:rsid w:val="6C093CEF"/>
    <w:rsid w:val="6C094951"/>
    <w:rsid w:val="6C0B0EE9"/>
    <w:rsid w:val="6C0B406D"/>
    <w:rsid w:val="6C0C647D"/>
    <w:rsid w:val="6C0D445C"/>
    <w:rsid w:val="6C0D496A"/>
    <w:rsid w:val="6C0E049D"/>
    <w:rsid w:val="6C0F5D75"/>
    <w:rsid w:val="6C111C6F"/>
    <w:rsid w:val="6C1151C2"/>
    <w:rsid w:val="6C14461D"/>
    <w:rsid w:val="6C1615EA"/>
    <w:rsid w:val="6C17201A"/>
    <w:rsid w:val="6C1749DB"/>
    <w:rsid w:val="6C180722"/>
    <w:rsid w:val="6C1B1C7F"/>
    <w:rsid w:val="6C1C541B"/>
    <w:rsid w:val="6C1F00CE"/>
    <w:rsid w:val="6C2076DB"/>
    <w:rsid w:val="6C210867"/>
    <w:rsid w:val="6C212D00"/>
    <w:rsid w:val="6C214371"/>
    <w:rsid w:val="6C226884"/>
    <w:rsid w:val="6C244E13"/>
    <w:rsid w:val="6C2471CC"/>
    <w:rsid w:val="6C262903"/>
    <w:rsid w:val="6C281420"/>
    <w:rsid w:val="6C2B2984"/>
    <w:rsid w:val="6C2B720A"/>
    <w:rsid w:val="6C2E0781"/>
    <w:rsid w:val="6C2F4ACC"/>
    <w:rsid w:val="6C2F6777"/>
    <w:rsid w:val="6C3218C6"/>
    <w:rsid w:val="6C321A97"/>
    <w:rsid w:val="6C322E3C"/>
    <w:rsid w:val="6C331B73"/>
    <w:rsid w:val="6C350AED"/>
    <w:rsid w:val="6C352ABF"/>
    <w:rsid w:val="6C371061"/>
    <w:rsid w:val="6C371DCD"/>
    <w:rsid w:val="6C375151"/>
    <w:rsid w:val="6C376878"/>
    <w:rsid w:val="6C391F36"/>
    <w:rsid w:val="6C3A0673"/>
    <w:rsid w:val="6C3A113F"/>
    <w:rsid w:val="6C3A6FB1"/>
    <w:rsid w:val="6C3B166E"/>
    <w:rsid w:val="6C3B5CF2"/>
    <w:rsid w:val="6C3B634D"/>
    <w:rsid w:val="6C3C0222"/>
    <w:rsid w:val="6C3C1731"/>
    <w:rsid w:val="6C3C1F2F"/>
    <w:rsid w:val="6C3C359D"/>
    <w:rsid w:val="6C3D168D"/>
    <w:rsid w:val="6C3E67F6"/>
    <w:rsid w:val="6C3F218B"/>
    <w:rsid w:val="6C3F4B20"/>
    <w:rsid w:val="6C3F72B8"/>
    <w:rsid w:val="6C4075B7"/>
    <w:rsid w:val="6C412D63"/>
    <w:rsid w:val="6C422966"/>
    <w:rsid w:val="6C4320B5"/>
    <w:rsid w:val="6C451FC4"/>
    <w:rsid w:val="6C460899"/>
    <w:rsid w:val="6C462E1C"/>
    <w:rsid w:val="6C464A1F"/>
    <w:rsid w:val="6C4717BD"/>
    <w:rsid w:val="6C472EBA"/>
    <w:rsid w:val="6C491F2C"/>
    <w:rsid w:val="6C4B338F"/>
    <w:rsid w:val="6C4B441E"/>
    <w:rsid w:val="6C4B4758"/>
    <w:rsid w:val="6C4C6D6E"/>
    <w:rsid w:val="6C4D430E"/>
    <w:rsid w:val="6C4D4E96"/>
    <w:rsid w:val="6C4E01AF"/>
    <w:rsid w:val="6C4E5279"/>
    <w:rsid w:val="6C510238"/>
    <w:rsid w:val="6C5202B3"/>
    <w:rsid w:val="6C535A7C"/>
    <w:rsid w:val="6C547588"/>
    <w:rsid w:val="6C551DF7"/>
    <w:rsid w:val="6C570F8F"/>
    <w:rsid w:val="6C5779EB"/>
    <w:rsid w:val="6C584426"/>
    <w:rsid w:val="6C5A3DF5"/>
    <w:rsid w:val="6C5B4920"/>
    <w:rsid w:val="6C5B4AD3"/>
    <w:rsid w:val="6C5B5231"/>
    <w:rsid w:val="6C5B7EAA"/>
    <w:rsid w:val="6C5C3A2D"/>
    <w:rsid w:val="6C5C3B57"/>
    <w:rsid w:val="6C5D31BD"/>
    <w:rsid w:val="6C5F7F1F"/>
    <w:rsid w:val="6C6026B0"/>
    <w:rsid w:val="6C60485F"/>
    <w:rsid w:val="6C607458"/>
    <w:rsid w:val="6C617C9D"/>
    <w:rsid w:val="6C651E92"/>
    <w:rsid w:val="6C661A18"/>
    <w:rsid w:val="6C666D95"/>
    <w:rsid w:val="6C6677E4"/>
    <w:rsid w:val="6C673C7D"/>
    <w:rsid w:val="6C67530A"/>
    <w:rsid w:val="6C681C73"/>
    <w:rsid w:val="6C6A7643"/>
    <w:rsid w:val="6C6B613F"/>
    <w:rsid w:val="6C6C0011"/>
    <w:rsid w:val="6C6C0904"/>
    <w:rsid w:val="6C6C3FA4"/>
    <w:rsid w:val="6C6D2E35"/>
    <w:rsid w:val="6C6D362F"/>
    <w:rsid w:val="6C6E2625"/>
    <w:rsid w:val="6C6E33AB"/>
    <w:rsid w:val="6C6F041D"/>
    <w:rsid w:val="6C6F2772"/>
    <w:rsid w:val="6C7125FE"/>
    <w:rsid w:val="6C717498"/>
    <w:rsid w:val="6C726E9E"/>
    <w:rsid w:val="6C732F57"/>
    <w:rsid w:val="6C7336F1"/>
    <w:rsid w:val="6C733E36"/>
    <w:rsid w:val="6C737E2D"/>
    <w:rsid w:val="6C75503E"/>
    <w:rsid w:val="6C760CAD"/>
    <w:rsid w:val="6C777585"/>
    <w:rsid w:val="6C7808B7"/>
    <w:rsid w:val="6C79146E"/>
    <w:rsid w:val="6C7A5E7D"/>
    <w:rsid w:val="6C7C3879"/>
    <w:rsid w:val="6C7C6A59"/>
    <w:rsid w:val="6C7C6A9B"/>
    <w:rsid w:val="6C7F6B59"/>
    <w:rsid w:val="6C7F7271"/>
    <w:rsid w:val="6C806520"/>
    <w:rsid w:val="6C813387"/>
    <w:rsid w:val="6C827D8F"/>
    <w:rsid w:val="6C830A93"/>
    <w:rsid w:val="6C843C53"/>
    <w:rsid w:val="6C846D77"/>
    <w:rsid w:val="6C851049"/>
    <w:rsid w:val="6C8529CF"/>
    <w:rsid w:val="6C87443D"/>
    <w:rsid w:val="6C8767E2"/>
    <w:rsid w:val="6C8B3195"/>
    <w:rsid w:val="6C8C4DB7"/>
    <w:rsid w:val="6C8C6DCD"/>
    <w:rsid w:val="6C8E0AE9"/>
    <w:rsid w:val="6C8F5649"/>
    <w:rsid w:val="6C8F7C79"/>
    <w:rsid w:val="6C9131B7"/>
    <w:rsid w:val="6C92744C"/>
    <w:rsid w:val="6C935A4E"/>
    <w:rsid w:val="6C960FD2"/>
    <w:rsid w:val="6C964107"/>
    <w:rsid w:val="6C971420"/>
    <w:rsid w:val="6C981A6B"/>
    <w:rsid w:val="6C992D26"/>
    <w:rsid w:val="6C9A0CEA"/>
    <w:rsid w:val="6C9A3115"/>
    <w:rsid w:val="6C9A33D5"/>
    <w:rsid w:val="6C9A5C70"/>
    <w:rsid w:val="6C9B24CC"/>
    <w:rsid w:val="6C9B3841"/>
    <w:rsid w:val="6C9B3967"/>
    <w:rsid w:val="6C9E541A"/>
    <w:rsid w:val="6C9F7DAE"/>
    <w:rsid w:val="6CA03884"/>
    <w:rsid w:val="6CA20807"/>
    <w:rsid w:val="6CA47645"/>
    <w:rsid w:val="6CA527C4"/>
    <w:rsid w:val="6CA54C13"/>
    <w:rsid w:val="6CA67005"/>
    <w:rsid w:val="6CA70223"/>
    <w:rsid w:val="6CA80DAA"/>
    <w:rsid w:val="6CA92642"/>
    <w:rsid w:val="6CAA178F"/>
    <w:rsid w:val="6CAA3791"/>
    <w:rsid w:val="6CAB2A56"/>
    <w:rsid w:val="6CAB51F7"/>
    <w:rsid w:val="6CAC045C"/>
    <w:rsid w:val="6CAC4E72"/>
    <w:rsid w:val="6CAE1CD5"/>
    <w:rsid w:val="6CB13E09"/>
    <w:rsid w:val="6CB27750"/>
    <w:rsid w:val="6CB4309F"/>
    <w:rsid w:val="6CB57E24"/>
    <w:rsid w:val="6CB64E06"/>
    <w:rsid w:val="6CB65441"/>
    <w:rsid w:val="6CB7584F"/>
    <w:rsid w:val="6CB8658D"/>
    <w:rsid w:val="6CB9436C"/>
    <w:rsid w:val="6CB94B93"/>
    <w:rsid w:val="6CBD260E"/>
    <w:rsid w:val="6CBD56E8"/>
    <w:rsid w:val="6CBD794B"/>
    <w:rsid w:val="6CBE312F"/>
    <w:rsid w:val="6CBE6F88"/>
    <w:rsid w:val="6CBF211D"/>
    <w:rsid w:val="6CC02C0A"/>
    <w:rsid w:val="6CC03BA1"/>
    <w:rsid w:val="6CC050C9"/>
    <w:rsid w:val="6CC2583A"/>
    <w:rsid w:val="6CC32284"/>
    <w:rsid w:val="6CC43BB0"/>
    <w:rsid w:val="6CC568BA"/>
    <w:rsid w:val="6CC96BC2"/>
    <w:rsid w:val="6CCA1754"/>
    <w:rsid w:val="6CCB3B87"/>
    <w:rsid w:val="6CD204B4"/>
    <w:rsid w:val="6CD25EF1"/>
    <w:rsid w:val="6CD30CFC"/>
    <w:rsid w:val="6CD34EE5"/>
    <w:rsid w:val="6CD71FF0"/>
    <w:rsid w:val="6CD75206"/>
    <w:rsid w:val="6CD770D9"/>
    <w:rsid w:val="6CD86DE4"/>
    <w:rsid w:val="6CDE04B9"/>
    <w:rsid w:val="6CDE1188"/>
    <w:rsid w:val="6CDE42C1"/>
    <w:rsid w:val="6CE135F2"/>
    <w:rsid w:val="6CE2196E"/>
    <w:rsid w:val="6CE24E99"/>
    <w:rsid w:val="6CE37551"/>
    <w:rsid w:val="6CE414FD"/>
    <w:rsid w:val="6CE43D5F"/>
    <w:rsid w:val="6CE540AC"/>
    <w:rsid w:val="6CE73516"/>
    <w:rsid w:val="6CE8511B"/>
    <w:rsid w:val="6CE85E38"/>
    <w:rsid w:val="6CE9017B"/>
    <w:rsid w:val="6CEB46D5"/>
    <w:rsid w:val="6CEC4D18"/>
    <w:rsid w:val="6CED6924"/>
    <w:rsid w:val="6CEE39DA"/>
    <w:rsid w:val="6CEF4649"/>
    <w:rsid w:val="6CF00713"/>
    <w:rsid w:val="6CF03234"/>
    <w:rsid w:val="6CF16FAB"/>
    <w:rsid w:val="6CF20D8F"/>
    <w:rsid w:val="6CF22AA5"/>
    <w:rsid w:val="6CF71738"/>
    <w:rsid w:val="6CF84C46"/>
    <w:rsid w:val="6CF8705B"/>
    <w:rsid w:val="6CF93131"/>
    <w:rsid w:val="6CFC44E9"/>
    <w:rsid w:val="6CFF357B"/>
    <w:rsid w:val="6D000590"/>
    <w:rsid w:val="6D003452"/>
    <w:rsid w:val="6D0173AF"/>
    <w:rsid w:val="6D02104F"/>
    <w:rsid w:val="6D041654"/>
    <w:rsid w:val="6D05708E"/>
    <w:rsid w:val="6D0756DC"/>
    <w:rsid w:val="6D092C68"/>
    <w:rsid w:val="6D0A4F6C"/>
    <w:rsid w:val="6D0C772B"/>
    <w:rsid w:val="6D0E032C"/>
    <w:rsid w:val="6D0E5FA7"/>
    <w:rsid w:val="6D0E75A8"/>
    <w:rsid w:val="6D0E7D05"/>
    <w:rsid w:val="6D0F0AC7"/>
    <w:rsid w:val="6D0F3505"/>
    <w:rsid w:val="6D106BF7"/>
    <w:rsid w:val="6D114D8F"/>
    <w:rsid w:val="6D114F98"/>
    <w:rsid w:val="6D11766B"/>
    <w:rsid w:val="6D1234C8"/>
    <w:rsid w:val="6D1257AC"/>
    <w:rsid w:val="6D146C24"/>
    <w:rsid w:val="6D175AA8"/>
    <w:rsid w:val="6D192AA9"/>
    <w:rsid w:val="6D1B1FF2"/>
    <w:rsid w:val="6D1D70D4"/>
    <w:rsid w:val="6D1E5B45"/>
    <w:rsid w:val="6D1F20CD"/>
    <w:rsid w:val="6D1F2F2D"/>
    <w:rsid w:val="6D1F74B9"/>
    <w:rsid w:val="6D2210EA"/>
    <w:rsid w:val="6D250962"/>
    <w:rsid w:val="6D265055"/>
    <w:rsid w:val="6D2733A0"/>
    <w:rsid w:val="6D2755BF"/>
    <w:rsid w:val="6D276BB5"/>
    <w:rsid w:val="6D276FF5"/>
    <w:rsid w:val="6D280437"/>
    <w:rsid w:val="6D284878"/>
    <w:rsid w:val="6D29260E"/>
    <w:rsid w:val="6D2A629F"/>
    <w:rsid w:val="6D2B71B8"/>
    <w:rsid w:val="6D2C4ED0"/>
    <w:rsid w:val="6D2C5995"/>
    <w:rsid w:val="6D2D453F"/>
    <w:rsid w:val="6D2D4D3C"/>
    <w:rsid w:val="6D2D685A"/>
    <w:rsid w:val="6D2D738D"/>
    <w:rsid w:val="6D2E11EC"/>
    <w:rsid w:val="6D2F6B5B"/>
    <w:rsid w:val="6D2F7ADA"/>
    <w:rsid w:val="6D310505"/>
    <w:rsid w:val="6D314019"/>
    <w:rsid w:val="6D3157C5"/>
    <w:rsid w:val="6D321474"/>
    <w:rsid w:val="6D33797F"/>
    <w:rsid w:val="6D34780F"/>
    <w:rsid w:val="6D360901"/>
    <w:rsid w:val="6D3824E3"/>
    <w:rsid w:val="6D395E90"/>
    <w:rsid w:val="6D396A82"/>
    <w:rsid w:val="6D3A360C"/>
    <w:rsid w:val="6D3A43C4"/>
    <w:rsid w:val="6D3B02DB"/>
    <w:rsid w:val="6D3D6FC5"/>
    <w:rsid w:val="6D3D7B5A"/>
    <w:rsid w:val="6D3E56D7"/>
    <w:rsid w:val="6D3F5C6C"/>
    <w:rsid w:val="6D400035"/>
    <w:rsid w:val="6D404792"/>
    <w:rsid w:val="6D4111C4"/>
    <w:rsid w:val="6D422E44"/>
    <w:rsid w:val="6D431B30"/>
    <w:rsid w:val="6D466745"/>
    <w:rsid w:val="6D4800D2"/>
    <w:rsid w:val="6D481A2C"/>
    <w:rsid w:val="6D4929AF"/>
    <w:rsid w:val="6D497036"/>
    <w:rsid w:val="6D4A2C62"/>
    <w:rsid w:val="6D4B2536"/>
    <w:rsid w:val="6D4B75E8"/>
    <w:rsid w:val="6D4E04D1"/>
    <w:rsid w:val="6D4E4719"/>
    <w:rsid w:val="6D5078B8"/>
    <w:rsid w:val="6D521B17"/>
    <w:rsid w:val="6D526FB1"/>
    <w:rsid w:val="6D527B83"/>
    <w:rsid w:val="6D534408"/>
    <w:rsid w:val="6D542E5A"/>
    <w:rsid w:val="6D5506F6"/>
    <w:rsid w:val="6D552ED2"/>
    <w:rsid w:val="6D557700"/>
    <w:rsid w:val="6D567AAC"/>
    <w:rsid w:val="6D576A24"/>
    <w:rsid w:val="6D587E14"/>
    <w:rsid w:val="6D595CF6"/>
    <w:rsid w:val="6D5A7B05"/>
    <w:rsid w:val="6D5E3754"/>
    <w:rsid w:val="6D5F1C6E"/>
    <w:rsid w:val="6D5F35FF"/>
    <w:rsid w:val="6D600932"/>
    <w:rsid w:val="6D62440E"/>
    <w:rsid w:val="6D6445F2"/>
    <w:rsid w:val="6D6610BB"/>
    <w:rsid w:val="6D664CA0"/>
    <w:rsid w:val="6D66550B"/>
    <w:rsid w:val="6D67092E"/>
    <w:rsid w:val="6D671F4B"/>
    <w:rsid w:val="6D68540E"/>
    <w:rsid w:val="6D68639B"/>
    <w:rsid w:val="6D696540"/>
    <w:rsid w:val="6D6A5F2A"/>
    <w:rsid w:val="6D6C5967"/>
    <w:rsid w:val="6D6D21FD"/>
    <w:rsid w:val="6D6E7E4F"/>
    <w:rsid w:val="6D7102FE"/>
    <w:rsid w:val="6D7175B7"/>
    <w:rsid w:val="6D732EBF"/>
    <w:rsid w:val="6D741EC8"/>
    <w:rsid w:val="6D7420F9"/>
    <w:rsid w:val="6D742BDD"/>
    <w:rsid w:val="6D7449E8"/>
    <w:rsid w:val="6D752364"/>
    <w:rsid w:val="6D760C95"/>
    <w:rsid w:val="6D763D58"/>
    <w:rsid w:val="6D7970A3"/>
    <w:rsid w:val="6D7A061D"/>
    <w:rsid w:val="6D7A415F"/>
    <w:rsid w:val="6D7C557A"/>
    <w:rsid w:val="6D7D6519"/>
    <w:rsid w:val="6D7F3DD9"/>
    <w:rsid w:val="6D7F7896"/>
    <w:rsid w:val="6D806D73"/>
    <w:rsid w:val="6D81122B"/>
    <w:rsid w:val="6D817410"/>
    <w:rsid w:val="6D82027D"/>
    <w:rsid w:val="6D84038E"/>
    <w:rsid w:val="6D8412F8"/>
    <w:rsid w:val="6D875250"/>
    <w:rsid w:val="6D8862CB"/>
    <w:rsid w:val="6D891522"/>
    <w:rsid w:val="6D8A12B0"/>
    <w:rsid w:val="6D8B1FEA"/>
    <w:rsid w:val="6D8C0189"/>
    <w:rsid w:val="6D8C0ABE"/>
    <w:rsid w:val="6D8C23AB"/>
    <w:rsid w:val="6D8C3902"/>
    <w:rsid w:val="6D8C73FA"/>
    <w:rsid w:val="6D8C764F"/>
    <w:rsid w:val="6D8E3102"/>
    <w:rsid w:val="6D8E6E70"/>
    <w:rsid w:val="6D8F2D11"/>
    <w:rsid w:val="6D90197B"/>
    <w:rsid w:val="6D911A7C"/>
    <w:rsid w:val="6D926A46"/>
    <w:rsid w:val="6D9304B1"/>
    <w:rsid w:val="6D962389"/>
    <w:rsid w:val="6D9676A4"/>
    <w:rsid w:val="6D973793"/>
    <w:rsid w:val="6D985D1E"/>
    <w:rsid w:val="6D991711"/>
    <w:rsid w:val="6D995052"/>
    <w:rsid w:val="6D9A73D0"/>
    <w:rsid w:val="6D9B6237"/>
    <w:rsid w:val="6D9E0D5B"/>
    <w:rsid w:val="6D9E4FC5"/>
    <w:rsid w:val="6D9E5A21"/>
    <w:rsid w:val="6DA0303B"/>
    <w:rsid w:val="6DA51354"/>
    <w:rsid w:val="6DA62F6C"/>
    <w:rsid w:val="6DA71630"/>
    <w:rsid w:val="6DA739EA"/>
    <w:rsid w:val="6DA84D0E"/>
    <w:rsid w:val="6DA9343F"/>
    <w:rsid w:val="6DA937D7"/>
    <w:rsid w:val="6DA96065"/>
    <w:rsid w:val="6DAA4A1A"/>
    <w:rsid w:val="6DAC43A4"/>
    <w:rsid w:val="6DAC461D"/>
    <w:rsid w:val="6DAC7448"/>
    <w:rsid w:val="6DAE4B35"/>
    <w:rsid w:val="6DAE58FA"/>
    <w:rsid w:val="6DB12B65"/>
    <w:rsid w:val="6DB2457E"/>
    <w:rsid w:val="6DB34B2B"/>
    <w:rsid w:val="6DB35D57"/>
    <w:rsid w:val="6DB36B43"/>
    <w:rsid w:val="6DB533D3"/>
    <w:rsid w:val="6DB544B3"/>
    <w:rsid w:val="6DB63E53"/>
    <w:rsid w:val="6DB65354"/>
    <w:rsid w:val="6DB96A98"/>
    <w:rsid w:val="6DBB72F1"/>
    <w:rsid w:val="6DBD4ACF"/>
    <w:rsid w:val="6DBE687B"/>
    <w:rsid w:val="6DBF09A2"/>
    <w:rsid w:val="6DC06D48"/>
    <w:rsid w:val="6DC0708F"/>
    <w:rsid w:val="6DC13DA6"/>
    <w:rsid w:val="6DC14E2E"/>
    <w:rsid w:val="6DC236E1"/>
    <w:rsid w:val="6DC243D5"/>
    <w:rsid w:val="6DC26604"/>
    <w:rsid w:val="6DC41C17"/>
    <w:rsid w:val="6DC52246"/>
    <w:rsid w:val="6DCB443A"/>
    <w:rsid w:val="6DCB6819"/>
    <w:rsid w:val="6DCD76C0"/>
    <w:rsid w:val="6DD20BA9"/>
    <w:rsid w:val="6DD24608"/>
    <w:rsid w:val="6DD35881"/>
    <w:rsid w:val="6DD41160"/>
    <w:rsid w:val="6DD43791"/>
    <w:rsid w:val="6DD625EA"/>
    <w:rsid w:val="6DD62F68"/>
    <w:rsid w:val="6DD67098"/>
    <w:rsid w:val="6DD71DBF"/>
    <w:rsid w:val="6DD738EF"/>
    <w:rsid w:val="6DD8026E"/>
    <w:rsid w:val="6DD86DFD"/>
    <w:rsid w:val="6DDA355D"/>
    <w:rsid w:val="6DDA4A1A"/>
    <w:rsid w:val="6DDA4F51"/>
    <w:rsid w:val="6DDA5B19"/>
    <w:rsid w:val="6DDB7CEB"/>
    <w:rsid w:val="6DDC5762"/>
    <w:rsid w:val="6DDD0545"/>
    <w:rsid w:val="6DDD5960"/>
    <w:rsid w:val="6DDE2816"/>
    <w:rsid w:val="6DDE326E"/>
    <w:rsid w:val="6DDE7080"/>
    <w:rsid w:val="6DDF7F6D"/>
    <w:rsid w:val="6DE023B4"/>
    <w:rsid w:val="6DE43A00"/>
    <w:rsid w:val="6DE87AB7"/>
    <w:rsid w:val="6DE9273F"/>
    <w:rsid w:val="6DE97ED3"/>
    <w:rsid w:val="6DEB0832"/>
    <w:rsid w:val="6DEB3A76"/>
    <w:rsid w:val="6DEC52C8"/>
    <w:rsid w:val="6DF1132F"/>
    <w:rsid w:val="6DF1620E"/>
    <w:rsid w:val="6DF273B2"/>
    <w:rsid w:val="6DF30B51"/>
    <w:rsid w:val="6DF468B5"/>
    <w:rsid w:val="6DF51B5F"/>
    <w:rsid w:val="6DF604D4"/>
    <w:rsid w:val="6DF64B89"/>
    <w:rsid w:val="6DF74B33"/>
    <w:rsid w:val="6DF774DD"/>
    <w:rsid w:val="6DF865EC"/>
    <w:rsid w:val="6DF96090"/>
    <w:rsid w:val="6DF96AE2"/>
    <w:rsid w:val="6DFA130E"/>
    <w:rsid w:val="6DFA5769"/>
    <w:rsid w:val="6DFB1703"/>
    <w:rsid w:val="6DFD3F18"/>
    <w:rsid w:val="6DFD7D1D"/>
    <w:rsid w:val="6DFE30D3"/>
    <w:rsid w:val="6DFF2C16"/>
    <w:rsid w:val="6DFF3D61"/>
    <w:rsid w:val="6E017228"/>
    <w:rsid w:val="6E020458"/>
    <w:rsid w:val="6E026BB8"/>
    <w:rsid w:val="6E026E2A"/>
    <w:rsid w:val="6E042114"/>
    <w:rsid w:val="6E0427D5"/>
    <w:rsid w:val="6E045E25"/>
    <w:rsid w:val="6E055BA5"/>
    <w:rsid w:val="6E063376"/>
    <w:rsid w:val="6E06563D"/>
    <w:rsid w:val="6E07111B"/>
    <w:rsid w:val="6E084F9F"/>
    <w:rsid w:val="6E0923AB"/>
    <w:rsid w:val="6E0949C1"/>
    <w:rsid w:val="6E0B176B"/>
    <w:rsid w:val="6E0D44AC"/>
    <w:rsid w:val="6E0D6C94"/>
    <w:rsid w:val="6E0E2AB1"/>
    <w:rsid w:val="6E0E36F2"/>
    <w:rsid w:val="6E0E3C8F"/>
    <w:rsid w:val="6E0E4E64"/>
    <w:rsid w:val="6E1024E0"/>
    <w:rsid w:val="6E106321"/>
    <w:rsid w:val="6E1114D0"/>
    <w:rsid w:val="6E1305E3"/>
    <w:rsid w:val="6E144A77"/>
    <w:rsid w:val="6E1579C2"/>
    <w:rsid w:val="6E160F34"/>
    <w:rsid w:val="6E16192C"/>
    <w:rsid w:val="6E161D05"/>
    <w:rsid w:val="6E162872"/>
    <w:rsid w:val="6E166DA1"/>
    <w:rsid w:val="6E167E45"/>
    <w:rsid w:val="6E172157"/>
    <w:rsid w:val="6E190B0D"/>
    <w:rsid w:val="6E192634"/>
    <w:rsid w:val="6E194736"/>
    <w:rsid w:val="6E1B4504"/>
    <w:rsid w:val="6E1B45FE"/>
    <w:rsid w:val="6E1C3766"/>
    <w:rsid w:val="6E1C666B"/>
    <w:rsid w:val="6E1D2FD0"/>
    <w:rsid w:val="6E1E6855"/>
    <w:rsid w:val="6E1F0ACC"/>
    <w:rsid w:val="6E1F4854"/>
    <w:rsid w:val="6E1F50FB"/>
    <w:rsid w:val="6E216A63"/>
    <w:rsid w:val="6E221583"/>
    <w:rsid w:val="6E23023B"/>
    <w:rsid w:val="6E240DF5"/>
    <w:rsid w:val="6E243DF6"/>
    <w:rsid w:val="6E257F1A"/>
    <w:rsid w:val="6E2642FA"/>
    <w:rsid w:val="6E270F6E"/>
    <w:rsid w:val="6E2801FB"/>
    <w:rsid w:val="6E287351"/>
    <w:rsid w:val="6E292863"/>
    <w:rsid w:val="6E2A01BC"/>
    <w:rsid w:val="6E2A33CE"/>
    <w:rsid w:val="6E2A3D1A"/>
    <w:rsid w:val="6E2A6086"/>
    <w:rsid w:val="6E2B1712"/>
    <w:rsid w:val="6E2B2326"/>
    <w:rsid w:val="6E2B3370"/>
    <w:rsid w:val="6E2B3665"/>
    <w:rsid w:val="6E2C0F5B"/>
    <w:rsid w:val="6E2D44F8"/>
    <w:rsid w:val="6E2D5AB5"/>
    <w:rsid w:val="6E2E17A1"/>
    <w:rsid w:val="6E321271"/>
    <w:rsid w:val="6E336340"/>
    <w:rsid w:val="6E3449CA"/>
    <w:rsid w:val="6E35135C"/>
    <w:rsid w:val="6E387A9F"/>
    <w:rsid w:val="6E393E3C"/>
    <w:rsid w:val="6E3A2896"/>
    <w:rsid w:val="6E3B1CC4"/>
    <w:rsid w:val="6E3C5031"/>
    <w:rsid w:val="6E3D55C3"/>
    <w:rsid w:val="6E3E5DC3"/>
    <w:rsid w:val="6E3F09BA"/>
    <w:rsid w:val="6E41284C"/>
    <w:rsid w:val="6E4224E8"/>
    <w:rsid w:val="6E43271F"/>
    <w:rsid w:val="6E43492C"/>
    <w:rsid w:val="6E4360FF"/>
    <w:rsid w:val="6E442FFC"/>
    <w:rsid w:val="6E4463B0"/>
    <w:rsid w:val="6E4715F3"/>
    <w:rsid w:val="6E47209B"/>
    <w:rsid w:val="6E4723B0"/>
    <w:rsid w:val="6E4759FD"/>
    <w:rsid w:val="6E476569"/>
    <w:rsid w:val="6E484E5F"/>
    <w:rsid w:val="6E486F04"/>
    <w:rsid w:val="6E493036"/>
    <w:rsid w:val="6E4A461B"/>
    <w:rsid w:val="6E4B08F5"/>
    <w:rsid w:val="6E4B30D8"/>
    <w:rsid w:val="6E4E2BA3"/>
    <w:rsid w:val="6E4E550E"/>
    <w:rsid w:val="6E4F29E5"/>
    <w:rsid w:val="6E514C19"/>
    <w:rsid w:val="6E517E39"/>
    <w:rsid w:val="6E536AE8"/>
    <w:rsid w:val="6E5532A9"/>
    <w:rsid w:val="6E555175"/>
    <w:rsid w:val="6E575A4F"/>
    <w:rsid w:val="6E577AF7"/>
    <w:rsid w:val="6E5A476D"/>
    <w:rsid w:val="6E5D6167"/>
    <w:rsid w:val="6E5D6FA1"/>
    <w:rsid w:val="6E5E21A2"/>
    <w:rsid w:val="6E5F1335"/>
    <w:rsid w:val="6E5F56C6"/>
    <w:rsid w:val="6E6221E6"/>
    <w:rsid w:val="6E634009"/>
    <w:rsid w:val="6E63698A"/>
    <w:rsid w:val="6E637444"/>
    <w:rsid w:val="6E641581"/>
    <w:rsid w:val="6E641EA4"/>
    <w:rsid w:val="6E6436B6"/>
    <w:rsid w:val="6E6450D4"/>
    <w:rsid w:val="6E650431"/>
    <w:rsid w:val="6E6622FC"/>
    <w:rsid w:val="6E697C7A"/>
    <w:rsid w:val="6E6B07B4"/>
    <w:rsid w:val="6E6B3839"/>
    <w:rsid w:val="6E6C1754"/>
    <w:rsid w:val="6E6C29A1"/>
    <w:rsid w:val="6E6C35D9"/>
    <w:rsid w:val="6E6D7B5D"/>
    <w:rsid w:val="6E6E0A4C"/>
    <w:rsid w:val="6E6E7F60"/>
    <w:rsid w:val="6E701F30"/>
    <w:rsid w:val="6E712470"/>
    <w:rsid w:val="6E712F06"/>
    <w:rsid w:val="6E72227C"/>
    <w:rsid w:val="6E73088C"/>
    <w:rsid w:val="6E775CD9"/>
    <w:rsid w:val="6E780F00"/>
    <w:rsid w:val="6E785E8A"/>
    <w:rsid w:val="6E7A30D3"/>
    <w:rsid w:val="6E7A47C1"/>
    <w:rsid w:val="6E7C15E6"/>
    <w:rsid w:val="6E7C173D"/>
    <w:rsid w:val="6E7D1C18"/>
    <w:rsid w:val="6E7E2778"/>
    <w:rsid w:val="6E7E499A"/>
    <w:rsid w:val="6E7E6067"/>
    <w:rsid w:val="6E7E609C"/>
    <w:rsid w:val="6E7F181E"/>
    <w:rsid w:val="6E7F2436"/>
    <w:rsid w:val="6E811D21"/>
    <w:rsid w:val="6E812220"/>
    <w:rsid w:val="6E8173E2"/>
    <w:rsid w:val="6E841446"/>
    <w:rsid w:val="6E850165"/>
    <w:rsid w:val="6E87234E"/>
    <w:rsid w:val="6E876224"/>
    <w:rsid w:val="6E8847CE"/>
    <w:rsid w:val="6E8A0647"/>
    <w:rsid w:val="6E8B02B1"/>
    <w:rsid w:val="6E8B3543"/>
    <w:rsid w:val="6E8B56A0"/>
    <w:rsid w:val="6E8D26DA"/>
    <w:rsid w:val="6E8D5058"/>
    <w:rsid w:val="6E8E05A3"/>
    <w:rsid w:val="6E8E0D6C"/>
    <w:rsid w:val="6E8E3BAD"/>
    <w:rsid w:val="6E8F08A1"/>
    <w:rsid w:val="6E8F4C56"/>
    <w:rsid w:val="6E9234FA"/>
    <w:rsid w:val="6E946BFE"/>
    <w:rsid w:val="6E973826"/>
    <w:rsid w:val="6E9839D2"/>
    <w:rsid w:val="6E99424F"/>
    <w:rsid w:val="6E9B007B"/>
    <w:rsid w:val="6E9C0DA2"/>
    <w:rsid w:val="6E9D366E"/>
    <w:rsid w:val="6E9F30BB"/>
    <w:rsid w:val="6E9F7CEE"/>
    <w:rsid w:val="6EA02050"/>
    <w:rsid w:val="6EA1557F"/>
    <w:rsid w:val="6EA21832"/>
    <w:rsid w:val="6EA2340E"/>
    <w:rsid w:val="6EA27EF8"/>
    <w:rsid w:val="6EA46565"/>
    <w:rsid w:val="6EA5468A"/>
    <w:rsid w:val="6EA56F66"/>
    <w:rsid w:val="6EA6087E"/>
    <w:rsid w:val="6EA64314"/>
    <w:rsid w:val="6EA723AD"/>
    <w:rsid w:val="6EA73997"/>
    <w:rsid w:val="6EA85130"/>
    <w:rsid w:val="6EA93B0D"/>
    <w:rsid w:val="6EAA5F53"/>
    <w:rsid w:val="6EAD056D"/>
    <w:rsid w:val="6EAD1050"/>
    <w:rsid w:val="6EAD5782"/>
    <w:rsid w:val="6EAF1A18"/>
    <w:rsid w:val="6EAF20D7"/>
    <w:rsid w:val="6EB01B7B"/>
    <w:rsid w:val="6EB1045C"/>
    <w:rsid w:val="6EB15CA7"/>
    <w:rsid w:val="6EB25D00"/>
    <w:rsid w:val="6EB3389F"/>
    <w:rsid w:val="6EB4595E"/>
    <w:rsid w:val="6EB65B8D"/>
    <w:rsid w:val="6EB7154A"/>
    <w:rsid w:val="6EB87E48"/>
    <w:rsid w:val="6EB93B79"/>
    <w:rsid w:val="6EBA6797"/>
    <w:rsid w:val="6EBB1D37"/>
    <w:rsid w:val="6EBD0D6F"/>
    <w:rsid w:val="6EBD1AAF"/>
    <w:rsid w:val="6EBE5804"/>
    <w:rsid w:val="6EBE7224"/>
    <w:rsid w:val="6EBE7769"/>
    <w:rsid w:val="6EBF03E5"/>
    <w:rsid w:val="6EBF2D8D"/>
    <w:rsid w:val="6EBF7460"/>
    <w:rsid w:val="6EC01FD2"/>
    <w:rsid w:val="6EC20C28"/>
    <w:rsid w:val="6EC6074C"/>
    <w:rsid w:val="6EC634B0"/>
    <w:rsid w:val="6EC708D0"/>
    <w:rsid w:val="6EC71A99"/>
    <w:rsid w:val="6EC87AC4"/>
    <w:rsid w:val="6EC961C1"/>
    <w:rsid w:val="6ECA3906"/>
    <w:rsid w:val="6ECA78FF"/>
    <w:rsid w:val="6ECB06FF"/>
    <w:rsid w:val="6ECB3D3F"/>
    <w:rsid w:val="6ECB4FF5"/>
    <w:rsid w:val="6ECB76BA"/>
    <w:rsid w:val="6ECE4D46"/>
    <w:rsid w:val="6ECF74D8"/>
    <w:rsid w:val="6ED211AF"/>
    <w:rsid w:val="6ED2170B"/>
    <w:rsid w:val="6ED505F6"/>
    <w:rsid w:val="6ED611FA"/>
    <w:rsid w:val="6ED61D5F"/>
    <w:rsid w:val="6ED65523"/>
    <w:rsid w:val="6ED67954"/>
    <w:rsid w:val="6ED84DFD"/>
    <w:rsid w:val="6ED9342A"/>
    <w:rsid w:val="6EDA28C4"/>
    <w:rsid w:val="6EDB1D83"/>
    <w:rsid w:val="6EDD257A"/>
    <w:rsid w:val="6EDD4BCE"/>
    <w:rsid w:val="6EDD7121"/>
    <w:rsid w:val="6EDF174A"/>
    <w:rsid w:val="6EDF1FCD"/>
    <w:rsid w:val="6EE1418D"/>
    <w:rsid w:val="6EE40B52"/>
    <w:rsid w:val="6EE427CD"/>
    <w:rsid w:val="6EE44903"/>
    <w:rsid w:val="6EE538F1"/>
    <w:rsid w:val="6EE60911"/>
    <w:rsid w:val="6EE63966"/>
    <w:rsid w:val="6EE81D80"/>
    <w:rsid w:val="6EE82116"/>
    <w:rsid w:val="6EE9793D"/>
    <w:rsid w:val="6EEB7772"/>
    <w:rsid w:val="6EEC50A2"/>
    <w:rsid w:val="6EED1151"/>
    <w:rsid w:val="6EED7D49"/>
    <w:rsid w:val="6EEE15EB"/>
    <w:rsid w:val="6EEF1B93"/>
    <w:rsid w:val="6EEF4752"/>
    <w:rsid w:val="6EF05191"/>
    <w:rsid w:val="6EF17FFC"/>
    <w:rsid w:val="6EF20A33"/>
    <w:rsid w:val="6EF22FCB"/>
    <w:rsid w:val="6EF276FC"/>
    <w:rsid w:val="6EF27851"/>
    <w:rsid w:val="6EF300A2"/>
    <w:rsid w:val="6EF31B3E"/>
    <w:rsid w:val="6EF55E4C"/>
    <w:rsid w:val="6EF649A9"/>
    <w:rsid w:val="6EF86C0C"/>
    <w:rsid w:val="6EF966EE"/>
    <w:rsid w:val="6EFC6502"/>
    <w:rsid w:val="6EFD2EB2"/>
    <w:rsid w:val="6EFE39B1"/>
    <w:rsid w:val="6F020CDB"/>
    <w:rsid w:val="6F022CCD"/>
    <w:rsid w:val="6F030B2C"/>
    <w:rsid w:val="6F034172"/>
    <w:rsid w:val="6F042783"/>
    <w:rsid w:val="6F042A35"/>
    <w:rsid w:val="6F057848"/>
    <w:rsid w:val="6F060F51"/>
    <w:rsid w:val="6F07002E"/>
    <w:rsid w:val="6F087AA5"/>
    <w:rsid w:val="6F0D02A1"/>
    <w:rsid w:val="6F0D3FEB"/>
    <w:rsid w:val="6F0D7A23"/>
    <w:rsid w:val="6F0E6DEC"/>
    <w:rsid w:val="6F0E7CC1"/>
    <w:rsid w:val="6F0F17DA"/>
    <w:rsid w:val="6F107017"/>
    <w:rsid w:val="6F110195"/>
    <w:rsid w:val="6F1277AF"/>
    <w:rsid w:val="6F1746A6"/>
    <w:rsid w:val="6F175B04"/>
    <w:rsid w:val="6F182E5A"/>
    <w:rsid w:val="6F191013"/>
    <w:rsid w:val="6F196278"/>
    <w:rsid w:val="6F1A05F0"/>
    <w:rsid w:val="6F1A3A85"/>
    <w:rsid w:val="6F1A65A8"/>
    <w:rsid w:val="6F1B287C"/>
    <w:rsid w:val="6F1B52B3"/>
    <w:rsid w:val="6F1C1184"/>
    <w:rsid w:val="6F1E7428"/>
    <w:rsid w:val="6F1F1ECC"/>
    <w:rsid w:val="6F1F272C"/>
    <w:rsid w:val="6F204E8E"/>
    <w:rsid w:val="6F2078C9"/>
    <w:rsid w:val="6F210F50"/>
    <w:rsid w:val="6F217781"/>
    <w:rsid w:val="6F235519"/>
    <w:rsid w:val="6F240867"/>
    <w:rsid w:val="6F253AB4"/>
    <w:rsid w:val="6F255BD7"/>
    <w:rsid w:val="6F2664CA"/>
    <w:rsid w:val="6F2B0871"/>
    <w:rsid w:val="6F2B1F97"/>
    <w:rsid w:val="6F2B6EBA"/>
    <w:rsid w:val="6F2D6192"/>
    <w:rsid w:val="6F2E61F1"/>
    <w:rsid w:val="6F2F0878"/>
    <w:rsid w:val="6F2F3C76"/>
    <w:rsid w:val="6F3008D3"/>
    <w:rsid w:val="6F30559A"/>
    <w:rsid w:val="6F331A56"/>
    <w:rsid w:val="6F3322DF"/>
    <w:rsid w:val="6F3326A5"/>
    <w:rsid w:val="6F343355"/>
    <w:rsid w:val="6F351986"/>
    <w:rsid w:val="6F3524F3"/>
    <w:rsid w:val="6F362FE1"/>
    <w:rsid w:val="6F3634D9"/>
    <w:rsid w:val="6F39027E"/>
    <w:rsid w:val="6F397DBC"/>
    <w:rsid w:val="6F397FFF"/>
    <w:rsid w:val="6F3A6178"/>
    <w:rsid w:val="6F3C4682"/>
    <w:rsid w:val="6F3C597A"/>
    <w:rsid w:val="6F3E05E1"/>
    <w:rsid w:val="6F3F0FCE"/>
    <w:rsid w:val="6F3F363F"/>
    <w:rsid w:val="6F400758"/>
    <w:rsid w:val="6F41034E"/>
    <w:rsid w:val="6F4148C0"/>
    <w:rsid w:val="6F431EE9"/>
    <w:rsid w:val="6F4322C3"/>
    <w:rsid w:val="6F4359BF"/>
    <w:rsid w:val="6F436B94"/>
    <w:rsid w:val="6F46176F"/>
    <w:rsid w:val="6F485DE3"/>
    <w:rsid w:val="6F4920E9"/>
    <w:rsid w:val="6F4B25A9"/>
    <w:rsid w:val="6F4D2DA0"/>
    <w:rsid w:val="6F507409"/>
    <w:rsid w:val="6F525782"/>
    <w:rsid w:val="6F5322F1"/>
    <w:rsid w:val="6F541C09"/>
    <w:rsid w:val="6F54613E"/>
    <w:rsid w:val="6F552958"/>
    <w:rsid w:val="6F5666A9"/>
    <w:rsid w:val="6F57102F"/>
    <w:rsid w:val="6F571343"/>
    <w:rsid w:val="6F571C1E"/>
    <w:rsid w:val="6F585A5D"/>
    <w:rsid w:val="6F594E31"/>
    <w:rsid w:val="6F5A1825"/>
    <w:rsid w:val="6F5B2428"/>
    <w:rsid w:val="6F5B4D86"/>
    <w:rsid w:val="6F5B6ACB"/>
    <w:rsid w:val="6F5C3B1D"/>
    <w:rsid w:val="6F5C7E5A"/>
    <w:rsid w:val="6F5D5730"/>
    <w:rsid w:val="6F5E272E"/>
    <w:rsid w:val="6F5F0539"/>
    <w:rsid w:val="6F623826"/>
    <w:rsid w:val="6F645DBE"/>
    <w:rsid w:val="6F691DF3"/>
    <w:rsid w:val="6F696352"/>
    <w:rsid w:val="6F6A0576"/>
    <w:rsid w:val="6F6A1399"/>
    <w:rsid w:val="6F6B301D"/>
    <w:rsid w:val="6F6B560C"/>
    <w:rsid w:val="6F6C2EFD"/>
    <w:rsid w:val="6F6C4BEE"/>
    <w:rsid w:val="6F6D5874"/>
    <w:rsid w:val="6F701856"/>
    <w:rsid w:val="6F71395C"/>
    <w:rsid w:val="6F720065"/>
    <w:rsid w:val="6F7236A0"/>
    <w:rsid w:val="6F730582"/>
    <w:rsid w:val="6F7350AE"/>
    <w:rsid w:val="6F757B92"/>
    <w:rsid w:val="6F764302"/>
    <w:rsid w:val="6F7805FF"/>
    <w:rsid w:val="6F792333"/>
    <w:rsid w:val="6F79425D"/>
    <w:rsid w:val="6F7A5D35"/>
    <w:rsid w:val="6F7B2E15"/>
    <w:rsid w:val="6F7D0837"/>
    <w:rsid w:val="6F7E4403"/>
    <w:rsid w:val="6F800BBD"/>
    <w:rsid w:val="6F8221E2"/>
    <w:rsid w:val="6F825398"/>
    <w:rsid w:val="6F825B84"/>
    <w:rsid w:val="6F8345E6"/>
    <w:rsid w:val="6F844E7E"/>
    <w:rsid w:val="6F851615"/>
    <w:rsid w:val="6F8C14B9"/>
    <w:rsid w:val="6F8C5D22"/>
    <w:rsid w:val="6F8C6524"/>
    <w:rsid w:val="6F9004BA"/>
    <w:rsid w:val="6F9102B7"/>
    <w:rsid w:val="6F915386"/>
    <w:rsid w:val="6F9266B2"/>
    <w:rsid w:val="6F926F93"/>
    <w:rsid w:val="6F937FB2"/>
    <w:rsid w:val="6F971768"/>
    <w:rsid w:val="6F98077D"/>
    <w:rsid w:val="6F985C3E"/>
    <w:rsid w:val="6F9943BD"/>
    <w:rsid w:val="6F9B14E9"/>
    <w:rsid w:val="6F9B479D"/>
    <w:rsid w:val="6F9B5578"/>
    <w:rsid w:val="6F9C52CB"/>
    <w:rsid w:val="6F9E5331"/>
    <w:rsid w:val="6FA006AF"/>
    <w:rsid w:val="6FA0218B"/>
    <w:rsid w:val="6FA146CA"/>
    <w:rsid w:val="6FA15CFE"/>
    <w:rsid w:val="6FA17683"/>
    <w:rsid w:val="6FA178EC"/>
    <w:rsid w:val="6FA31CA7"/>
    <w:rsid w:val="6FA34B15"/>
    <w:rsid w:val="6FA35119"/>
    <w:rsid w:val="6FA360BE"/>
    <w:rsid w:val="6FA442EF"/>
    <w:rsid w:val="6FA600B2"/>
    <w:rsid w:val="6FA64000"/>
    <w:rsid w:val="6FA712DA"/>
    <w:rsid w:val="6FA8377C"/>
    <w:rsid w:val="6FA86D33"/>
    <w:rsid w:val="6FA90507"/>
    <w:rsid w:val="6FA96C5F"/>
    <w:rsid w:val="6FAA367A"/>
    <w:rsid w:val="6FAD5F18"/>
    <w:rsid w:val="6FAE4FDE"/>
    <w:rsid w:val="6FAF022F"/>
    <w:rsid w:val="6FAF06C2"/>
    <w:rsid w:val="6FAF4D1C"/>
    <w:rsid w:val="6FAF5A51"/>
    <w:rsid w:val="6FB06ADD"/>
    <w:rsid w:val="6FB07798"/>
    <w:rsid w:val="6FB325BA"/>
    <w:rsid w:val="6FB326FD"/>
    <w:rsid w:val="6FB52B38"/>
    <w:rsid w:val="6FB6638D"/>
    <w:rsid w:val="6FB6645A"/>
    <w:rsid w:val="6FB74765"/>
    <w:rsid w:val="6FB872ED"/>
    <w:rsid w:val="6FBA275C"/>
    <w:rsid w:val="6FBA30BB"/>
    <w:rsid w:val="6FBB0056"/>
    <w:rsid w:val="6FBB23AA"/>
    <w:rsid w:val="6FBC2317"/>
    <w:rsid w:val="6FBC6C32"/>
    <w:rsid w:val="6FBE2610"/>
    <w:rsid w:val="6FBF0C5B"/>
    <w:rsid w:val="6FC05931"/>
    <w:rsid w:val="6FC0743B"/>
    <w:rsid w:val="6FC07F11"/>
    <w:rsid w:val="6FC16DFB"/>
    <w:rsid w:val="6FC221D1"/>
    <w:rsid w:val="6FC32D0E"/>
    <w:rsid w:val="6FC36836"/>
    <w:rsid w:val="6FC36A68"/>
    <w:rsid w:val="6FC36CFC"/>
    <w:rsid w:val="6FC67E8F"/>
    <w:rsid w:val="6FC707A7"/>
    <w:rsid w:val="6FC7392E"/>
    <w:rsid w:val="6FC770DE"/>
    <w:rsid w:val="6FC84312"/>
    <w:rsid w:val="6FC849AB"/>
    <w:rsid w:val="6FCA3180"/>
    <w:rsid w:val="6FCA7A4C"/>
    <w:rsid w:val="6FCB11CA"/>
    <w:rsid w:val="6FCC3046"/>
    <w:rsid w:val="6FCC4CDB"/>
    <w:rsid w:val="6FCD52B5"/>
    <w:rsid w:val="6FCD7A93"/>
    <w:rsid w:val="6FCE54F5"/>
    <w:rsid w:val="6FCE7D30"/>
    <w:rsid w:val="6FD0108E"/>
    <w:rsid w:val="6FD105A7"/>
    <w:rsid w:val="6FD26F3F"/>
    <w:rsid w:val="6FD32013"/>
    <w:rsid w:val="6FD4092C"/>
    <w:rsid w:val="6FD57D74"/>
    <w:rsid w:val="6FD6219F"/>
    <w:rsid w:val="6FD63F4D"/>
    <w:rsid w:val="6FD71F21"/>
    <w:rsid w:val="6FD76775"/>
    <w:rsid w:val="6FD90156"/>
    <w:rsid w:val="6FDB5E75"/>
    <w:rsid w:val="6FDC20B7"/>
    <w:rsid w:val="6FDD0A49"/>
    <w:rsid w:val="6FDD1716"/>
    <w:rsid w:val="6FDD600F"/>
    <w:rsid w:val="6FDD63E2"/>
    <w:rsid w:val="6FDD7C78"/>
    <w:rsid w:val="6FDF3226"/>
    <w:rsid w:val="6FDF7755"/>
    <w:rsid w:val="6FE122DF"/>
    <w:rsid w:val="6FE17278"/>
    <w:rsid w:val="6FE54B4C"/>
    <w:rsid w:val="6FE678FD"/>
    <w:rsid w:val="6FE9496E"/>
    <w:rsid w:val="6FEB0694"/>
    <w:rsid w:val="6FEC0F1A"/>
    <w:rsid w:val="6FEC271D"/>
    <w:rsid w:val="6FEC6E45"/>
    <w:rsid w:val="6FED455F"/>
    <w:rsid w:val="6FEE6F89"/>
    <w:rsid w:val="6FEF35E0"/>
    <w:rsid w:val="6FEF3661"/>
    <w:rsid w:val="6FF15617"/>
    <w:rsid w:val="6FF27265"/>
    <w:rsid w:val="6FF32C12"/>
    <w:rsid w:val="6FF45850"/>
    <w:rsid w:val="6FF56B8D"/>
    <w:rsid w:val="6FF835D4"/>
    <w:rsid w:val="6FF944C8"/>
    <w:rsid w:val="6FF97FAC"/>
    <w:rsid w:val="6FFB1275"/>
    <w:rsid w:val="6FFB1330"/>
    <w:rsid w:val="6FFC0E2B"/>
    <w:rsid w:val="6FFC1A2F"/>
    <w:rsid w:val="6FFC25B4"/>
    <w:rsid w:val="6FFD4934"/>
    <w:rsid w:val="6FFF2FF2"/>
    <w:rsid w:val="70004B03"/>
    <w:rsid w:val="70005192"/>
    <w:rsid w:val="70005E25"/>
    <w:rsid w:val="70017519"/>
    <w:rsid w:val="70027E21"/>
    <w:rsid w:val="700400E4"/>
    <w:rsid w:val="7004475D"/>
    <w:rsid w:val="70055093"/>
    <w:rsid w:val="7006497B"/>
    <w:rsid w:val="700A5FEC"/>
    <w:rsid w:val="700A723B"/>
    <w:rsid w:val="700A7485"/>
    <w:rsid w:val="700E0D9F"/>
    <w:rsid w:val="700F1036"/>
    <w:rsid w:val="700F736F"/>
    <w:rsid w:val="70113BD6"/>
    <w:rsid w:val="70127BDD"/>
    <w:rsid w:val="70133152"/>
    <w:rsid w:val="70133F8A"/>
    <w:rsid w:val="70143AD5"/>
    <w:rsid w:val="70155EA6"/>
    <w:rsid w:val="70157205"/>
    <w:rsid w:val="7018346E"/>
    <w:rsid w:val="70186F47"/>
    <w:rsid w:val="701A093A"/>
    <w:rsid w:val="701A4693"/>
    <w:rsid w:val="701B1C21"/>
    <w:rsid w:val="701B2740"/>
    <w:rsid w:val="701D2AFB"/>
    <w:rsid w:val="70202FE0"/>
    <w:rsid w:val="70213726"/>
    <w:rsid w:val="70231BED"/>
    <w:rsid w:val="70245DC0"/>
    <w:rsid w:val="702550D9"/>
    <w:rsid w:val="70282FC1"/>
    <w:rsid w:val="702831F4"/>
    <w:rsid w:val="7029027C"/>
    <w:rsid w:val="70291B1F"/>
    <w:rsid w:val="702A1B1A"/>
    <w:rsid w:val="702A2129"/>
    <w:rsid w:val="702C473A"/>
    <w:rsid w:val="702C504C"/>
    <w:rsid w:val="702D41F7"/>
    <w:rsid w:val="703112FB"/>
    <w:rsid w:val="70314EFA"/>
    <w:rsid w:val="70321811"/>
    <w:rsid w:val="7032779A"/>
    <w:rsid w:val="70327D0A"/>
    <w:rsid w:val="7033084B"/>
    <w:rsid w:val="70333816"/>
    <w:rsid w:val="70350726"/>
    <w:rsid w:val="7037009D"/>
    <w:rsid w:val="703756AF"/>
    <w:rsid w:val="70396812"/>
    <w:rsid w:val="703B5C70"/>
    <w:rsid w:val="703C47C1"/>
    <w:rsid w:val="703D2C68"/>
    <w:rsid w:val="703E065E"/>
    <w:rsid w:val="703E3E65"/>
    <w:rsid w:val="703E4EE5"/>
    <w:rsid w:val="703E5AA4"/>
    <w:rsid w:val="703F6FD2"/>
    <w:rsid w:val="704039E9"/>
    <w:rsid w:val="7040696D"/>
    <w:rsid w:val="704176EA"/>
    <w:rsid w:val="704450A3"/>
    <w:rsid w:val="704566F1"/>
    <w:rsid w:val="70467135"/>
    <w:rsid w:val="70473744"/>
    <w:rsid w:val="704A2F79"/>
    <w:rsid w:val="704A7BB2"/>
    <w:rsid w:val="704B40E9"/>
    <w:rsid w:val="704C09FF"/>
    <w:rsid w:val="704C0F65"/>
    <w:rsid w:val="704C7171"/>
    <w:rsid w:val="704E38E4"/>
    <w:rsid w:val="7050562B"/>
    <w:rsid w:val="705067E1"/>
    <w:rsid w:val="70520926"/>
    <w:rsid w:val="70531E2E"/>
    <w:rsid w:val="70540B11"/>
    <w:rsid w:val="70542234"/>
    <w:rsid w:val="7056294A"/>
    <w:rsid w:val="70565952"/>
    <w:rsid w:val="7057295C"/>
    <w:rsid w:val="7058188C"/>
    <w:rsid w:val="705A73A4"/>
    <w:rsid w:val="705B1EB9"/>
    <w:rsid w:val="705D6EB8"/>
    <w:rsid w:val="705E17DB"/>
    <w:rsid w:val="705E4DCA"/>
    <w:rsid w:val="705E6313"/>
    <w:rsid w:val="705E67A0"/>
    <w:rsid w:val="705E74F3"/>
    <w:rsid w:val="705F0694"/>
    <w:rsid w:val="706015B8"/>
    <w:rsid w:val="70601D03"/>
    <w:rsid w:val="70604BA5"/>
    <w:rsid w:val="70625106"/>
    <w:rsid w:val="706260F0"/>
    <w:rsid w:val="70643AE9"/>
    <w:rsid w:val="70653103"/>
    <w:rsid w:val="70656824"/>
    <w:rsid w:val="70656AC1"/>
    <w:rsid w:val="70673036"/>
    <w:rsid w:val="70685801"/>
    <w:rsid w:val="70686610"/>
    <w:rsid w:val="70692733"/>
    <w:rsid w:val="706A0CC5"/>
    <w:rsid w:val="706A3364"/>
    <w:rsid w:val="706A678E"/>
    <w:rsid w:val="706B569B"/>
    <w:rsid w:val="706B7C37"/>
    <w:rsid w:val="706C6936"/>
    <w:rsid w:val="706C694A"/>
    <w:rsid w:val="706D7D38"/>
    <w:rsid w:val="706F0FB6"/>
    <w:rsid w:val="706F3D56"/>
    <w:rsid w:val="706F3FC0"/>
    <w:rsid w:val="707002C7"/>
    <w:rsid w:val="70700C31"/>
    <w:rsid w:val="707026E3"/>
    <w:rsid w:val="70732575"/>
    <w:rsid w:val="70734DEA"/>
    <w:rsid w:val="707365E1"/>
    <w:rsid w:val="70747161"/>
    <w:rsid w:val="707520F5"/>
    <w:rsid w:val="707530E3"/>
    <w:rsid w:val="707642C1"/>
    <w:rsid w:val="70780C0E"/>
    <w:rsid w:val="707A185D"/>
    <w:rsid w:val="707A1A1F"/>
    <w:rsid w:val="707C6D6B"/>
    <w:rsid w:val="707F1C2B"/>
    <w:rsid w:val="707F4B16"/>
    <w:rsid w:val="707F7B85"/>
    <w:rsid w:val="70816067"/>
    <w:rsid w:val="70826069"/>
    <w:rsid w:val="70826294"/>
    <w:rsid w:val="70831158"/>
    <w:rsid w:val="70853720"/>
    <w:rsid w:val="7086144E"/>
    <w:rsid w:val="70875E8C"/>
    <w:rsid w:val="70895A58"/>
    <w:rsid w:val="70897B0E"/>
    <w:rsid w:val="708A37BF"/>
    <w:rsid w:val="708C560F"/>
    <w:rsid w:val="708D5753"/>
    <w:rsid w:val="708E40D9"/>
    <w:rsid w:val="708E672B"/>
    <w:rsid w:val="70903669"/>
    <w:rsid w:val="7090418B"/>
    <w:rsid w:val="709109FF"/>
    <w:rsid w:val="709171CE"/>
    <w:rsid w:val="70920CE4"/>
    <w:rsid w:val="70921514"/>
    <w:rsid w:val="70921D24"/>
    <w:rsid w:val="7093062C"/>
    <w:rsid w:val="70940B1D"/>
    <w:rsid w:val="70943B5E"/>
    <w:rsid w:val="70950FB0"/>
    <w:rsid w:val="70955E92"/>
    <w:rsid w:val="709604F4"/>
    <w:rsid w:val="70980761"/>
    <w:rsid w:val="7098177C"/>
    <w:rsid w:val="709B08DE"/>
    <w:rsid w:val="709C1419"/>
    <w:rsid w:val="709D33D5"/>
    <w:rsid w:val="709E3127"/>
    <w:rsid w:val="70A01CC9"/>
    <w:rsid w:val="70A1297D"/>
    <w:rsid w:val="70A13958"/>
    <w:rsid w:val="70A14660"/>
    <w:rsid w:val="70A1528F"/>
    <w:rsid w:val="70A57563"/>
    <w:rsid w:val="70A7095C"/>
    <w:rsid w:val="70A74C65"/>
    <w:rsid w:val="70A8492A"/>
    <w:rsid w:val="70A87FFF"/>
    <w:rsid w:val="70AD3373"/>
    <w:rsid w:val="70AF6A1F"/>
    <w:rsid w:val="70AF7644"/>
    <w:rsid w:val="70B07280"/>
    <w:rsid w:val="70B23778"/>
    <w:rsid w:val="70B249D6"/>
    <w:rsid w:val="70B30251"/>
    <w:rsid w:val="70B3394B"/>
    <w:rsid w:val="70B478AC"/>
    <w:rsid w:val="70B76AF2"/>
    <w:rsid w:val="70B80241"/>
    <w:rsid w:val="70B8055D"/>
    <w:rsid w:val="70B83736"/>
    <w:rsid w:val="70B87B75"/>
    <w:rsid w:val="70BA1E28"/>
    <w:rsid w:val="70BB79D3"/>
    <w:rsid w:val="70BC0E00"/>
    <w:rsid w:val="70BC5216"/>
    <w:rsid w:val="70BE7589"/>
    <w:rsid w:val="70BF5A59"/>
    <w:rsid w:val="70C00702"/>
    <w:rsid w:val="70C02FEB"/>
    <w:rsid w:val="70C0425E"/>
    <w:rsid w:val="70C11D28"/>
    <w:rsid w:val="70C11F64"/>
    <w:rsid w:val="70C21A64"/>
    <w:rsid w:val="70C36D83"/>
    <w:rsid w:val="70C379B8"/>
    <w:rsid w:val="70C739E8"/>
    <w:rsid w:val="70C82E6E"/>
    <w:rsid w:val="70C84572"/>
    <w:rsid w:val="70C933F6"/>
    <w:rsid w:val="70C93788"/>
    <w:rsid w:val="70CA7729"/>
    <w:rsid w:val="70CB503F"/>
    <w:rsid w:val="70CB5E68"/>
    <w:rsid w:val="70CB7796"/>
    <w:rsid w:val="70CC5252"/>
    <w:rsid w:val="70CD4E19"/>
    <w:rsid w:val="70CE32A0"/>
    <w:rsid w:val="70CF4742"/>
    <w:rsid w:val="70D00DDB"/>
    <w:rsid w:val="70D37959"/>
    <w:rsid w:val="70D42E16"/>
    <w:rsid w:val="70D7422C"/>
    <w:rsid w:val="70D77603"/>
    <w:rsid w:val="70D83B93"/>
    <w:rsid w:val="70D85C62"/>
    <w:rsid w:val="70D87E71"/>
    <w:rsid w:val="70DB345E"/>
    <w:rsid w:val="70DE14A2"/>
    <w:rsid w:val="70DF5577"/>
    <w:rsid w:val="70DF587A"/>
    <w:rsid w:val="70E06EA5"/>
    <w:rsid w:val="70E356ED"/>
    <w:rsid w:val="70E367FA"/>
    <w:rsid w:val="70E433CD"/>
    <w:rsid w:val="70E5082D"/>
    <w:rsid w:val="70E66BB4"/>
    <w:rsid w:val="70E66E0B"/>
    <w:rsid w:val="70E87117"/>
    <w:rsid w:val="70E93CCD"/>
    <w:rsid w:val="70EB5089"/>
    <w:rsid w:val="70EC5DDE"/>
    <w:rsid w:val="70ED2453"/>
    <w:rsid w:val="70ED3FF8"/>
    <w:rsid w:val="70EE1DD4"/>
    <w:rsid w:val="70EE28FE"/>
    <w:rsid w:val="70EE5881"/>
    <w:rsid w:val="70EF052B"/>
    <w:rsid w:val="70F03ADC"/>
    <w:rsid w:val="70F1318A"/>
    <w:rsid w:val="70F26DE7"/>
    <w:rsid w:val="70F81B05"/>
    <w:rsid w:val="70F87287"/>
    <w:rsid w:val="70F96B3F"/>
    <w:rsid w:val="70FD072D"/>
    <w:rsid w:val="70FD1E25"/>
    <w:rsid w:val="70FE16BE"/>
    <w:rsid w:val="70FE3211"/>
    <w:rsid w:val="70FE63F5"/>
    <w:rsid w:val="71005A10"/>
    <w:rsid w:val="71036549"/>
    <w:rsid w:val="71042390"/>
    <w:rsid w:val="71054EBC"/>
    <w:rsid w:val="71067C16"/>
    <w:rsid w:val="7107515D"/>
    <w:rsid w:val="710818EF"/>
    <w:rsid w:val="710848EF"/>
    <w:rsid w:val="71092ABD"/>
    <w:rsid w:val="71095A7F"/>
    <w:rsid w:val="710E1840"/>
    <w:rsid w:val="711163D1"/>
    <w:rsid w:val="71121A54"/>
    <w:rsid w:val="71123A97"/>
    <w:rsid w:val="71127321"/>
    <w:rsid w:val="7114378C"/>
    <w:rsid w:val="7116055B"/>
    <w:rsid w:val="711758F4"/>
    <w:rsid w:val="71180083"/>
    <w:rsid w:val="71185A10"/>
    <w:rsid w:val="71194347"/>
    <w:rsid w:val="711A60FF"/>
    <w:rsid w:val="711B2C3F"/>
    <w:rsid w:val="711D1972"/>
    <w:rsid w:val="711D422D"/>
    <w:rsid w:val="711D6987"/>
    <w:rsid w:val="711E4C1D"/>
    <w:rsid w:val="7122259B"/>
    <w:rsid w:val="712256BA"/>
    <w:rsid w:val="71273B7F"/>
    <w:rsid w:val="71285E25"/>
    <w:rsid w:val="712A0AAE"/>
    <w:rsid w:val="712D76D6"/>
    <w:rsid w:val="712E1545"/>
    <w:rsid w:val="712E2AE3"/>
    <w:rsid w:val="71300089"/>
    <w:rsid w:val="71300447"/>
    <w:rsid w:val="71301CB3"/>
    <w:rsid w:val="71303B36"/>
    <w:rsid w:val="71315308"/>
    <w:rsid w:val="71354249"/>
    <w:rsid w:val="71377394"/>
    <w:rsid w:val="713822D1"/>
    <w:rsid w:val="71391E36"/>
    <w:rsid w:val="71394FD4"/>
    <w:rsid w:val="71397275"/>
    <w:rsid w:val="713A1300"/>
    <w:rsid w:val="713A1AD3"/>
    <w:rsid w:val="713C3E42"/>
    <w:rsid w:val="713D2670"/>
    <w:rsid w:val="713D28B5"/>
    <w:rsid w:val="713D502C"/>
    <w:rsid w:val="713E182F"/>
    <w:rsid w:val="713F3915"/>
    <w:rsid w:val="713F5B33"/>
    <w:rsid w:val="71404340"/>
    <w:rsid w:val="7141437C"/>
    <w:rsid w:val="71421D0C"/>
    <w:rsid w:val="7142434B"/>
    <w:rsid w:val="7142489B"/>
    <w:rsid w:val="71430333"/>
    <w:rsid w:val="71431349"/>
    <w:rsid w:val="7143711E"/>
    <w:rsid w:val="71440200"/>
    <w:rsid w:val="71450180"/>
    <w:rsid w:val="71450424"/>
    <w:rsid w:val="71472133"/>
    <w:rsid w:val="714809EA"/>
    <w:rsid w:val="71480D22"/>
    <w:rsid w:val="71491BA7"/>
    <w:rsid w:val="714A0D5C"/>
    <w:rsid w:val="714B62FC"/>
    <w:rsid w:val="714D0DD9"/>
    <w:rsid w:val="714D145B"/>
    <w:rsid w:val="714D299D"/>
    <w:rsid w:val="714D320C"/>
    <w:rsid w:val="714D43CC"/>
    <w:rsid w:val="714F064B"/>
    <w:rsid w:val="714F4301"/>
    <w:rsid w:val="71502757"/>
    <w:rsid w:val="71517056"/>
    <w:rsid w:val="71517F3F"/>
    <w:rsid w:val="71520159"/>
    <w:rsid w:val="71527D3D"/>
    <w:rsid w:val="715324AD"/>
    <w:rsid w:val="71542612"/>
    <w:rsid w:val="7155288D"/>
    <w:rsid w:val="71555305"/>
    <w:rsid w:val="7158329C"/>
    <w:rsid w:val="7159549F"/>
    <w:rsid w:val="715B724D"/>
    <w:rsid w:val="715C0B3E"/>
    <w:rsid w:val="715C11B6"/>
    <w:rsid w:val="715C4161"/>
    <w:rsid w:val="715C49D6"/>
    <w:rsid w:val="715C6F88"/>
    <w:rsid w:val="715C7C93"/>
    <w:rsid w:val="715D0B10"/>
    <w:rsid w:val="715E0E0B"/>
    <w:rsid w:val="715E3A30"/>
    <w:rsid w:val="715F4A7D"/>
    <w:rsid w:val="71600CEC"/>
    <w:rsid w:val="71604791"/>
    <w:rsid w:val="716327FB"/>
    <w:rsid w:val="71651C71"/>
    <w:rsid w:val="7165608B"/>
    <w:rsid w:val="71656EC3"/>
    <w:rsid w:val="71664A2E"/>
    <w:rsid w:val="71676546"/>
    <w:rsid w:val="716801BD"/>
    <w:rsid w:val="716829FF"/>
    <w:rsid w:val="7168750A"/>
    <w:rsid w:val="71693C41"/>
    <w:rsid w:val="716A270E"/>
    <w:rsid w:val="716A2A9F"/>
    <w:rsid w:val="716B23BC"/>
    <w:rsid w:val="716B29E8"/>
    <w:rsid w:val="716C2E16"/>
    <w:rsid w:val="716D036E"/>
    <w:rsid w:val="717023B6"/>
    <w:rsid w:val="71723FE4"/>
    <w:rsid w:val="7172768C"/>
    <w:rsid w:val="71762BDD"/>
    <w:rsid w:val="7177738F"/>
    <w:rsid w:val="71780D81"/>
    <w:rsid w:val="717826FF"/>
    <w:rsid w:val="717860E6"/>
    <w:rsid w:val="71794CED"/>
    <w:rsid w:val="717B0C6F"/>
    <w:rsid w:val="717B32EB"/>
    <w:rsid w:val="717C13CE"/>
    <w:rsid w:val="717C185A"/>
    <w:rsid w:val="717C19C6"/>
    <w:rsid w:val="717D2F11"/>
    <w:rsid w:val="717E5186"/>
    <w:rsid w:val="717E6581"/>
    <w:rsid w:val="717F269B"/>
    <w:rsid w:val="7180579A"/>
    <w:rsid w:val="7180631D"/>
    <w:rsid w:val="71816270"/>
    <w:rsid w:val="71816A98"/>
    <w:rsid w:val="71817F5C"/>
    <w:rsid w:val="71823CAC"/>
    <w:rsid w:val="71830709"/>
    <w:rsid w:val="71835B4D"/>
    <w:rsid w:val="71836B48"/>
    <w:rsid w:val="71860E50"/>
    <w:rsid w:val="71867EE6"/>
    <w:rsid w:val="71872BEC"/>
    <w:rsid w:val="71877E80"/>
    <w:rsid w:val="71883D59"/>
    <w:rsid w:val="71885E79"/>
    <w:rsid w:val="7189000F"/>
    <w:rsid w:val="71890116"/>
    <w:rsid w:val="7189187F"/>
    <w:rsid w:val="71895CF5"/>
    <w:rsid w:val="718A662C"/>
    <w:rsid w:val="718B0932"/>
    <w:rsid w:val="718D3DAB"/>
    <w:rsid w:val="718D496D"/>
    <w:rsid w:val="718E50D8"/>
    <w:rsid w:val="7191525A"/>
    <w:rsid w:val="719170B1"/>
    <w:rsid w:val="719252E8"/>
    <w:rsid w:val="719405E6"/>
    <w:rsid w:val="71946E52"/>
    <w:rsid w:val="7197113E"/>
    <w:rsid w:val="71972022"/>
    <w:rsid w:val="719937D1"/>
    <w:rsid w:val="71996B6C"/>
    <w:rsid w:val="71997D14"/>
    <w:rsid w:val="719A1A93"/>
    <w:rsid w:val="719A66AA"/>
    <w:rsid w:val="719B3EA7"/>
    <w:rsid w:val="719C0AEF"/>
    <w:rsid w:val="719C5661"/>
    <w:rsid w:val="719D6266"/>
    <w:rsid w:val="719E357C"/>
    <w:rsid w:val="719F5A25"/>
    <w:rsid w:val="719F64B7"/>
    <w:rsid w:val="71A156E1"/>
    <w:rsid w:val="71A239AF"/>
    <w:rsid w:val="71A23A92"/>
    <w:rsid w:val="71A33CA9"/>
    <w:rsid w:val="71A51399"/>
    <w:rsid w:val="71A54A97"/>
    <w:rsid w:val="71A56935"/>
    <w:rsid w:val="71A6122B"/>
    <w:rsid w:val="71A768B5"/>
    <w:rsid w:val="71A83BF0"/>
    <w:rsid w:val="71A95047"/>
    <w:rsid w:val="71AA7ED7"/>
    <w:rsid w:val="71AB1967"/>
    <w:rsid w:val="71AB3E31"/>
    <w:rsid w:val="71AC6A09"/>
    <w:rsid w:val="71AD4DE5"/>
    <w:rsid w:val="71B001C4"/>
    <w:rsid w:val="71B05AD2"/>
    <w:rsid w:val="71B1799C"/>
    <w:rsid w:val="71B33818"/>
    <w:rsid w:val="71B33D81"/>
    <w:rsid w:val="71B42754"/>
    <w:rsid w:val="71B43339"/>
    <w:rsid w:val="71B608C6"/>
    <w:rsid w:val="71B6398D"/>
    <w:rsid w:val="71B73DCE"/>
    <w:rsid w:val="71B7655B"/>
    <w:rsid w:val="71B81F06"/>
    <w:rsid w:val="71B8436F"/>
    <w:rsid w:val="71B916D2"/>
    <w:rsid w:val="71B94A2A"/>
    <w:rsid w:val="71BB2382"/>
    <w:rsid w:val="71BB2558"/>
    <w:rsid w:val="71BB424D"/>
    <w:rsid w:val="71BC4CBC"/>
    <w:rsid w:val="71BD65B7"/>
    <w:rsid w:val="71BE5E15"/>
    <w:rsid w:val="71BE79CE"/>
    <w:rsid w:val="71BF130E"/>
    <w:rsid w:val="71C02AEC"/>
    <w:rsid w:val="71C2310D"/>
    <w:rsid w:val="71C3052C"/>
    <w:rsid w:val="71C329FF"/>
    <w:rsid w:val="71C44F5B"/>
    <w:rsid w:val="71C745CC"/>
    <w:rsid w:val="71C94C62"/>
    <w:rsid w:val="71CA07F0"/>
    <w:rsid w:val="71CA1272"/>
    <w:rsid w:val="71CA25C3"/>
    <w:rsid w:val="71CC3F1C"/>
    <w:rsid w:val="71CE3609"/>
    <w:rsid w:val="71CE4130"/>
    <w:rsid w:val="71D02554"/>
    <w:rsid w:val="71D04CCC"/>
    <w:rsid w:val="71D209D4"/>
    <w:rsid w:val="71D3130C"/>
    <w:rsid w:val="71D365F2"/>
    <w:rsid w:val="71D4452C"/>
    <w:rsid w:val="71D71249"/>
    <w:rsid w:val="71D979A1"/>
    <w:rsid w:val="71DA3691"/>
    <w:rsid w:val="71DA454B"/>
    <w:rsid w:val="71DA5C9A"/>
    <w:rsid w:val="71DC2E01"/>
    <w:rsid w:val="71DC6742"/>
    <w:rsid w:val="71DE7E1D"/>
    <w:rsid w:val="71E02BC2"/>
    <w:rsid w:val="71E02D3F"/>
    <w:rsid w:val="71E11F47"/>
    <w:rsid w:val="71E14DDB"/>
    <w:rsid w:val="71E159FD"/>
    <w:rsid w:val="71E17D21"/>
    <w:rsid w:val="71E33685"/>
    <w:rsid w:val="71E3423E"/>
    <w:rsid w:val="71E4532D"/>
    <w:rsid w:val="71E52ABA"/>
    <w:rsid w:val="71E832C8"/>
    <w:rsid w:val="71E868A1"/>
    <w:rsid w:val="71E900C2"/>
    <w:rsid w:val="71E92E14"/>
    <w:rsid w:val="71E97992"/>
    <w:rsid w:val="71EA7F24"/>
    <w:rsid w:val="71EC7520"/>
    <w:rsid w:val="71EC7B40"/>
    <w:rsid w:val="71ED35C0"/>
    <w:rsid w:val="71EE01EA"/>
    <w:rsid w:val="71EE3C2B"/>
    <w:rsid w:val="71F05181"/>
    <w:rsid w:val="71F142F0"/>
    <w:rsid w:val="71F17B50"/>
    <w:rsid w:val="71F25676"/>
    <w:rsid w:val="71F33A34"/>
    <w:rsid w:val="71F36A21"/>
    <w:rsid w:val="71F41AE1"/>
    <w:rsid w:val="71F46613"/>
    <w:rsid w:val="71F46C2B"/>
    <w:rsid w:val="71F5709F"/>
    <w:rsid w:val="71F57CBF"/>
    <w:rsid w:val="71F75099"/>
    <w:rsid w:val="71F82C2B"/>
    <w:rsid w:val="71FB01CA"/>
    <w:rsid w:val="71FD06F5"/>
    <w:rsid w:val="71FD208B"/>
    <w:rsid w:val="71FD7F29"/>
    <w:rsid w:val="71FE512B"/>
    <w:rsid w:val="71FF2A3F"/>
    <w:rsid w:val="72006A6D"/>
    <w:rsid w:val="72007E98"/>
    <w:rsid w:val="72010A38"/>
    <w:rsid w:val="72064E62"/>
    <w:rsid w:val="72084631"/>
    <w:rsid w:val="72097419"/>
    <w:rsid w:val="720B1D8C"/>
    <w:rsid w:val="720B4D99"/>
    <w:rsid w:val="720B7EE3"/>
    <w:rsid w:val="720C38C1"/>
    <w:rsid w:val="720D6613"/>
    <w:rsid w:val="720E26D3"/>
    <w:rsid w:val="720F6108"/>
    <w:rsid w:val="72115D19"/>
    <w:rsid w:val="72122788"/>
    <w:rsid w:val="7215158C"/>
    <w:rsid w:val="7215297F"/>
    <w:rsid w:val="72177C3F"/>
    <w:rsid w:val="7218162C"/>
    <w:rsid w:val="72183B6F"/>
    <w:rsid w:val="72185E73"/>
    <w:rsid w:val="721A0D6D"/>
    <w:rsid w:val="721A7087"/>
    <w:rsid w:val="721A7DF6"/>
    <w:rsid w:val="721B0261"/>
    <w:rsid w:val="721B1A57"/>
    <w:rsid w:val="721B5033"/>
    <w:rsid w:val="721C5B90"/>
    <w:rsid w:val="721C5C43"/>
    <w:rsid w:val="721D0878"/>
    <w:rsid w:val="721D26F3"/>
    <w:rsid w:val="721D4234"/>
    <w:rsid w:val="721F5FEE"/>
    <w:rsid w:val="722033AB"/>
    <w:rsid w:val="7220451E"/>
    <w:rsid w:val="7222476C"/>
    <w:rsid w:val="72262C67"/>
    <w:rsid w:val="72266A2D"/>
    <w:rsid w:val="72274259"/>
    <w:rsid w:val="72297E1E"/>
    <w:rsid w:val="722A70CA"/>
    <w:rsid w:val="722D0483"/>
    <w:rsid w:val="722D53B8"/>
    <w:rsid w:val="722E4900"/>
    <w:rsid w:val="722F2801"/>
    <w:rsid w:val="722F3251"/>
    <w:rsid w:val="72336356"/>
    <w:rsid w:val="72351982"/>
    <w:rsid w:val="72361DAA"/>
    <w:rsid w:val="723700F2"/>
    <w:rsid w:val="723752C2"/>
    <w:rsid w:val="72395C00"/>
    <w:rsid w:val="723B1191"/>
    <w:rsid w:val="723B451B"/>
    <w:rsid w:val="723B49B1"/>
    <w:rsid w:val="723C0510"/>
    <w:rsid w:val="723D1EF5"/>
    <w:rsid w:val="723F007D"/>
    <w:rsid w:val="72414478"/>
    <w:rsid w:val="72414ACF"/>
    <w:rsid w:val="7241756B"/>
    <w:rsid w:val="72427C29"/>
    <w:rsid w:val="72440555"/>
    <w:rsid w:val="7244102E"/>
    <w:rsid w:val="72451B75"/>
    <w:rsid w:val="724704A4"/>
    <w:rsid w:val="7247225C"/>
    <w:rsid w:val="72474D8D"/>
    <w:rsid w:val="724820D9"/>
    <w:rsid w:val="724909E3"/>
    <w:rsid w:val="724970FF"/>
    <w:rsid w:val="724A0F2A"/>
    <w:rsid w:val="724A353E"/>
    <w:rsid w:val="724B6050"/>
    <w:rsid w:val="724E5627"/>
    <w:rsid w:val="72516C59"/>
    <w:rsid w:val="72543011"/>
    <w:rsid w:val="725625B1"/>
    <w:rsid w:val="72565C12"/>
    <w:rsid w:val="725679F2"/>
    <w:rsid w:val="725758B4"/>
    <w:rsid w:val="725853E9"/>
    <w:rsid w:val="72596E4C"/>
    <w:rsid w:val="725A5F57"/>
    <w:rsid w:val="725A6EB5"/>
    <w:rsid w:val="725B1B57"/>
    <w:rsid w:val="725B4ABE"/>
    <w:rsid w:val="725D5465"/>
    <w:rsid w:val="725D6753"/>
    <w:rsid w:val="725E0219"/>
    <w:rsid w:val="725E3C43"/>
    <w:rsid w:val="725E5277"/>
    <w:rsid w:val="725E6877"/>
    <w:rsid w:val="725E69AA"/>
    <w:rsid w:val="725F7B5A"/>
    <w:rsid w:val="726011EF"/>
    <w:rsid w:val="72620555"/>
    <w:rsid w:val="72622300"/>
    <w:rsid w:val="72622CF3"/>
    <w:rsid w:val="72635AB6"/>
    <w:rsid w:val="72644CCB"/>
    <w:rsid w:val="72661F4F"/>
    <w:rsid w:val="7267218C"/>
    <w:rsid w:val="726733D2"/>
    <w:rsid w:val="72677E7E"/>
    <w:rsid w:val="72680F42"/>
    <w:rsid w:val="7268693E"/>
    <w:rsid w:val="726A66E5"/>
    <w:rsid w:val="726A7F9E"/>
    <w:rsid w:val="726C3997"/>
    <w:rsid w:val="726C7C15"/>
    <w:rsid w:val="726D3C41"/>
    <w:rsid w:val="726E3F05"/>
    <w:rsid w:val="726E412A"/>
    <w:rsid w:val="727022AE"/>
    <w:rsid w:val="7270721A"/>
    <w:rsid w:val="72726D94"/>
    <w:rsid w:val="727310BF"/>
    <w:rsid w:val="7274064F"/>
    <w:rsid w:val="727509DC"/>
    <w:rsid w:val="72754043"/>
    <w:rsid w:val="72754AD1"/>
    <w:rsid w:val="72780704"/>
    <w:rsid w:val="7278736C"/>
    <w:rsid w:val="727929C2"/>
    <w:rsid w:val="72795A5C"/>
    <w:rsid w:val="727B3068"/>
    <w:rsid w:val="727B38BE"/>
    <w:rsid w:val="727B6A2B"/>
    <w:rsid w:val="727F5071"/>
    <w:rsid w:val="72803EB4"/>
    <w:rsid w:val="72810272"/>
    <w:rsid w:val="728118CD"/>
    <w:rsid w:val="72812A83"/>
    <w:rsid w:val="728257C2"/>
    <w:rsid w:val="728269AD"/>
    <w:rsid w:val="728358C6"/>
    <w:rsid w:val="72853B17"/>
    <w:rsid w:val="7285473C"/>
    <w:rsid w:val="72854797"/>
    <w:rsid w:val="7285715A"/>
    <w:rsid w:val="7285724C"/>
    <w:rsid w:val="7289435E"/>
    <w:rsid w:val="72897A32"/>
    <w:rsid w:val="728A045F"/>
    <w:rsid w:val="728A4377"/>
    <w:rsid w:val="728A7FDA"/>
    <w:rsid w:val="728C1E43"/>
    <w:rsid w:val="728C7B02"/>
    <w:rsid w:val="728D714E"/>
    <w:rsid w:val="728E06B6"/>
    <w:rsid w:val="728E0EFD"/>
    <w:rsid w:val="728E12CE"/>
    <w:rsid w:val="728F4BEF"/>
    <w:rsid w:val="729174AD"/>
    <w:rsid w:val="72924596"/>
    <w:rsid w:val="72937B6D"/>
    <w:rsid w:val="72945AD6"/>
    <w:rsid w:val="72955D5B"/>
    <w:rsid w:val="72965DCD"/>
    <w:rsid w:val="72972F34"/>
    <w:rsid w:val="72973542"/>
    <w:rsid w:val="72975146"/>
    <w:rsid w:val="72977E38"/>
    <w:rsid w:val="72982D42"/>
    <w:rsid w:val="7298580E"/>
    <w:rsid w:val="7298621E"/>
    <w:rsid w:val="729A1B83"/>
    <w:rsid w:val="729A7D67"/>
    <w:rsid w:val="729B29FC"/>
    <w:rsid w:val="729D3D53"/>
    <w:rsid w:val="729E344F"/>
    <w:rsid w:val="729E42ED"/>
    <w:rsid w:val="729E6D8F"/>
    <w:rsid w:val="72A119E5"/>
    <w:rsid w:val="72A25A46"/>
    <w:rsid w:val="72A25F50"/>
    <w:rsid w:val="72A31A03"/>
    <w:rsid w:val="72A45C9C"/>
    <w:rsid w:val="72A614C3"/>
    <w:rsid w:val="72A71CA9"/>
    <w:rsid w:val="72A82DC4"/>
    <w:rsid w:val="72A83B19"/>
    <w:rsid w:val="72A86012"/>
    <w:rsid w:val="72AB1B9C"/>
    <w:rsid w:val="72AB223D"/>
    <w:rsid w:val="72AB2574"/>
    <w:rsid w:val="72AB2BD0"/>
    <w:rsid w:val="72AC0967"/>
    <w:rsid w:val="72AE4508"/>
    <w:rsid w:val="72AF0CE2"/>
    <w:rsid w:val="72AF7618"/>
    <w:rsid w:val="72B054BF"/>
    <w:rsid w:val="72B115CA"/>
    <w:rsid w:val="72B35CD9"/>
    <w:rsid w:val="72B35EEC"/>
    <w:rsid w:val="72B403C1"/>
    <w:rsid w:val="72B55475"/>
    <w:rsid w:val="72B602F3"/>
    <w:rsid w:val="72B8066E"/>
    <w:rsid w:val="72B85B83"/>
    <w:rsid w:val="72B87F6B"/>
    <w:rsid w:val="72B92BB1"/>
    <w:rsid w:val="72BA3D37"/>
    <w:rsid w:val="72BA4E74"/>
    <w:rsid w:val="72BC2533"/>
    <w:rsid w:val="72BC30B4"/>
    <w:rsid w:val="72BD60BF"/>
    <w:rsid w:val="72BE273D"/>
    <w:rsid w:val="72BF6F1D"/>
    <w:rsid w:val="72C1675C"/>
    <w:rsid w:val="72C16BBF"/>
    <w:rsid w:val="72C17177"/>
    <w:rsid w:val="72C3673D"/>
    <w:rsid w:val="72C36D50"/>
    <w:rsid w:val="72C47013"/>
    <w:rsid w:val="72C6241C"/>
    <w:rsid w:val="72C753A5"/>
    <w:rsid w:val="72C76034"/>
    <w:rsid w:val="72C85BE9"/>
    <w:rsid w:val="72C93B03"/>
    <w:rsid w:val="72CB5C9A"/>
    <w:rsid w:val="72CB5F94"/>
    <w:rsid w:val="72CB79CA"/>
    <w:rsid w:val="72CC16D1"/>
    <w:rsid w:val="72CC4568"/>
    <w:rsid w:val="72CC7A90"/>
    <w:rsid w:val="72CD32F2"/>
    <w:rsid w:val="72CF35B9"/>
    <w:rsid w:val="72CF76C1"/>
    <w:rsid w:val="72D01604"/>
    <w:rsid w:val="72D05C1D"/>
    <w:rsid w:val="72D05D41"/>
    <w:rsid w:val="72D11C76"/>
    <w:rsid w:val="72D17B00"/>
    <w:rsid w:val="72D22A6C"/>
    <w:rsid w:val="72D42E49"/>
    <w:rsid w:val="72D80BF9"/>
    <w:rsid w:val="72D811E8"/>
    <w:rsid w:val="72D84E2C"/>
    <w:rsid w:val="72D90D14"/>
    <w:rsid w:val="72DB6B76"/>
    <w:rsid w:val="72DC2F3F"/>
    <w:rsid w:val="72DD2CD5"/>
    <w:rsid w:val="72DE6BAC"/>
    <w:rsid w:val="72DF1ED2"/>
    <w:rsid w:val="72DF4C70"/>
    <w:rsid w:val="72DF667E"/>
    <w:rsid w:val="72E15E16"/>
    <w:rsid w:val="72E179FA"/>
    <w:rsid w:val="72E25AF8"/>
    <w:rsid w:val="72E33C1D"/>
    <w:rsid w:val="72E40DAB"/>
    <w:rsid w:val="72E7531A"/>
    <w:rsid w:val="72E81E7D"/>
    <w:rsid w:val="72E8534B"/>
    <w:rsid w:val="72EB0557"/>
    <w:rsid w:val="72EC0D81"/>
    <w:rsid w:val="72EC16EA"/>
    <w:rsid w:val="72ED3BCF"/>
    <w:rsid w:val="72EE08FF"/>
    <w:rsid w:val="72EE54E0"/>
    <w:rsid w:val="72F01877"/>
    <w:rsid w:val="72F1663B"/>
    <w:rsid w:val="72F31550"/>
    <w:rsid w:val="72F33669"/>
    <w:rsid w:val="72F60082"/>
    <w:rsid w:val="72F6173E"/>
    <w:rsid w:val="72F651B8"/>
    <w:rsid w:val="72F9489B"/>
    <w:rsid w:val="72FB5A7B"/>
    <w:rsid w:val="72FB72D0"/>
    <w:rsid w:val="72FC43A9"/>
    <w:rsid w:val="730068DD"/>
    <w:rsid w:val="73017A4B"/>
    <w:rsid w:val="73023419"/>
    <w:rsid w:val="73025F3A"/>
    <w:rsid w:val="730266AB"/>
    <w:rsid w:val="730301F3"/>
    <w:rsid w:val="73035207"/>
    <w:rsid w:val="73050984"/>
    <w:rsid w:val="730533D6"/>
    <w:rsid w:val="7307096A"/>
    <w:rsid w:val="73071150"/>
    <w:rsid w:val="7307304A"/>
    <w:rsid w:val="73075151"/>
    <w:rsid w:val="73081D12"/>
    <w:rsid w:val="73086CAF"/>
    <w:rsid w:val="7309067A"/>
    <w:rsid w:val="730906FB"/>
    <w:rsid w:val="730A4302"/>
    <w:rsid w:val="730A6B86"/>
    <w:rsid w:val="730B0299"/>
    <w:rsid w:val="730B4566"/>
    <w:rsid w:val="730B4790"/>
    <w:rsid w:val="730C6F58"/>
    <w:rsid w:val="730F3206"/>
    <w:rsid w:val="7311642C"/>
    <w:rsid w:val="731165C8"/>
    <w:rsid w:val="73121B09"/>
    <w:rsid w:val="73141A34"/>
    <w:rsid w:val="731570ED"/>
    <w:rsid w:val="7316004E"/>
    <w:rsid w:val="73180C6D"/>
    <w:rsid w:val="731878A3"/>
    <w:rsid w:val="731910DC"/>
    <w:rsid w:val="7319348C"/>
    <w:rsid w:val="731A3963"/>
    <w:rsid w:val="731C2A18"/>
    <w:rsid w:val="731C2B5C"/>
    <w:rsid w:val="731C6E2A"/>
    <w:rsid w:val="731D61E5"/>
    <w:rsid w:val="731D76AA"/>
    <w:rsid w:val="731D77A7"/>
    <w:rsid w:val="731F4124"/>
    <w:rsid w:val="732168B4"/>
    <w:rsid w:val="732227CC"/>
    <w:rsid w:val="73231496"/>
    <w:rsid w:val="7323232F"/>
    <w:rsid w:val="7323430C"/>
    <w:rsid w:val="732707CB"/>
    <w:rsid w:val="73295DE3"/>
    <w:rsid w:val="732C0729"/>
    <w:rsid w:val="732C1F57"/>
    <w:rsid w:val="732C7A68"/>
    <w:rsid w:val="732D5B4F"/>
    <w:rsid w:val="732E0694"/>
    <w:rsid w:val="733101DD"/>
    <w:rsid w:val="73313593"/>
    <w:rsid w:val="73314102"/>
    <w:rsid w:val="73314AD6"/>
    <w:rsid w:val="7332128B"/>
    <w:rsid w:val="73335654"/>
    <w:rsid w:val="73335776"/>
    <w:rsid w:val="733578C1"/>
    <w:rsid w:val="73366702"/>
    <w:rsid w:val="73373167"/>
    <w:rsid w:val="733769DB"/>
    <w:rsid w:val="73387461"/>
    <w:rsid w:val="7339505D"/>
    <w:rsid w:val="733A5527"/>
    <w:rsid w:val="733B1CFE"/>
    <w:rsid w:val="733B3EB0"/>
    <w:rsid w:val="733C2BE8"/>
    <w:rsid w:val="733D0B73"/>
    <w:rsid w:val="733E6EF1"/>
    <w:rsid w:val="733E76AF"/>
    <w:rsid w:val="733F0CFD"/>
    <w:rsid w:val="733F5494"/>
    <w:rsid w:val="734031D6"/>
    <w:rsid w:val="7341554F"/>
    <w:rsid w:val="73415778"/>
    <w:rsid w:val="73417A2C"/>
    <w:rsid w:val="73421716"/>
    <w:rsid w:val="73442D4D"/>
    <w:rsid w:val="73454882"/>
    <w:rsid w:val="73455329"/>
    <w:rsid w:val="73480DAA"/>
    <w:rsid w:val="7348161A"/>
    <w:rsid w:val="734A4550"/>
    <w:rsid w:val="734B3280"/>
    <w:rsid w:val="734D26F7"/>
    <w:rsid w:val="734D4A36"/>
    <w:rsid w:val="73514508"/>
    <w:rsid w:val="7351570B"/>
    <w:rsid w:val="7352048C"/>
    <w:rsid w:val="735277C5"/>
    <w:rsid w:val="735367FE"/>
    <w:rsid w:val="735371BA"/>
    <w:rsid w:val="73554802"/>
    <w:rsid w:val="7355580D"/>
    <w:rsid w:val="7356696D"/>
    <w:rsid w:val="735673F8"/>
    <w:rsid w:val="73571E2F"/>
    <w:rsid w:val="73593A0E"/>
    <w:rsid w:val="73596735"/>
    <w:rsid w:val="735A1F32"/>
    <w:rsid w:val="735A6C19"/>
    <w:rsid w:val="735C1E17"/>
    <w:rsid w:val="735E2E41"/>
    <w:rsid w:val="735E3933"/>
    <w:rsid w:val="735E75B9"/>
    <w:rsid w:val="735F0ACB"/>
    <w:rsid w:val="735F2A58"/>
    <w:rsid w:val="735F6BEB"/>
    <w:rsid w:val="736112B0"/>
    <w:rsid w:val="73646C23"/>
    <w:rsid w:val="7365437A"/>
    <w:rsid w:val="73670989"/>
    <w:rsid w:val="7367124F"/>
    <w:rsid w:val="7367454A"/>
    <w:rsid w:val="73686FA9"/>
    <w:rsid w:val="736A0219"/>
    <w:rsid w:val="736C3961"/>
    <w:rsid w:val="736C5726"/>
    <w:rsid w:val="736D3206"/>
    <w:rsid w:val="736D7A45"/>
    <w:rsid w:val="736E36C8"/>
    <w:rsid w:val="736E7FC2"/>
    <w:rsid w:val="73711E20"/>
    <w:rsid w:val="73715444"/>
    <w:rsid w:val="73743AD5"/>
    <w:rsid w:val="7377781C"/>
    <w:rsid w:val="7378529D"/>
    <w:rsid w:val="73792E94"/>
    <w:rsid w:val="737963CF"/>
    <w:rsid w:val="737A2889"/>
    <w:rsid w:val="737B293D"/>
    <w:rsid w:val="737C5BBA"/>
    <w:rsid w:val="737E75D2"/>
    <w:rsid w:val="737F0394"/>
    <w:rsid w:val="737F086B"/>
    <w:rsid w:val="738118E4"/>
    <w:rsid w:val="73817772"/>
    <w:rsid w:val="73821FD2"/>
    <w:rsid w:val="7382225E"/>
    <w:rsid w:val="73825124"/>
    <w:rsid w:val="73834304"/>
    <w:rsid w:val="7383627F"/>
    <w:rsid w:val="738515F6"/>
    <w:rsid w:val="73852A11"/>
    <w:rsid w:val="73854DFA"/>
    <w:rsid w:val="73855DBF"/>
    <w:rsid w:val="73865563"/>
    <w:rsid w:val="738669B7"/>
    <w:rsid w:val="73885FF8"/>
    <w:rsid w:val="738866CC"/>
    <w:rsid w:val="738913D8"/>
    <w:rsid w:val="738918B9"/>
    <w:rsid w:val="738A38CD"/>
    <w:rsid w:val="738C0F73"/>
    <w:rsid w:val="738D1D3F"/>
    <w:rsid w:val="738E3B58"/>
    <w:rsid w:val="73902F10"/>
    <w:rsid w:val="739038D0"/>
    <w:rsid w:val="73911D46"/>
    <w:rsid w:val="73921B0C"/>
    <w:rsid w:val="7393448A"/>
    <w:rsid w:val="73934E9D"/>
    <w:rsid w:val="73964163"/>
    <w:rsid w:val="739659E5"/>
    <w:rsid w:val="739749FF"/>
    <w:rsid w:val="73977574"/>
    <w:rsid w:val="73977D8E"/>
    <w:rsid w:val="739821F8"/>
    <w:rsid w:val="73986862"/>
    <w:rsid w:val="739A089B"/>
    <w:rsid w:val="739A3CEA"/>
    <w:rsid w:val="739C0EE9"/>
    <w:rsid w:val="739E2AB0"/>
    <w:rsid w:val="739F5BF5"/>
    <w:rsid w:val="73A05EB2"/>
    <w:rsid w:val="73A14998"/>
    <w:rsid w:val="73A16B87"/>
    <w:rsid w:val="73A336A6"/>
    <w:rsid w:val="73A33C23"/>
    <w:rsid w:val="73A745B7"/>
    <w:rsid w:val="73A75EAB"/>
    <w:rsid w:val="73AA471E"/>
    <w:rsid w:val="73AB156C"/>
    <w:rsid w:val="73AC1F67"/>
    <w:rsid w:val="73AC6386"/>
    <w:rsid w:val="73AD7FBA"/>
    <w:rsid w:val="73AE56E1"/>
    <w:rsid w:val="73B13D2E"/>
    <w:rsid w:val="73B14E59"/>
    <w:rsid w:val="73B42796"/>
    <w:rsid w:val="73B7158F"/>
    <w:rsid w:val="73B8505D"/>
    <w:rsid w:val="73B95EC6"/>
    <w:rsid w:val="73BA6E45"/>
    <w:rsid w:val="73BC1559"/>
    <w:rsid w:val="73BD2A74"/>
    <w:rsid w:val="73BD4EDE"/>
    <w:rsid w:val="73BD5D07"/>
    <w:rsid w:val="73BD656E"/>
    <w:rsid w:val="73C13F91"/>
    <w:rsid w:val="73C2052E"/>
    <w:rsid w:val="73C30A72"/>
    <w:rsid w:val="73C52072"/>
    <w:rsid w:val="73C54EE2"/>
    <w:rsid w:val="73C55EF4"/>
    <w:rsid w:val="73C606A4"/>
    <w:rsid w:val="73C62828"/>
    <w:rsid w:val="73C85FB6"/>
    <w:rsid w:val="73C97CEE"/>
    <w:rsid w:val="73CC5C34"/>
    <w:rsid w:val="73CE7AAA"/>
    <w:rsid w:val="73CF1D1B"/>
    <w:rsid w:val="73CF23A0"/>
    <w:rsid w:val="73D06AE0"/>
    <w:rsid w:val="73D119F3"/>
    <w:rsid w:val="73D136D9"/>
    <w:rsid w:val="73D23027"/>
    <w:rsid w:val="73D319FC"/>
    <w:rsid w:val="73D57297"/>
    <w:rsid w:val="73D65119"/>
    <w:rsid w:val="73D66457"/>
    <w:rsid w:val="73D70B24"/>
    <w:rsid w:val="73D75687"/>
    <w:rsid w:val="73D76531"/>
    <w:rsid w:val="73D969D7"/>
    <w:rsid w:val="73DA7EB4"/>
    <w:rsid w:val="73DC3B51"/>
    <w:rsid w:val="73E13741"/>
    <w:rsid w:val="73E17B5E"/>
    <w:rsid w:val="73E34C9E"/>
    <w:rsid w:val="73E35ADA"/>
    <w:rsid w:val="73E36942"/>
    <w:rsid w:val="73E37055"/>
    <w:rsid w:val="73E50D6E"/>
    <w:rsid w:val="73E51694"/>
    <w:rsid w:val="73E57CF6"/>
    <w:rsid w:val="73E77502"/>
    <w:rsid w:val="73E8633A"/>
    <w:rsid w:val="73E86D31"/>
    <w:rsid w:val="73E93643"/>
    <w:rsid w:val="73E96F98"/>
    <w:rsid w:val="73EA2AA9"/>
    <w:rsid w:val="73EA5D2F"/>
    <w:rsid w:val="73EA75FE"/>
    <w:rsid w:val="73EB3948"/>
    <w:rsid w:val="73EB42E8"/>
    <w:rsid w:val="73EC0C32"/>
    <w:rsid w:val="73EC65E1"/>
    <w:rsid w:val="73ED2DB9"/>
    <w:rsid w:val="73ED4740"/>
    <w:rsid w:val="73EE48CE"/>
    <w:rsid w:val="73EF36C1"/>
    <w:rsid w:val="73F04B2D"/>
    <w:rsid w:val="73F27D35"/>
    <w:rsid w:val="73F35AB7"/>
    <w:rsid w:val="73F368BA"/>
    <w:rsid w:val="73F54E96"/>
    <w:rsid w:val="73F75F45"/>
    <w:rsid w:val="73F76656"/>
    <w:rsid w:val="73F77A3A"/>
    <w:rsid w:val="73F8097D"/>
    <w:rsid w:val="73F832DF"/>
    <w:rsid w:val="73F876F2"/>
    <w:rsid w:val="73F92B5F"/>
    <w:rsid w:val="73FA44CF"/>
    <w:rsid w:val="73FB0C79"/>
    <w:rsid w:val="73FC70BF"/>
    <w:rsid w:val="73FD602A"/>
    <w:rsid w:val="73FF01D8"/>
    <w:rsid w:val="74057683"/>
    <w:rsid w:val="74063EE4"/>
    <w:rsid w:val="74065409"/>
    <w:rsid w:val="74065636"/>
    <w:rsid w:val="74073A26"/>
    <w:rsid w:val="74075D31"/>
    <w:rsid w:val="74080D6E"/>
    <w:rsid w:val="74085C60"/>
    <w:rsid w:val="740A2CF0"/>
    <w:rsid w:val="740B6B35"/>
    <w:rsid w:val="740C0317"/>
    <w:rsid w:val="740C1C28"/>
    <w:rsid w:val="740C26B7"/>
    <w:rsid w:val="740C55F0"/>
    <w:rsid w:val="740D3BA2"/>
    <w:rsid w:val="740E1564"/>
    <w:rsid w:val="74100036"/>
    <w:rsid w:val="741446A8"/>
    <w:rsid w:val="7415226A"/>
    <w:rsid w:val="7416176E"/>
    <w:rsid w:val="741720A2"/>
    <w:rsid w:val="7418493E"/>
    <w:rsid w:val="74190634"/>
    <w:rsid w:val="741B2533"/>
    <w:rsid w:val="741C2AE8"/>
    <w:rsid w:val="741C53CB"/>
    <w:rsid w:val="741C5F55"/>
    <w:rsid w:val="741D2337"/>
    <w:rsid w:val="741E0BE6"/>
    <w:rsid w:val="74205A52"/>
    <w:rsid w:val="74235152"/>
    <w:rsid w:val="7425684E"/>
    <w:rsid w:val="7428117C"/>
    <w:rsid w:val="74281D9D"/>
    <w:rsid w:val="74296DE2"/>
    <w:rsid w:val="742B28B6"/>
    <w:rsid w:val="742B3944"/>
    <w:rsid w:val="742D47E9"/>
    <w:rsid w:val="743056F6"/>
    <w:rsid w:val="743136AC"/>
    <w:rsid w:val="743313DD"/>
    <w:rsid w:val="7433288D"/>
    <w:rsid w:val="7436411D"/>
    <w:rsid w:val="74364825"/>
    <w:rsid w:val="74365CAD"/>
    <w:rsid w:val="743820EB"/>
    <w:rsid w:val="74382AA6"/>
    <w:rsid w:val="74384EE9"/>
    <w:rsid w:val="743B186D"/>
    <w:rsid w:val="743B3304"/>
    <w:rsid w:val="743B40EB"/>
    <w:rsid w:val="743B6781"/>
    <w:rsid w:val="743B7CBC"/>
    <w:rsid w:val="743C3549"/>
    <w:rsid w:val="743E143C"/>
    <w:rsid w:val="743E3872"/>
    <w:rsid w:val="743E4BA3"/>
    <w:rsid w:val="743E7870"/>
    <w:rsid w:val="743F1159"/>
    <w:rsid w:val="743F1E90"/>
    <w:rsid w:val="743F4870"/>
    <w:rsid w:val="74400E3D"/>
    <w:rsid w:val="7440352A"/>
    <w:rsid w:val="7442632F"/>
    <w:rsid w:val="74443380"/>
    <w:rsid w:val="74450557"/>
    <w:rsid w:val="74453002"/>
    <w:rsid w:val="74454A6C"/>
    <w:rsid w:val="74465281"/>
    <w:rsid w:val="744663A2"/>
    <w:rsid w:val="744722FA"/>
    <w:rsid w:val="744733C7"/>
    <w:rsid w:val="74476746"/>
    <w:rsid w:val="744820B3"/>
    <w:rsid w:val="74483FE2"/>
    <w:rsid w:val="744A7E47"/>
    <w:rsid w:val="744D0CE8"/>
    <w:rsid w:val="744F26D7"/>
    <w:rsid w:val="744F61FE"/>
    <w:rsid w:val="74513906"/>
    <w:rsid w:val="74523C66"/>
    <w:rsid w:val="7454564D"/>
    <w:rsid w:val="74553B56"/>
    <w:rsid w:val="7456172A"/>
    <w:rsid w:val="74561BE2"/>
    <w:rsid w:val="74562513"/>
    <w:rsid w:val="745635E9"/>
    <w:rsid w:val="7457077D"/>
    <w:rsid w:val="74572386"/>
    <w:rsid w:val="745850F8"/>
    <w:rsid w:val="74586508"/>
    <w:rsid w:val="74593814"/>
    <w:rsid w:val="745A1E2D"/>
    <w:rsid w:val="745A39EA"/>
    <w:rsid w:val="745B4DBF"/>
    <w:rsid w:val="745E0A25"/>
    <w:rsid w:val="745E23B8"/>
    <w:rsid w:val="745F2939"/>
    <w:rsid w:val="746128FD"/>
    <w:rsid w:val="746324AD"/>
    <w:rsid w:val="74656009"/>
    <w:rsid w:val="746565D3"/>
    <w:rsid w:val="74682367"/>
    <w:rsid w:val="746911A4"/>
    <w:rsid w:val="74691D5F"/>
    <w:rsid w:val="746B2D14"/>
    <w:rsid w:val="746E374D"/>
    <w:rsid w:val="746E4229"/>
    <w:rsid w:val="746F4AD1"/>
    <w:rsid w:val="74703473"/>
    <w:rsid w:val="74703B1B"/>
    <w:rsid w:val="747066AC"/>
    <w:rsid w:val="74722EB5"/>
    <w:rsid w:val="747246C6"/>
    <w:rsid w:val="74732FF4"/>
    <w:rsid w:val="74747035"/>
    <w:rsid w:val="74774F2C"/>
    <w:rsid w:val="74775CE3"/>
    <w:rsid w:val="747A66CF"/>
    <w:rsid w:val="747B1850"/>
    <w:rsid w:val="747C0BA0"/>
    <w:rsid w:val="747C671C"/>
    <w:rsid w:val="747C7A27"/>
    <w:rsid w:val="747E1AC8"/>
    <w:rsid w:val="747E39CC"/>
    <w:rsid w:val="747F1F99"/>
    <w:rsid w:val="7480751B"/>
    <w:rsid w:val="748270AF"/>
    <w:rsid w:val="74836A50"/>
    <w:rsid w:val="74844BC6"/>
    <w:rsid w:val="74853C13"/>
    <w:rsid w:val="748808A7"/>
    <w:rsid w:val="748815C8"/>
    <w:rsid w:val="74883749"/>
    <w:rsid w:val="74896931"/>
    <w:rsid w:val="74897E85"/>
    <w:rsid w:val="748A2BDE"/>
    <w:rsid w:val="748D3468"/>
    <w:rsid w:val="748E78D8"/>
    <w:rsid w:val="749131F6"/>
    <w:rsid w:val="74936C9D"/>
    <w:rsid w:val="74954808"/>
    <w:rsid w:val="749566B3"/>
    <w:rsid w:val="7495687F"/>
    <w:rsid w:val="749578D8"/>
    <w:rsid w:val="74965A35"/>
    <w:rsid w:val="74980938"/>
    <w:rsid w:val="74980B01"/>
    <w:rsid w:val="7498686F"/>
    <w:rsid w:val="74986AB7"/>
    <w:rsid w:val="749A126B"/>
    <w:rsid w:val="749E69DA"/>
    <w:rsid w:val="74A174C3"/>
    <w:rsid w:val="74A36C3E"/>
    <w:rsid w:val="74A71995"/>
    <w:rsid w:val="74A85611"/>
    <w:rsid w:val="74A87BDE"/>
    <w:rsid w:val="74AA400F"/>
    <w:rsid w:val="74AB552E"/>
    <w:rsid w:val="74AB6AA1"/>
    <w:rsid w:val="74AC6E71"/>
    <w:rsid w:val="74AE30E0"/>
    <w:rsid w:val="74AF06D6"/>
    <w:rsid w:val="74AF4D07"/>
    <w:rsid w:val="74B02883"/>
    <w:rsid w:val="74B03041"/>
    <w:rsid w:val="74B03EEE"/>
    <w:rsid w:val="74B07A5D"/>
    <w:rsid w:val="74B228EC"/>
    <w:rsid w:val="74B25EE1"/>
    <w:rsid w:val="74B40E53"/>
    <w:rsid w:val="74B421D6"/>
    <w:rsid w:val="74B44232"/>
    <w:rsid w:val="74B74F83"/>
    <w:rsid w:val="74B77AE1"/>
    <w:rsid w:val="74B91187"/>
    <w:rsid w:val="74BA01D2"/>
    <w:rsid w:val="74BA4701"/>
    <w:rsid w:val="74BA61DB"/>
    <w:rsid w:val="74BB0899"/>
    <w:rsid w:val="74BD01BD"/>
    <w:rsid w:val="74BD4E68"/>
    <w:rsid w:val="74BD5592"/>
    <w:rsid w:val="74BD5EEF"/>
    <w:rsid w:val="74BE71AC"/>
    <w:rsid w:val="74C0536B"/>
    <w:rsid w:val="74C23A26"/>
    <w:rsid w:val="74C27F79"/>
    <w:rsid w:val="74C421DE"/>
    <w:rsid w:val="74C60C12"/>
    <w:rsid w:val="74C60F16"/>
    <w:rsid w:val="74C77C4F"/>
    <w:rsid w:val="74C9350B"/>
    <w:rsid w:val="74CB0EAC"/>
    <w:rsid w:val="74CC5F11"/>
    <w:rsid w:val="74CC70CC"/>
    <w:rsid w:val="74CE29EA"/>
    <w:rsid w:val="74CF6512"/>
    <w:rsid w:val="74D053EE"/>
    <w:rsid w:val="74D13748"/>
    <w:rsid w:val="74D17C56"/>
    <w:rsid w:val="74D307B1"/>
    <w:rsid w:val="74D47E21"/>
    <w:rsid w:val="74D5120C"/>
    <w:rsid w:val="74D62E03"/>
    <w:rsid w:val="74D76E2C"/>
    <w:rsid w:val="74D84D40"/>
    <w:rsid w:val="74D8568A"/>
    <w:rsid w:val="74D8761E"/>
    <w:rsid w:val="74D95D63"/>
    <w:rsid w:val="74DA2B1D"/>
    <w:rsid w:val="74DD3F34"/>
    <w:rsid w:val="74DE0A39"/>
    <w:rsid w:val="74DE31CA"/>
    <w:rsid w:val="74DF57D8"/>
    <w:rsid w:val="74E024B2"/>
    <w:rsid w:val="74E1063A"/>
    <w:rsid w:val="74E201FC"/>
    <w:rsid w:val="74E23D58"/>
    <w:rsid w:val="74E2681B"/>
    <w:rsid w:val="74E36B3F"/>
    <w:rsid w:val="74E36FD8"/>
    <w:rsid w:val="74E50261"/>
    <w:rsid w:val="74E60F35"/>
    <w:rsid w:val="74E84AB8"/>
    <w:rsid w:val="74EA11CE"/>
    <w:rsid w:val="74EC01B8"/>
    <w:rsid w:val="74EC21BF"/>
    <w:rsid w:val="74EC46D9"/>
    <w:rsid w:val="74EC4782"/>
    <w:rsid w:val="74ED357B"/>
    <w:rsid w:val="74EE194F"/>
    <w:rsid w:val="74EE1A1E"/>
    <w:rsid w:val="74EF0DDA"/>
    <w:rsid w:val="74EF3438"/>
    <w:rsid w:val="74F1393C"/>
    <w:rsid w:val="74F322FF"/>
    <w:rsid w:val="74F417FF"/>
    <w:rsid w:val="74F419C9"/>
    <w:rsid w:val="74F45D48"/>
    <w:rsid w:val="74F467B0"/>
    <w:rsid w:val="74F52295"/>
    <w:rsid w:val="74F52E1F"/>
    <w:rsid w:val="74F6200C"/>
    <w:rsid w:val="74F674D2"/>
    <w:rsid w:val="74F92AC2"/>
    <w:rsid w:val="74FB38AB"/>
    <w:rsid w:val="74FC68B9"/>
    <w:rsid w:val="74FD53B8"/>
    <w:rsid w:val="74FF0425"/>
    <w:rsid w:val="75007557"/>
    <w:rsid w:val="75014E6D"/>
    <w:rsid w:val="75015494"/>
    <w:rsid w:val="75016E6A"/>
    <w:rsid w:val="750379E7"/>
    <w:rsid w:val="750438A1"/>
    <w:rsid w:val="7506356B"/>
    <w:rsid w:val="75090A4E"/>
    <w:rsid w:val="75092851"/>
    <w:rsid w:val="75092D81"/>
    <w:rsid w:val="750955CC"/>
    <w:rsid w:val="750B10E4"/>
    <w:rsid w:val="750C3AFA"/>
    <w:rsid w:val="750C6C3D"/>
    <w:rsid w:val="750D6BDE"/>
    <w:rsid w:val="750E2CC2"/>
    <w:rsid w:val="75110459"/>
    <w:rsid w:val="7511071F"/>
    <w:rsid w:val="75111CF0"/>
    <w:rsid w:val="75113147"/>
    <w:rsid w:val="75120509"/>
    <w:rsid w:val="751349E0"/>
    <w:rsid w:val="75147E43"/>
    <w:rsid w:val="7516081E"/>
    <w:rsid w:val="75161ADA"/>
    <w:rsid w:val="7516701A"/>
    <w:rsid w:val="75170B99"/>
    <w:rsid w:val="75176B9A"/>
    <w:rsid w:val="75194C0C"/>
    <w:rsid w:val="75195317"/>
    <w:rsid w:val="751A4251"/>
    <w:rsid w:val="751A6023"/>
    <w:rsid w:val="751C037F"/>
    <w:rsid w:val="751D005C"/>
    <w:rsid w:val="7521031D"/>
    <w:rsid w:val="75240B84"/>
    <w:rsid w:val="7524338F"/>
    <w:rsid w:val="75246735"/>
    <w:rsid w:val="75247B82"/>
    <w:rsid w:val="7526395D"/>
    <w:rsid w:val="75264F3F"/>
    <w:rsid w:val="752707C9"/>
    <w:rsid w:val="75271ADB"/>
    <w:rsid w:val="75272C62"/>
    <w:rsid w:val="7527590E"/>
    <w:rsid w:val="752B41E2"/>
    <w:rsid w:val="752D6D9A"/>
    <w:rsid w:val="752D7123"/>
    <w:rsid w:val="752E0E05"/>
    <w:rsid w:val="752E3E5B"/>
    <w:rsid w:val="752F34A3"/>
    <w:rsid w:val="752F387E"/>
    <w:rsid w:val="752F3962"/>
    <w:rsid w:val="7530186F"/>
    <w:rsid w:val="75311C6F"/>
    <w:rsid w:val="75316363"/>
    <w:rsid w:val="75322274"/>
    <w:rsid w:val="753278A3"/>
    <w:rsid w:val="75333F2E"/>
    <w:rsid w:val="75336416"/>
    <w:rsid w:val="75343EBF"/>
    <w:rsid w:val="75344C86"/>
    <w:rsid w:val="75346241"/>
    <w:rsid w:val="753675D5"/>
    <w:rsid w:val="75376AA2"/>
    <w:rsid w:val="753B5AA0"/>
    <w:rsid w:val="753B69D1"/>
    <w:rsid w:val="753B7CC3"/>
    <w:rsid w:val="753C5D11"/>
    <w:rsid w:val="753D11A8"/>
    <w:rsid w:val="753D202D"/>
    <w:rsid w:val="753D5445"/>
    <w:rsid w:val="753F2582"/>
    <w:rsid w:val="753F38E8"/>
    <w:rsid w:val="75405B62"/>
    <w:rsid w:val="754259CF"/>
    <w:rsid w:val="75430BAD"/>
    <w:rsid w:val="75444847"/>
    <w:rsid w:val="75463D0F"/>
    <w:rsid w:val="754644D9"/>
    <w:rsid w:val="7547210C"/>
    <w:rsid w:val="754732E5"/>
    <w:rsid w:val="75474B75"/>
    <w:rsid w:val="75483020"/>
    <w:rsid w:val="754937FF"/>
    <w:rsid w:val="754A2682"/>
    <w:rsid w:val="754B7109"/>
    <w:rsid w:val="754B7F76"/>
    <w:rsid w:val="754D06D8"/>
    <w:rsid w:val="754D72D6"/>
    <w:rsid w:val="754D74C5"/>
    <w:rsid w:val="754F45F3"/>
    <w:rsid w:val="754F4BF9"/>
    <w:rsid w:val="7550036B"/>
    <w:rsid w:val="75506CE6"/>
    <w:rsid w:val="75507814"/>
    <w:rsid w:val="75534F63"/>
    <w:rsid w:val="755453A2"/>
    <w:rsid w:val="755521A4"/>
    <w:rsid w:val="755554F0"/>
    <w:rsid w:val="755646A8"/>
    <w:rsid w:val="75565983"/>
    <w:rsid w:val="75592CB4"/>
    <w:rsid w:val="755C19C1"/>
    <w:rsid w:val="755D5DB6"/>
    <w:rsid w:val="75600355"/>
    <w:rsid w:val="75603FC6"/>
    <w:rsid w:val="75610DF5"/>
    <w:rsid w:val="7561415F"/>
    <w:rsid w:val="75624D0D"/>
    <w:rsid w:val="75653D00"/>
    <w:rsid w:val="75655D82"/>
    <w:rsid w:val="75673C9E"/>
    <w:rsid w:val="75691CAE"/>
    <w:rsid w:val="75692372"/>
    <w:rsid w:val="75694CDD"/>
    <w:rsid w:val="756A0F54"/>
    <w:rsid w:val="756B73FD"/>
    <w:rsid w:val="756C086F"/>
    <w:rsid w:val="756C7829"/>
    <w:rsid w:val="756D7F25"/>
    <w:rsid w:val="756E3112"/>
    <w:rsid w:val="756E63D4"/>
    <w:rsid w:val="75713BA2"/>
    <w:rsid w:val="75715E20"/>
    <w:rsid w:val="75721A5F"/>
    <w:rsid w:val="75721CC1"/>
    <w:rsid w:val="75733092"/>
    <w:rsid w:val="7573738C"/>
    <w:rsid w:val="757406F9"/>
    <w:rsid w:val="75756349"/>
    <w:rsid w:val="75761A90"/>
    <w:rsid w:val="75761E94"/>
    <w:rsid w:val="757704C6"/>
    <w:rsid w:val="75784497"/>
    <w:rsid w:val="75786A2A"/>
    <w:rsid w:val="75794307"/>
    <w:rsid w:val="757B0F6F"/>
    <w:rsid w:val="757B7431"/>
    <w:rsid w:val="757D16FB"/>
    <w:rsid w:val="757F0DB2"/>
    <w:rsid w:val="757F6E5B"/>
    <w:rsid w:val="757F74FF"/>
    <w:rsid w:val="758016F2"/>
    <w:rsid w:val="7581025E"/>
    <w:rsid w:val="75813858"/>
    <w:rsid w:val="758430D6"/>
    <w:rsid w:val="758559BD"/>
    <w:rsid w:val="758639C6"/>
    <w:rsid w:val="7586606A"/>
    <w:rsid w:val="758754BF"/>
    <w:rsid w:val="758823DF"/>
    <w:rsid w:val="75893ACE"/>
    <w:rsid w:val="75895ABA"/>
    <w:rsid w:val="758A4A4C"/>
    <w:rsid w:val="758A4F6C"/>
    <w:rsid w:val="758A6D64"/>
    <w:rsid w:val="758B1B9B"/>
    <w:rsid w:val="758C0347"/>
    <w:rsid w:val="758C203F"/>
    <w:rsid w:val="758C59AD"/>
    <w:rsid w:val="758C7FC4"/>
    <w:rsid w:val="758F7E74"/>
    <w:rsid w:val="7590084A"/>
    <w:rsid w:val="75907680"/>
    <w:rsid w:val="75910C2B"/>
    <w:rsid w:val="759210FA"/>
    <w:rsid w:val="759233F8"/>
    <w:rsid w:val="7592432A"/>
    <w:rsid w:val="7592797F"/>
    <w:rsid w:val="75930F1E"/>
    <w:rsid w:val="75935022"/>
    <w:rsid w:val="7593651A"/>
    <w:rsid w:val="759432DB"/>
    <w:rsid w:val="75943544"/>
    <w:rsid w:val="75951601"/>
    <w:rsid w:val="75960D9F"/>
    <w:rsid w:val="759674B4"/>
    <w:rsid w:val="75967B9E"/>
    <w:rsid w:val="75972FB2"/>
    <w:rsid w:val="75974D6C"/>
    <w:rsid w:val="75975332"/>
    <w:rsid w:val="75992806"/>
    <w:rsid w:val="759942F7"/>
    <w:rsid w:val="759B2301"/>
    <w:rsid w:val="759B5CAE"/>
    <w:rsid w:val="759B6AC5"/>
    <w:rsid w:val="759C3B2C"/>
    <w:rsid w:val="759C5BB7"/>
    <w:rsid w:val="759D27B8"/>
    <w:rsid w:val="759D72E0"/>
    <w:rsid w:val="759E58B3"/>
    <w:rsid w:val="759F13F8"/>
    <w:rsid w:val="75A16203"/>
    <w:rsid w:val="75A23CE8"/>
    <w:rsid w:val="75A37A9D"/>
    <w:rsid w:val="75A40ABF"/>
    <w:rsid w:val="75A53399"/>
    <w:rsid w:val="75A624EE"/>
    <w:rsid w:val="75A819B1"/>
    <w:rsid w:val="75A81A62"/>
    <w:rsid w:val="75AB6082"/>
    <w:rsid w:val="75AB60F6"/>
    <w:rsid w:val="75AC13B9"/>
    <w:rsid w:val="75AE439A"/>
    <w:rsid w:val="75AF4068"/>
    <w:rsid w:val="75AF5E87"/>
    <w:rsid w:val="75B044DB"/>
    <w:rsid w:val="75B11BA0"/>
    <w:rsid w:val="75B234C0"/>
    <w:rsid w:val="75B43365"/>
    <w:rsid w:val="75B5715E"/>
    <w:rsid w:val="75B6004A"/>
    <w:rsid w:val="75B90525"/>
    <w:rsid w:val="75B90B6E"/>
    <w:rsid w:val="75BB12E7"/>
    <w:rsid w:val="75BB6719"/>
    <w:rsid w:val="75BC232D"/>
    <w:rsid w:val="75BD5A5C"/>
    <w:rsid w:val="75BE2088"/>
    <w:rsid w:val="75BE745C"/>
    <w:rsid w:val="75BF4F4F"/>
    <w:rsid w:val="75C14474"/>
    <w:rsid w:val="75C227DE"/>
    <w:rsid w:val="75C335B1"/>
    <w:rsid w:val="75C44771"/>
    <w:rsid w:val="75C47C85"/>
    <w:rsid w:val="75C5385D"/>
    <w:rsid w:val="75C770CE"/>
    <w:rsid w:val="75C82807"/>
    <w:rsid w:val="75C8677E"/>
    <w:rsid w:val="75CE41EC"/>
    <w:rsid w:val="75CF2815"/>
    <w:rsid w:val="75D02065"/>
    <w:rsid w:val="75D05CCE"/>
    <w:rsid w:val="75D14CF6"/>
    <w:rsid w:val="75D25928"/>
    <w:rsid w:val="75D27A87"/>
    <w:rsid w:val="75D4712A"/>
    <w:rsid w:val="75D728E8"/>
    <w:rsid w:val="75D94F77"/>
    <w:rsid w:val="75DA3424"/>
    <w:rsid w:val="75DA76B7"/>
    <w:rsid w:val="75DB00EE"/>
    <w:rsid w:val="75DB1446"/>
    <w:rsid w:val="75DB2C76"/>
    <w:rsid w:val="75DC5B2E"/>
    <w:rsid w:val="75DE232F"/>
    <w:rsid w:val="75E040ED"/>
    <w:rsid w:val="75E25C38"/>
    <w:rsid w:val="75E317FE"/>
    <w:rsid w:val="75E50C8A"/>
    <w:rsid w:val="75E52375"/>
    <w:rsid w:val="75E63A22"/>
    <w:rsid w:val="75E97F1D"/>
    <w:rsid w:val="75EA1308"/>
    <w:rsid w:val="75EA2EDE"/>
    <w:rsid w:val="75EB3E35"/>
    <w:rsid w:val="75EC1C40"/>
    <w:rsid w:val="75ED0A7C"/>
    <w:rsid w:val="75ED265E"/>
    <w:rsid w:val="75ED58B8"/>
    <w:rsid w:val="75EE1367"/>
    <w:rsid w:val="75EF1DC6"/>
    <w:rsid w:val="75EF1FB0"/>
    <w:rsid w:val="75EF319B"/>
    <w:rsid w:val="75EF3FF2"/>
    <w:rsid w:val="75EF59C5"/>
    <w:rsid w:val="75F145C2"/>
    <w:rsid w:val="75F27B61"/>
    <w:rsid w:val="75F452EC"/>
    <w:rsid w:val="75F60677"/>
    <w:rsid w:val="75F87EB8"/>
    <w:rsid w:val="75FA037B"/>
    <w:rsid w:val="75FC2E20"/>
    <w:rsid w:val="75FC3A54"/>
    <w:rsid w:val="75FC72E4"/>
    <w:rsid w:val="75FE2343"/>
    <w:rsid w:val="75FE45EA"/>
    <w:rsid w:val="75FE6E13"/>
    <w:rsid w:val="75FF1E83"/>
    <w:rsid w:val="76043DE8"/>
    <w:rsid w:val="76057252"/>
    <w:rsid w:val="760A07BB"/>
    <w:rsid w:val="760A42DB"/>
    <w:rsid w:val="760B0E51"/>
    <w:rsid w:val="760C47A0"/>
    <w:rsid w:val="760D293D"/>
    <w:rsid w:val="760D7ADD"/>
    <w:rsid w:val="760E14AB"/>
    <w:rsid w:val="760E182A"/>
    <w:rsid w:val="760E4750"/>
    <w:rsid w:val="760E481A"/>
    <w:rsid w:val="760F1128"/>
    <w:rsid w:val="76110183"/>
    <w:rsid w:val="76123BA1"/>
    <w:rsid w:val="76131870"/>
    <w:rsid w:val="76153315"/>
    <w:rsid w:val="76165307"/>
    <w:rsid w:val="76177ADF"/>
    <w:rsid w:val="761806D1"/>
    <w:rsid w:val="7618165F"/>
    <w:rsid w:val="761874CA"/>
    <w:rsid w:val="761906C1"/>
    <w:rsid w:val="76195885"/>
    <w:rsid w:val="76197675"/>
    <w:rsid w:val="761B25B3"/>
    <w:rsid w:val="761B771A"/>
    <w:rsid w:val="761C5ABC"/>
    <w:rsid w:val="761D2EAB"/>
    <w:rsid w:val="761D57A9"/>
    <w:rsid w:val="761F0312"/>
    <w:rsid w:val="761F5CB0"/>
    <w:rsid w:val="761F69D2"/>
    <w:rsid w:val="76210743"/>
    <w:rsid w:val="76216417"/>
    <w:rsid w:val="762168DC"/>
    <w:rsid w:val="76216D15"/>
    <w:rsid w:val="76261713"/>
    <w:rsid w:val="76261E47"/>
    <w:rsid w:val="76263321"/>
    <w:rsid w:val="76267A55"/>
    <w:rsid w:val="76267E45"/>
    <w:rsid w:val="76275677"/>
    <w:rsid w:val="76277D20"/>
    <w:rsid w:val="76286779"/>
    <w:rsid w:val="7629074B"/>
    <w:rsid w:val="762929B0"/>
    <w:rsid w:val="762A472B"/>
    <w:rsid w:val="762A482C"/>
    <w:rsid w:val="762A7A0F"/>
    <w:rsid w:val="762C4DCD"/>
    <w:rsid w:val="762C501B"/>
    <w:rsid w:val="762D644D"/>
    <w:rsid w:val="762F6580"/>
    <w:rsid w:val="76304836"/>
    <w:rsid w:val="763116E1"/>
    <w:rsid w:val="76316E5D"/>
    <w:rsid w:val="76322A37"/>
    <w:rsid w:val="763261CA"/>
    <w:rsid w:val="763311D3"/>
    <w:rsid w:val="76354177"/>
    <w:rsid w:val="76357EA4"/>
    <w:rsid w:val="763636F2"/>
    <w:rsid w:val="76386B51"/>
    <w:rsid w:val="763911BC"/>
    <w:rsid w:val="763925F9"/>
    <w:rsid w:val="763A0218"/>
    <w:rsid w:val="763A09BC"/>
    <w:rsid w:val="763A26F7"/>
    <w:rsid w:val="763A787A"/>
    <w:rsid w:val="763C14B2"/>
    <w:rsid w:val="763C5112"/>
    <w:rsid w:val="763C5928"/>
    <w:rsid w:val="763C77D3"/>
    <w:rsid w:val="763E54FD"/>
    <w:rsid w:val="763E5C55"/>
    <w:rsid w:val="763E70DC"/>
    <w:rsid w:val="764010A6"/>
    <w:rsid w:val="76426E5E"/>
    <w:rsid w:val="76431CE4"/>
    <w:rsid w:val="76443F20"/>
    <w:rsid w:val="7644611F"/>
    <w:rsid w:val="76457537"/>
    <w:rsid w:val="7648366B"/>
    <w:rsid w:val="764918B4"/>
    <w:rsid w:val="76494F09"/>
    <w:rsid w:val="76495191"/>
    <w:rsid w:val="764A17F2"/>
    <w:rsid w:val="764B3269"/>
    <w:rsid w:val="764B3B35"/>
    <w:rsid w:val="764B5352"/>
    <w:rsid w:val="76536EB6"/>
    <w:rsid w:val="76545FF1"/>
    <w:rsid w:val="765468FF"/>
    <w:rsid w:val="76552F86"/>
    <w:rsid w:val="7657519D"/>
    <w:rsid w:val="76575BE0"/>
    <w:rsid w:val="76592ECB"/>
    <w:rsid w:val="765A0CC2"/>
    <w:rsid w:val="765A40A9"/>
    <w:rsid w:val="765B2241"/>
    <w:rsid w:val="765B3E80"/>
    <w:rsid w:val="765C01CD"/>
    <w:rsid w:val="765C764C"/>
    <w:rsid w:val="765D1CB5"/>
    <w:rsid w:val="765E152C"/>
    <w:rsid w:val="765E6A13"/>
    <w:rsid w:val="7663414D"/>
    <w:rsid w:val="76634546"/>
    <w:rsid w:val="7664687B"/>
    <w:rsid w:val="76646EDC"/>
    <w:rsid w:val="76665710"/>
    <w:rsid w:val="76670629"/>
    <w:rsid w:val="7667587A"/>
    <w:rsid w:val="76681DC2"/>
    <w:rsid w:val="766A244B"/>
    <w:rsid w:val="766B0D5A"/>
    <w:rsid w:val="766C42A0"/>
    <w:rsid w:val="766D2D7B"/>
    <w:rsid w:val="766D630A"/>
    <w:rsid w:val="766D76F6"/>
    <w:rsid w:val="766F1B1B"/>
    <w:rsid w:val="766F7972"/>
    <w:rsid w:val="76703724"/>
    <w:rsid w:val="76704DAA"/>
    <w:rsid w:val="76710608"/>
    <w:rsid w:val="767539A8"/>
    <w:rsid w:val="7675533B"/>
    <w:rsid w:val="76755A11"/>
    <w:rsid w:val="767705BF"/>
    <w:rsid w:val="76773F1B"/>
    <w:rsid w:val="76785225"/>
    <w:rsid w:val="76793DD5"/>
    <w:rsid w:val="767A4563"/>
    <w:rsid w:val="767B3193"/>
    <w:rsid w:val="767C28DE"/>
    <w:rsid w:val="767C571C"/>
    <w:rsid w:val="767C6896"/>
    <w:rsid w:val="767E0A26"/>
    <w:rsid w:val="767E4A3B"/>
    <w:rsid w:val="768106A4"/>
    <w:rsid w:val="768253CD"/>
    <w:rsid w:val="76840A0A"/>
    <w:rsid w:val="76865788"/>
    <w:rsid w:val="76877146"/>
    <w:rsid w:val="76882EDA"/>
    <w:rsid w:val="768913AD"/>
    <w:rsid w:val="768934E6"/>
    <w:rsid w:val="76894A11"/>
    <w:rsid w:val="768A0DA0"/>
    <w:rsid w:val="768A37EF"/>
    <w:rsid w:val="768A6B60"/>
    <w:rsid w:val="768C0943"/>
    <w:rsid w:val="768C1E34"/>
    <w:rsid w:val="768D1721"/>
    <w:rsid w:val="768D49D1"/>
    <w:rsid w:val="768E51F7"/>
    <w:rsid w:val="768F24C5"/>
    <w:rsid w:val="7690074D"/>
    <w:rsid w:val="7690172E"/>
    <w:rsid w:val="76924FE9"/>
    <w:rsid w:val="76933C2B"/>
    <w:rsid w:val="76945E91"/>
    <w:rsid w:val="76962B17"/>
    <w:rsid w:val="76975080"/>
    <w:rsid w:val="7697715E"/>
    <w:rsid w:val="769839D7"/>
    <w:rsid w:val="76987FA6"/>
    <w:rsid w:val="76991F7F"/>
    <w:rsid w:val="769A1865"/>
    <w:rsid w:val="769A3157"/>
    <w:rsid w:val="769A5CB1"/>
    <w:rsid w:val="769D029C"/>
    <w:rsid w:val="769D5B57"/>
    <w:rsid w:val="769F401E"/>
    <w:rsid w:val="76A05CF5"/>
    <w:rsid w:val="76A0631F"/>
    <w:rsid w:val="76A122DF"/>
    <w:rsid w:val="76A56114"/>
    <w:rsid w:val="76A65DFE"/>
    <w:rsid w:val="76A766FC"/>
    <w:rsid w:val="76A87C44"/>
    <w:rsid w:val="76A87DF6"/>
    <w:rsid w:val="76AB67C8"/>
    <w:rsid w:val="76AC2548"/>
    <w:rsid w:val="76AC70EE"/>
    <w:rsid w:val="76AC7730"/>
    <w:rsid w:val="76AD0FED"/>
    <w:rsid w:val="76AE09BF"/>
    <w:rsid w:val="76B01F72"/>
    <w:rsid w:val="76B03277"/>
    <w:rsid w:val="76B259D9"/>
    <w:rsid w:val="76B35115"/>
    <w:rsid w:val="76B43724"/>
    <w:rsid w:val="76B43C11"/>
    <w:rsid w:val="76B52B88"/>
    <w:rsid w:val="76B53E4A"/>
    <w:rsid w:val="76B86EA7"/>
    <w:rsid w:val="76BB072D"/>
    <w:rsid w:val="76BB1D52"/>
    <w:rsid w:val="76BC372D"/>
    <w:rsid w:val="76BC66A4"/>
    <w:rsid w:val="76BE0334"/>
    <w:rsid w:val="76BE1E83"/>
    <w:rsid w:val="76BE4C08"/>
    <w:rsid w:val="76BE4DE0"/>
    <w:rsid w:val="76C13908"/>
    <w:rsid w:val="76C13F22"/>
    <w:rsid w:val="76C23290"/>
    <w:rsid w:val="76C34A0E"/>
    <w:rsid w:val="76C369AD"/>
    <w:rsid w:val="76C623AA"/>
    <w:rsid w:val="76C65DE7"/>
    <w:rsid w:val="76C801A2"/>
    <w:rsid w:val="76C90EA4"/>
    <w:rsid w:val="76C97411"/>
    <w:rsid w:val="76C97D26"/>
    <w:rsid w:val="76CA0034"/>
    <w:rsid w:val="76CB5DCD"/>
    <w:rsid w:val="76CD0F9E"/>
    <w:rsid w:val="76CD2E66"/>
    <w:rsid w:val="76CD3730"/>
    <w:rsid w:val="76CE580F"/>
    <w:rsid w:val="76D0018D"/>
    <w:rsid w:val="76D01F85"/>
    <w:rsid w:val="76D025C9"/>
    <w:rsid w:val="76D07018"/>
    <w:rsid w:val="76D27C9D"/>
    <w:rsid w:val="76D36E85"/>
    <w:rsid w:val="76D66E04"/>
    <w:rsid w:val="76D77263"/>
    <w:rsid w:val="76D945AB"/>
    <w:rsid w:val="76D97A60"/>
    <w:rsid w:val="76DA219C"/>
    <w:rsid w:val="76DA53D0"/>
    <w:rsid w:val="76DA6FD0"/>
    <w:rsid w:val="76DB143F"/>
    <w:rsid w:val="76DB7762"/>
    <w:rsid w:val="76DC717E"/>
    <w:rsid w:val="76DC7DF2"/>
    <w:rsid w:val="76E02C47"/>
    <w:rsid w:val="76E109D2"/>
    <w:rsid w:val="76E10D5A"/>
    <w:rsid w:val="76E16A44"/>
    <w:rsid w:val="76E35A01"/>
    <w:rsid w:val="76E361CD"/>
    <w:rsid w:val="76E447D0"/>
    <w:rsid w:val="76E55C3D"/>
    <w:rsid w:val="76E57DBE"/>
    <w:rsid w:val="76E61C4D"/>
    <w:rsid w:val="76E62CF0"/>
    <w:rsid w:val="76E76655"/>
    <w:rsid w:val="76EA0C82"/>
    <w:rsid w:val="76EA216E"/>
    <w:rsid w:val="76EB0038"/>
    <w:rsid w:val="76EB48C7"/>
    <w:rsid w:val="76EB4C30"/>
    <w:rsid w:val="76EB4F0B"/>
    <w:rsid w:val="76EB5451"/>
    <w:rsid w:val="76EC25F1"/>
    <w:rsid w:val="76ED2227"/>
    <w:rsid w:val="76ED4B4F"/>
    <w:rsid w:val="76EE5D0D"/>
    <w:rsid w:val="76F03584"/>
    <w:rsid w:val="76F052EC"/>
    <w:rsid w:val="76F06840"/>
    <w:rsid w:val="76F278D4"/>
    <w:rsid w:val="76F27950"/>
    <w:rsid w:val="76F4256A"/>
    <w:rsid w:val="76F43EAB"/>
    <w:rsid w:val="76F56231"/>
    <w:rsid w:val="76F6458F"/>
    <w:rsid w:val="76F65631"/>
    <w:rsid w:val="76F66360"/>
    <w:rsid w:val="76F6687D"/>
    <w:rsid w:val="76F7127F"/>
    <w:rsid w:val="76F9320D"/>
    <w:rsid w:val="76F9498F"/>
    <w:rsid w:val="76FB0D3F"/>
    <w:rsid w:val="76FC3ED0"/>
    <w:rsid w:val="76FD75D7"/>
    <w:rsid w:val="76FE1BC6"/>
    <w:rsid w:val="76FE5E5E"/>
    <w:rsid w:val="76FF459E"/>
    <w:rsid w:val="76FF4ABD"/>
    <w:rsid w:val="77012061"/>
    <w:rsid w:val="770135EE"/>
    <w:rsid w:val="770232C2"/>
    <w:rsid w:val="770330C6"/>
    <w:rsid w:val="77037714"/>
    <w:rsid w:val="770477AC"/>
    <w:rsid w:val="770642BC"/>
    <w:rsid w:val="77072FFD"/>
    <w:rsid w:val="77080CC1"/>
    <w:rsid w:val="77081871"/>
    <w:rsid w:val="7708325C"/>
    <w:rsid w:val="7709593C"/>
    <w:rsid w:val="7709673D"/>
    <w:rsid w:val="770A2328"/>
    <w:rsid w:val="770A6E18"/>
    <w:rsid w:val="770A6E8D"/>
    <w:rsid w:val="770B5374"/>
    <w:rsid w:val="770C1D4C"/>
    <w:rsid w:val="770C38FC"/>
    <w:rsid w:val="770D5A7E"/>
    <w:rsid w:val="770F316F"/>
    <w:rsid w:val="771051D9"/>
    <w:rsid w:val="77110CCC"/>
    <w:rsid w:val="7713680A"/>
    <w:rsid w:val="77140AAA"/>
    <w:rsid w:val="77141D68"/>
    <w:rsid w:val="77146FB3"/>
    <w:rsid w:val="771608F7"/>
    <w:rsid w:val="77163CB8"/>
    <w:rsid w:val="7716476A"/>
    <w:rsid w:val="77177287"/>
    <w:rsid w:val="77185A70"/>
    <w:rsid w:val="7719335E"/>
    <w:rsid w:val="771B0103"/>
    <w:rsid w:val="771B2132"/>
    <w:rsid w:val="771C171E"/>
    <w:rsid w:val="771E1C37"/>
    <w:rsid w:val="771F2D28"/>
    <w:rsid w:val="771F7A29"/>
    <w:rsid w:val="7720275C"/>
    <w:rsid w:val="772111F1"/>
    <w:rsid w:val="77220016"/>
    <w:rsid w:val="77245758"/>
    <w:rsid w:val="7725161F"/>
    <w:rsid w:val="77256661"/>
    <w:rsid w:val="77270FC8"/>
    <w:rsid w:val="77275DC2"/>
    <w:rsid w:val="77281FB7"/>
    <w:rsid w:val="77286775"/>
    <w:rsid w:val="772938E8"/>
    <w:rsid w:val="772A0D66"/>
    <w:rsid w:val="772B73CE"/>
    <w:rsid w:val="772B7824"/>
    <w:rsid w:val="772C2B57"/>
    <w:rsid w:val="772D06AA"/>
    <w:rsid w:val="772E1E8F"/>
    <w:rsid w:val="772F6AE2"/>
    <w:rsid w:val="7731396E"/>
    <w:rsid w:val="773477A7"/>
    <w:rsid w:val="773525B3"/>
    <w:rsid w:val="773546DF"/>
    <w:rsid w:val="77355695"/>
    <w:rsid w:val="7737533B"/>
    <w:rsid w:val="77384F3A"/>
    <w:rsid w:val="773912C9"/>
    <w:rsid w:val="773A431C"/>
    <w:rsid w:val="773A797C"/>
    <w:rsid w:val="773B0496"/>
    <w:rsid w:val="773C4D25"/>
    <w:rsid w:val="773E338B"/>
    <w:rsid w:val="7740468B"/>
    <w:rsid w:val="77416B06"/>
    <w:rsid w:val="77417D2C"/>
    <w:rsid w:val="77423B1C"/>
    <w:rsid w:val="774249A2"/>
    <w:rsid w:val="77425582"/>
    <w:rsid w:val="77431062"/>
    <w:rsid w:val="77471C9F"/>
    <w:rsid w:val="77471D04"/>
    <w:rsid w:val="774801D3"/>
    <w:rsid w:val="7748723E"/>
    <w:rsid w:val="77487A13"/>
    <w:rsid w:val="77490E50"/>
    <w:rsid w:val="774B106D"/>
    <w:rsid w:val="774B6E85"/>
    <w:rsid w:val="774D1C3A"/>
    <w:rsid w:val="774E1599"/>
    <w:rsid w:val="774E2E6F"/>
    <w:rsid w:val="774E7D97"/>
    <w:rsid w:val="774F22B4"/>
    <w:rsid w:val="775006CF"/>
    <w:rsid w:val="775013E0"/>
    <w:rsid w:val="7752261F"/>
    <w:rsid w:val="77527889"/>
    <w:rsid w:val="77530965"/>
    <w:rsid w:val="775426A3"/>
    <w:rsid w:val="77545064"/>
    <w:rsid w:val="77552164"/>
    <w:rsid w:val="775521E8"/>
    <w:rsid w:val="7755292F"/>
    <w:rsid w:val="77562A05"/>
    <w:rsid w:val="77567F59"/>
    <w:rsid w:val="775733AD"/>
    <w:rsid w:val="77573D8F"/>
    <w:rsid w:val="77577BA7"/>
    <w:rsid w:val="7759006B"/>
    <w:rsid w:val="77596435"/>
    <w:rsid w:val="775C320B"/>
    <w:rsid w:val="775D0D9A"/>
    <w:rsid w:val="775D3592"/>
    <w:rsid w:val="775D3685"/>
    <w:rsid w:val="775D6114"/>
    <w:rsid w:val="775E4AA0"/>
    <w:rsid w:val="775E6DBB"/>
    <w:rsid w:val="775F605A"/>
    <w:rsid w:val="77614A1B"/>
    <w:rsid w:val="77621588"/>
    <w:rsid w:val="776267A9"/>
    <w:rsid w:val="77635A17"/>
    <w:rsid w:val="77642A49"/>
    <w:rsid w:val="77650269"/>
    <w:rsid w:val="77655F80"/>
    <w:rsid w:val="77660C22"/>
    <w:rsid w:val="776706DD"/>
    <w:rsid w:val="77672662"/>
    <w:rsid w:val="77694637"/>
    <w:rsid w:val="77697332"/>
    <w:rsid w:val="776B56DD"/>
    <w:rsid w:val="776C197D"/>
    <w:rsid w:val="776C6449"/>
    <w:rsid w:val="776D768A"/>
    <w:rsid w:val="776E20FD"/>
    <w:rsid w:val="776F3131"/>
    <w:rsid w:val="77705065"/>
    <w:rsid w:val="777525A2"/>
    <w:rsid w:val="7775435B"/>
    <w:rsid w:val="777619DA"/>
    <w:rsid w:val="77763BF1"/>
    <w:rsid w:val="77775393"/>
    <w:rsid w:val="777803CC"/>
    <w:rsid w:val="777B50F8"/>
    <w:rsid w:val="777D18C7"/>
    <w:rsid w:val="777E56AE"/>
    <w:rsid w:val="777F56A8"/>
    <w:rsid w:val="777F6228"/>
    <w:rsid w:val="777F79AC"/>
    <w:rsid w:val="77826B49"/>
    <w:rsid w:val="7783637A"/>
    <w:rsid w:val="7783667F"/>
    <w:rsid w:val="778448FC"/>
    <w:rsid w:val="77851A66"/>
    <w:rsid w:val="77854DE8"/>
    <w:rsid w:val="77870B56"/>
    <w:rsid w:val="77871E70"/>
    <w:rsid w:val="778740D0"/>
    <w:rsid w:val="77895611"/>
    <w:rsid w:val="778C3200"/>
    <w:rsid w:val="778D4E8F"/>
    <w:rsid w:val="778F11D7"/>
    <w:rsid w:val="778F22B8"/>
    <w:rsid w:val="778F46D9"/>
    <w:rsid w:val="779006E8"/>
    <w:rsid w:val="779127FE"/>
    <w:rsid w:val="77916D9F"/>
    <w:rsid w:val="77927C35"/>
    <w:rsid w:val="7794262E"/>
    <w:rsid w:val="77944DB3"/>
    <w:rsid w:val="77952215"/>
    <w:rsid w:val="7795373F"/>
    <w:rsid w:val="77956AE8"/>
    <w:rsid w:val="779804E5"/>
    <w:rsid w:val="7798502C"/>
    <w:rsid w:val="779A6EA7"/>
    <w:rsid w:val="779D2487"/>
    <w:rsid w:val="77A067AA"/>
    <w:rsid w:val="77A21494"/>
    <w:rsid w:val="77A32B70"/>
    <w:rsid w:val="77A42039"/>
    <w:rsid w:val="77A4262A"/>
    <w:rsid w:val="77A450F7"/>
    <w:rsid w:val="77A46B37"/>
    <w:rsid w:val="77A56966"/>
    <w:rsid w:val="77A61018"/>
    <w:rsid w:val="77A8637A"/>
    <w:rsid w:val="77AB00B8"/>
    <w:rsid w:val="77B166B7"/>
    <w:rsid w:val="77B220B9"/>
    <w:rsid w:val="77B23C4D"/>
    <w:rsid w:val="77B25ED5"/>
    <w:rsid w:val="77B305FA"/>
    <w:rsid w:val="77B30CFD"/>
    <w:rsid w:val="77B30EF0"/>
    <w:rsid w:val="77B31E97"/>
    <w:rsid w:val="77B5033B"/>
    <w:rsid w:val="77B83CF4"/>
    <w:rsid w:val="77B97490"/>
    <w:rsid w:val="77BA3014"/>
    <w:rsid w:val="77BA73F5"/>
    <w:rsid w:val="77BA7446"/>
    <w:rsid w:val="77BD1DC3"/>
    <w:rsid w:val="77BE12FE"/>
    <w:rsid w:val="77BE7940"/>
    <w:rsid w:val="77BF22D8"/>
    <w:rsid w:val="77BF32EE"/>
    <w:rsid w:val="77BF3709"/>
    <w:rsid w:val="77BF7B22"/>
    <w:rsid w:val="77C03AD3"/>
    <w:rsid w:val="77C07013"/>
    <w:rsid w:val="77C17F7F"/>
    <w:rsid w:val="77C25FD0"/>
    <w:rsid w:val="77C27A17"/>
    <w:rsid w:val="77C31278"/>
    <w:rsid w:val="77C337A0"/>
    <w:rsid w:val="77C3701D"/>
    <w:rsid w:val="77C9266D"/>
    <w:rsid w:val="77CA0F3F"/>
    <w:rsid w:val="77CA4AE1"/>
    <w:rsid w:val="77CD622B"/>
    <w:rsid w:val="77CD7CCA"/>
    <w:rsid w:val="77CE1AEE"/>
    <w:rsid w:val="77CF0A88"/>
    <w:rsid w:val="77CF4223"/>
    <w:rsid w:val="77D42D73"/>
    <w:rsid w:val="77D4668E"/>
    <w:rsid w:val="77D575CC"/>
    <w:rsid w:val="77D71FB5"/>
    <w:rsid w:val="77D72FD9"/>
    <w:rsid w:val="77D80E87"/>
    <w:rsid w:val="77D85BE9"/>
    <w:rsid w:val="77DB2C37"/>
    <w:rsid w:val="77DC1C50"/>
    <w:rsid w:val="77DD0A6F"/>
    <w:rsid w:val="77DD2444"/>
    <w:rsid w:val="77DE130D"/>
    <w:rsid w:val="77DE5C6C"/>
    <w:rsid w:val="77DF0F7D"/>
    <w:rsid w:val="77DF799B"/>
    <w:rsid w:val="77E44D79"/>
    <w:rsid w:val="77E46167"/>
    <w:rsid w:val="77E54768"/>
    <w:rsid w:val="77E8077A"/>
    <w:rsid w:val="77E81B6F"/>
    <w:rsid w:val="77E91013"/>
    <w:rsid w:val="77EA0FF4"/>
    <w:rsid w:val="77EA4F05"/>
    <w:rsid w:val="77EB060D"/>
    <w:rsid w:val="77EC3EAE"/>
    <w:rsid w:val="77EF7EDE"/>
    <w:rsid w:val="77F21501"/>
    <w:rsid w:val="77F31856"/>
    <w:rsid w:val="77F40FC0"/>
    <w:rsid w:val="77F645BB"/>
    <w:rsid w:val="77F6486C"/>
    <w:rsid w:val="77F754EE"/>
    <w:rsid w:val="77F82BAD"/>
    <w:rsid w:val="77F965A4"/>
    <w:rsid w:val="77FB1A55"/>
    <w:rsid w:val="77FC0FFD"/>
    <w:rsid w:val="77FD1E63"/>
    <w:rsid w:val="77FE6928"/>
    <w:rsid w:val="77FF093E"/>
    <w:rsid w:val="77FF0E2E"/>
    <w:rsid w:val="77FF37F8"/>
    <w:rsid w:val="78004F35"/>
    <w:rsid w:val="7801329A"/>
    <w:rsid w:val="780145A0"/>
    <w:rsid w:val="78014B99"/>
    <w:rsid w:val="7801660F"/>
    <w:rsid w:val="78063A92"/>
    <w:rsid w:val="780665D2"/>
    <w:rsid w:val="780676AD"/>
    <w:rsid w:val="780A17D8"/>
    <w:rsid w:val="780A4BF3"/>
    <w:rsid w:val="780C0F0C"/>
    <w:rsid w:val="780C305C"/>
    <w:rsid w:val="780D5D36"/>
    <w:rsid w:val="780E0071"/>
    <w:rsid w:val="780E1CCC"/>
    <w:rsid w:val="780F6F82"/>
    <w:rsid w:val="780F74AE"/>
    <w:rsid w:val="7810268B"/>
    <w:rsid w:val="78104394"/>
    <w:rsid w:val="78104C7C"/>
    <w:rsid w:val="7811211E"/>
    <w:rsid w:val="78116C47"/>
    <w:rsid w:val="78127C1A"/>
    <w:rsid w:val="78131F51"/>
    <w:rsid w:val="78134A82"/>
    <w:rsid w:val="7816293E"/>
    <w:rsid w:val="781656AE"/>
    <w:rsid w:val="78190D6A"/>
    <w:rsid w:val="781C59C5"/>
    <w:rsid w:val="781D4E4D"/>
    <w:rsid w:val="781D5C45"/>
    <w:rsid w:val="781E5168"/>
    <w:rsid w:val="781F18CC"/>
    <w:rsid w:val="78204025"/>
    <w:rsid w:val="78210A63"/>
    <w:rsid w:val="782142A0"/>
    <w:rsid w:val="78244847"/>
    <w:rsid w:val="782501D4"/>
    <w:rsid w:val="78252051"/>
    <w:rsid w:val="78263959"/>
    <w:rsid w:val="78273C63"/>
    <w:rsid w:val="782E76DA"/>
    <w:rsid w:val="78306BE9"/>
    <w:rsid w:val="78322061"/>
    <w:rsid w:val="78323AE7"/>
    <w:rsid w:val="78327A6D"/>
    <w:rsid w:val="78335A4B"/>
    <w:rsid w:val="78347646"/>
    <w:rsid w:val="78347C3E"/>
    <w:rsid w:val="783519EC"/>
    <w:rsid w:val="783756A9"/>
    <w:rsid w:val="78375FB2"/>
    <w:rsid w:val="783779BD"/>
    <w:rsid w:val="783837E9"/>
    <w:rsid w:val="783A7B1C"/>
    <w:rsid w:val="783B1579"/>
    <w:rsid w:val="783B368A"/>
    <w:rsid w:val="783D0751"/>
    <w:rsid w:val="783E33C3"/>
    <w:rsid w:val="783F018A"/>
    <w:rsid w:val="783F05E8"/>
    <w:rsid w:val="783F1FDD"/>
    <w:rsid w:val="78405A0F"/>
    <w:rsid w:val="7841099E"/>
    <w:rsid w:val="78411E9C"/>
    <w:rsid w:val="78414FEC"/>
    <w:rsid w:val="7842135C"/>
    <w:rsid w:val="78427816"/>
    <w:rsid w:val="78437D52"/>
    <w:rsid w:val="78446CDA"/>
    <w:rsid w:val="78450A96"/>
    <w:rsid w:val="7846163D"/>
    <w:rsid w:val="78464484"/>
    <w:rsid w:val="7848009C"/>
    <w:rsid w:val="784A0F52"/>
    <w:rsid w:val="784B70B3"/>
    <w:rsid w:val="784C0483"/>
    <w:rsid w:val="784C3351"/>
    <w:rsid w:val="784F05C5"/>
    <w:rsid w:val="78503253"/>
    <w:rsid w:val="78506135"/>
    <w:rsid w:val="78514B5D"/>
    <w:rsid w:val="78515F1B"/>
    <w:rsid w:val="78520DC8"/>
    <w:rsid w:val="78537E57"/>
    <w:rsid w:val="785467F0"/>
    <w:rsid w:val="78564944"/>
    <w:rsid w:val="78571A61"/>
    <w:rsid w:val="785726D7"/>
    <w:rsid w:val="78577EF6"/>
    <w:rsid w:val="78586EC6"/>
    <w:rsid w:val="785A2503"/>
    <w:rsid w:val="785A31DA"/>
    <w:rsid w:val="785C0D32"/>
    <w:rsid w:val="785C1883"/>
    <w:rsid w:val="785D0B95"/>
    <w:rsid w:val="785E329A"/>
    <w:rsid w:val="785E5794"/>
    <w:rsid w:val="785F6160"/>
    <w:rsid w:val="78600FE0"/>
    <w:rsid w:val="786065DC"/>
    <w:rsid w:val="78610AE8"/>
    <w:rsid w:val="786170B2"/>
    <w:rsid w:val="78622A94"/>
    <w:rsid w:val="78650103"/>
    <w:rsid w:val="78651DD7"/>
    <w:rsid w:val="786654B9"/>
    <w:rsid w:val="786724D1"/>
    <w:rsid w:val="786A052F"/>
    <w:rsid w:val="786A089F"/>
    <w:rsid w:val="786A3B2F"/>
    <w:rsid w:val="786A42CF"/>
    <w:rsid w:val="786B044C"/>
    <w:rsid w:val="786B1D42"/>
    <w:rsid w:val="786D62EE"/>
    <w:rsid w:val="786E053C"/>
    <w:rsid w:val="786E5865"/>
    <w:rsid w:val="786F5524"/>
    <w:rsid w:val="78700B0A"/>
    <w:rsid w:val="787102CF"/>
    <w:rsid w:val="787140F1"/>
    <w:rsid w:val="78723AD2"/>
    <w:rsid w:val="78732293"/>
    <w:rsid w:val="787351C6"/>
    <w:rsid w:val="78735486"/>
    <w:rsid w:val="7875067D"/>
    <w:rsid w:val="78754565"/>
    <w:rsid w:val="78754BC4"/>
    <w:rsid w:val="7877589A"/>
    <w:rsid w:val="787A0840"/>
    <w:rsid w:val="787B6A4A"/>
    <w:rsid w:val="787B7358"/>
    <w:rsid w:val="787C4B0D"/>
    <w:rsid w:val="787E183B"/>
    <w:rsid w:val="787E5B7D"/>
    <w:rsid w:val="787F3B1A"/>
    <w:rsid w:val="7880366F"/>
    <w:rsid w:val="788106D5"/>
    <w:rsid w:val="78813891"/>
    <w:rsid w:val="78831597"/>
    <w:rsid w:val="7883604A"/>
    <w:rsid w:val="78841255"/>
    <w:rsid w:val="78842A48"/>
    <w:rsid w:val="788511A2"/>
    <w:rsid w:val="78863025"/>
    <w:rsid w:val="78864615"/>
    <w:rsid w:val="788753EC"/>
    <w:rsid w:val="78877869"/>
    <w:rsid w:val="78881461"/>
    <w:rsid w:val="78882909"/>
    <w:rsid w:val="78887209"/>
    <w:rsid w:val="78896F01"/>
    <w:rsid w:val="788A6B02"/>
    <w:rsid w:val="788B2027"/>
    <w:rsid w:val="788B47E5"/>
    <w:rsid w:val="788C1CC7"/>
    <w:rsid w:val="788C3762"/>
    <w:rsid w:val="788F0FD4"/>
    <w:rsid w:val="78915BE9"/>
    <w:rsid w:val="789562E9"/>
    <w:rsid w:val="78964B85"/>
    <w:rsid w:val="78964FAD"/>
    <w:rsid w:val="78966A2D"/>
    <w:rsid w:val="789743DB"/>
    <w:rsid w:val="78990A2A"/>
    <w:rsid w:val="78992DB8"/>
    <w:rsid w:val="789A50BD"/>
    <w:rsid w:val="789B02C4"/>
    <w:rsid w:val="789B4DD0"/>
    <w:rsid w:val="789B5566"/>
    <w:rsid w:val="789C18CD"/>
    <w:rsid w:val="789C4580"/>
    <w:rsid w:val="789D20D7"/>
    <w:rsid w:val="789D27E0"/>
    <w:rsid w:val="789D636F"/>
    <w:rsid w:val="789E1292"/>
    <w:rsid w:val="789E18A0"/>
    <w:rsid w:val="789F48FF"/>
    <w:rsid w:val="78A03E6F"/>
    <w:rsid w:val="78A042CE"/>
    <w:rsid w:val="78A07F0B"/>
    <w:rsid w:val="78A11C86"/>
    <w:rsid w:val="78A21A31"/>
    <w:rsid w:val="78A24752"/>
    <w:rsid w:val="78A336E2"/>
    <w:rsid w:val="78A47420"/>
    <w:rsid w:val="78A53442"/>
    <w:rsid w:val="78A547E4"/>
    <w:rsid w:val="78A64FF4"/>
    <w:rsid w:val="78A65009"/>
    <w:rsid w:val="78A839A5"/>
    <w:rsid w:val="78A8607C"/>
    <w:rsid w:val="78A90613"/>
    <w:rsid w:val="78A90ED6"/>
    <w:rsid w:val="78AA2D93"/>
    <w:rsid w:val="78AA5E5A"/>
    <w:rsid w:val="78AB1B8B"/>
    <w:rsid w:val="78AC4CE3"/>
    <w:rsid w:val="78AE23E1"/>
    <w:rsid w:val="78B036B5"/>
    <w:rsid w:val="78B07F7F"/>
    <w:rsid w:val="78B1410D"/>
    <w:rsid w:val="78B23572"/>
    <w:rsid w:val="78B34B4F"/>
    <w:rsid w:val="78B37525"/>
    <w:rsid w:val="78B4063B"/>
    <w:rsid w:val="78B43AA8"/>
    <w:rsid w:val="78B507B8"/>
    <w:rsid w:val="78B52377"/>
    <w:rsid w:val="78B566C3"/>
    <w:rsid w:val="78B81067"/>
    <w:rsid w:val="78B947CE"/>
    <w:rsid w:val="78B97F48"/>
    <w:rsid w:val="78BA01A7"/>
    <w:rsid w:val="78BB2B68"/>
    <w:rsid w:val="78BC22DE"/>
    <w:rsid w:val="78BC3B28"/>
    <w:rsid w:val="78BC6875"/>
    <w:rsid w:val="78BE6A89"/>
    <w:rsid w:val="78BE73A7"/>
    <w:rsid w:val="78BE76EF"/>
    <w:rsid w:val="78BF4848"/>
    <w:rsid w:val="78C1103C"/>
    <w:rsid w:val="78C12087"/>
    <w:rsid w:val="78C32DF3"/>
    <w:rsid w:val="78C35CED"/>
    <w:rsid w:val="78C41E28"/>
    <w:rsid w:val="78C4730E"/>
    <w:rsid w:val="78C55AC4"/>
    <w:rsid w:val="78C67884"/>
    <w:rsid w:val="78C775F8"/>
    <w:rsid w:val="78C7794A"/>
    <w:rsid w:val="78C860E9"/>
    <w:rsid w:val="78C87D15"/>
    <w:rsid w:val="78CD332C"/>
    <w:rsid w:val="78CF22AE"/>
    <w:rsid w:val="78D166ED"/>
    <w:rsid w:val="78D4029C"/>
    <w:rsid w:val="78D51A0B"/>
    <w:rsid w:val="78D81F60"/>
    <w:rsid w:val="78D92D9D"/>
    <w:rsid w:val="78DB48C0"/>
    <w:rsid w:val="78DC03E0"/>
    <w:rsid w:val="78DC2963"/>
    <w:rsid w:val="78DC3963"/>
    <w:rsid w:val="78DD5B67"/>
    <w:rsid w:val="78DD651D"/>
    <w:rsid w:val="78DE5CA1"/>
    <w:rsid w:val="78E00BBD"/>
    <w:rsid w:val="78E0237B"/>
    <w:rsid w:val="78E026EC"/>
    <w:rsid w:val="78E17A84"/>
    <w:rsid w:val="78E262AA"/>
    <w:rsid w:val="78E2639F"/>
    <w:rsid w:val="78E3423B"/>
    <w:rsid w:val="78E47EC9"/>
    <w:rsid w:val="78E54693"/>
    <w:rsid w:val="78E701E2"/>
    <w:rsid w:val="78E749B9"/>
    <w:rsid w:val="78E8332F"/>
    <w:rsid w:val="78E97AE0"/>
    <w:rsid w:val="78EA572D"/>
    <w:rsid w:val="78EB6F9B"/>
    <w:rsid w:val="78EC7DD5"/>
    <w:rsid w:val="78EF6D8E"/>
    <w:rsid w:val="78F20125"/>
    <w:rsid w:val="78F272D3"/>
    <w:rsid w:val="78F43471"/>
    <w:rsid w:val="78F44B45"/>
    <w:rsid w:val="78F51F35"/>
    <w:rsid w:val="78F52FF0"/>
    <w:rsid w:val="78F577D6"/>
    <w:rsid w:val="78F6793A"/>
    <w:rsid w:val="78F7389F"/>
    <w:rsid w:val="78FA55D9"/>
    <w:rsid w:val="78FA6F41"/>
    <w:rsid w:val="78FD3FB5"/>
    <w:rsid w:val="78FD4FB0"/>
    <w:rsid w:val="78FE280F"/>
    <w:rsid w:val="78FE5400"/>
    <w:rsid w:val="78FF389C"/>
    <w:rsid w:val="78FF6EBD"/>
    <w:rsid w:val="78FF7D1F"/>
    <w:rsid w:val="790126BE"/>
    <w:rsid w:val="790213CD"/>
    <w:rsid w:val="790263C0"/>
    <w:rsid w:val="79041783"/>
    <w:rsid w:val="79047BBA"/>
    <w:rsid w:val="790C1FC0"/>
    <w:rsid w:val="790C6A07"/>
    <w:rsid w:val="790D4E51"/>
    <w:rsid w:val="790E0191"/>
    <w:rsid w:val="7910635B"/>
    <w:rsid w:val="79111D3E"/>
    <w:rsid w:val="79150504"/>
    <w:rsid w:val="791735C5"/>
    <w:rsid w:val="79175A83"/>
    <w:rsid w:val="791809BA"/>
    <w:rsid w:val="79186567"/>
    <w:rsid w:val="79195000"/>
    <w:rsid w:val="791956B9"/>
    <w:rsid w:val="791A6763"/>
    <w:rsid w:val="791A76DD"/>
    <w:rsid w:val="791D25A1"/>
    <w:rsid w:val="791D76EB"/>
    <w:rsid w:val="791F093A"/>
    <w:rsid w:val="792333C4"/>
    <w:rsid w:val="792610BA"/>
    <w:rsid w:val="79264F96"/>
    <w:rsid w:val="79266F6A"/>
    <w:rsid w:val="79267091"/>
    <w:rsid w:val="792750A4"/>
    <w:rsid w:val="7927654D"/>
    <w:rsid w:val="79285084"/>
    <w:rsid w:val="7929000A"/>
    <w:rsid w:val="792B1B49"/>
    <w:rsid w:val="792C3693"/>
    <w:rsid w:val="792C5288"/>
    <w:rsid w:val="792E2436"/>
    <w:rsid w:val="793046C3"/>
    <w:rsid w:val="79315B77"/>
    <w:rsid w:val="79320804"/>
    <w:rsid w:val="793272CB"/>
    <w:rsid w:val="793411D7"/>
    <w:rsid w:val="79346CDA"/>
    <w:rsid w:val="79346CE8"/>
    <w:rsid w:val="79352A5A"/>
    <w:rsid w:val="7935676A"/>
    <w:rsid w:val="79356870"/>
    <w:rsid w:val="7937579A"/>
    <w:rsid w:val="79382FC6"/>
    <w:rsid w:val="7938330C"/>
    <w:rsid w:val="79386BD9"/>
    <w:rsid w:val="79387E41"/>
    <w:rsid w:val="793A7459"/>
    <w:rsid w:val="793B1CD9"/>
    <w:rsid w:val="793B26B3"/>
    <w:rsid w:val="793C0112"/>
    <w:rsid w:val="793D1AE2"/>
    <w:rsid w:val="793D595C"/>
    <w:rsid w:val="79400B29"/>
    <w:rsid w:val="79466A1E"/>
    <w:rsid w:val="7947274B"/>
    <w:rsid w:val="79474221"/>
    <w:rsid w:val="79477D7E"/>
    <w:rsid w:val="79487ECC"/>
    <w:rsid w:val="794A1C79"/>
    <w:rsid w:val="794A334B"/>
    <w:rsid w:val="794C6E73"/>
    <w:rsid w:val="794D3977"/>
    <w:rsid w:val="794F05D6"/>
    <w:rsid w:val="794F37FD"/>
    <w:rsid w:val="795036D1"/>
    <w:rsid w:val="79505EAF"/>
    <w:rsid w:val="79522E18"/>
    <w:rsid w:val="79527366"/>
    <w:rsid w:val="79531605"/>
    <w:rsid w:val="79537334"/>
    <w:rsid w:val="79545E18"/>
    <w:rsid w:val="7956194D"/>
    <w:rsid w:val="79563993"/>
    <w:rsid w:val="79581809"/>
    <w:rsid w:val="79584959"/>
    <w:rsid w:val="79585EBD"/>
    <w:rsid w:val="79591A23"/>
    <w:rsid w:val="79594170"/>
    <w:rsid w:val="795976DC"/>
    <w:rsid w:val="795B1F43"/>
    <w:rsid w:val="795C7B7B"/>
    <w:rsid w:val="795D1124"/>
    <w:rsid w:val="795D1207"/>
    <w:rsid w:val="795E27AC"/>
    <w:rsid w:val="795E2981"/>
    <w:rsid w:val="795F2A68"/>
    <w:rsid w:val="795F7A95"/>
    <w:rsid w:val="796018EE"/>
    <w:rsid w:val="79603574"/>
    <w:rsid w:val="796073DD"/>
    <w:rsid w:val="7961500A"/>
    <w:rsid w:val="796220DF"/>
    <w:rsid w:val="79624670"/>
    <w:rsid w:val="79646921"/>
    <w:rsid w:val="796729D7"/>
    <w:rsid w:val="79682670"/>
    <w:rsid w:val="7968678D"/>
    <w:rsid w:val="79687A85"/>
    <w:rsid w:val="79690C1E"/>
    <w:rsid w:val="796B01E8"/>
    <w:rsid w:val="796B1246"/>
    <w:rsid w:val="796F40C5"/>
    <w:rsid w:val="79711E63"/>
    <w:rsid w:val="79724CD5"/>
    <w:rsid w:val="79725C3D"/>
    <w:rsid w:val="79731570"/>
    <w:rsid w:val="79733B94"/>
    <w:rsid w:val="79752F25"/>
    <w:rsid w:val="79753ABE"/>
    <w:rsid w:val="79753DF9"/>
    <w:rsid w:val="79762A9F"/>
    <w:rsid w:val="79771D1C"/>
    <w:rsid w:val="797812CF"/>
    <w:rsid w:val="7978135B"/>
    <w:rsid w:val="79781B5D"/>
    <w:rsid w:val="7978347E"/>
    <w:rsid w:val="79797043"/>
    <w:rsid w:val="797C0647"/>
    <w:rsid w:val="797C6337"/>
    <w:rsid w:val="797D0BB3"/>
    <w:rsid w:val="797D5D40"/>
    <w:rsid w:val="797D7191"/>
    <w:rsid w:val="797E3479"/>
    <w:rsid w:val="797E598C"/>
    <w:rsid w:val="79804CC4"/>
    <w:rsid w:val="79821325"/>
    <w:rsid w:val="79834703"/>
    <w:rsid w:val="798400DB"/>
    <w:rsid w:val="79850707"/>
    <w:rsid w:val="798600BC"/>
    <w:rsid w:val="79865022"/>
    <w:rsid w:val="79865250"/>
    <w:rsid w:val="79865A38"/>
    <w:rsid w:val="79870D9A"/>
    <w:rsid w:val="79884072"/>
    <w:rsid w:val="798D23F1"/>
    <w:rsid w:val="798E0A34"/>
    <w:rsid w:val="798E3442"/>
    <w:rsid w:val="798F3CCA"/>
    <w:rsid w:val="79902B09"/>
    <w:rsid w:val="79914328"/>
    <w:rsid w:val="79927B39"/>
    <w:rsid w:val="79933A16"/>
    <w:rsid w:val="7993583E"/>
    <w:rsid w:val="7994097C"/>
    <w:rsid w:val="7994294B"/>
    <w:rsid w:val="799560A3"/>
    <w:rsid w:val="7997637C"/>
    <w:rsid w:val="799935FE"/>
    <w:rsid w:val="79994D6B"/>
    <w:rsid w:val="799B2AC7"/>
    <w:rsid w:val="799B5B4D"/>
    <w:rsid w:val="799B5F37"/>
    <w:rsid w:val="799B6D02"/>
    <w:rsid w:val="799C45F5"/>
    <w:rsid w:val="799D7CCC"/>
    <w:rsid w:val="79A3542C"/>
    <w:rsid w:val="79A36E5D"/>
    <w:rsid w:val="79A3758C"/>
    <w:rsid w:val="79A43713"/>
    <w:rsid w:val="79A46575"/>
    <w:rsid w:val="79A54E5D"/>
    <w:rsid w:val="79A61220"/>
    <w:rsid w:val="79A703CF"/>
    <w:rsid w:val="79A715FD"/>
    <w:rsid w:val="79A870CE"/>
    <w:rsid w:val="79A96A11"/>
    <w:rsid w:val="79A978C7"/>
    <w:rsid w:val="79AA2136"/>
    <w:rsid w:val="79AA2F42"/>
    <w:rsid w:val="79AA7B32"/>
    <w:rsid w:val="79AB1C7A"/>
    <w:rsid w:val="79AC2711"/>
    <w:rsid w:val="79AE27CB"/>
    <w:rsid w:val="79AE2CA9"/>
    <w:rsid w:val="79AF118D"/>
    <w:rsid w:val="79AF5D8D"/>
    <w:rsid w:val="79B03C07"/>
    <w:rsid w:val="79B07EED"/>
    <w:rsid w:val="79B1639C"/>
    <w:rsid w:val="79B310D4"/>
    <w:rsid w:val="79B32A3B"/>
    <w:rsid w:val="79B54748"/>
    <w:rsid w:val="79B57A48"/>
    <w:rsid w:val="79B64E05"/>
    <w:rsid w:val="79B650E5"/>
    <w:rsid w:val="79B71C3B"/>
    <w:rsid w:val="79B71F39"/>
    <w:rsid w:val="79B817D5"/>
    <w:rsid w:val="79B828A9"/>
    <w:rsid w:val="79B87DF1"/>
    <w:rsid w:val="79B96185"/>
    <w:rsid w:val="79BA2830"/>
    <w:rsid w:val="79BB0557"/>
    <w:rsid w:val="79BD6C97"/>
    <w:rsid w:val="79BE1778"/>
    <w:rsid w:val="79BF00EA"/>
    <w:rsid w:val="79BF20BA"/>
    <w:rsid w:val="79C135E0"/>
    <w:rsid w:val="79C73613"/>
    <w:rsid w:val="79C82AB9"/>
    <w:rsid w:val="79C952F3"/>
    <w:rsid w:val="79CB074F"/>
    <w:rsid w:val="79CB0A5E"/>
    <w:rsid w:val="79CB176B"/>
    <w:rsid w:val="79CC2D68"/>
    <w:rsid w:val="79CD2C51"/>
    <w:rsid w:val="79CE4958"/>
    <w:rsid w:val="79CE7CE3"/>
    <w:rsid w:val="79CF000F"/>
    <w:rsid w:val="79D03FEC"/>
    <w:rsid w:val="79D05E99"/>
    <w:rsid w:val="79D062B6"/>
    <w:rsid w:val="79D208CB"/>
    <w:rsid w:val="79D260A6"/>
    <w:rsid w:val="79D278C5"/>
    <w:rsid w:val="79D361DF"/>
    <w:rsid w:val="79D46EA0"/>
    <w:rsid w:val="79D555FB"/>
    <w:rsid w:val="79D70304"/>
    <w:rsid w:val="79D875F7"/>
    <w:rsid w:val="79D92625"/>
    <w:rsid w:val="79D96F2F"/>
    <w:rsid w:val="79DA1BBC"/>
    <w:rsid w:val="79DD1489"/>
    <w:rsid w:val="79E02426"/>
    <w:rsid w:val="79E04A68"/>
    <w:rsid w:val="79E2066E"/>
    <w:rsid w:val="79E35781"/>
    <w:rsid w:val="79E506CE"/>
    <w:rsid w:val="79E53B28"/>
    <w:rsid w:val="79E613DA"/>
    <w:rsid w:val="79E644D3"/>
    <w:rsid w:val="79E716E9"/>
    <w:rsid w:val="79E765E7"/>
    <w:rsid w:val="79E800A3"/>
    <w:rsid w:val="79E9735F"/>
    <w:rsid w:val="79EC105D"/>
    <w:rsid w:val="79EC3F88"/>
    <w:rsid w:val="79ED0747"/>
    <w:rsid w:val="79ED2915"/>
    <w:rsid w:val="79EE056D"/>
    <w:rsid w:val="79EE0E19"/>
    <w:rsid w:val="79F06863"/>
    <w:rsid w:val="79F23622"/>
    <w:rsid w:val="79F31787"/>
    <w:rsid w:val="79F35E31"/>
    <w:rsid w:val="79F46A41"/>
    <w:rsid w:val="79F60AA7"/>
    <w:rsid w:val="79F62F26"/>
    <w:rsid w:val="79F67586"/>
    <w:rsid w:val="79F71A16"/>
    <w:rsid w:val="79F77CCE"/>
    <w:rsid w:val="79F80E0C"/>
    <w:rsid w:val="79F8124A"/>
    <w:rsid w:val="79F9095E"/>
    <w:rsid w:val="79FA126D"/>
    <w:rsid w:val="79FA6180"/>
    <w:rsid w:val="79FD55D7"/>
    <w:rsid w:val="79FE1646"/>
    <w:rsid w:val="79FE5FA0"/>
    <w:rsid w:val="79FF6C01"/>
    <w:rsid w:val="7A016A4A"/>
    <w:rsid w:val="7A020420"/>
    <w:rsid w:val="7A0207AA"/>
    <w:rsid w:val="7A03317A"/>
    <w:rsid w:val="7A0377FC"/>
    <w:rsid w:val="7A040964"/>
    <w:rsid w:val="7A044CF9"/>
    <w:rsid w:val="7A045369"/>
    <w:rsid w:val="7A0601E0"/>
    <w:rsid w:val="7A067DA1"/>
    <w:rsid w:val="7A077E74"/>
    <w:rsid w:val="7A08323E"/>
    <w:rsid w:val="7A09673C"/>
    <w:rsid w:val="7A0A4C33"/>
    <w:rsid w:val="7A0A5115"/>
    <w:rsid w:val="7A0B3FC6"/>
    <w:rsid w:val="7A0D4C04"/>
    <w:rsid w:val="7A0D6D5D"/>
    <w:rsid w:val="7A0E2C05"/>
    <w:rsid w:val="7A0F1A35"/>
    <w:rsid w:val="7A0F28A7"/>
    <w:rsid w:val="7A0F3C1A"/>
    <w:rsid w:val="7A114FAA"/>
    <w:rsid w:val="7A115E87"/>
    <w:rsid w:val="7A120951"/>
    <w:rsid w:val="7A12130C"/>
    <w:rsid w:val="7A1310ED"/>
    <w:rsid w:val="7A170FDF"/>
    <w:rsid w:val="7A1A3233"/>
    <w:rsid w:val="7A1A42C3"/>
    <w:rsid w:val="7A1A45C8"/>
    <w:rsid w:val="7A1A7EFD"/>
    <w:rsid w:val="7A1C33A5"/>
    <w:rsid w:val="7A1C3AD4"/>
    <w:rsid w:val="7A1D0AD9"/>
    <w:rsid w:val="7A1D50FA"/>
    <w:rsid w:val="7A1E1412"/>
    <w:rsid w:val="7A1E4535"/>
    <w:rsid w:val="7A24336E"/>
    <w:rsid w:val="7A251CE6"/>
    <w:rsid w:val="7A252A39"/>
    <w:rsid w:val="7A253F8B"/>
    <w:rsid w:val="7A257D8F"/>
    <w:rsid w:val="7A267A32"/>
    <w:rsid w:val="7A280787"/>
    <w:rsid w:val="7A281984"/>
    <w:rsid w:val="7A285D01"/>
    <w:rsid w:val="7A287978"/>
    <w:rsid w:val="7A2B2F93"/>
    <w:rsid w:val="7A2C1005"/>
    <w:rsid w:val="7A2E09D3"/>
    <w:rsid w:val="7A2E5C05"/>
    <w:rsid w:val="7A2F4AA7"/>
    <w:rsid w:val="7A3135A3"/>
    <w:rsid w:val="7A31383C"/>
    <w:rsid w:val="7A334968"/>
    <w:rsid w:val="7A334C81"/>
    <w:rsid w:val="7A342A24"/>
    <w:rsid w:val="7A355650"/>
    <w:rsid w:val="7A361710"/>
    <w:rsid w:val="7A361B1A"/>
    <w:rsid w:val="7A363950"/>
    <w:rsid w:val="7A386FBB"/>
    <w:rsid w:val="7A38758E"/>
    <w:rsid w:val="7A3D1A03"/>
    <w:rsid w:val="7A3D3C61"/>
    <w:rsid w:val="7A3D5D58"/>
    <w:rsid w:val="7A3E56A9"/>
    <w:rsid w:val="7A3E672D"/>
    <w:rsid w:val="7A404BCA"/>
    <w:rsid w:val="7A4057DB"/>
    <w:rsid w:val="7A4126AD"/>
    <w:rsid w:val="7A41571C"/>
    <w:rsid w:val="7A43614F"/>
    <w:rsid w:val="7A443F87"/>
    <w:rsid w:val="7A462D53"/>
    <w:rsid w:val="7A463A07"/>
    <w:rsid w:val="7A4665F2"/>
    <w:rsid w:val="7A470BF8"/>
    <w:rsid w:val="7A4756CA"/>
    <w:rsid w:val="7A476A5D"/>
    <w:rsid w:val="7A4804DC"/>
    <w:rsid w:val="7A486C2C"/>
    <w:rsid w:val="7A49619D"/>
    <w:rsid w:val="7A4A24F3"/>
    <w:rsid w:val="7A4A3AED"/>
    <w:rsid w:val="7A4A5953"/>
    <w:rsid w:val="7A4C3560"/>
    <w:rsid w:val="7A4C4CAC"/>
    <w:rsid w:val="7A4C5370"/>
    <w:rsid w:val="7A4C75E8"/>
    <w:rsid w:val="7A4E440D"/>
    <w:rsid w:val="7A4F2DCE"/>
    <w:rsid w:val="7A505860"/>
    <w:rsid w:val="7A506AAE"/>
    <w:rsid w:val="7A51783D"/>
    <w:rsid w:val="7A520E43"/>
    <w:rsid w:val="7A524604"/>
    <w:rsid w:val="7A527747"/>
    <w:rsid w:val="7A547C96"/>
    <w:rsid w:val="7A55444B"/>
    <w:rsid w:val="7A5654BD"/>
    <w:rsid w:val="7A565B93"/>
    <w:rsid w:val="7A575838"/>
    <w:rsid w:val="7A58111A"/>
    <w:rsid w:val="7A585C9B"/>
    <w:rsid w:val="7A595743"/>
    <w:rsid w:val="7A5A3B7E"/>
    <w:rsid w:val="7A5A42AB"/>
    <w:rsid w:val="7A5B1EA2"/>
    <w:rsid w:val="7A5B5320"/>
    <w:rsid w:val="7A5B66DE"/>
    <w:rsid w:val="7A5B6F86"/>
    <w:rsid w:val="7A5C2BED"/>
    <w:rsid w:val="7A5C6719"/>
    <w:rsid w:val="7A5F79FE"/>
    <w:rsid w:val="7A61184A"/>
    <w:rsid w:val="7A621B20"/>
    <w:rsid w:val="7A632824"/>
    <w:rsid w:val="7A653EBE"/>
    <w:rsid w:val="7A663A3C"/>
    <w:rsid w:val="7A665A03"/>
    <w:rsid w:val="7A667B3D"/>
    <w:rsid w:val="7A6724B2"/>
    <w:rsid w:val="7A672B0B"/>
    <w:rsid w:val="7A6743B3"/>
    <w:rsid w:val="7A68547A"/>
    <w:rsid w:val="7A6901BB"/>
    <w:rsid w:val="7A6A0D8F"/>
    <w:rsid w:val="7A6A1644"/>
    <w:rsid w:val="7A6B4D67"/>
    <w:rsid w:val="7A6C1306"/>
    <w:rsid w:val="7A6C6D03"/>
    <w:rsid w:val="7A6D59A5"/>
    <w:rsid w:val="7A6E0ADF"/>
    <w:rsid w:val="7A6E32C3"/>
    <w:rsid w:val="7A7122E1"/>
    <w:rsid w:val="7A7148BF"/>
    <w:rsid w:val="7A7565FD"/>
    <w:rsid w:val="7A7604FD"/>
    <w:rsid w:val="7A777E1B"/>
    <w:rsid w:val="7A780565"/>
    <w:rsid w:val="7A7A5095"/>
    <w:rsid w:val="7A7A681E"/>
    <w:rsid w:val="7A7B7C46"/>
    <w:rsid w:val="7A7C2F18"/>
    <w:rsid w:val="7A7C768C"/>
    <w:rsid w:val="7A7C7B21"/>
    <w:rsid w:val="7A7E6504"/>
    <w:rsid w:val="7A805013"/>
    <w:rsid w:val="7A8205C6"/>
    <w:rsid w:val="7A8343C2"/>
    <w:rsid w:val="7A843D68"/>
    <w:rsid w:val="7A8479FF"/>
    <w:rsid w:val="7A855EB6"/>
    <w:rsid w:val="7A883B04"/>
    <w:rsid w:val="7A88432E"/>
    <w:rsid w:val="7A8A3D8E"/>
    <w:rsid w:val="7A8E5115"/>
    <w:rsid w:val="7A8F0D46"/>
    <w:rsid w:val="7A902A36"/>
    <w:rsid w:val="7A902F4D"/>
    <w:rsid w:val="7A921CAF"/>
    <w:rsid w:val="7A936FE8"/>
    <w:rsid w:val="7A9567FE"/>
    <w:rsid w:val="7A9607B4"/>
    <w:rsid w:val="7A961BCF"/>
    <w:rsid w:val="7A964F20"/>
    <w:rsid w:val="7A972E8B"/>
    <w:rsid w:val="7A9924E2"/>
    <w:rsid w:val="7A993343"/>
    <w:rsid w:val="7A9A581F"/>
    <w:rsid w:val="7A9B75AC"/>
    <w:rsid w:val="7A9D5DCD"/>
    <w:rsid w:val="7A9F5131"/>
    <w:rsid w:val="7AA05E42"/>
    <w:rsid w:val="7AA06A02"/>
    <w:rsid w:val="7AA33786"/>
    <w:rsid w:val="7AA47F87"/>
    <w:rsid w:val="7AA52512"/>
    <w:rsid w:val="7AA73A6E"/>
    <w:rsid w:val="7AA81CD2"/>
    <w:rsid w:val="7AA840AE"/>
    <w:rsid w:val="7AA9154F"/>
    <w:rsid w:val="7AAB7EA4"/>
    <w:rsid w:val="7AAC7C86"/>
    <w:rsid w:val="7AAD65DE"/>
    <w:rsid w:val="7AB01E25"/>
    <w:rsid w:val="7AB21210"/>
    <w:rsid w:val="7AB2290E"/>
    <w:rsid w:val="7AB32E9F"/>
    <w:rsid w:val="7AB41075"/>
    <w:rsid w:val="7AB42CD5"/>
    <w:rsid w:val="7AB64168"/>
    <w:rsid w:val="7AB67C96"/>
    <w:rsid w:val="7AB94C9B"/>
    <w:rsid w:val="7AB94DEB"/>
    <w:rsid w:val="7ABB4A97"/>
    <w:rsid w:val="7ABB4CE1"/>
    <w:rsid w:val="7ABC3483"/>
    <w:rsid w:val="7ABD031A"/>
    <w:rsid w:val="7ABD0719"/>
    <w:rsid w:val="7ABD2F5F"/>
    <w:rsid w:val="7AC13E70"/>
    <w:rsid w:val="7AC21252"/>
    <w:rsid w:val="7AC24C8C"/>
    <w:rsid w:val="7AC311B2"/>
    <w:rsid w:val="7AC34691"/>
    <w:rsid w:val="7AC473A6"/>
    <w:rsid w:val="7AC52F93"/>
    <w:rsid w:val="7AC63717"/>
    <w:rsid w:val="7AC725ED"/>
    <w:rsid w:val="7AC778A8"/>
    <w:rsid w:val="7AC77C1E"/>
    <w:rsid w:val="7ACA371D"/>
    <w:rsid w:val="7ACC44F6"/>
    <w:rsid w:val="7ACC628F"/>
    <w:rsid w:val="7ACE2E75"/>
    <w:rsid w:val="7AD02109"/>
    <w:rsid w:val="7AD10607"/>
    <w:rsid w:val="7AD146B9"/>
    <w:rsid w:val="7AD22D23"/>
    <w:rsid w:val="7AD346BB"/>
    <w:rsid w:val="7AD3647C"/>
    <w:rsid w:val="7AD40748"/>
    <w:rsid w:val="7AD42E52"/>
    <w:rsid w:val="7AD47DE5"/>
    <w:rsid w:val="7AD54C5E"/>
    <w:rsid w:val="7AD57BBA"/>
    <w:rsid w:val="7AD74B8F"/>
    <w:rsid w:val="7AD76E04"/>
    <w:rsid w:val="7AD91E30"/>
    <w:rsid w:val="7ADA2D65"/>
    <w:rsid w:val="7ADC607B"/>
    <w:rsid w:val="7ADD588C"/>
    <w:rsid w:val="7ADE292F"/>
    <w:rsid w:val="7AE35448"/>
    <w:rsid w:val="7AE402CF"/>
    <w:rsid w:val="7AE53FCA"/>
    <w:rsid w:val="7AE56D8F"/>
    <w:rsid w:val="7AE64FA5"/>
    <w:rsid w:val="7AE64FB1"/>
    <w:rsid w:val="7AE83AA3"/>
    <w:rsid w:val="7AEC32A5"/>
    <w:rsid w:val="7AED01D3"/>
    <w:rsid w:val="7AED72D3"/>
    <w:rsid w:val="7AEE331D"/>
    <w:rsid w:val="7AEE6B45"/>
    <w:rsid w:val="7AEE791A"/>
    <w:rsid w:val="7AEF0410"/>
    <w:rsid w:val="7AEF7FFE"/>
    <w:rsid w:val="7AF03394"/>
    <w:rsid w:val="7AF11282"/>
    <w:rsid w:val="7AF274BF"/>
    <w:rsid w:val="7AF52987"/>
    <w:rsid w:val="7AF54A96"/>
    <w:rsid w:val="7AF572ED"/>
    <w:rsid w:val="7AF705EC"/>
    <w:rsid w:val="7AF70C7A"/>
    <w:rsid w:val="7AF84141"/>
    <w:rsid w:val="7AF86F33"/>
    <w:rsid w:val="7AFB7C72"/>
    <w:rsid w:val="7AFD3D31"/>
    <w:rsid w:val="7AFE2BEB"/>
    <w:rsid w:val="7AFE4B20"/>
    <w:rsid w:val="7B011DBE"/>
    <w:rsid w:val="7B012ACF"/>
    <w:rsid w:val="7B0229E3"/>
    <w:rsid w:val="7B02621F"/>
    <w:rsid w:val="7B041D9F"/>
    <w:rsid w:val="7B052964"/>
    <w:rsid w:val="7B06425A"/>
    <w:rsid w:val="7B087220"/>
    <w:rsid w:val="7B093188"/>
    <w:rsid w:val="7B0A590E"/>
    <w:rsid w:val="7B0A7B5D"/>
    <w:rsid w:val="7B0C46B2"/>
    <w:rsid w:val="7B0D1B4C"/>
    <w:rsid w:val="7B0D471E"/>
    <w:rsid w:val="7B0E74AD"/>
    <w:rsid w:val="7B0F445A"/>
    <w:rsid w:val="7B104161"/>
    <w:rsid w:val="7B104A91"/>
    <w:rsid w:val="7B127830"/>
    <w:rsid w:val="7B131A11"/>
    <w:rsid w:val="7B137FBC"/>
    <w:rsid w:val="7B142CD1"/>
    <w:rsid w:val="7B157428"/>
    <w:rsid w:val="7B166F11"/>
    <w:rsid w:val="7B176F55"/>
    <w:rsid w:val="7B1774D6"/>
    <w:rsid w:val="7B185AA3"/>
    <w:rsid w:val="7B191B47"/>
    <w:rsid w:val="7B1A07AE"/>
    <w:rsid w:val="7B1B48DA"/>
    <w:rsid w:val="7B1D0134"/>
    <w:rsid w:val="7B1E24AD"/>
    <w:rsid w:val="7B1E490F"/>
    <w:rsid w:val="7B1F06A2"/>
    <w:rsid w:val="7B1F572E"/>
    <w:rsid w:val="7B203F37"/>
    <w:rsid w:val="7B21314B"/>
    <w:rsid w:val="7B2141EF"/>
    <w:rsid w:val="7B220B4B"/>
    <w:rsid w:val="7B232B5A"/>
    <w:rsid w:val="7B240339"/>
    <w:rsid w:val="7B2443D3"/>
    <w:rsid w:val="7B263B6A"/>
    <w:rsid w:val="7B277314"/>
    <w:rsid w:val="7B286179"/>
    <w:rsid w:val="7B2965AD"/>
    <w:rsid w:val="7B2A3283"/>
    <w:rsid w:val="7B2A3E68"/>
    <w:rsid w:val="7B2A5D51"/>
    <w:rsid w:val="7B2A644D"/>
    <w:rsid w:val="7B2B6206"/>
    <w:rsid w:val="7B2D4975"/>
    <w:rsid w:val="7B2D7EB3"/>
    <w:rsid w:val="7B306478"/>
    <w:rsid w:val="7B315957"/>
    <w:rsid w:val="7B323818"/>
    <w:rsid w:val="7B3269DC"/>
    <w:rsid w:val="7B3510AD"/>
    <w:rsid w:val="7B361DC4"/>
    <w:rsid w:val="7B365AED"/>
    <w:rsid w:val="7B374C25"/>
    <w:rsid w:val="7B38064C"/>
    <w:rsid w:val="7B381317"/>
    <w:rsid w:val="7B393988"/>
    <w:rsid w:val="7B396D2B"/>
    <w:rsid w:val="7B3A7970"/>
    <w:rsid w:val="7B3B32DD"/>
    <w:rsid w:val="7B3B32E3"/>
    <w:rsid w:val="7B3B6812"/>
    <w:rsid w:val="7B3B78A1"/>
    <w:rsid w:val="7B3C788B"/>
    <w:rsid w:val="7B3D3CAA"/>
    <w:rsid w:val="7B3D4724"/>
    <w:rsid w:val="7B3F0F53"/>
    <w:rsid w:val="7B401928"/>
    <w:rsid w:val="7B406D08"/>
    <w:rsid w:val="7B414F1D"/>
    <w:rsid w:val="7B426A2C"/>
    <w:rsid w:val="7B426DA1"/>
    <w:rsid w:val="7B447152"/>
    <w:rsid w:val="7B450B00"/>
    <w:rsid w:val="7B4852A1"/>
    <w:rsid w:val="7B485AA0"/>
    <w:rsid w:val="7B496A4C"/>
    <w:rsid w:val="7B4D26F8"/>
    <w:rsid w:val="7B4E7D4E"/>
    <w:rsid w:val="7B510028"/>
    <w:rsid w:val="7B5139CE"/>
    <w:rsid w:val="7B51434F"/>
    <w:rsid w:val="7B524F26"/>
    <w:rsid w:val="7B543766"/>
    <w:rsid w:val="7B550096"/>
    <w:rsid w:val="7B550169"/>
    <w:rsid w:val="7B556791"/>
    <w:rsid w:val="7B557439"/>
    <w:rsid w:val="7B566FEB"/>
    <w:rsid w:val="7B581CA0"/>
    <w:rsid w:val="7B5919EC"/>
    <w:rsid w:val="7B5A4330"/>
    <w:rsid w:val="7B5A58D5"/>
    <w:rsid w:val="7B5D3C0B"/>
    <w:rsid w:val="7B5E2955"/>
    <w:rsid w:val="7B5E34A6"/>
    <w:rsid w:val="7B5F06CB"/>
    <w:rsid w:val="7B5F1396"/>
    <w:rsid w:val="7B5F2D6E"/>
    <w:rsid w:val="7B601F9D"/>
    <w:rsid w:val="7B61151E"/>
    <w:rsid w:val="7B6139B8"/>
    <w:rsid w:val="7B62046D"/>
    <w:rsid w:val="7B627663"/>
    <w:rsid w:val="7B632B6D"/>
    <w:rsid w:val="7B640E78"/>
    <w:rsid w:val="7B6473A9"/>
    <w:rsid w:val="7B66017D"/>
    <w:rsid w:val="7B6622AC"/>
    <w:rsid w:val="7B674606"/>
    <w:rsid w:val="7B676C8A"/>
    <w:rsid w:val="7B6A2006"/>
    <w:rsid w:val="7B6B78A4"/>
    <w:rsid w:val="7B6C133B"/>
    <w:rsid w:val="7B6C7EAF"/>
    <w:rsid w:val="7B6E4477"/>
    <w:rsid w:val="7B703C32"/>
    <w:rsid w:val="7B712709"/>
    <w:rsid w:val="7B716E76"/>
    <w:rsid w:val="7B734F2C"/>
    <w:rsid w:val="7B737276"/>
    <w:rsid w:val="7B7517F2"/>
    <w:rsid w:val="7B77688A"/>
    <w:rsid w:val="7B791888"/>
    <w:rsid w:val="7B7A23D3"/>
    <w:rsid w:val="7B7B5FC7"/>
    <w:rsid w:val="7B7C51C2"/>
    <w:rsid w:val="7B7D01DE"/>
    <w:rsid w:val="7B7F0A8B"/>
    <w:rsid w:val="7B801B6D"/>
    <w:rsid w:val="7B804EFB"/>
    <w:rsid w:val="7B8352A5"/>
    <w:rsid w:val="7B840FDA"/>
    <w:rsid w:val="7B842A3B"/>
    <w:rsid w:val="7B847188"/>
    <w:rsid w:val="7B847BC1"/>
    <w:rsid w:val="7B856095"/>
    <w:rsid w:val="7B870723"/>
    <w:rsid w:val="7B87773F"/>
    <w:rsid w:val="7B8959AC"/>
    <w:rsid w:val="7B89717D"/>
    <w:rsid w:val="7B8B05BE"/>
    <w:rsid w:val="7B8C6CF1"/>
    <w:rsid w:val="7B8D4582"/>
    <w:rsid w:val="7B8F6F44"/>
    <w:rsid w:val="7B920A0E"/>
    <w:rsid w:val="7B940333"/>
    <w:rsid w:val="7B947DCD"/>
    <w:rsid w:val="7B952C18"/>
    <w:rsid w:val="7B96477C"/>
    <w:rsid w:val="7B976BD8"/>
    <w:rsid w:val="7B9874C1"/>
    <w:rsid w:val="7B9907FF"/>
    <w:rsid w:val="7B9A3237"/>
    <w:rsid w:val="7B9B0A23"/>
    <w:rsid w:val="7B9B1228"/>
    <w:rsid w:val="7B9C1BBF"/>
    <w:rsid w:val="7B9D0F99"/>
    <w:rsid w:val="7B9D3331"/>
    <w:rsid w:val="7B9F6BD5"/>
    <w:rsid w:val="7BA24468"/>
    <w:rsid w:val="7BA26E6A"/>
    <w:rsid w:val="7BA43FC0"/>
    <w:rsid w:val="7BA454CC"/>
    <w:rsid w:val="7BA4703B"/>
    <w:rsid w:val="7BA51181"/>
    <w:rsid w:val="7BA75F15"/>
    <w:rsid w:val="7BA77100"/>
    <w:rsid w:val="7BA80E8E"/>
    <w:rsid w:val="7BA876D9"/>
    <w:rsid w:val="7BAB5A6F"/>
    <w:rsid w:val="7BAC59D6"/>
    <w:rsid w:val="7BAC5F5F"/>
    <w:rsid w:val="7BAC6258"/>
    <w:rsid w:val="7BAD2D13"/>
    <w:rsid w:val="7BAD62B3"/>
    <w:rsid w:val="7BAE2C34"/>
    <w:rsid w:val="7BAF0334"/>
    <w:rsid w:val="7BAF330F"/>
    <w:rsid w:val="7BB03668"/>
    <w:rsid w:val="7BB120FE"/>
    <w:rsid w:val="7BB24A6A"/>
    <w:rsid w:val="7BB3231A"/>
    <w:rsid w:val="7BB555C0"/>
    <w:rsid w:val="7BB61353"/>
    <w:rsid w:val="7BB61597"/>
    <w:rsid w:val="7BB67C4A"/>
    <w:rsid w:val="7BB905AA"/>
    <w:rsid w:val="7BB91962"/>
    <w:rsid w:val="7BBA0A60"/>
    <w:rsid w:val="7BBA195A"/>
    <w:rsid w:val="7BBA5006"/>
    <w:rsid w:val="7BBE36C5"/>
    <w:rsid w:val="7BBE5BC7"/>
    <w:rsid w:val="7BC15502"/>
    <w:rsid w:val="7BC24CC4"/>
    <w:rsid w:val="7BC26717"/>
    <w:rsid w:val="7BC47DFE"/>
    <w:rsid w:val="7BC52D90"/>
    <w:rsid w:val="7BC7106F"/>
    <w:rsid w:val="7BC72377"/>
    <w:rsid w:val="7BC77930"/>
    <w:rsid w:val="7BC91AD3"/>
    <w:rsid w:val="7BC93CE8"/>
    <w:rsid w:val="7BCA1FDF"/>
    <w:rsid w:val="7BCB31C0"/>
    <w:rsid w:val="7BCD62F6"/>
    <w:rsid w:val="7BCF5429"/>
    <w:rsid w:val="7BCF7C1D"/>
    <w:rsid w:val="7BCF7DDC"/>
    <w:rsid w:val="7BD02A68"/>
    <w:rsid w:val="7BD047AC"/>
    <w:rsid w:val="7BD25CF2"/>
    <w:rsid w:val="7BD27FEC"/>
    <w:rsid w:val="7BD4594F"/>
    <w:rsid w:val="7BD51241"/>
    <w:rsid w:val="7BD52290"/>
    <w:rsid w:val="7BD52ED1"/>
    <w:rsid w:val="7BD64970"/>
    <w:rsid w:val="7BD67CB0"/>
    <w:rsid w:val="7BD96A58"/>
    <w:rsid w:val="7BDA21BF"/>
    <w:rsid w:val="7BDC1277"/>
    <w:rsid w:val="7BDC1347"/>
    <w:rsid w:val="7BDC53CD"/>
    <w:rsid w:val="7BDD2EF3"/>
    <w:rsid w:val="7BDD7299"/>
    <w:rsid w:val="7BDD7BC7"/>
    <w:rsid w:val="7BE14A9F"/>
    <w:rsid w:val="7BE25237"/>
    <w:rsid w:val="7BE414BB"/>
    <w:rsid w:val="7BE4777C"/>
    <w:rsid w:val="7BE608E8"/>
    <w:rsid w:val="7BE6364C"/>
    <w:rsid w:val="7BE71A0C"/>
    <w:rsid w:val="7BE87FCA"/>
    <w:rsid w:val="7BE94A82"/>
    <w:rsid w:val="7BE94FA8"/>
    <w:rsid w:val="7BEA1A0E"/>
    <w:rsid w:val="7BEA2F83"/>
    <w:rsid w:val="7BEA3855"/>
    <w:rsid w:val="7BEB75CC"/>
    <w:rsid w:val="7BEC15F0"/>
    <w:rsid w:val="7BEC7D37"/>
    <w:rsid w:val="7BED494E"/>
    <w:rsid w:val="7BEE0454"/>
    <w:rsid w:val="7BEE3E10"/>
    <w:rsid w:val="7BEE5A9F"/>
    <w:rsid w:val="7BEF47F2"/>
    <w:rsid w:val="7BEF6465"/>
    <w:rsid w:val="7BEF7AC3"/>
    <w:rsid w:val="7BF04DA8"/>
    <w:rsid w:val="7BF14226"/>
    <w:rsid w:val="7BF14BC8"/>
    <w:rsid w:val="7BF25574"/>
    <w:rsid w:val="7BF37E7A"/>
    <w:rsid w:val="7BF4119A"/>
    <w:rsid w:val="7BF50DA1"/>
    <w:rsid w:val="7BF60DAB"/>
    <w:rsid w:val="7BF83F60"/>
    <w:rsid w:val="7BF94820"/>
    <w:rsid w:val="7BFA1666"/>
    <w:rsid w:val="7BFC781D"/>
    <w:rsid w:val="7BFD6A8B"/>
    <w:rsid w:val="7BFF30C7"/>
    <w:rsid w:val="7BFF76EF"/>
    <w:rsid w:val="7C006E25"/>
    <w:rsid w:val="7C016D91"/>
    <w:rsid w:val="7C04118F"/>
    <w:rsid w:val="7C061B36"/>
    <w:rsid w:val="7C064FF3"/>
    <w:rsid w:val="7C066DD4"/>
    <w:rsid w:val="7C077020"/>
    <w:rsid w:val="7C0915E2"/>
    <w:rsid w:val="7C093BF4"/>
    <w:rsid w:val="7C0A34BD"/>
    <w:rsid w:val="7C0C338E"/>
    <w:rsid w:val="7C0F5034"/>
    <w:rsid w:val="7C0F528B"/>
    <w:rsid w:val="7C0F6048"/>
    <w:rsid w:val="7C0F6337"/>
    <w:rsid w:val="7C0F65FE"/>
    <w:rsid w:val="7C0F7ABA"/>
    <w:rsid w:val="7C107D6D"/>
    <w:rsid w:val="7C110947"/>
    <w:rsid w:val="7C120539"/>
    <w:rsid w:val="7C124C3F"/>
    <w:rsid w:val="7C13587F"/>
    <w:rsid w:val="7C145094"/>
    <w:rsid w:val="7C1466C3"/>
    <w:rsid w:val="7C146E40"/>
    <w:rsid w:val="7C152BA9"/>
    <w:rsid w:val="7C156619"/>
    <w:rsid w:val="7C1856AE"/>
    <w:rsid w:val="7C190E7E"/>
    <w:rsid w:val="7C1C4FE1"/>
    <w:rsid w:val="7C1E3143"/>
    <w:rsid w:val="7C1F23E0"/>
    <w:rsid w:val="7C2017E9"/>
    <w:rsid w:val="7C202CFC"/>
    <w:rsid w:val="7C213915"/>
    <w:rsid w:val="7C217543"/>
    <w:rsid w:val="7C2259E2"/>
    <w:rsid w:val="7C243955"/>
    <w:rsid w:val="7C2470D1"/>
    <w:rsid w:val="7C252403"/>
    <w:rsid w:val="7C2548B7"/>
    <w:rsid w:val="7C2673D2"/>
    <w:rsid w:val="7C281FB5"/>
    <w:rsid w:val="7C2878AD"/>
    <w:rsid w:val="7C29591A"/>
    <w:rsid w:val="7C2A145F"/>
    <w:rsid w:val="7C2A2165"/>
    <w:rsid w:val="7C2C496C"/>
    <w:rsid w:val="7C2C5396"/>
    <w:rsid w:val="7C2C555D"/>
    <w:rsid w:val="7C2C563C"/>
    <w:rsid w:val="7C2D0525"/>
    <w:rsid w:val="7C2E3A57"/>
    <w:rsid w:val="7C2E6CB9"/>
    <w:rsid w:val="7C2F0651"/>
    <w:rsid w:val="7C30043A"/>
    <w:rsid w:val="7C300620"/>
    <w:rsid w:val="7C302183"/>
    <w:rsid w:val="7C3177C6"/>
    <w:rsid w:val="7C32323F"/>
    <w:rsid w:val="7C324A8F"/>
    <w:rsid w:val="7C3376FA"/>
    <w:rsid w:val="7C3518D1"/>
    <w:rsid w:val="7C362A3A"/>
    <w:rsid w:val="7C372212"/>
    <w:rsid w:val="7C372DB5"/>
    <w:rsid w:val="7C377A1C"/>
    <w:rsid w:val="7C386AB2"/>
    <w:rsid w:val="7C3920B2"/>
    <w:rsid w:val="7C393B50"/>
    <w:rsid w:val="7C3A13DA"/>
    <w:rsid w:val="7C3A33D0"/>
    <w:rsid w:val="7C3B1E59"/>
    <w:rsid w:val="7C3B3751"/>
    <w:rsid w:val="7C3D4309"/>
    <w:rsid w:val="7C3E5044"/>
    <w:rsid w:val="7C3E7C49"/>
    <w:rsid w:val="7C40096A"/>
    <w:rsid w:val="7C411462"/>
    <w:rsid w:val="7C413E6E"/>
    <w:rsid w:val="7C4273AF"/>
    <w:rsid w:val="7C440B94"/>
    <w:rsid w:val="7C4621EE"/>
    <w:rsid w:val="7C4656A9"/>
    <w:rsid w:val="7C47260F"/>
    <w:rsid w:val="7C474942"/>
    <w:rsid w:val="7C47754A"/>
    <w:rsid w:val="7C4904EC"/>
    <w:rsid w:val="7C497493"/>
    <w:rsid w:val="7C497495"/>
    <w:rsid w:val="7C4B0AEA"/>
    <w:rsid w:val="7C4B3371"/>
    <w:rsid w:val="7C4B459D"/>
    <w:rsid w:val="7C4B601D"/>
    <w:rsid w:val="7C4B7AD2"/>
    <w:rsid w:val="7C4D509B"/>
    <w:rsid w:val="7C4D55C9"/>
    <w:rsid w:val="7C4D71AA"/>
    <w:rsid w:val="7C4F09DF"/>
    <w:rsid w:val="7C5057F0"/>
    <w:rsid w:val="7C521B2E"/>
    <w:rsid w:val="7C5243D9"/>
    <w:rsid w:val="7C52743D"/>
    <w:rsid w:val="7C527E1E"/>
    <w:rsid w:val="7C5311D1"/>
    <w:rsid w:val="7C544524"/>
    <w:rsid w:val="7C5476F0"/>
    <w:rsid w:val="7C554457"/>
    <w:rsid w:val="7C55786C"/>
    <w:rsid w:val="7C567D3E"/>
    <w:rsid w:val="7C5968CB"/>
    <w:rsid w:val="7C597DD3"/>
    <w:rsid w:val="7C5B46A6"/>
    <w:rsid w:val="7C5B5B1A"/>
    <w:rsid w:val="7C5C1B09"/>
    <w:rsid w:val="7C5D102D"/>
    <w:rsid w:val="7C5E2373"/>
    <w:rsid w:val="7C5E4034"/>
    <w:rsid w:val="7C5E5DAC"/>
    <w:rsid w:val="7C5E7593"/>
    <w:rsid w:val="7C650848"/>
    <w:rsid w:val="7C652D2A"/>
    <w:rsid w:val="7C683045"/>
    <w:rsid w:val="7C691E26"/>
    <w:rsid w:val="7C6935A2"/>
    <w:rsid w:val="7C6A4DFE"/>
    <w:rsid w:val="7C6C0E61"/>
    <w:rsid w:val="7C6C468C"/>
    <w:rsid w:val="7C6D023E"/>
    <w:rsid w:val="7C6E1899"/>
    <w:rsid w:val="7C6E3192"/>
    <w:rsid w:val="7C6F1FD8"/>
    <w:rsid w:val="7C6F3758"/>
    <w:rsid w:val="7C6F7526"/>
    <w:rsid w:val="7C71126A"/>
    <w:rsid w:val="7C715F48"/>
    <w:rsid w:val="7C72201E"/>
    <w:rsid w:val="7C731560"/>
    <w:rsid w:val="7C731C10"/>
    <w:rsid w:val="7C741ACD"/>
    <w:rsid w:val="7C7534A2"/>
    <w:rsid w:val="7C753915"/>
    <w:rsid w:val="7C755584"/>
    <w:rsid w:val="7C775437"/>
    <w:rsid w:val="7C776C38"/>
    <w:rsid w:val="7C7823FE"/>
    <w:rsid w:val="7C7863BA"/>
    <w:rsid w:val="7C7905CD"/>
    <w:rsid w:val="7C7914F1"/>
    <w:rsid w:val="7C7B0738"/>
    <w:rsid w:val="7C7B73DC"/>
    <w:rsid w:val="7C7F1D08"/>
    <w:rsid w:val="7C7F6585"/>
    <w:rsid w:val="7C81001B"/>
    <w:rsid w:val="7C821381"/>
    <w:rsid w:val="7C821B0B"/>
    <w:rsid w:val="7C837A27"/>
    <w:rsid w:val="7C840F9C"/>
    <w:rsid w:val="7C844376"/>
    <w:rsid w:val="7C844EAF"/>
    <w:rsid w:val="7C8511A3"/>
    <w:rsid w:val="7C852E91"/>
    <w:rsid w:val="7C853611"/>
    <w:rsid w:val="7C856742"/>
    <w:rsid w:val="7C872B3F"/>
    <w:rsid w:val="7C87772C"/>
    <w:rsid w:val="7C8806B7"/>
    <w:rsid w:val="7C885E76"/>
    <w:rsid w:val="7C887574"/>
    <w:rsid w:val="7C887838"/>
    <w:rsid w:val="7C887BB6"/>
    <w:rsid w:val="7C89278D"/>
    <w:rsid w:val="7C8A083F"/>
    <w:rsid w:val="7C8C3EEF"/>
    <w:rsid w:val="7C8D66C7"/>
    <w:rsid w:val="7C8E6875"/>
    <w:rsid w:val="7C8E7B90"/>
    <w:rsid w:val="7C8F41C8"/>
    <w:rsid w:val="7C8F6702"/>
    <w:rsid w:val="7C9041DA"/>
    <w:rsid w:val="7C926CD9"/>
    <w:rsid w:val="7C934491"/>
    <w:rsid w:val="7C9378CE"/>
    <w:rsid w:val="7C943D52"/>
    <w:rsid w:val="7C953391"/>
    <w:rsid w:val="7C9A4CB7"/>
    <w:rsid w:val="7C9B0DEF"/>
    <w:rsid w:val="7C9C10CB"/>
    <w:rsid w:val="7C9C448C"/>
    <w:rsid w:val="7C9D26EC"/>
    <w:rsid w:val="7C9D3D07"/>
    <w:rsid w:val="7C9D4961"/>
    <w:rsid w:val="7CA07A38"/>
    <w:rsid w:val="7CA11A18"/>
    <w:rsid w:val="7CA50D01"/>
    <w:rsid w:val="7CA60F27"/>
    <w:rsid w:val="7CA805FD"/>
    <w:rsid w:val="7CA903FC"/>
    <w:rsid w:val="7CA9796C"/>
    <w:rsid w:val="7CAC08B6"/>
    <w:rsid w:val="7CAC1271"/>
    <w:rsid w:val="7CAC1D98"/>
    <w:rsid w:val="7CAC559C"/>
    <w:rsid w:val="7CAC6D51"/>
    <w:rsid w:val="7CAD2B2E"/>
    <w:rsid w:val="7CAD5A47"/>
    <w:rsid w:val="7CAD7F70"/>
    <w:rsid w:val="7CAE1116"/>
    <w:rsid w:val="7CAE27CA"/>
    <w:rsid w:val="7CAE52F9"/>
    <w:rsid w:val="7CAF705F"/>
    <w:rsid w:val="7CB028D6"/>
    <w:rsid w:val="7CB05752"/>
    <w:rsid w:val="7CB05C76"/>
    <w:rsid w:val="7CB076B3"/>
    <w:rsid w:val="7CB16022"/>
    <w:rsid w:val="7CB22017"/>
    <w:rsid w:val="7CB2297E"/>
    <w:rsid w:val="7CB41D11"/>
    <w:rsid w:val="7CB46136"/>
    <w:rsid w:val="7CB507FC"/>
    <w:rsid w:val="7CB55BAB"/>
    <w:rsid w:val="7CB62FBA"/>
    <w:rsid w:val="7CB673EB"/>
    <w:rsid w:val="7CB77BA6"/>
    <w:rsid w:val="7CBA4DCD"/>
    <w:rsid w:val="7CBB6146"/>
    <w:rsid w:val="7CBE4754"/>
    <w:rsid w:val="7CBE7D8F"/>
    <w:rsid w:val="7CC07640"/>
    <w:rsid w:val="7CC16480"/>
    <w:rsid w:val="7CC16ECA"/>
    <w:rsid w:val="7CC257FE"/>
    <w:rsid w:val="7CC51EFF"/>
    <w:rsid w:val="7CC62FD9"/>
    <w:rsid w:val="7CC6556A"/>
    <w:rsid w:val="7CC70A38"/>
    <w:rsid w:val="7CCB3852"/>
    <w:rsid w:val="7CCB7EB6"/>
    <w:rsid w:val="7CCD1773"/>
    <w:rsid w:val="7CCE0BF1"/>
    <w:rsid w:val="7CCE376B"/>
    <w:rsid w:val="7CCE5545"/>
    <w:rsid w:val="7CCF0A8E"/>
    <w:rsid w:val="7CD02F0B"/>
    <w:rsid w:val="7CD20FFD"/>
    <w:rsid w:val="7CD26F58"/>
    <w:rsid w:val="7CD466DC"/>
    <w:rsid w:val="7CD510F3"/>
    <w:rsid w:val="7CD54CE0"/>
    <w:rsid w:val="7CD677B4"/>
    <w:rsid w:val="7CD75B94"/>
    <w:rsid w:val="7CD85A5B"/>
    <w:rsid w:val="7CD86052"/>
    <w:rsid w:val="7CD979D5"/>
    <w:rsid w:val="7CDA0E6F"/>
    <w:rsid w:val="7CDB0934"/>
    <w:rsid w:val="7CDB462E"/>
    <w:rsid w:val="7CDD4DA9"/>
    <w:rsid w:val="7CDE2709"/>
    <w:rsid w:val="7CDE5DB6"/>
    <w:rsid w:val="7CDF01B2"/>
    <w:rsid w:val="7CE01880"/>
    <w:rsid w:val="7CE057B5"/>
    <w:rsid w:val="7CE05ED4"/>
    <w:rsid w:val="7CE13749"/>
    <w:rsid w:val="7CE22A6A"/>
    <w:rsid w:val="7CE23120"/>
    <w:rsid w:val="7CE25694"/>
    <w:rsid w:val="7CE429E9"/>
    <w:rsid w:val="7CE44D92"/>
    <w:rsid w:val="7CE5337F"/>
    <w:rsid w:val="7CE616CF"/>
    <w:rsid w:val="7CE7191F"/>
    <w:rsid w:val="7CE76133"/>
    <w:rsid w:val="7CE90205"/>
    <w:rsid w:val="7CE95E8B"/>
    <w:rsid w:val="7CEB5D5A"/>
    <w:rsid w:val="7CED000E"/>
    <w:rsid w:val="7CEF31DD"/>
    <w:rsid w:val="7CF06625"/>
    <w:rsid w:val="7CF21405"/>
    <w:rsid w:val="7CF431CC"/>
    <w:rsid w:val="7CF50547"/>
    <w:rsid w:val="7CF71181"/>
    <w:rsid w:val="7CF818E1"/>
    <w:rsid w:val="7CF819B8"/>
    <w:rsid w:val="7CF82B32"/>
    <w:rsid w:val="7CF911CA"/>
    <w:rsid w:val="7CF94529"/>
    <w:rsid w:val="7CFB15EC"/>
    <w:rsid w:val="7CFB67AB"/>
    <w:rsid w:val="7CFD6C81"/>
    <w:rsid w:val="7CFE4672"/>
    <w:rsid w:val="7D0037B0"/>
    <w:rsid w:val="7D0155BB"/>
    <w:rsid w:val="7D024E9F"/>
    <w:rsid w:val="7D024FC4"/>
    <w:rsid w:val="7D032865"/>
    <w:rsid w:val="7D04584D"/>
    <w:rsid w:val="7D0537B2"/>
    <w:rsid w:val="7D0731BC"/>
    <w:rsid w:val="7D07638C"/>
    <w:rsid w:val="7D093A49"/>
    <w:rsid w:val="7D09447F"/>
    <w:rsid w:val="7D0A19B9"/>
    <w:rsid w:val="7D0A45E8"/>
    <w:rsid w:val="7D0A73DB"/>
    <w:rsid w:val="7D0B4D98"/>
    <w:rsid w:val="7D0C5BA0"/>
    <w:rsid w:val="7D0D1ED1"/>
    <w:rsid w:val="7D0D73A8"/>
    <w:rsid w:val="7D0F04D1"/>
    <w:rsid w:val="7D0F34E6"/>
    <w:rsid w:val="7D1039D7"/>
    <w:rsid w:val="7D136FD6"/>
    <w:rsid w:val="7D13716C"/>
    <w:rsid w:val="7D1577A5"/>
    <w:rsid w:val="7D1666BD"/>
    <w:rsid w:val="7D167A70"/>
    <w:rsid w:val="7D175D1F"/>
    <w:rsid w:val="7D1775C8"/>
    <w:rsid w:val="7D1904D9"/>
    <w:rsid w:val="7D190C77"/>
    <w:rsid w:val="7D19429B"/>
    <w:rsid w:val="7D19644D"/>
    <w:rsid w:val="7D1B054B"/>
    <w:rsid w:val="7D1B207A"/>
    <w:rsid w:val="7D1C2449"/>
    <w:rsid w:val="7D1C3B34"/>
    <w:rsid w:val="7D2202B6"/>
    <w:rsid w:val="7D2212CD"/>
    <w:rsid w:val="7D223C00"/>
    <w:rsid w:val="7D227DFC"/>
    <w:rsid w:val="7D234D50"/>
    <w:rsid w:val="7D2355B7"/>
    <w:rsid w:val="7D2642B7"/>
    <w:rsid w:val="7D273B32"/>
    <w:rsid w:val="7D287123"/>
    <w:rsid w:val="7D290C3A"/>
    <w:rsid w:val="7D292CF1"/>
    <w:rsid w:val="7D2D4CD0"/>
    <w:rsid w:val="7D2D6AFB"/>
    <w:rsid w:val="7D2E21FE"/>
    <w:rsid w:val="7D2E6644"/>
    <w:rsid w:val="7D2F4487"/>
    <w:rsid w:val="7D2F7814"/>
    <w:rsid w:val="7D3215EE"/>
    <w:rsid w:val="7D332106"/>
    <w:rsid w:val="7D335647"/>
    <w:rsid w:val="7D34136F"/>
    <w:rsid w:val="7D355632"/>
    <w:rsid w:val="7D36558E"/>
    <w:rsid w:val="7D3710F8"/>
    <w:rsid w:val="7D372B55"/>
    <w:rsid w:val="7D387EE8"/>
    <w:rsid w:val="7D39254E"/>
    <w:rsid w:val="7D3931C6"/>
    <w:rsid w:val="7D3A29EB"/>
    <w:rsid w:val="7D3C7066"/>
    <w:rsid w:val="7D3D07D2"/>
    <w:rsid w:val="7D3D43FD"/>
    <w:rsid w:val="7D3E38D6"/>
    <w:rsid w:val="7D3F17A4"/>
    <w:rsid w:val="7D405464"/>
    <w:rsid w:val="7D4125BD"/>
    <w:rsid w:val="7D427625"/>
    <w:rsid w:val="7D446D8C"/>
    <w:rsid w:val="7D455764"/>
    <w:rsid w:val="7D470438"/>
    <w:rsid w:val="7D494CE4"/>
    <w:rsid w:val="7D495B92"/>
    <w:rsid w:val="7D4A0490"/>
    <w:rsid w:val="7D4A42CB"/>
    <w:rsid w:val="7D4C0711"/>
    <w:rsid w:val="7D4D027E"/>
    <w:rsid w:val="7D4D17E0"/>
    <w:rsid w:val="7D4D545D"/>
    <w:rsid w:val="7D4E5C22"/>
    <w:rsid w:val="7D4F1BCF"/>
    <w:rsid w:val="7D4F406B"/>
    <w:rsid w:val="7D4F7867"/>
    <w:rsid w:val="7D501A3E"/>
    <w:rsid w:val="7D505093"/>
    <w:rsid w:val="7D511645"/>
    <w:rsid w:val="7D5151E9"/>
    <w:rsid w:val="7D515D29"/>
    <w:rsid w:val="7D517E32"/>
    <w:rsid w:val="7D53444A"/>
    <w:rsid w:val="7D575C6F"/>
    <w:rsid w:val="7D591471"/>
    <w:rsid w:val="7D5941ED"/>
    <w:rsid w:val="7D5967B6"/>
    <w:rsid w:val="7D5A2E28"/>
    <w:rsid w:val="7D5A30DC"/>
    <w:rsid w:val="7D5A3A32"/>
    <w:rsid w:val="7D5A6493"/>
    <w:rsid w:val="7D5B0151"/>
    <w:rsid w:val="7D5C1119"/>
    <w:rsid w:val="7D5D4511"/>
    <w:rsid w:val="7D5D53CE"/>
    <w:rsid w:val="7D5F5139"/>
    <w:rsid w:val="7D61602F"/>
    <w:rsid w:val="7D624EBB"/>
    <w:rsid w:val="7D6266F9"/>
    <w:rsid w:val="7D64001D"/>
    <w:rsid w:val="7D6478D7"/>
    <w:rsid w:val="7D651240"/>
    <w:rsid w:val="7D6655D6"/>
    <w:rsid w:val="7D667FC7"/>
    <w:rsid w:val="7D692033"/>
    <w:rsid w:val="7D6B0EF8"/>
    <w:rsid w:val="7D6B7DE5"/>
    <w:rsid w:val="7D6C5534"/>
    <w:rsid w:val="7D6C5F55"/>
    <w:rsid w:val="7D6D2408"/>
    <w:rsid w:val="7D6D7273"/>
    <w:rsid w:val="7D6E5883"/>
    <w:rsid w:val="7D71756E"/>
    <w:rsid w:val="7D735CEB"/>
    <w:rsid w:val="7D7646F5"/>
    <w:rsid w:val="7D782ED3"/>
    <w:rsid w:val="7D78711C"/>
    <w:rsid w:val="7D7A30EF"/>
    <w:rsid w:val="7D7A7D9D"/>
    <w:rsid w:val="7D7D0555"/>
    <w:rsid w:val="7D7F4662"/>
    <w:rsid w:val="7D800D08"/>
    <w:rsid w:val="7D806A6C"/>
    <w:rsid w:val="7D8115EA"/>
    <w:rsid w:val="7D81663A"/>
    <w:rsid w:val="7D820B48"/>
    <w:rsid w:val="7D823BA1"/>
    <w:rsid w:val="7D8246AF"/>
    <w:rsid w:val="7D843F72"/>
    <w:rsid w:val="7D867B3C"/>
    <w:rsid w:val="7D8A468E"/>
    <w:rsid w:val="7D8B22EB"/>
    <w:rsid w:val="7D8B3C5D"/>
    <w:rsid w:val="7D8C067A"/>
    <w:rsid w:val="7D8C1A5D"/>
    <w:rsid w:val="7D8C4499"/>
    <w:rsid w:val="7D8D3AFA"/>
    <w:rsid w:val="7D8D4091"/>
    <w:rsid w:val="7D8D6A99"/>
    <w:rsid w:val="7D8D7BFA"/>
    <w:rsid w:val="7D8F280B"/>
    <w:rsid w:val="7D8F5CD7"/>
    <w:rsid w:val="7D9136C9"/>
    <w:rsid w:val="7D932AA4"/>
    <w:rsid w:val="7D93668E"/>
    <w:rsid w:val="7D936B20"/>
    <w:rsid w:val="7D9461F9"/>
    <w:rsid w:val="7D9741EC"/>
    <w:rsid w:val="7D987D80"/>
    <w:rsid w:val="7D990E25"/>
    <w:rsid w:val="7D993549"/>
    <w:rsid w:val="7D993B5F"/>
    <w:rsid w:val="7D9B78B4"/>
    <w:rsid w:val="7D9D00CC"/>
    <w:rsid w:val="7D9E1CB7"/>
    <w:rsid w:val="7D9E284D"/>
    <w:rsid w:val="7DA17356"/>
    <w:rsid w:val="7DA31291"/>
    <w:rsid w:val="7DA37747"/>
    <w:rsid w:val="7DA4650F"/>
    <w:rsid w:val="7DA757A0"/>
    <w:rsid w:val="7DAD0A71"/>
    <w:rsid w:val="7DAF1558"/>
    <w:rsid w:val="7DAF6D41"/>
    <w:rsid w:val="7DAF74C7"/>
    <w:rsid w:val="7DB17896"/>
    <w:rsid w:val="7DB3112E"/>
    <w:rsid w:val="7DB33871"/>
    <w:rsid w:val="7DB46422"/>
    <w:rsid w:val="7DB61F39"/>
    <w:rsid w:val="7DB7571D"/>
    <w:rsid w:val="7DB772EF"/>
    <w:rsid w:val="7DB91B63"/>
    <w:rsid w:val="7DB92F82"/>
    <w:rsid w:val="7DB95D64"/>
    <w:rsid w:val="7DBA5660"/>
    <w:rsid w:val="7DBB1012"/>
    <w:rsid w:val="7DBB1391"/>
    <w:rsid w:val="7DBC50CD"/>
    <w:rsid w:val="7DBC5D77"/>
    <w:rsid w:val="7DBD0816"/>
    <w:rsid w:val="7DBD5D61"/>
    <w:rsid w:val="7DBE4868"/>
    <w:rsid w:val="7DBF3A96"/>
    <w:rsid w:val="7DBF4A32"/>
    <w:rsid w:val="7DC21204"/>
    <w:rsid w:val="7DC22B43"/>
    <w:rsid w:val="7DC240A2"/>
    <w:rsid w:val="7DC62FDB"/>
    <w:rsid w:val="7DC81015"/>
    <w:rsid w:val="7DCB2BE3"/>
    <w:rsid w:val="7DCC12A9"/>
    <w:rsid w:val="7DCD55A3"/>
    <w:rsid w:val="7DCE1ED5"/>
    <w:rsid w:val="7DCE3B80"/>
    <w:rsid w:val="7DD02D7B"/>
    <w:rsid w:val="7DD14E59"/>
    <w:rsid w:val="7DD22AF8"/>
    <w:rsid w:val="7DD23784"/>
    <w:rsid w:val="7DD25B70"/>
    <w:rsid w:val="7DD27998"/>
    <w:rsid w:val="7DD301C9"/>
    <w:rsid w:val="7DD30A52"/>
    <w:rsid w:val="7DD67802"/>
    <w:rsid w:val="7DD74AB5"/>
    <w:rsid w:val="7DD762F8"/>
    <w:rsid w:val="7DD76C55"/>
    <w:rsid w:val="7DD82138"/>
    <w:rsid w:val="7DD9170E"/>
    <w:rsid w:val="7DD97964"/>
    <w:rsid w:val="7DDA1D27"/>
    <w:rsid w:val="7DDA7363"/>
    <w:rsid w:val="7DDB1C63"/>
    <w:rsid w:val="7DDC3C68"/>
    <w:rsid w:val="7DDC5F46"/>
    <w:rsid w:val="7DDE6DE2"/>
    <w:rsid w:val="7DE052D3"/>
    <w:rsid w:val="7DE31D58"/>
    <w:rsid w:val="7DE34A1C"/>
    <w:rsid w:val="7DE43423"/>
    <w:rsid w:val="7DE442B3"/>
    <w:rsid w:val="7DE52C9D"/>
    <w:rsid w:val="7DE657DC"/>
    <w:rsid w:val="7DE703B0"/>
    <w:rsid w:val="7DE712C4"/>
    <w:rsid w:val="7DE96AEA"/>
    <w:rsid w:val="7DEA4CAC"/>
    <w:rsid w:val="7DEB4BB0"/>
    <w:rsid w:val="7DEE3F64"/>
    <w:rsid w:val="7DEE6ABF"/>
    <w:rsid w:val="7DEF0E42"/>
    <w:rsid w:val="7DEF3F0D"/>
    <w:rsid w:val="7DF01033"/>
    <w:rsid w:val="7DF02BA3"/>
    <w:rsid w:val="7DF05A87"/>
    <w:rsid w:val="7DF20BB5"/>
    <w:rsid w:val="7DF243BB"/>
    <w:rsid w:val="7DF27D55"/>
    <w:rsid w:val="7DF34D0B"/>
    <w:rsid w:val="7DF36EDE"/>
    <w:rsid w:val="7DF4796D"/>
    <w:rsid w:val="7DF51EB4"/>
    <w:rsid w:val="7DF6463F"/>
    <w:rsid w:val="7DF74EFA"/>
    <w:rsid w:val="7DF84014"/>
    <w:rsid w:val="7DF93837"/>
    <w:rsid w:val="7DF94426"/>
    <w:rsid w:val="7DF95314"/>
    <w:rsid w:val="7DFA0708"/>
    <w:rsid w:val="7DFA5798"/>
    <w:rsid w:val="7DFA65C8"/>
    <w:rsid w:val="7DFB748D"/>
    <w:rsid w:val="7DFB7AF9"/>
    <w:rsid w:val="7DFC14B1"/>
    <w:rsid w:val="7DFD2183"/>
    <w:rsid w:val="7DFE675B"/>
    <w:rsid w:val="7DFF0058"/>
    <w:rsid w:val="7DFF2CDD"/>
    <w:rsid w:val="7E003E0F"/>
    <w:rsid w:val="7E004E26"/>
    <w:rsid w:val="7E021CC6"/>
    <w:rsid w:val="7E022A4B"/>
    <w:rsid w:val="7E07062F"/>
    <w:rsid w:val="7E0728B1"/>
    <w:rsid w:val="7E0909C9"/>
    <w:rsid w:val="7E090DCD"/>
    <w:rsid w:val="7E0916C0"/>
    <w:rsid w:val="7E092061"/>
    <w:rsid w:val="7E097F24"/>
    <w:rsid w:val="7E0F70EF"/>
    <w:rsid w:val="7E125E1C"/>
    <w:rsid w:val="7E126D35"/>
    <w:rsid w:val="7E1403CB"/>
    <w:rsid w:val="7E1536C4"/>
    <w:rsid w:val="7E154FB1"/>
    <w:rsid w:val="7E156E8B"/>
    <w:rsid w:val="7E15700D"/>
    <w:rsid w:val="7E16489E"/>
    <w:rsid w:val="7E164E67"/>
    <w:rsid w:val="7E166A7B"/>
    <w:rsid w:val="7E1A68FE"/>
    <w:rsid w:val="7E1C163E"/>
    <w:rsid w:val="7E1C191D"/>
    <w:rsid w:val="7E1C3664"/>
    <w:rsid w:val="7E1C6810"/>
    <w:rsid w:val="7E1E1053"/>
    <w:rsid w:val="7E1E38FB"/>
    <w:rsid w:val="7E1E418B"/>
    <w:rsid w:val="7E1F66FB"/>
    <w:rsid w:val="7E2028B9"/>
    <w:rsid w:val="7E2040CB"/>
    <w:rsid w:val="7E214248"/>
    <w:rsid w:val="7E215F06"/>
    <w:rsid w:val="7E220E25"/>
    <w:rsid w:val="7E233653"/>
    <w:rsid w:val="7E2418B4"/>
    <w:rsid w:val="7E25428E"/>
    <w:rsid w:val="7E2778CF"/>
    <w:rsid w:val="7E2845AE"/>
    <w:rsid w:val="7E29080F"/>
    <w:rsid w:val="7E2A5C4F"/>
    <w:rsid w:val="7E2B4614"/>
    <w:rsid w:val="7E2B5414"/>
    <w:rsid w:val="7E2C1BE3"/>
    <w:rsid w:val="7E2E24ED"/>
    <w:rsid w:val="7E2F0B63"/>
    <w:rsid w:val="7E2F23BD"/>
    <w:rsid w:val="7E3042BF"/>
    <w:rsid w:val="7E30579B"/>
    <w:rsid w:val="7E3059E5"/>
    <w:rsid w:val="7E31311C"/>
    <w:rsid w:val="7E313178"/>
    <w:rsid w:val="7E3239CA"/>
    <w:rsid w:val="7E344098"/>
    <w:rsid w:val="7E356E4C"/>
    <w:rsid w:val="7E363D62"/>
    <w:rsid w:val="7E366584"/>
    <w:rsid w:val="7E386A6B"/>
    <w:rsid w:val="7E386B46"/>
    <w:rsid w:val="7E3A5992"/>
    <w:rsid w:val="7E3D049C"/>
    <w:rsid w:val="7E3E513E"/>
    <w:rsid w:val="7E3E7A5D"/>
    <w:rsid w:val="7E4210A1"/>
    <w:rsid w:val="7E42216A"/>
    <w:rsid w:val="7E4241B5"/>
    <w:rsid w:val="7E440DBD"/>
    <w:rsid w:val="7E475392"/>
    <w:rsid w:val="7E482AE9"/>
    <w:rsid w:val="7E4A5EA1"/>
    <w:rsid w:val="7E4C2857"/>
    <w:rsid w:val="7E4D2917"/>
    <w:rsid w:val="7E4D73E3"/>
    <w:rsid w:val="7E4F1730"/>
    <w:rsid w:val="7E4F5E93"/>
    <w:rsid w:val="7E503200"/>
    <w:rsid w:val="7E52076B"/>
    <w:rsid w:val="7E521976"/>
    <w:rsid w:val="7E54089A"/>
    <w:rsid w:val="7E542DD4"/>
    <w:rsid w:val="7E544DA1"/>
    <w:rsid w:val="7E5713ED"/>
    <w:rsid w:val="7E582C16"/>
    <w:rsid w:val="7E5A7FC4"/>
    <w:rsid w:val="7E5B559E"/>
    <w:rsid w:val="7E5B774C"/>
    <w:rsid w:val="7E5C3D93"/>
    <w:rsid w:val="7E5C7EC3"/>
    <w:rsid w:val="7E5E164F"/>
    <w:rsid w:val="7E5E4AA9"/>
    <w:rsid w:val="7E5E4FA9"/>
    <w:rsid w:val="7E6022D5"/>
    <w:rsid w:val="7E612167"/>
    <w:rsid w:val="7E61513B"/>
    <w:rsid w:val="7E615FD9"/>
    <w:rsid w:val="7E63778C"/>
    <w:rsid w:val="7E652584"/>
    <w:rsid w:val="7E653EA7"/>
    <w:rsid w:val="7E671E91"/>
    <w:rsid w:val="7E676042"/>
    <w:rsid w:val="7E681B5F"/>
    <w:rsid w:val="7E6840A6"/>
    <w:rsid w:val="7E6A5595"/>
    <w:rsid w:val="7E6D055E"/>
    <w:rsid w:val="7E6D061A"/>
    <w:rsid w:val="7E6D12F2"/>
    <w:rsid w:val="7E6D2B5E"/>
    <w:rsid w:val="7E6D5B8D"/>
    <w:rsid w:val="7E6F056D"/>
    <w:rsid w:val="7E7066F5"/>
    <w:rsid w:val="7E714BD2"/>
    <w:rsid w:val="7E723F96"/>
    <w:rsid w:val="7E731CFD"/>
    <w:rsid w:val="7E747A04"/>
    <w:rsid w:val="7E7568E9"/>
    <w:rsid w:val="7E7626A3"/>
    <w:rsid w:val="7E775845"/>
    <w:rsid w:val="7E782D4C"/>
    <w:rsid w:val="7E787389"/>
    <w:rsid w:val="7E792A9E"/>
    <w:rsid w:val="7E794ADC"/>
    <w:rsid w:val="7E7A0301"/>
    <w:rsid w:val="7E7A3F70"/>
    <w:rsid w:val="7E7B1EDC"/>
    <w:rsid w:val="7E7C466A"/>
    <w:rsid w:val="7E7D3884"/>
    <w:rsid w:val="7E7E1006"/>
    <w:rsid w:val="7E7F2744"/>
    <w:rsid w:val="7E80778F"/>
    <w:rsid w:val="7E811842"/>
    <w:rsid w:val="7E822E91"/>
    <w:rsid w:val="7E826B20"/>
    <w:rsid w:val="7E827C6B"/>
    <w:rsid w:val="7E8458A8"/>
    <w:rsid w:val="7E8863B0"/>
    <w:rsid w:val="7E8A7362"/>
    <w:rsid w:val="7E8C3DC3"/>
    <w:rsid w:val="7E8D5FC6"/>
    <w:rsid w:val="7E8E708A"/>
    <w:rsid w:val="7E9043E9"/>
    <w:rsid w:val="7E9103BF"/>
    <w:rsid w:val="7E932D34"/>
    <w:rsid w:val="7E936477"/>
    <w:rsid w:val="7E9365BF"/>
    <w:rsid w:val="7E94157E"/>
    <w:rsid w:val="7E94625A"/>
    <w:rsid w:val="7E9573E5"/>
    <w:rsid w:val="7E96634F"/>
    <w:rsid w:val="7E9726E5"/>
    <w:rsid w:val="7E993B69"/>
    <w:rsid w:val="7E9A58B8"/>
    <w:rsid w:val="7E9E0664"/>
    <w:rsid w:val="7E9E7E0A"/>
    <w:rsid w:val="7E9F1065"/>
    <w:rsid w:val="7E9F2682"/>
    <w:rsid w:val="7E9F3B5A"/>
    <w:rsid w:val="7EA20EC0"/>
    <w:rsid w:val="7EA335D4"/>
    <w:rsid w:val="7EA41970"/>
    <w:rsid w:val="7EA45D5B"/>
    <w:rsid w:val="7EA73D86"/>
    <w:rsid w:val="7EA907AD"/>
    <w:rsid w:val="7EA95FBD"/>
    <w:rsid w:val="7EAA267F"/>
    <w:rsid w:val="7EAA2725"/>
    <w:rsid w:val="7EAA3237"/>
    <w:rsid w:val="7EAA529C"/>
    <w:rsid w:val="7EAA61BD"/>
    <w:rsid w:val="7EAB36C8"/>
    <w:rsid w:val="7EAE70F1"/>
    <w:rsid w:val="7EAF225A"/>
    <w:rsid w:val="7EAF4D62"/>
    <w:rsid w:val="7EB03FE2"/>
    <w:rsid w:val="7EB17A54"/>
    <w:rsid w:val="7EB20535"/>
    <w:rsid w:val="7EB20753"/>
    <w:rsid w:val="7EB21146"/>
    <w:rsid w:val="7EB34AB1"/>
    <w:rsid w:val="7EB45A41"/>
    <w:rsid w:val="7EB5129D"/>
    <w:rsid w:val="7EB54003"/>
    <w:rsid w:val="7EB6111C"/>
    <w:rsid w:val="7EB7663B"/>
    <w:rsid w:val="7EB814D0"/>
    <w:rsid w:val="7EB81940"/>
    <w:rsid w:val="7EB9489C"/>
    <w:rsid w:val="7EBB766A"/>
    <w:rsid w:val="7EBC16F7"/>
    <w:rsid w:val="7EBD355F"/>
    <w:rsid w:val="7EBE7E3E"/>
    <w:rsid w:val="7EC016A3"/>
    <w:rsid w:val="7EC266BD"/>
    <w:rsid w:val="7EC30AC6"/>
    <w:rsid w:val="7EC30B8E"/>
    <w:rsid w:val="7EC32849"/>
    <w:rsid w:val="7EC432C0"/>
    <w:rsid w:val="7EC452B9"/>
    <w:rsid w:val="7EC614AE"/>
    <w:rsid w:val="7EC65A01"/>
    <w:rsid w:val="7EC65FE4"/>
    <w:rsid w:val="7EC8674E"/>
    <w:rsid w:val="7EC97607"/>
    <w:rsid w:val="7ECA7B48"/>
    <w:rsid w:val="7ECD00C6"/>
    <w:rsid w:val="7ECD0A31"/>
    <w:rsid w:val="7ECD6ED7"/>
    <w:rsid w:val="7ECF2D41"/>
    <w:rsid w:val="7ED05BEB"/>
    <w:rsid w:val="7ED11C6C"/>
    <w:rsid w:val="7ED14F91"/>
    <w:rsid w:val="7ED264F8"/>
    <w:rsid w:val="7ED4047B"/>
    <w:rsid w:val="7ED432BD"/>
    <w:rsid w:val="7ED56EE8"/>
    <w:rsid w:val="7ED607F9"/>
    <w:rsid w:val="7ED92279"/>
    <w:rsid w:val="7ED952FA"/>
    <w:rsid w:val="7ED97618"/>
    <w:rsid w:val="7EDB6075"/>
    <w:rsid w:val="7EDB7B22"/>
    <w:rsid w:val="7EDE250B"/>
    <w:rsid w:val="7EDE7E7D"/>
    <w:rsid w:val="7EDF78D1"/>
    <w:rsid w:val="7EE02DE8"/>
    <w:rsid w:val="7EE11A98"/>
    <w:rsid w:val="7EE13F09"/>
    <w:rsid w:val="7EE166E6"/>
    <w:rsid w:val="7EE32BA4"/>
    <w:rsid w:val="7EE50DC5"/>
    <w:rsid w:val="7EE515EE"/>
    <w:rsid w:val="7EE52234"/>
    <w:rsid w:val="7EE54ED4"/>
    <w:rsid w:val="7EE71B24"/>
    <w:rsid w:val="7EE869DB"/>
    <w:rsid w:val="7EE90482"/>
    <w:rsid w:val="7EE94CE0"/>
    <w:rsid w:val="7EEB0DA6"/>
    <w:rsid w:val="7EED7356"/>
    <w:rsid w:val="7EEF7548"/>
    <w:rsid w:val="7EF02B6E"/>
    <w:rsid w:val="7EF02D65"/>
    <w:rsid w:val="7EF0344E"/>
    <w:rsid w:val="7EF06CD3"/>
    <w:rsid w:val="7EF100E9"/>
    <w:rsid w:val="7EF1280C"/>
    <w:rsid w:val="7EF207B8"/>
    <w:rsid w:val="7EF24793"/>
    <w:rsid w:val="7EF30EA2"/>
    <w:rsid w:val="7EF53E6F"/>
    <w:rsid w:val="7EF6291D"/>
    <w:rsid w:val="7EF64231"/>
    <w:rsid w:val="7EF64904"/>
    <w:rsid w:val="7EF81840"/>
    <w:rsid w:val="7EF90E46"/>
    <w:rsid w:val="7EF978EF"/>
    <w:rsid w:val="7EFA75A5"/>
    <w:rsid w:val="7EFB24F2"/>
    <w:rsid w:val="7EFC2BEB"/>
    <w:rsid w:val="7EFE1AFE"/>
    <w:rsid w:val="7F000CFC"/>
    <w:rsid w:val="7F000E49"/>
    <w:rsid w:val="7F014CEB"/>
    <w:rsid w:val="7F016668"/>
    <w:rsid w:val="7F022F25"/>
    <w:rsid w:val="7F044B78"/>
    <w:rsid w:val="7F0506D8"/>
    <w:rsid w:val="7F065D37"/>
    <w:rsid w:val="7F077F32"/>
    <w:rsid w:val="7F08472B"/>
    <w:rsid w:val="7F09422F"/>
    <w:rsid w:val="7F095B85"/>
    <w:rsid w:val="7F097626"/>
    <w:rsid w:val="7F0A2952"/>
    <w:rsid w:val="7F0A40EE"/>
    <w:rsid w:val="7F0B195B"/>
    <w:rsid w:val="7F0B2C0D"/>
    <w:rsid w:val="7F0C0CAE"/>
    <w:rsid w:val="7F0C456C"/>
    <w:rsid w:val="7F0C7961"/>
    <w:rsid w:val="7F0D10B3"/>
    <w:rsid w:val="7F0F1E4B"/>
    <w:rsid w:val="7F0F2E39"/>
    <w:rsid w:val="7F0F5E72"/>
    <w:rsid w:val="7F0F6D11"/>
    <w:rsid w:val="7F103255"/>
    <w:rsid w:val="7F104815"/>
    <w:rsid w:val="7F107985"/>
    <w:rsid w:val="7F114FC5"/>
    <w:rsid w:val="7F127813"/>
    <w:rsid w:val="7F147747"/>
    <w:rsid w:val="7F151A08"/>
    <w:rsid w:val="7F161CDC"/>
    <w:rsid w:val="7F164088"/>
    <w:rsid w:val="7F17177F"/>
    <w:rsid w:val="7F174E75"/>
    <w:rsid w:val="7F1912EE"/>
    <w:rsid w:val="7F19535F"/>
    <w:rsid w:val="7F196C79"/>
    <w:rsid w:val="7F1A3D46"/>
    <w:rsid w:val="7F1A49D5"/>
    <w:rsid w:val="7F1B3EA5"/>
    <w:rsid w:val="7F1C351F"/>
    <w:rsid w:val="7F1D345E"/>
    <w:rsid w:val="7F1F422B"/>
    <w:rsid w:val="7F1F7E92"/>
    <w:rsid w:val="7F202824"/>
    <w:rsid w:val="7F2174FA"/>
    <w:rsid w:val="7F2272D0"/>
    <w:rsid w:val="7F240CA0"/>
    <w:rsid w:val="7F263281"/>
    <w:rsid w:val="7F2678D4"/>
    <w:rsid w:val="7F274F96"/>
    <w:rsid w:val="7F2826CE"/>
    <w:rsid w:val="7F2B2393"/>
    <w:rsid w:val="7F2C3DD8"/>
    <w:rsid w:val="7F2C7B3A"/>
    <w:rsid w:val="7F2E573F"/>
    <w:rsid w:val="7F2F1F70"/>
    <w:rsid w:val="7F2F3903"/>
    <w:rsid w:val="7F2F717F"/>
    <w:rsid w:val="7F30043C"/>
    <w:rsid w:val="7F3123AE"/>
    <w:rsid w:val="7F3238A1"/>
    <w:rsid w:val="7F33301B"/>
    <w:rsid w:val="7F335A2F"/>
    <w:rsid w:val="7F336E54"/>
    <w:rsid w:val="7F3633AC"/>
    <w:rsid w:val="7F363BE7"/>
    <w:rsid w:val="7F365FDE"/>
    <w:rsid w:val="7F392B36"/>
    <w:rsid w:val="7F3940A9"/>
    <w:rsid w:val="7F3A36C7"/>
    <w:rsid w:val="7F3B0495"/>
    <w:rsid w:val="7F3B34BB"/>
    <w:rsid w:val="7F3B39E0"/>
    <w:rsid w:val="7F3B67D0"/>
    <w:rsid w:val="7F3B7196"/>
    <w:rsid w:val="7F3C4DF8"/>
    <w:rsid w:val="7F3C7221"/>
    <w:rsid w:val="7F3D0D2F"/>
    <w:rsid w:val="7F3D39EF"/>
    <w:rsid w:val="7F3D5A7B"/>
    <w:rsid w:val="7F3F3296"/>
    <w:rsid w:val="7F3F407B"/>
    <w:rsid w:val="7F3F54A9"/>
    <w:rsid w:val="7F40013F"/>
    <w:rsid w:val="7F426E26"/>
    <w:rsid w:val="7F431555"/>
    <w:rsid w:val="7F431B93"/>
    <w:rsid w:val="7F441C76"/>
    <w:rsid w:val="7F4522B2"/>
    <w:rsid w:val="7F455D6D"/>
    <w:rsid w:val="7F463BC1"/>
    <w:rsid w:val="7F475A92"/>
    <w:rsid w:val="7F47757F"/>
    <w:rsid w:val="7F484B27"/>
    <w:rsid w:val="7F49294F"/>
    <w:rsid w:val="7F4955BE"/>
    <w:rsid w:val="7F4A0CC8"/>
    <w:rsid w:val="7F4A6BE8"/>
    <w:rsid w:val="7F4B0EDD"/>
    <w:rsid w:val="7F4C0843"/>
    <w:rsid w:val="7F4C4960"/>
    <w:rsid w:val="7F5056A1"/>
    <w:rsid w:val="7F505858"/>
    <w:rsid w:val="7F5069DD"/>
    <w:rsid w:val="7F510BD9"/>
    <w:rsid w:val="7F514D7B"/>
    <w:rsid w:val="7F537FF3"/>
    <w:rsid w:val="7F551C07"/>
    <w:rsid w:val="7F55628F"/>
    <w:rsid w:val="7F56365B"/>
    <w:rsid w:val="7F563F40"/>
    <w:rsid w:val="7F581B8A"/>
    <w:rsid w:val="7F596D35"/>
    <w:rsid w:val="7F5A44ED"/>
    <w:rsid w:val="7F5A7C93"/>
    <w:rsid w:val="7F5B345A"/>
    <w:rsid w:val="7F5F3379"/>
    <w:rsid w:val="7F604317"/>
    <w:rsid w:val="7F6069AE"/>
    <w:rsid w:val="7F607B23"/>
    <w:rsid w:val="7F62133D"/>
    <w:rsid w:val="7F635390"/>
    <w:rsid w:val="7F643C81"/>
    <w:rsid w:val="7F645EE1"/>
    <w:rsid w:val="7F6804A4"/>
    <w:rsid w:val="7F685C35"/>
    <w:rsid w:val="7F6A0ED4"/>
    <w:rsid w:val="7F6A14CE"/>
    <w:rsid w:val="7F6A2CF0"/>
    <w:rsid w:val="7F6A37FE"/>
    <w:rsid w:val="7F6A5D2C"/>
    <w:rsid w:val="7F6C4FFF"/>
    <w:rsid w:val="7F6C5FBB"/>
    <w:rsid w:val="7F6C62E0"/>
    <w:rsid w:val="7F6D558B"/>
    <w:rsid w:val="7F6D7C41"/>
    <w:rsid w:val="7F702840"/>
    <w:rsid w:val="7F702A93"/>
    <w:rsid w:val="7F720E25"/>
    <w:rsid w:val="7F720FDE"/>
    <w:rsid w:val="7F7226D0"/>
    <w:rsid w:val="7F733FC4"/>
    <w:rsid w:val="7F743881"/>
    <w:rsid w:val="7F7443B5"/>
    <w:rsid w:val="7F750995"/>
    <w:rsid w:val="7F755A9A"/>
    <w:rsid w:val="7F762A93"/>
    <w:rsid w:val="7F774D17"/>
    <w:rsid w:val="7F786C22"/>
    <w:rsid w:val="7F792F33"/>
    <w:rsid w:val="7F7A5CAC"/>
    <w:rsid w:val="7F7C79BB"/>
    <w:rsid w:val="7F7F6846"/>
    <w:rsid w:val="7F860230"/>
    <w:rsid w:val="7F862427"/>
    <w:rsid w:val="7F880446"/>
    <w:rsid w:val="7F881179"/>
    <w:rsid w:val="7F892494"/>
    <w:rsid w:val="7F8A0814"/>
    <w:rsid w:val="7F8B540C"/>
    <w:rsid w:val="7F8B6032"/>
    <w:rsid w:val="7F8C578A"/>
    <w:rsid w:val="7F8C769C"/>
    <w:rsid w:val="7F8F378E"/>
    <w:rsid w:val="7F900ECF"/>
    <w:rsid w:val="7F912323"/>
    <w:rsid w:val="7F91297C"/>
    <w:rsid w:val="7F9264AA"/>
    <w:rsid w:val="7F927DF0"/>
    <w:rsid w:val="7F94294F"/>
    <w:rsid w:val="7F947A89"/>
    <w:rsid w:val="7F9502F0"/>
    <w:rsid w:val="7F955574"/>
    <w:rsid w:val="7F955D69"/>
    <w:rsid w:val="7F9672EF"/>
    <w:rsid w:val="7F99764B"/>
    <w:rsid w:val="7F9A5750"/>
    <w:rsid w:val="7F9B4D8B"/>
    <w:rsid w:val="7F9B72DC"/>
    <w:rsid w:val="7F9B734D"/>
    <w:rsid w:val="7F9B753F"/>
    <w:rsid w:val="7F9C58DE"/>
    <w:rsid w:val="7F9D482D"/>
    <w:rsid w:val="7F9F3BF7"/>
    <w:rsid w:val="7FA0508C"/>
    <w:rsid w:val="7FA15042"/>
    <w:rsid w:val="7FA15C86"/>
    <w:rsid w:val="7FA31545"/>
    <w:rsid w:val="7FA4128D"/>
    <w:rsid w:val="7FA53900"/>
    <w:rsid w:val="7FA65BED"/>
    <w:rsid w:val="7FA67A95"/>
    <w:rsid w:val="7FA7346B"/>
    <w:rsid w:val="7FA85D55"/>
    <w:rsid w:val="7FAA03F7"/>
    <w:rsid w:val="7FAA4283"/>
    <w:rsid w:val="7FAC6796"/>
    <w:rsid w:val="7FAD5E38"/>
    <w:rsid w:val="7FAE4F8B"/>
    <w:rsid w:val="7FAF0BAC"/>
    <w:rsid w:val="7FAF5EBC"/>
    <w:rsid w:val="7FB06606"/>
    <w:rsid w:val="7FB11143"/>
    <w:rsid w:val="7FB21796"/>
    <w:rsid w:val="7FB23C64"/>
    <w:rsid w:val="7FB23C8A"/>
    <w:rsid w:val="7FB32508"/>
    <w:rsid w:val="7FB40592"/>
    <w:rsid w:val="7FB8265D"/>
    <w:rsid w:val="7FB87C6E"/>
    <w:rsid w:val="7FB9135D"/>
    <w:rsid w:val="7FBA3FDF"/>
    <w:rsid w:val="7FBB3014"/>
    <w:rsid w:val="7FBF1C44"/>
    <w:rsid w:val="7FC0422F"/>
    <w:rsid w:val="7FC34949"/>
    <w:rsid w:val="7FC37CE1"/>
    <w:rsid w:val="7FC410C8"/>
    <w:rsid w:val="7FC52C8E"/>
    <w:rsid w:val="7FC67813"/>
    <w:rsid w:val="7FC67963"/>
    <w:rsid w:val="7FC75C9F"/>
    <w:rsid w:val="7FCB78DE"/>
    <w:rsid w:val="7FCC7507"/>
    <w:rsid w:val="7FCD1FFD"/>
    <w:rsid w:val="7FCE230D"/>
    <w:rsid w:val="7FCF4FED"/>
    <w:rsid w:val="7FD01FB2"/>
    <w:rsid w:val="7FD1766C"/>
    <w:rsid w:val="7FD2086E"/>
    <w:rsid w:val="7FD2345E"/>
    <w:rsid w:val="7FD27981"/>
    <w:rsid w:val="7FD331BF"/>
    <w:rsid w:val="7FD37074"/>
    <w:rsid w:val="7FD41E59"/>
    <w:rsid w:val="7FD449F4"/>
    <w:rsid w:val="7FD472AF"/>
    <w:rsid w:val="7FD709A1"/>
    <w:rsid w:val="7FD85DE8"/>
    <w:rsid w:val="7FDD7562"/>
    <w:rsid w:val="7FDF3F1B"/>
    <w:rsid w:val="7FDF548C"/>
    <w:rsid w:val="7FE20075"/>
    <w:rsid w:val="7FE235A5"/>
    <w:rsid w:val="7FE30570"/>
    <w:rsid w:val="7FE54144"/>
    <w:rsid w:val="7FE64DA0"/>
    <w:rsid w:val="7FE77457"/>
    <w:rsid w:val="7FE80B8C"/>
    <w:rsid w:val="7FE94D40"/>
    <w:rsid w:val="7FE95DB4"/>
    <w:rsid w:val="7FEA6AC8"/>
    <w:rsid w:val="7FEB1EB7"/>
    <w:rsid w:val="7FEB608D"/>
    <w:rsid w:val="7FEC49B1"/>
    <w:rsid w:val="7FEC7BA9"/>
    <w:rsid w:val="7FED0FD8"/>
    <w:rsid w:val="7FED6B30"/>
    <w:rsid w:val="7FEE231D"/>
    <w:rsid w:val="7FEE5FF5"/>
    <w:rsid w:val="7FEF72D0"/>
    <w:rsid w:val="7FEF7DCA"/>
    <w:rsid w:val="7FF13D25"/>
    <w:rsid w:val="7FF22EDA"/>
    <w:rsid w:val="7FF25458"/>
    <w:rsid w:val="7FF27D53"/>
    <w:rsid w:val="7FF56EF9"/>
    <w:rsid w:val="7FF62E41"/>
    <w:rsid w:val="7FF64F35"/>
    <w:rsid w:val="7FF724DD"/>
    <w:rsid w:val="7FF813C3"/>
    <w:rsid w:val="7FF8444C"/>
    <w:rsid w:val="7FF860C3"/>
    <w:rsid w:val="7FF96438"/>
    <w:rsid w:val="7FFA1393"/>
    <w:rsid w:val="7FFA1E60"/>
    <w:rsid w:val="7FFA2B37"/>
    <w:rsid w:val="7FFB09C2"/>
    <w:rsid w:val="7FFB65C8"/>
    <w:rsid w:val="7FFC5D75"/>
    <w:rsid w:val="7FFC7BB6"/>
    <w:rsid w:val="7FFF0AFB"/>
    <w:rsid w:val="7FFF31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iPriority="0" w:semiHidden="0" w:name="annotation text"/>
    <w:lsdException w:qFormat="1" w:uiPriority="0"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qFormat="1" w:unhideWhenUsed="0" w:uiPriority="0" w:semiHidden="0"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qFormat="1"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iPriority="99" w:semiHidden="0"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0" w:semiHidden="0"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uiPriority="99"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napToGrid w:val="0"/>
      <w:spacing w:line="500" w:lineRule="exact"/>
      <w:ind w:firstLine="48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83"/>
    <w:autoRedefine/>
    <w:qFormat/>
    <w:uiPriority w:val="0"/>
    <w:pPr>
      <w:spacing w:line="500" w:lineRule="exact"/>
      <w:ind w:firstLine="0" w:firstLineChars="0"/>
      <w:jc w:val="left"/>
      <w:outlineLvl w:val="0"/>
    </w:pPr>
    <w:rPr>
      <w:rFonts w:eastAsia="黑体"/>
      <w:sz w:val="32"/>
    </w:rPr>
  </w:style>
  <w:style w:type="paragraph" w:styleId="3">
    <w:name w:val="heading 2"/>
    <w:basedOn w:val="1"/>
    <w:next w:val="1"/>
    <w:link w:val="70"/>
    <w:autoRedefine/>
    <w:unhideWhenUsed/>
    <w:qFormat/>
    <w:uiPriority w:val="0"/>
    <w:pPr>
      <w:keepNext/>
      <w:keepLines/>
      <w:spacing w:before="50" w:beforeLines="50" w:after="50" w:afterLines="50" w:line="500" w:lineRule="exact"/>
      <w:ind w:firstLine="0" w:firstLineChars="0"/>
      <w:jc w:val="left"/>
      <w:outlineLvl w:val="1"/>
    </w:pPr>
    <w:rPr>
      <w:rFonts w:eastAsia="黑体" w:cstheme="majorBidi"/>
      <w:bCs/>
      <w:sz w:val="28"/>
      <w:szCs w:val="32"/>
    </w:rPr>
  </w:style>
  <w:style w:type="paragraph" w:styleId="4">
    <w:name w:val="heading 3"/>
    <w:basedOn w:val="1"/>
    <w:next w:val="1"/>
    <w:link w:val="71"/>
    <w:autoRedefine/>
    <w:unhideWhenUsed/>
    <w:qFormat/>
    <w:uiPriority w:val="0"/>
    <w:pPr>
      <w:keepNext/>
      <w:keepLines/>
      <w:spacing w:after="50" w:afterLines="50" w:line="500" w:lineRule="exact"/>
      <w:ind w:firstLine="0" w:firstLineChars="0"/>
      <w:jc w:val="left"/>
      <w:outlineLvl w:val="2"/>
    </w:pPr>
    <w:rPr>
      <w:rFonts w:eastAsia="黑体"/>
      <w:bCs/>
      <w:szCs w:val="32"/>
    </w:rPr>
  </w:style>
  <w:style w:type="paragraph" w:styleId="5">
    <w:name w:val="heading 4"/>
    <w:basedOn w:val="1"/>
    <w:next w:val="1"/>
    <w:link w:val="72"/>
    <w:autoRedefine/>
    <w:qFormat/>
    <w:uiPriority w:val="0"/>
    <w:pPr>
      <w:keepNext/>
      <w:keepLines/>
      <w:spacing w:line="500" w:lineRule="exact"/>
      <w:ind w:firstLine="0" w:firstLineChars="0"/>
      <w:outlineLvl w:val="3"/>
    </w:pPr>
    <w:rPr>
      <w:rFonts w:cs="Times New Roman"/>
      <w:b/>
      <w:szCs w:val="20"/>
      <w:lang w:val="zh-CN"/>
    </w:rPr>
  </w:style>
  <w:style w:type="paragraph" w:styleId="6">
    <w:name w:val="heading 5"/>
    <w:basedOn w:val="1"/>
    <w:next w:val="7"/>
    <w:link w:val="85"/>
    <w:autoRedefine/>
    <w:qFormat/>
    <w:uiPriority w:val="0"/>
    <w:pPr>
      <w:keepNext/>
      <w:keepLines/>
      <w:adjustRightInd/>
      <w:snapToGrid/>
      <w:spacing w:before="280" w:after="290" w:line="372" w:lineRule="auto"/>
      <w:ind w:firstLine="0" w:firstLineChars="0"/>
      <w:outlineLvl w:val="4"/>
    </w:pPr>
    <w:rPr>
      <w:rFonts w:cs="Times New Roman"/>
      <w:b/>
      <w:sz w:val="28"/>
      <w:szCs w:val="20"/>
      <w:lang w:val="zh-CN"/>
    </w:rPr>
  </w:style>
  <w:style w:type="paragraph" w:styleId="10">
    <w:name w:val="heading 6"/>
    <w:basedOn w:val="1"/>
    <w:next w:val="7"/>
    <w:link w:val="86"/>
    <w:autoRedefine/>
    <w:qFormat/>
    <w:uiPriority w:val="0"/>
    <w:pPr>
      <w:keepNext/>
      <w:keepLines/>
      <w:adjustRightInd/>
      <w:snapToGrid/>
      <w:spacing w:before="240" w:after="64" w:line="317" w:lineRule="auto"/>
      <w:ind w:firstLine="0" w:firstLineChars="0"/>
      <w:outlineLvl w:val="5"/>
    </w:pPr>
    <w:rPr>
      <w:rFonts w:ascii="Arial" w:hAnsi="Arial" w:eastAsia="黑体" w:cs="Times New Roman"/>
      <w:b/>
      <w:szCs w:val="20"/>
      <w:lang w:val="zh-CN"/>
    </w:rPr>
  </w:style>
  <w:style w:type="paragraph" w:styleId="11">
    <w:name w:val="heading 7"/>
    <w:basedOn w:val="1"/>
    <w:next w:val="7"/>
    <w:link w:val="87"/>
    <w:autoRedefine/>
    <w:qFormat/>
    <w:uiPriority w:val="0"/>
    <w:pPr>
      <w:keepNext/>
      <w:keepLines/>
      <w:adjustRightInd/>
      <w:snapToGrid/>
      <w:spacing w:before="240" w:after="64" w:line="317" w:lineRule="auto"/>
      <w:ind w:firstLine="0" w:firstLineChars="0"/>
      <w:outlineLvl w:val="6"/>
    </w:pPr>
    <w:rPr>
      <w:rFonts w:cs="Times New Roman"/>
      <w:b/>
      <w:szCs w:val="20"/>
      <w:lang w:val="zh-CN"/>
    </w:rPr>
  </w:style>
  <w:style w:type="paragraph" w:styleId="12">
    <w:name w:val="heading 8"/>
    <w:basedOn w:val="1"/>
    <w:next w:val="7"/>
    <w:link w:val="88"/>
    <w:autoRedefine/>
    <w:qFormat/>
    <w:uiPriority w:val="0"/>
    <w:pPr>
      <w:keepNext/>
      <w:keepLines/>
      <w:adjustRightInd/>
      <w:snapToGrid/>
      <w:spacing w:before="240" w:after="64" w:line="317" w:lineRule="auto"/>
      <w:ind w:firstLine="0" w:firstLineChars="0"/>
      <w:outlineLvl w:val="7"/>
    </w:pPr>
    <w:rPr>
      <w:rFonts w:ascii="Arial" w:hAnsi="Arial" w:eastAsia="黑体" w:cs="Times New Roman"/>
      <w:szCs w:val="20"/>
      <w:lang w:val="zh-CN"/>
    </w:rPr>
  </w:style>
  <w:style w:type="paragraph" w:styleId="13">
    <w:name w:val="heading 9"/>
    <w:basedOn w:val="1"/>
    <w:next w:val="7"/>
    <w:link w:val="89"/>
    <w:autoRedefine/>
    <w:qFormat/>
    <w:uiPriority w:val="0"/>
    <w:pPr>
      <w:keepNext/>
      <w:keepLines/>
      <w:adjustRightInd/>
      <w:snapToGrid/>
      <w:spacing w:before="240" w:after="64" w:line="317" w:lineRule="auto"/>
      <w:ind w:firstLine="0" w:firstLineChars="0"/>
      <w:outlineLvl w:val="8"/>
    </w:pPr>
    <w:rPr>
      <w:rFonts w:ascii="Arial" w:hAnsi="Arial" w:eastAsia="黑体" w:cs="Times New Roman"/>
      <w:sz w:val="21"/>
      <w:szCs w:val="20"/>
      <w:lang w:val="zh-CN"/>
    </w:rPr>
  </w:style>
  <w:style w:type="character" w:default="1" w:styleId="49">
    <w:name w:val="Default Paragraph Font"/>
    <w:autoRedefine/>
    <w:semiHidden/>
    <w:unhideWhenUsed/>
    <w:qFormat/>
    <w:uiPriority w:val="1"/>
  </w:style>
  <w:style w:type="table" w:default="1" w:styleId="47">
    <w:name w:val="Normal Table"/>
    <w:autoRedefine/>
    <w:semiHidden/>
    <w:unhideWhenUsed/>
    <w:qFormat/>
    <w:uiPriority w:val="99"/>
    <w:tblPr>
      <w:tblCellMar>
        <w:top w:w="0" w:type="dxa"/>
        <w:left w:w="108" w:type="dxa"/>
        <w:bottom w:w="0" w:type="dxa"/>
        <w:right w:w="108" w:type="dxa"/>
      </w:tblCellMar>
    </w:tblPr>
  </w:style>
  <w:style w:type="paragraph" w:styleId="7">
    <w:name w:val="Normal Indent"/>
    <w:basedOn w:val="1"/>
    <w:next w:val="8"/>
    <w:link w:val="84"/>
    <w:autoRedefine/>
    <w:qFormat/>
    <w:uiPriority w:val="0"/>
    <w:pPr>
      <w:adjustRightInd/>
      <w:snapToGrid/>
      <w:spacing w:line="240" w:lineRule="auto"/>
      <w:ind w:firstLine="420"/>
    </w:pPr>
    <w:rPr>
      <w:rFonts w:eastAsiaTheme="minorEastAsia"/>
      <w:sz w:val="21"/>
    </w:rPr>
  </w:style>
  <w:style w:type="paragraph" w:styleId="8">
    <w:name w:val="Body Text"/>
    <w:basedOn w:val="1"/>
    <w:next w:val="9"/>
    <w:link w:val="92"/>
    <w:autoRedefine/>
    <w:unhideWhenUsed/>
    <w:qFormat/>
    <w:uiPriority w:val="0"/>
    <w:pPr>
      <w:spacing w:after="120"/>
    </w:pPr>
  </w:style>
  <w:style w:type="paragraph" w:styleId="9">
    <w:name w:val="toc 5"/>
    <w:basedOn w:val="1"/>
    <w:next w:val="1"/>
    <w:autoRedefine/>
    <w:qFormat/>
    <w:uiPriority w:val="39"/>
    <w:pPr>
      <w:adjustRightInd/>
      <w:snapToGrid/>
      <w:spacing w:line="240" w:lineRule="auto"/>
      <w:ind w:left="840" w:firstLine="0" w:firstLineChars="0"/>
      <w:jc w:val="left"/>
    </w:pPr>
    <w:rPr>
      <w:rFonts w:cs="Times New Roman"/>
      <w:kern w:val="0"/>
      <w:sz w:val="18"/>
      <w:szCs w:val="20"/>
    </w:rPr>
  </w:style>
  <w:style w:type="paragraph" w:styleId="14">
    <w:name w:val="toc 7"/>
    <w:basedOn w:val="1"/>
    <w:next w:val="1"/>
    <w:autoRedefine/>
    <w:qFormat/>
    <w:uiPriority w:val="39"/>
    <w:pPr>
      <w:adjustRightInd/>
      <w:snapToGrid/>
      <w:spacing w:line="240" w:lineRule="auto"/>
      <w:ind w:left="1260" w:firstLine="0" w:firstLineChars="0"/>
      <w:jc w:val="left"/>
    </w:pPr>
    <w:rPr>
      <w:rFonts w:cs="Times New Roman"/>
      <w:kern w:val="0"/>
      <w:sz w:val="18"/>
      <w:szCs w:val="20"/>
    </w:rPr>
  </w:style>
  <w:style w:type="paragraph" w:styleId="15">
    <w:name w:val="table of authorities"/>
    <w:basedOn w:val="1"/>
    <w:next w:val="1"/>
    <w:autoRedefine/>
    <w:qFormat/>
    <w:uiPriority w:val="0"/>
    <w:pPr>
      <w:ind w:left="420" w:leftChars="200" w:firstLine="640"/>
    </w:pPr>
    <w:rPr>
      <w:szCs w:val="24"/>
    </w:rPr>
  </w:style>
  <w:style w:type="paragraph" w:styleId="16">
    <w:name w:val="caption"/>
    <w:basedOn w:val="1"/>
    <w:next w:val="1"/>
    <w:link w:val="94"/>
    <w:autoRedefine/>
    <w:unhideWhenUsed/>
    <w:qFormat/>
    <w:uiPriority w:val="0"/>
    <w:rPr>
      <w:rFonts w:eastAsia="黑体" w:asciiTheme="majorHAnsi" w:hAnsiTheme="majorHAnsi" w:cstheme="majorBidi"/>
      <w:sz w:val="20"/>
      <w:szCs w:val="20"/>
    </w:rPr>
  </w:style>
  <w:style w:type="paragraph" w:styleId="17">
    <w:name w:val="Document Map"/>
    <w:basedOn w:val="1"/>
    <w:link w:val="95"/>
    <w:autoRedefine/>
    <w:qFormat/>
    <w:uiPriority w:val="0"/>
    <w:pPr>
      <w:shd w:val="clear" w:color="auto" w:fill="000080"/>
      <w:adjustRightInd/>
      <w:snapToGrid/>
      <w:spacing w:line="240" w:lineRule="auto"/>
      <w:ind w:firstLine="0" w:firstLineChars="0"/>
    </w:pPr>
    <w:rPr>
      <w:rFonts w:eastAsiaTheme="minorEastAsia"/>
      <w:sz w:val="21"/>
      <w:shd w:val="clear" w:color="auto" w:fill="000080"/>
    </w:rPr>
  </w:style>
  <w:style w:type="paragraph" w:styleId="18">
    <w:name w:val="annotation text"/>
    <w:basedOn w:val="1"/>
    <w:link w:val="90"/>
    <w:autoRedefine/>
    <w:unhideWhenUsed/>
    <w:qFormat/>
    <w:uiPriority w:val="0"/>
    <w:pPr>
      <w:jc w:val="left"/>
    </w:pPr>
  </w:style>
  <w:style w:type="paragraph" w:styleId="19">
    <w:name w:val="Body Text 3"/>
    <w:basedOn w:val="1"/>
    <w:link w:val="96"/>
    <w:autoRedefine/>
    <w:qFormat/>
    <w:uiPriority w:val="0"/>
    <w:pPr>
      <w:adjustRightInd/>
      <w:snapToGrid/>
      <w:spacing w:after="120" w:line="240" w:lineRule="auto"/>
      <w:ind w:firstLine="0" w:firstLineChars="0"/>
    </w:pPr>
    <w:rPr>
      <w:rFonts w:eastAsiaTheme="minorEastAsia"/>
      <w:sz w:val="16"/>
    </w:rPr>
  </w:style>
  <w:style w:type="paragraph" w:styleId="20">
    <w:name w:val="Body Text Indent"/>
    <w:basedOn w:val="1"/>
    <w:next w:val="1"/>
    <w:link w:val="97"/>
    <w:autoRedefine/>
    <w:qFormat/>
    <w:uiPriority w:val="0"/>
    <w:pPr>
      <w:adjustRightInd/>
      <w:snapToGrid/>
      <w:spacing w:line="500" w:lineRule="exact"/>
      <w:ind w:firstLine="570" w:firstLineChars="0"/>
    </w:pPr>
    <w:rPr>
      <w:rFonts w:ascii="宋体" w:hAnsi="宋体" w:eastAsiaTheme="minorEastAsia"/>
      <w:sz w:val="28"/>
    </w:rPr>
  </w:style>
  <w:style w:type="paragraph" w:styleId="21">
    <w:name w:val="List 2"/>
    <w:basedOn w:val="1"/>
    <w:autoRedefine/>
    <w:qFormat/>
    <w:uiPriority w:val="0"/>
    <w:pPr>
      <w:ind w:left="100" w:leftChars="200" w:hanging="200" w:hangingChars="200"/>
    </w:pPr>
    <w:rPr>
      <w:rFonts w:ascii="宋体"/>
      <w:kern w:val="0"/>
    </w:rPr>
  </w:style>
  <w:style w:type="paragraph" w:styleId="22">
    <w:name w:val="toc 3"/>
    <w:basedOn w:val="1"/>
    <w:next w:val="1"/>
    <w:autoRedefine/>
    <w:qFormat/>
    <w:uiPriority w:val="39"/>
    <w:pPr>
      <w:adjustRightInd/>
      <w:snapToGrid/>
      <w:spacing w:line="240" w:lineRule="auto"/>
      <w:ind w:left="420" w:firstLine="0" w:firstLineChars="0"/>
      <w:jc w:val="left"/>
    </w:pPr>
    <w:rPr>
      <w:rFonts w:cs="Times New Roman"/>
      <w:i/>
      <w:kern w:val="0"/>
      <w:sz w:val="20"/>
      <w:szCs w:val="20"/>
    </w:rPr>
  </w:style>
  <w:style w:type="paragraph" w:styleId="23">
    <w:name w:val="Plain Text"/>
    <w:basedOn w:val="1"/>
    <w:link w:val="98"/>
    <w:autoRedefine/>
    <w:qFormat/>
    <w:uiPriority w:val="0"/>
    <w:pPr>
      <w:adjustRightInd/>
      <w:snapToGrid/>
      <w:spacing w:line="240" w:lineRule="auto"/>
      <w:ind w:firstLine="0" w:firstLineChars="0"/>
    </w:pPr>
    <w:rPr>
      <w:rFonts w:ascii="宋体" w:hAnsi="Courier New" w:eastAsiaTheme="minorEastAsia"/>
      <w:sz w:val="21"/>
    </w:rPr>
  </w:style>
  <w:style w:type="paragraph" w:styleId="24">
    <w:name w:val="List Bullet 5"/>
    <w:basedOn w:val="1"/>
    <w:autoRedefine/>
    <w:semiHidden/>
    <w:unhideWhenUsed/>
    <w:qFormat/>
    <w:uiPriority w:val="99"/>
    <w:pPr>
      <w:numPr>
        <w:ilvl w:val="0"/>
        <w:numId w:val="1"/>
      </w:numPr>
    </w:pPr>
  </w:style>
  <w:style w:type="paragraph" w:styleId="25">
    <w:name w:val="toc 8"/>
    <w:basedOn w:val="1"/>
    <w:next w:val="1"/>
    <w:autoRedefine/>
    <w:qFormat/>
    <w:uiPriority w:val="39"/>
    <w:pPr>
      <w:adjustRightInd/>
      <w:snapToGrid/>
      <w:spacing w:line="240" w:lineRule="auto"/>
      <w:ind w:left="1470" w:firstLine="0" w:firstLineChars="0"/>
      <w:jc w:val="left"/>
    </w:pPr>
    <w:rPr>
      <w:rFonts w:cs="Times New Roman"/>
      <w:kern w:val="0"/>
      <w:sz w:val="18"/>
      <w:szCs w:val="20"/>
    </w:rPr>
  </w:style>
  <w:style w:type="paragraph" w:styleId="26">
    <w:name w:val="Date"/>
    <w:basedOn w:val="1"/>
    <w:next w:val="1"/>
    <w:link w:val="99"/>
    <w:autoRedefine/>
    <w:qFormat/>
    <w:uiPriority w:val="0"/>
    <w:pPr>
      <w:adjustRightInd/>
      <w:snapToGrid/>
      <w:spacing w:line="240" w:lineRule="auto"/>
      <w:ind w:left="100" w:leftChars="2500" w:firstLine="0" w:firstLineChars="0"/>
    </w:pPr>
    <w:rPr>
      <w:rFonts w:eastAsiaTheme="minorEastAsia"/>
      <w:sz w:val="28"/>
    </w:rPr>
  </w:style>
  <w:style w:type="paragraph" w:styleId="27">
    <w:name w:val="Body Text Indent 2"/>
    <w:basedOn w:val="1"/>
    <w:link w:val="100"/>
    <w:autoRedefine/>
    <w:qFormat/>
    <w:uiPriority w:val="0"/>
    <w:pPr>
      <w:spacing w:line="520" w:lineRule="atLeast"/>
      <w:ind w:firstLine="470" w:firstLineChars="196"/>
    </w:pPr>
    <w:rPr>
      <w:rFonts w:eastAsiaTheme="minorEastAsia"/>
    </w:rPr>
  </w:style>
  <w:style w:type="paragraph" w:styleId="28">
    <w:name w:val="Balloon Text"/>
    <w:basedOn w:val="1"/>
    <w:link w:val="101"/>
    <w:autoRedefine/>
    <w:qFormat/>
    <w:uiPriority w:val="0"/>
    <w:pPr>
      <w:adjustRightInd/>
      <w:snapToGrid/>
      <w:spacing w:line="240" w:lineRule="auto"/>
      <w:ind w:firstLine="0" w:firstLineChars="0"/>
    </w:pPr>
    <w:rPr>
      <w:rFonts w:eastAsiaTheme="minorEastAsia"/>
      <w:sz w:val="18"/>
    </w:rPr>
  </w:style>
  <w:style w:type="paragraph" w:styleId="29">
    <w:name w:val="footer"/>
    <w:basedOn w:val="1"/>
    <w:link w:val="102"/>
    <w:autoRedefine/>
    <w:unhideWhenUsed/>
    <w:qFormat/>
    <w:uiPriority w:val="99"/>
    <w:pPr>
      <w:tabs>
        <w:tab w:val="center" w:pos="4153"/>
        <w:tab w:val="right" w:pos="8306"/>
      </w:tabs>
      <w:spacing w:line="240" w:lineRule="auto"/>
      <w:jc w:val="left"/>
    </w:pPr>
    <w:rPr>
      <w:sz w:val="18"/>
      <w:szCs w:val="18"/>
    </w:rPr>
  </w:style>
  <w:style w:type="paragraph" w:styleId="30">
    <w:name w:val="header"/>
    <w:basedOn w:val="1"/>
    <w:link w:val="105"/>
    <w:autoRedefine/>
    <w:unhideWhenUsed/>
    <w:qFormat/>
    <w:uiPriority w:val="0"/>
    <w:pPr>
      <w:pBdr>
        <w:bottom w:val="single" w:color="auto" w:sz="6" w:space="1"/>
      </w:pBdr>
      <w:tabs>
        <w:tab w:val="center" w:pos="4153"/>
        <w:tab w:val="right" w:pos="8306"/>
      </w:tabs>
      <w:spacing w:line="240" w:lineRule="auto"/>
      <w:jc w:val="center"/>
    </w:pPr>
    <w:rPr>
      <w:sz w:val="18"/>
      <w:szCs w:val="18"/>
    </w:rPr>
  </w:style>
  <w:style w:type="paragraph" w:styleId="31">
    <w:name w:val="toc 1"/>
    <w:basedOn w:val="1"/>
    <w:next w:val="1"/>
    <w:autoRedefine/>
    <w:qFormat/>
    <w:uiPriority w:val="39"/>
    <w:pPr>
      <w:adjustRightInd/>
      <w:snapToGrid/>
      <w:spacing w:before="120" w:after="120" w:line="240" w:lineRule="auto"/>
      <w:ind w:firstLine="0" w:firstLineChars="0"/>
      <w:jc w:val="left"/>
    </w:pPr>
    <w:rPr>
      <w:rFonts w:cs="Times New Roman"/>
      <w:b/>
      <w:caps/>
      <w:kern w:val="0"/>
      <w:sz w:val="20"/>
      <w:szCs w:val="20"/>
    </w:rPr>
  </w:style>
  <w:style w:type="paragraph" w:styleId="32">
    <w:name w:val="toc 4"/>
    <w:basedOn w:val="1"/>
    <w:next w:val="1"/>
    <w:autoRedefine/>
    <w:qFormat/>
    <w:uiPriority w:val="39"/>
    <w:pPr>
      <w:adjustRightInd/>
      <w:snapToGrid/>
      <w:spacing w:line="240" w:lineRule="auto"/>
      <w:ind w:left="630" w:firstLine="0" w:firstLineChars="0"/>
      <w:jc w:val="left"/>
    </w:pPr>
    <w:rPr>
      <w:rFonts w:cs="Times New Roman"/>
      <w:kern w:val="0"/>
      <w:sz w:val="18"/>
      <w:szCs w:val="20"/>
    </w:rPr>
  </w:style>
  <w:style w:type="paragraph" w:styleId="33">
    <w:name w:val="List"/>
    <w:basedOn w:val="1"/>
    <w:autoRedefine/>
    <w:qFormat/>
    <w:uiPriority w:val="0"/>
    <w:pPr>
      <w:adjustRightInd/>
      <w:snapToGrid/>
      <w:spacing w:line="240" w:lineRule="auto"/>
      <w:ind w:left="200" w:hanging="200" w:hangingChars="200"/>
    </w:pPr>
    <w:rPr>
      <w:rFonts w:cs="Times New Roman"/>
      <w:kern w:val="0"/>
      <w:szCs w:val="20"/>
    </w:rPr>
  </w:style>
  <w:style w:type="paragraph" w:styleId="34">
    <w:name w:val="toc 6"/>
    <w:basedOn w:val="1"/>
    <w:next w:val="1"/>
    <w:autoRedefine/>
    <w:qFormat/>
    <w:uiPriority w:val="39"/>
    <w:pPr>
      <w:adjustRightInd/>
      <w:snapToGrid/>
      <w:spacing w:line="240" w:lineRule="auto"/>
      <w:ind w:left="1050" w:firstLine="0" w:firstLineChars="0"/>
      <w:jc w:val="left"/>
    </w:pPr>
    <w:rPr>
      <w:rFonts w:cs="Times New Roman"/>
      <w:kern w:val="0"/>
      <w:sz w:val="18"/>
      <w:szCs w:val="20"/>
    </w:rPr>
  </w:style>
  <w:style w:type="paragraph" w:styleId="35">
    <w:name w:val="Body Text Indent 3"/>
    <w:basedOn w:val="1"/>
    <w:link w:val="106"/>
    <w:autoRedefine/>
    <w:qFormat/>
    <w:uiPriority w:val="0"/>
    <w:pPr>
      <w:spacing w:line="520" w:lineRule="atLeast"/>
      <w:ind w:firstLine="0" w:firstLineChars="0"/>
    </w:pPr>
    <w:rPr>
      <w:rFonts w:ascii="宋体" w:hAnsi="宋体" w:eastAsiaTheme="minorEastAsia"/>
    </w:rPr>
  </w:style>
  <w:style w:type="paragraph" w:styleId="36">
    <w:name w:val="toc 2"/>
    <w:basedOn w:val="1"/>
    <w:next w:val="1"/>
    <w:autoRedefine/>
    <w:qFormat/>
    <w:uiPriority w:val="39"/>
    <w:pPr>
      <w:adjustRightInd/>
      <w:snapToGrid/>
      <w:spacing w:line="240" w:lineRule="auto"/>
      <w:ind w:left="210" w:firstLine="0" w:firstLineChars="0"/>
      <w:jc w:val="left"/>
    </w:pPr>
    <w:rPr>
      <w:rFonts w:cs="Times New Roman"/>
      <w:smallCaps/>
      <w:kern w:val="0"/>
      <w:sz w:val="20"/>
      <w:szCs w:val="20"/>
    </w:rPr>
  </w:style>
  <w:style w:type="paragraph" w:styleId="37">
    <w:name w:val="toc 9"/>
    <w:basedOn w:val="1"/>
    <w:next w:val="1"/>
    <w:autoRedefine/>
    <w:qFormat/>
    <w:uiPriority w:val="39"/>
    <w:pPr>
      <w:adjustRightInd/>
      <w:snapToGrid/>
      <w:spacing w:line="240" w:lineRule="auto"/>
      <w:ind w:left="1680" w:firstLine="0" w:firstLineChars="0"/>
      <w:jc w:val="left"/>
    </w:pPr>
    <w:rPr>
      <w:rFonts w:cs="Times New Roman"/>
      <w:kern w:val="0"/>
      <w:sz w:val="18"/>
      <w:szCs w:val="20"/>
    </w:rPr>
  </w:style>
  <w:style w:type="paragraph" w:styleId="38">
    <w:name w:val="Body Text 2"/>
    <w:basedOn w:val="1"/>
    <w:link w:val="107"/>
    <w:autoRedefine/>
    <w:qFormat/>
    <w:uiPriority w:val="0"/>
    <w:pPr>
      <w:spacing w:line="520" w:lineRule="atLeast"/>
      <w:ind w:firstLine="0" w:firstLineChars="0"/>
    </w:pPr>
    <w:rPr>
      <w:rFonts w:ascii="宋体" w:hAnsi="宋体" w:eastAsiaTheme="minorEastAsia"/>
      <w:sz w:val="28"/>
    </w:rPr>
  </w:style>
  <w:style w:type="paragraph" w:styleId="39">
    <w:name w:val="Message Header"/>
    <w:basedOn w:val="1"/>
    <w:next w:val="1"/>
    <w:autoRedefine/>
    <w:unhideWhenUsed/>
    <w:qFormat/>
    <w:uiPriority w:val="99"/>
    <w:pPr>
      <w:pBdr>
        <w:top w:val="single" w:color="auto" w:sz="6" w:space="1"/>
        <w:left w:val="single" w:color="auto" w:sz="6" w:space="1"/>
        <w:bottom w:val="single" w:color="auto" w:sz="6" w:space="1"/>
        <w:right w:val="single" w:color="auto" w:sz="6" w:space="1"/>
      </w:pBdr>
      <w:shd w:val="pct20" w:color="auto" w:fill="auto"/>
      <w:adjustRightInd/>
      <w:snapToGrid/>
      <w:spacing w:line="240" w:lineRule="auto"/>
      <w:ind w:left="1080" w:leftChars="500" w:hanging="1080" w:hangingChars="500"/>
    </w:pPr>
    <w:rPr>
      <w:rFonts w:ascii="Cambria" w:hAnsi="Cambria"/>
      <w:szCs w:val="24"/>
    </w:rPr>
  </w:style>
  <w:style w:type="paragraph" w:styleId="40">
    <w:name w:val="HTML Preformatted"/>
    <w:basedOn w:val="1"/>
    <w:link w:val="108"/>
    <w:autoRedefine/>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0" w:firstLineChars="0"/>
      <w:jc w:val="left"/>
    </w:pPr>
    <w:rPr>
      <w:rFonts w:ascii="宋体" w:hAnsi="宋体" w:eastAsiaTheme="minorEastAsia"/>
    </w:rPr>
  </w:style>
  <w:style w:type="paragraph" w:styleId="41">
    <w:name w:val="Normal (Web)"/>
    <w:basedOn w:val="1"/>
    <w:autoRedefine/>
    <w:qFormat/>
    <w:uiPriority w:val="99"/>
    <w:pPr>
      <w:widowControl/>
      <w:adjustRightInd/>
      <w:snapToGrid/>
      <w:spacing w:before="100" w:beforeAutospacing="1" w:after="100" w:afterAutospacing="1" w:line="240" w:lineRule="auto"/>
      <w:ind w:firstLine="0" w:firstLineChars="0"/>
      <w:jc w:val="left"/>
    </w:pPr>
    <w:rPr>
      <w:rFonts w:ascii="宋体" w:hAnsi="宋体" w:cs="宋体"/>
      <w:kern w:val="0"/>
      <w:szCs w:val="24"/>
    </w:rPr>
  </w:style>
  <w:style w:type="paragraph" w:styleId="42">
    <w:name w:val="index 1"/>
    <w:basedOn w:val="1"/>
    <w:next w:val="1"/>
    <w:autoRedefine/>
    <w:qFormat/>
    <w:uiPriority w:val="0"/>
    <w:pPr>
      <w:adjustRightInd/>
      <w:snapToGrid/>
      <w:spacing w:line="240" w:lineRule="auto"/>
      <w:ind w:firstLine="0" w:firstLineChars="0"/>
      <w:jc w:val="center"/>
    </w:pPr>
    <w:rPr>
      <w:rFonts w:cs="Times New Roman"/>
      <w:kern w:val="0"/>
      <w:szCs w:val="20"/>
    </w:rPr>
  </w:style>
  <w:style w:type="paragraph" w:styleId="43">
    <w:name w:val="Title"/>
    <w:basedOn w:val="1"/>
    <w:next w:val="1"/>
    <w:link w:val="109"/>
    <w:autoRedefine/>
    <w:qFormat/>
    <w:uiPriority w:val="0"/>
    <w:pPr>
      <w:spacing w:before="50" w:beforeLines="50" w:after="50" w:afterLines="50"/>
      <w:ind w:firstLine="0" w:firstLineChars="0"/>
      <w:jc w:val="left"/>
      <w:outlineLvl w:val="2"/>
    </w:pPr>
    <w:rPr>
      <w:rFonts w:eastAsia="黑体" w:cstheme="majorBidi"/>
      <w:bCs/>
      <w:szCs w:val="32"/>
    </w:rPr>
  </w:style>
  <w:style w:type="paragraph" w:styleId="44">
    <w:name w:val="annotation subject"/>
    <w:basedOn w:val="18"/>
    <w:next w:val="18"/>
    <w:link w:val="91"/>
    <w:autoRedefine/>
    <w:qFormat/>
    <w:uiPriority w:val="0"/>
    <w:pPr>
      <w:widowControl/>
      <w:adjustRightInd/>
      <w:snapToGrid/>
      <w:spacing w:line="240" w:lineRule="auto"/>
      <w:ind w:firstLine="0" w:firstLineChars="0"/>
    </w:pPr>
    <w:rPr>
      <w:rFonts w:ascii="宋体" w:cs="Times New Roman"/>
      <w:b/>
      <w:bCs/>
      <w:kern w:val="0"/>
      <w:sz w:val="20"/>
      <w:szCs w:val="20"/>
    </w:rPr>
  </w:style>
  <w:style w:type="paragraph" w:styleId="45">
    <w:name w:val="Body Text First Indent"/>
    <w:basedOn w:val="8"/>
    <w:link w:val="93"/>
    <w:autoRedefine/>
    <w:qFormat/>
    <w:uiPriority w:val="0"/>
    <w:pPr>
      <w:adjustRightInd/>
      <w:snapToGrid/>
      <w:spacing w:before="78" w:beforeLines="25" w:after="78" w:afterLines="25" w:line="240" w:lineRule="auto"/>
      <w:ind w:firstLine="420" w:firstLineChars="100"/>
    </w:pPr>
    <w:rPr>
      <w:rFonts w:eastAsiaTheme="minorEastAsia"/>
      <w:sz w:val="21"/>
    </w:rPr>
  </w:style>
  <w:style w:type="paragraph" w:styleId="46">
    <w:name w:val="Body Text First Indent 2"/>
    <w:basedOn w:val="1"/>
    <w:next w:val="45"/>
    <w:link w:val="103"/>
    <w:autoRedefine/>
    <w:semiHidden/>
    <w:unhideWhenUsed/>
    <w:qFormat/>
    <w:uiPriority w:val="99"/>
    <w:pPr>
      <w:adjustRightInd w:val="0"/>
      <w:snapToGrid w:val="0"/>
      <w:spacing w:after="120" w:line="360" w:lineRule="auto"/>
      <w:ind w:left="420" w:leftChars="200" w:firstLine="420" w:firstLineChars="200"/>
    </w:pPr>
    <w:rPr>
      <w:rFonts w:ascii="Times New Roman" w:hAnsi="Times New Roman" w:eastAsia="宋体"/>
      <w:sz w:val="24"/>
    </w:rPr>
  </w:style>
  <w:style w:type="table" w:styleId="48">
    <w:name w:val="Table Grid"/>
    <w:basedOn w:val="47"/>
    <w:autoRedefine/>
    <w:qFormat/>
    <w:uiPriority w:val="59"/>
    <w:pPr>
      <w:adjustRightInd w:val="0"/>
      <w:snapToGrid w:val="0"/>
      <w:jc w:val="center"/>
    </w:pPr>
    <w:tblPr>
      <w:jc w:val="center"/>
      <w:tblBorders>
        <w:top w:val="single" w:color="auto" w:sz="4" w:space="0"/>
        <w:bottom w:val="single" w:color="auto" w:sz="4" w:space="0"/>
        <w:insideH w:val="single" w:color="auto" w:sz="4" w:space="0"/>
        <w:insideV w:val="single" w:color="auto" w:sz="4" w:space="0"/>
      </w:tblBorders>
    </w:tblPr>
    <w:trPr>
      <w:jc w:val="center"/>
    </w:trPr>
    <w:tcPr>
      <w:vAlign w:val="center"/>
    </w:tcPr>
  </w:style>
  <w:style w:type="character" w:styleId="50">
    <w:name w:val="Strong"/>
    <w:basedOn w:val="49"/>
    <w:autoRedefine/>
    <w:qFormat/>
    <w:uiPriority w:val="0"/>
    <w:rPr>
      <w:rFonts w:ascii="Times New Roman" w:hAnsi="Times New Roman"/>
      <w:b/>
      <w:szCs w:val="20"/>
    </w:rPr>
  </w:style>
  <w:style w:type="character" w:styleId="51">
    <w:name w:val="page number"/>
    <w:basedOn w:val="49"/>
    <w:autoRedefine/>
    <w:qFormat/>
    <w:uiPriority w:val="0"/>
    <w:rPr>
      <w:rFonts w:ascii="方正美黑简体" w:hAnsi="宋体" w:eastAsia="方正美黑简体"/>
      <w:sz w:val="18"/>
      <w:szCs w:val="20"/>
    </w:rPr>
  </w:style>
  <w:style w:type="character" w:styleId="52">
    <w:name w:val="FollowedHyperlink"/>
    <w:autoRedefine/>
    <w:qFormat/>
    <w:uiPriority w:val="0"/>
    <w:rPr>
      <w:rFonts w:ascii="Times New Roman" w:hAnsi="Times New Roman"/>
      <w:color w:val="000000"/>
      <w:szCs w:val="20"/>
      <w:u w:val="none"/>
    </w:rPr>
  </w:style>
  <w:style w:type="character" w:styleId="53">
    <w:name w:val="Emphasis"/>
    <w:autoRedefine/>
    <w:qFormat/>
    <w:uiPriority w:val="0"/>
    <w:rPr>
      <w:color w:val="CC0033"/>
    </w:rPr>
  </w:style>
  <w:style w:type="character" w:styleId="54">
    <w:name w:val="HTML Definition"/>
    <w:autoRedefine/>
    <w:qFormat/>
    <w:uiPriority w:val="0"/>
    <w:rPr>
      <w:rFonts w:ascii="Times New Roman" w:hAnsi="Times New Roman"/>
      <w:szCs w:val="20"/>
    </w:rPr>
  </w:style>
  <w:style w:type="character" w:styleId="55">
    <w:name w:val="HTML Acronym"/>
    <w:autoRedefine/>
    <w:qFormat/>
    <w:uiPriority w:val="0"/>
    <w:rPr>
      <w:rFonts w:ascii="Times New Roman" w:hAnsi="Times New Roman"/>
      <w:szCs w:val="20"/>
    </w:rPr>
  </w:style>
  <w:style w:type="character" w:styleId="56">
    <w:name w:val="HTML Variable"/>
    <w:autoRedefine/>
    <w:qFormat/>
    <w:uiPriority w:val="0"/>
    <w:rPr>
      <w:rFonts w:ascii="Times New Roman" w:hAnsi="Times New Roman"/>
      <w:szCs w:val="20"/>
    </w:rPr>
  </w:style>
  <w:style w:type="character" w:styleId="57">
    <w:name w:val="Hyperlink"/>
    <w:autoRedefine/>
    <w:qFormat/>
    <w:uiPriority w:val="99"/>
    <w:rPr>
      <w:rFonts w:ascii="Times New Roman" w:hAnsi="Times New Roman"/>
      <w:color w:val="000000"/>
      <w:szCs w:val="20"/>
      <w:u w:val="none"/>
    </w:rPr>
  </w:style>
  <w:style w:type="character" w:styleId="58">
    <w:name w:val="HTML Code"/>
    <w:autoRedefine/>
    <w:qFormat/>
    <w:uiPriority w:val="0"/>
    <w:rPr>
      <w:rFonts w:ascii="Courier New" w:hAnsi="Courier New" w:eastAsia="Courier New" w:cs="Courier New"/>
      <w:sz w:val="20"/>
      <w:szCs w:val="20"/>
    </w:rPr>
  </w:style>
  <w:style w:type="character" w:styleId="59">
    <w:name w:val="annotation reference"/>
    <w:autoRedefine/>
    <w:qFormat/>
    <w:uiPriority w:val="0"/>
    <w:rPr>
      <w:rFonts w:ascii="Times New Roman" w:hAnsi="Times New Roman"/>
      <w:sz w:val="21"/>
      <w:szCs w:val="21"/>
    </w:rPr>
  </w:style>
  <w:style w:type="character" w:styleId="60">
    <w:name w:val="HTML Cite"/>
    <w:autoRedefine/>
    <w:qFormat/>
    <w:uiPriority w:val="0"/>
    <w:rPr>
      <w:rFonts w:ascii="Times New Roman" w:hAnsi="Times New Roman"/>
      <w:szCs w:val="20"/>
    </w:rPr>
  </w:style>
  <w:style w:type="character" w:styleId="61">
    <w:name w:val="HTML Keyboard"/>
    <w:autoRedefine/>
    <w:qFormat/>
    <w:uiPriority w:val="0"/>
    <w:rPr>
      <w:rFonts w:ascii="Courier New" w:hAnsi="Courier New" w:eastAsia="Courier New" w:cs="Courier New"/>
      <w:sz w:val="20"/>
      <w:szCs w:val="20"/>
    </w:rPr>
  </w:style>
  <w:style w:type="character" w:styleId="62">
    <w:name w:val="HTML Sample"/>
    <w:autoRedefine/>
    <w:qFormat/>
    <w:uiPriority w:val="0"/>
    <w:rPr>
      <w:rFonts w:ascii="Courier New" w:hAnsi="Courier New" w:eastAsia="Courier New" w:cs="Courier New"/>
      <w:szCs w:val="20"/>
    </w:rPr>
  </w:style>
  <w:style w:type="paragraph" w:customStyle="1" w:styleId="63">
    <w:name w:val="Default"/>
    <w:basedOn w:val="64"/>
    <w:next w:val="1"/>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64">
    <w:name w:val="纯文本1"/>
    <w:basedOn w:val="1"/>
    <w:autoRedefine/>
    <w:qFormat/>
    <w:uiPriority w:val="0"/>
    <w:pPr>
      <w:adjustRightInd/>
      <w:snapToGrid/>
      <w:spacing w:line="240" w:lineRule="auto"/>
      <w:ind w:firstLine="0" w:firstLineChars="0"/>
    </w:pPr>
    <w:rPr>
      <w:rFonts w:ascii="宋体" w:hAnsi="Courier New" w:cs="Courier New"/>
      <w:kern w:val="0"/>
      <w:szCs w:val="21"/>
    </w:rPr>
  </w:style>
  <w:style w:type="paragraph" w:customStyle="1" w:styleId="65">
    <w:name w:val="[无段落样式]"/>
    <w:autoRedefine/>
    <w:unhideWhenUsed/>
    <w:qFormat/>
    <w:uiPriority w:val="0"/>
    <w:pPr>
      <w:widowControl w:val="0"/>
      <w:autoSpaceDE w:val="0"/>
      <w:autoSpaceDN w:val="0"/>
      <w:adjustRightInd w:val="0"/>
      <w:spacing w:line="288" w:lineRule="auto"/>
      <w:jc w:val="both"/>
      <w:textAlignment w:val="center"/>
    </w:pPr>
    <w:rPr>
      <w:rFonts w:hint="eastAsia" w:ascii="Adobe 宋体 Std L" w:hAnsi="Adobe 宋体 Std L" w:eastAsia="Adobe 宋体 Std L" w:cs="Times New Roman"/>
      <w:color w:val="000000"/>
      <w:sz w:val="24"/>
      <w:szCs w:val="22"/>
      <w:lang w:val="zh-CN" w:eastAsia="zh-CN" w:bidi="ar-SA"/>
    </w:rPr>
  </w:style>
  <w:style w:type="paragraph" w:customStyle="1" w:styleId="66">
    <w:name w:val="【表头】"/>
    <w:basedOn w:val="1"/>
    <w:link w:val="67"/>
    <w:autoRedefine/>
    <w:qFormat/>
    <w:uiPriority w:val="0"/>
    <w:pPr>
      <w:spacing w:line="500" w:lineRule="exact"/>
      <w:ind w:firstLine="0" w:firstLineChars="0"/>
      <w:jc w:val="center"/>
    </w:pPr>
    <w:rPr>
      <w:rFonts w:eastAsia="黑体"/>
      <w:lang w:val="zh-CN"/>
    </w:rPr>
  </w:style>
  <w:style w:type="character" w:customStyle="1" w:styleId="67">
    <w:name w:val="【表头】 Char"/>
    <w:link w:val="66"/>
    <w:autoRedefine/>
    <w:qFormat/>
    <w:uiPriority w:val="0"/>
    <w:rPr>
      <w:rFonts w:ascii="Times New Roman" w:hAnsi="Times New Roman" w:eastAsia="黑体"/>
      <w:sz w:val="24"/>
      <w:lang w:val="zh-CN" w:eastAsia="zh-CN"/>
    </w:rPr>
  </w:style>
  <w:style w:type="paragraph" w:customStyle="1" w:styleId="68">
    <w:name w:val="1【表中文字】"/>
    <w:basedOn w:val="1"/>
    <w:autoRedefine/>
    <w:qFormat/>
    <w:uiPriority w:val="0"/>
    <w:pPr>
      <w:spacing w:line="400" w:lineRule="exact"/>
      <w:jc w:val="center"/>
    </w:pPr>
    <w:rPr>
      <w:rFonts w:cs="Times New Roman"/>
      <w:kern w:val="0"/>
      <w:sz w:val="21"/>
      <w:szCs w:val="21"/>
    </w:rPr>
  </w:style>
  <w:style w:type="character" w:customStyle="1" w:styleId="69">
    <w:name w:val="【表中文字】 Char Char"/>
    <w:autoRedefine/>
    <w:qFormat/>
    <w:uiPriority w:val="0"/>
    <w:rPr>
      <w:kern w:val="2"/>
      <w:sz w:val="21"/>
    </w:rPr>
  </w:style>
  <w:style w:type="character" w:customStyle="1" w:styleId="70">
    <w:name w:val="标题 2 字符"/>
    <w:basedOn w:val="49"/>
    <w:link w:val="3"/>
    <w:autoRedefine/>
    <w:qFormat/>
    <w:uiPriority w:val="0"/>
    <w:rPr>
      <w:rFonts w:ascii="Times New Roman" w:hAnsi="Times New Roman" w:eastAsia="黑体" w:cstheme="majorBidi"/>
      <w:bCs/>
      <w:sz w:val="28"/>
      <w:szCs w:val="32"/>
    </w:rPr>
  </w:style>
  <w:style w:type="character" w:customStyle="1" w:styleId="71">
    <w:name w:val="标题 3 字符"/>
    <w:basedOn w:val="49"/>
    <w:link w:val="4"/>
    <w:autoRedefine/>
    <w:qFormat/>
    <w:uiPriority w:val="0"/>
    <w:rPr>
      <w:rFonts w:ascii="Times New Roman" w:hAnsi="Times New Roman" w:eastAsia="黑体"/>
      <w:bCs/>
      <w:sz w:val="24"/>
      <w:szCs w:val="32"/>
    </w:rPr>
  </w:style>
  <w:style w:type="character" w:customStyle="1" w:styleId="72">
    <w:name w:val="标题 4 字符"/>
    <w:basedOn w:val="49"/>
    <w:link w:val="5"/>
    <w:autoRedefine/>
    <w:qFormat/>
    <w:uiPriority w:val="0"/>
    <w:rPr>
      <w:rFonts w:ascii="Times New Roman" w:hAnsi="Times New Roman" w:eastAsia="宋体" w:cs="Times New Roman"/>
      <w:b/>
      <w:sz w:val="24"/>
      <w:szCs w:val="20"/>
      <w:lang w:val="zh-CN" w:eastAsia="zh-CN"/>
    </w:rPr>
  </w:style>
  <w:style w:type="paragraph" w:customStyle="1" w:styleId="73">
    <w:name w:val="【表中文字】"/>
    <w:basedOn w:val="1"/>
    <w:link w:val="74"/>
    <w:autoRedefine/>
    <w:qFormat/>
    <w:uiPriority w:val="0"/>
    <w:pPr>
      <w:adjustRightInd/>
      <w:snapToGrid/>
      <w:spacing w:line="360" w:lineRule="exact"/>
      <w:ind w:firstLine="0" w:firstLineChars="0"/>
      <w:jc w:val="center"/>
    </w:pPr>
    <w:rPr>
      <w:sz w:val="21"/>
      <w:lang w:val="zh-CN"/>
    </w:rPr>
  </w:style>
  <w:style w:type="character" w:customStyle="1" w:styleId="74">
    <w:name w:val="【表中文字】 Char"/>
    <w:link w:val="73"/>
    <w:autoRedefine/>
    <w:qFormat/>
    <w:uiPriority w:val="0"/>
    <w:rPr>
      <w:rFonts w:ascii="Times New Roman" w:hAnsi="Times New Roman" w:eastAsia="宋体"/>
      <w:lang w:val="zh-CN" w:eastAsia="zh-CN"/>
    </w:rPr>
  </w:style>
  <w:style w:type="paragraph" w:customStyle="1" w:styleId="75">
    <w:name w:val="表格11"/>
    <w:basedOn w:val="76"/>
    <w:next w:val="76"/>
    <w:autoRedefine/>
    <w:qFormat/>
    <w:uiPriority w:val="0"/>
    <w:pPr>
      <w:tabs>
        <w:tab w:val="center" w:pos="0"/>
        <w:tab w:val="left" w:pos="146"/>
      </w:tabs>
      <w:snapToGrid w:val="0"/>
      <w:spacing w:line="360" w:lineRule="exact"/>
      <w:jc w:val="center"/>
    </w:pPr>
    <w:rPr>
      <w:snapToGrid w:val="0"/>
      <w:spacing w:val="6"/>
      <w:kern w:val="0"/>
      <w:sz w:val="21"/>
      <w:szCs w:val="21"/>
    </w:rPr>
  </w:style>
  <w:style w:type="paragraph" w:customStyle="1" w:styleId="76">
    <w:name w:val="自由格式"/>
    <w:next w:val="1"/>
    <w:autoRedefine/>
    <w:qFormat/>
    <w:uiPriority w:val="0"/>
    <w:pPr>
      <w:adjustRightInd w:val="0"/>
      <w:spacing w:before="25" w:after="25" w:line="500" w:lineRule="atLeast"/>
    </w:pPr>
    <w:rPr>
      <w:rFonts w:ascii="Times New Roman" w:hAnsi="Times New Roman" w:eastAsia="宋体" w:cs="Times New Roman"/>
      <w:kern w:val="2"/>
      <w:sz w:val="24"/>
      <w:lang w:val="en-US" w:eastAsia="zh-CN" w:bidi="ar-SA"/>
    </w:rPr>
  </w:style>
  <w:style w:type="paragraph" w:customStyle="1" w:styleId="77">
    <w:name w:val="Normal (Web)1"/>
    <w:basedOn w:val="1"/>
    <w:next w:val="78"/>
    <w:autoRedefine/>
    <w:qFormat/>
    <w:uiPriority w:val="0"/>
    <w:pPr>
      <w:widowControl/>
      <w:jc w:val="left"/>
    </w:pPr>
    <w:rPr>
      <w:rFonts w:ascii="宋体" w:cs="Times New Roman"/>
      <w:kern w:val="0"/>
      <w:szCs w:val="21"/>
    </w:rPr>
  </w:style>
  <w:style w:type="paragraph" w:customStyle="1" w:styleId="78">
    <w:name w:val="Date1"/>
    <w:basedOn w:val="1"/>
    <w:next w:val="1"/>
    <w:autoRedefine/>
    <w:qFormat/>
    <w:uiPriority w:val="0"/>
    <w:pPr>
      <w:ind w:left="2500" w:leftChars="2500"/>
    </w:pPr>
  </w:style>
  <w:style w:type="paragraph" w:customStyle="1" w:styleId="79">
    <w:name w:val="报告书正文"/>
    <w:basedOn w:val="45"/>
    <w:autoRedefine/>
    <w:qFormat/>
    <w:uiPriority w:val="0"/>
    <w:pPr>
      <w:spacing w:line="400" w:lineRule="atLeast"/>
      <w:ind w:firstLine="200"/>
    </w:pPr>
    <w:rPr>
      <w:rFonts w:cs="Times New Roman"/>
      <w:kern w:val="0"/>
      <w:szCs w:val="20"/>
    </w:rPr>
  </w:style>
  <w:style w:type="paragraph" w:customStyle="1" w:styleId="80">
    <w:name w:val="列出段落1"/>
    <w:basedOn w:val="1"/>
    <w:autoRedefine/>
    <w:qFormat/>
    <w:uiPriority w:val="0"/>
    <w:pPr>
      <w:adjustRightInd/>
      <w:snapToGrid/>
      <w:spacing w:line="240" w:lineRule="auto"/>
      <w:ind w:firstLine="420"/>
    </w:pPr>
    <w:rPr>
      <w:rFonts w:ascii="宋体" w:cs="Times New Roman"/>
      <w:kern w:val="0"/>
      <w:szCs w:val="20"/>
    </w:rPr>
  </w:style>
  <w:style w:type="paragraph" w:customStyle="1" w:styleId="81">
    <w:name w:val="样式 正文首行缩进 + 首行缩进:  2 字符1"/>
    <w:basedOn w:val="1"/>
    <w:next w:val="31"/>
    <w:autoRedefine/>
    <w:qFormat/>
    <w:uiPriority w:val="0"/>
  </w:style>
  <w:style w:type="paragraph" w:customStyle="1" w:styleId="82">
    <w:name w:val="_Style 4"/>
    <w:basedOn w:val="1"/>
    <w:next w:val="1"/>
    <w:autoRedefine/>
    <w:qFormat/>
    <w:uiPriority w:val="0"/>
    <w:pPr>
      <w:tabs>
        <w:tab w:val="left" w:pos="4665"/>
        <w:tab w:val="left" w:pos="8970"/>
      </w:tabs>
      <w:ind w:firstLine="400"/>
    </w:pPr>
    <w:rPr>
      <w:rFonts w:ascii="宋体" w:hAnsi="宋体"/>
      <w:sz w:val="30"/>
      <w:szCs w:val="30"/>
    </w:rPr>
  </w:style>
  <w:style w:type="character" w:customStyle="1" w:styleId="83">
    <w:name w:val="标题 1 字符"/>
    <w:basedOn w:val="49"/>
    <w:link w:val="2"/>
    <w:autoRedefine/>
    <w:qFormat/>
    <w:uiPriority w:val="0"/>
    <w:rPr>
      <w:rFonts w:ascii="Times New Roman" w:hAnsi="Times New Roman" w:eastAsia="黑体"/>
      <w:sz w:val="32"/>
    </w:rPr>
  </w:style>
  <w:style w:type="character" w:customStyle="1" w:styleId="84">
    <w:name w:val="正文缩进 字符"/>
    <w:link w:val="7"/>
    <w:autoRedefine/>
    <w:qFormat/>
    <w:uiPriority w:val="0"/>
    <w:rPr>
      <w:rFonts w:ascii="Times New Roman" w:hAnsi="Times New Roman"/>
    </w:rPr>
  </w:style>
  <w:style w:type="character" w:customStyle="1" w:styleId="85">
    <w:name w:val="标题 5 字符"/>
    <w:basedOn w:val="49"/>
    <w:link w:val="6"/>
    <w:autoRedefine/>
    <w:qFormat/>
    <w:uiPriority w:val="0"/>
    <w:rPr>
      <w:rFonts w:ascii="Times New Roman" w:hAnsi="Times New Roman" w:eastAsia="宋体" w:cs="Times New Roman"/>
      <w:b/>
      <w:sz w:val="28"/>
      <w:szCs w:val="20"/>
      <w:lang w:val="zh-CN" w:eastAsia="zh-CN"/>
    </w:rPr>
  </w:style>
  <w:style w:type="character" w:customStyle="1" w:styleId="86">
    <w:name w:val="标题 6 字符"/>
    <w:basedOn w:val="49"/>
    <w:link w:val="10"/>
    <w:autoRedefine/>
    <w:qFormat/>
    <w:uiPriority w:val="0"/>
    <w:rPr>
      <w:rFonts w:ascii="Arial" w:hAnsi="Arial" w:eastAsia="黑体" w:cs="Times New Roman"/>
      <w:b/>
      <w:sz w:val="24"/>
      <w:szCs w:val="20"/>
      <w:lang w:val="zh-CN" w:eastAsia="zh-CN"/>
    </w:rPr>
  </w:style>
  <w:style w:type="character" w:customStyle="1" w:styleId="87">
    <w:name w:val="标题 7 字符"/>
    <w:basedOn w:val="49"/>
    <w:link w:val="11"/>
    <w:autoRedefine/>
    <w:qFormat/>
    <w:uiPriority w:val="0"/>
    <w:rPr>
      <w:rFonts w:ascii="Times New Roman" w:hAnsi="Times New Roman" w:eastAsia="宋体" w:cs="Times New Roman"/>
      <w:b/>
      <w:sz w:val="24"/>
      <w:szCs w:val="20"/>
      <w:lang w:val="zh-CN" w:eastAsia="zh-CN"/>
    </w:rPr>
  </w:style>
  <w:style w:type="character" w:customStyle="1" w:styleId="88">
    <w:name w:val="标题 8 字符"/>
    <w:basedOn w:val="49"/>
    <w:link w:val="12"/>
    <w:autoRedefine/>
    <w:qFormat/>
    <w:uiPriority w:val="0"/>
    <w:rPr>
      <w:rFonts w:ascii="Arial" w:hAnsi="Arial" w:eastAsia="黑体" w:cs="Times New Roman"/>
      <w:sz w:val="24"/>
      <w:szCs w:val="20"/>
      <w:lang w:val="zh-CN" w:eastAsia="zh-CN"/>
    </w:rPr>
  </w:style>
  <w:style w:type="character" w:customStyle="1" w:styleId="89">
    <w:name w:val="标题 9 字符"/>
    <w:basedOn w:val="49"/>
    <w:link w:val="13"/>
    <w:autoRedefine/>
    <w:qFormat/>
    <w:uiPriority w:val="0"/>
    <w:rPr>
      <w:rFonts w:ascii="Arial" w:hAnsi="Arial" w:eastAsia="黑体" w:cs="Times New Roman"/>
      <w:szCs w:val="20"/>
      <w:lang w:val="zh-CN" w:eastAsia="zh-CN"/>
    </w:rPr>
  </w:style>
  <w:style w:type="character" w:customStyle="1" w:styleId="90">
    <w:name w:val="批注文字 字符"/>
    <w:basedOn w:val="49"/>
    <w:link w:val="18"/>
    <w:autoRedefine/>
    <w:qFormat/>
    <w:uiPriority w:val="0"/>
    <w:rPr>
      <w:rFonts w:ascii="Times New Roman" w:hAnsi="Times New Roman" w:eastAsia="宋体"/>
      <w:sz w:val="24"/>
    </w:rPr>
  </w:style>
  <w:style w:type="character" w:customStyle="1" w:styleId="91">
    <w:name w:val="批注主题 字符"/>
    <w:basedOn w:val="90"/>
    <w:link w:val="44"/>
    <w:autoRedefine/>
    <w:qFormat/>
    <w:uiPriority w:val="0"/>
    <w:rPr>
      <w:rFonts w:ascii="宋体" w:hAnsi="Times New Roman" w:eastAsia="宋体" w:cs="Times New Roman"/>
      <w:b/>
      <w:bCs/>
      <w:kern w:val="0"/>
      <w:sz w:val="20"/>
      <w:szCs w:val="20"/>
    </w:rPr>
  </w:style>
  <w:style w:type="character" w:customStyle="1" w:styleId="92">
    <w:name w:val="正文文本 字符1"/>
    <w:basedOn w:val="49"/>
    <w:link w:val="8"/>
    <w:autoRedefine/>
    <w:qFormat/>
    <w:uiPriority w:val="99"/>
    <w:rPr>
      <w:rFonts w:ascii="Times New Roman" w:hAnsi="Times New Roman" w:eastAsia="宋体"/>
      <w:sz w:val="24"/>
    </w:rPr>
  </w:style>
  <w:style w:type="character" w:customStyle="1" w:styleId="93">
    <w:name w:val="正文文本首行缩进 字符"/>
    <w:link w:val="45"/>
    <w:autoRedefine/>
    <w:qFormat/>
    <w:uiPriority w:val="0"/>
    <w:rPr>
      <w:rFonts w:ascii="Times New Roman" w:hAnsi="Times New Roman"/>
    </w:rPr>
  </w:style>
  <w:style w:type="character" w:customStyle="1" w:styleId="94">
    <w:name w:val="题注 字符"/>
    <w:link w:val="16"/>
    <w:autoRedefine/>
    <w:qFormat/>
    <w:uiPriority w:val="0"/>
    <w:rPr>
      <w:rFonts w:eastAsia="黑体" w:asciiTheme="majorHAnsi" w:hAnsiTheme="majorHAnsi" w:cstheme="majorBidi"/>
      <w:sz w:val="20"/>
      <w:szCs w:val="20"/>
    </w:rPr>
  </w:style>
  <w:style w:type="character" w:customStyle="1" w:styleId="95">
    <w:name w:val="文档结构图 字符"/>
    <w:link w:val="17"/>
    <w:autoRedefine/>
    <w:qFormat/>
    <w:uiPriority w:val="0"/>
    <w:rPr>
      <w:rFonts w:ascii="Times New Roman" w:hAnsi="Times New Roman"/>
      <w:shd w:val="clear" w:color="auto" w:fill="000080"/>
    </w:rPr>
  </w:style>
  <w:style w:type="character" w:customStyle="1" w:styleId="96">
    <w:name w:val="正文文本 3 字符"/>
    <w:link w:val="19"/>
    <w:autoRedefine/>
    <w:qFormat/>
    <w:uiPriority w:val="0"/>
    <w:rPr>
      <w:rFonts w:ascii="Times New Roman" w:hAnsi="Times New Roman"/>
      <w:sz w:val="16"/>
    </w:rPr>
  </w:style>
  <w:style w:type="character" w:customStyle="1" w:styleId="97">
    <w:name w:val="正文文本缩进 字符"/>
    <w:link w:val="20"/>
    <w:autoRedefine/>
    <w:qFormat/>
    <w:uiPriority w:val="99"/>
    <w:rPr>
      <w:rFonts w:ascii="宋体" w:hAnsi="宋体"/>
      <w:sz w:val="28"/>
    </w:rPr>
  </w:style>
  <w:style w:type="character" w:customStyle="1" w:styleId="98">
    <w:name w:val="纯文本 字符"/>
    <w:link w:val="23"/>
    <w:autoRedefine/>
    <w:qFormat/>
    <w:uiPriority w:val="0"/>
    <w:rPr>
      <w:rFonts w:ascii="宋体" w:hAnsi="Courier New"/>
    </w:rPr>
  </w:style>
  <w:style w:type="character" w:customStyle="1" w:styleId="99">
    <w:name w:val="日期 字符"/>
    <w:link w:val="26"/>
    <w:autoRedefine/>
    <w:qFormat/>
    <w:uiPriority w:val="0"/>
    <w:rPr>
      <w:rFonts w:ascii="Times New Roman" w:hAnsi="Times New Roman"/>
      <w:sz w:val="28"/>
    </w:rPr>
  </w:style>
  <w:style w:type="character" w:customStyle="1" w:styleId="100">
    <w:name w:val="正文文本缩进 2 字符"/>
    <w:link w:val="27"/>
    <w:autoRedefine/>
    <w:qFormat/>
    <w:uiPriority w:val="0"/>
    <w:rPr>
      <w:rFonts w:ascii="Times New Roman" w:hAnsi="Times New Roman"/>
      <w:sz w:val="24"/>
    </w:rPr>
  </w:style>
  <w:style w:type="character" w:customStyle="1" w:styleId="101">
    <w:name w:val="批注框文本 字符"/>
    <w:link w:val="28"/>
    <w:autoRedefine/>
    <w:qFormat/>
    <w:uiPriority w:val="0"/>
    <w:rPr>
      <w:rFonts w:ascii="Times New Roman" w:hAnsi="Times New Roman"/>
      <w:sz w:val="18"/>
    </w:rPr>
  </w:style>
  <w:style w:type="character" w:customStyle="1" w:styleId="102">
    <w:name w:val="页脚 字符"/>
    <w:basedOn w:val="49"/>
    <w:link w:val="29"/>
    <w:autoRedefine/>
    <w:qFormat/>
    <w:uiPriority w:val="99"/>
    <w:rPr>
      <w:rFonts w:ascii="Times New Roman" w:hAnsi="Times New Roman" w:eastAsia="宋体"/>
      <w:sz w:val="18"/>
      <w:szCs w:val="18"/>
    </w:rPr>
  </w:style>
  <w:style w:type="character" w:customStyle="1" w:styleId="103">
    <w:name w:val="正文文本首行缩进 2 字符"/>
    <w:basedOn w:val="104"/>
    <w:link w:val="46"/>
    <w:autoRedefine/>
    <w:semiHidden/>
    <w:qFormat/>
    <w:uiPriority w:val="99"/>
    <w:rPr>
      <w:rFonts w:ascii="Times New Roman" w:hAnsi="Times New Roman" w:eastAsia="宋体"/>
      <w:sz w:val="24"/>
    </w:rPr>
  </w:style>
  <w:style w:type="character" w:customStyle="1" w:styleId="104">
    <w:name w:val="正文文本缩进 字符1"/>
    <w:basedOn w:val="49"/>
    <w:autoRedefine/>
    <w:semiHidden/>
    <w:qFormat/>
    <w:uiPriority w:val="99"/>
    <w:rPr>
      <w:rFonts w:ascii="Times New Roman" w:hAnsi="Times New Roman" w:eastAsia="宋体"/>
      <w:sz w:val="24"/>
    </w:rPr>
  </w:style>
  <w:style w:type="character" w:customStyle="1" w:styleId="105">
    <w:name w:val="页眉 字符"/>
    <w:basedOn w:val="49"/>
    <w:link w:val="30"/>
    <w:autoRedefine/>
    <w:qFormat/>
    <w:uiPriority w:val="0"/>
    <w:rPr>
      <w:rFonts w:ascii="Times New Roman" w:hAnsi="Times New Roman" w:eastAsia="宋体"/>
      <w:sz w:val="18"/>
      <w:szCs w:val="18"/>
    </w:rPr>
  </w:style>
  <w:style w:type="character" w:customStyle="1" w:styleId="106">
    <w:name w:val="正文文本缩进 3 字符"/>
    <w:link w:val="35"/>
    <w:autoRedefine/>
    <w:qFormat/>
    <w:uiPriority w:val="0"/>
    <w:rPr>
      <w:rFonts w:ascii="宋体" w:hAnsi="宋体"/>
      <w:sz w:val="24"/>
    </w:rPr>
  </w:style>
  <w:style w:type="character" w:customStyle="1" w:styleId="107">
    <w:name w:val="正文文本 2 字符"/>
    <w:link w:val="38"/>
    <w:autoRedefine/>
    <w:qFormat/>
    <w:uiPriority w:val="0"/>
    <w:rPr>
      <w:rFonts w:ascii="宋体" w:hAnsi="宋体"/>
      <w:sz w:val="28"/>
    </w:rPr>
  </w:style>
  <w:style w:type="character" w:customStyle="1" w:styleId="108">
    <w:name w:val="HTML 预设格式 字符"/>
    <w:link w:val="40"/>
    <w:autoRedefine/>
    <w:qFormat/>
    <w:uiPriority w:val="99"/>
    <w:rPr>
      <w:rFonts w:ascii="宋体" w:hAnsi="宋体"/>
      <w:sz w:val="24"/>
    </w:rPr>
  </w:style>
  <w:style w:type="character" w:customStyle="1" w:styleId="109">
    <w:name w:val="标题 字符"/>
    <w:basedOn w:val="49"/>
    <w:link w:val="43"/>
    <w:autoRedefine/>
    <w:qFormat/>
    <w:uiPriority w:val="10"/>
    <w:rPr>
      <w:rFonts w:ascii="Times New Roman" w:hAnsi="Times New Roman" w:eastAsia="黑体" w:cstheme="majorBidi"/>
      <w:bCs/>
      <w:sz w:val="24"/>
      <w:szCs w:val="32"/>
    </w:rPr>
  </w:style>
  <w:style w:type="paragraph" w:customStyle="1" w:styleId="110">
    <w:name w:val="表头"/>
    <w:basedOn w:val="1"/>
    <w:next w:val="1"/>
    <w:link w:val="111"/>
    <w:autoRedefine/>
    <w:qFormat/>
    <w:uiPriority w:val="0"/>
    <w:pPr>
      <w:ind w:firstLine="0" w:firstLineChars="0"/>
      <w:jc w:val="center"/>
    </w:pPr>
    <w:rPr>
      <w:rFonts w:eastAsia="黑体"/>
    </w:rPr>
  </w:style>
  <w:style w:type="character" w:customStyle="1" w:styleId="111">
    <w:name w:val="表头 字符"/>
    <w:basedOn w:val="49"/>
    <w:link w:val="110"/>
    <w:autoRedefine/>
    <w:qFormat/>
    <w:uiPriority w:val="0"/>
    <w:rPr>
      <w:rFonts w:ascii="Times New Roman" w:hAnsi="Times New Roman" w:eastAsia="黑体"/>
      <w:sz w:val="24"/>
    </w:rPr>
  </w:style>
  <w:style w:type="paragraph" w:customStyle="1" w:styleId="112">
    <w:name w:val="表中文字"/>
    <w:basedOn w:val="110"/>
    <w:link w:val="113"/>
    <w:autoRedefine/>
    <w:qFormat/>
    <w:uiPriority w:val="0"/>
    <w:pPr>
      <w:spacing w:line="240" w:lineRule="auto"/>
    </w:pPr>
    <w:rPr>
      <w:rFonts w:eastAsia="宋体"/>
      <w:sz w:val="21"/>
    </w:rPr>
  </w:style>
  <w:style w:type="character" w:customStyle="1" w:styleId="113">
    <w:name w:val="表中文字 字符"/>
    <w:basedOn w:val="111"/>
    <w:link w:val="112"/>
    <w:autoRedefine/>
    <w:qFormat/>
    <w:uiPriority w:val="0"/>
    <w:rPr>
      <w:rFonts w:ascii="Times New Roman" w:hAnsi="Times New Roman" w:eastAsia="宋体"/>
      <w:sz w:val="24"/>
    </w:rPr>
  </w:style>
  <w:style w:type="table" w:customStyle="1" w:styleId="114">
    <w:name w:val="样式1"/>
    <w:basedOn w:val="47"/>
    <w:autoRedefine/>
    <w:qFormat/>
    <w:uiPriority w:val="99"/>
    <w:tblPr>
      <w:tblBorders>
        <w:top w:val="single" w:color="auto" w:sz="4" w:space="0"/>
        <w:bottom w:val="single" w:color="auto" w:sz="4" w:space="0"/>
        <w:insideH w:val="single" w:color="auto" w:sz="4" w:space="0"/>
        <w:insideV w:val="single" w:color="auto" w:sz="4" w:space="0"/>
      </w:tblBorders>
    </w:tblPr>
  </w:style>
  <w:style w:type="character" w:customStyle="1" w:styleId="115">
    <w:name w:val="正文文本最新 Char Char Char Char Char Char Char"/>
    <w:autoRedefine/>
    <w:qFormat/>
    <w:uiPriority w:val="0"/>
    <w:rPr>
      <w:rFonts w:eastAsia="宋体"/>
      <w:kern w:val="2"/>
      <w:sz w:val="28"/>
      <w:lang w:val="en-US" w:eastAsia="zh-CN"/>
    </w:rPr>
  </w:style>
  <w:style w:type="character" w:customStyle="1" w:styleId="116">
    <w:name w:val="【正文】 Char"/>
    <w:link w:val="117"/>
    <w:autoRedefine/>
    <w:qFormat/>
    <w:uiPriority w:val="0"/>
    <w:rPr>
      <w:rFonts w:ascii="Times New Roman" w:hAnsi="Times New Roman" w:eastAsia="宋体"/>
      <w:sz w:val="24"/>
    </w:rPr>
  </w:style>
  <w:style w:type="paragraph" w:customStyle="1" w:styleId="117">
    <w:name w:val="【正文】"/>
    <w:basedOn w:val="1"/>
    <w:next w:val="39"/>
    <w:link w:val="116"/>
    <w:autoRedefine/>
    <w:qFormat/>
    <w:uiPriority w:val="0"/>
    <w:pPr>
      <w:adjustRightInd/>
      <w:snapToGrid/>
      <w:spacing w:line="500" w:lineRule="exact"/>
    </w:pPr>
    <w:rPr>
      <w:rFonts w:ascii="Times New Roman" w:hAnsi="Times New Roman" w:eastAsia="宋体"/>
    </w:rPr>
  </w:style>
  <w:style w:type="character" w:customStyle="1" w:styleId="118">
    <w:name w:val="表格标题 Char Char"/>
    <w:link w:val="119"/>
    <w:autoRedefine/>
    <w:qFormat/>
    <w:uiPriority w:val="0"/>
    <w:rPr>
      <w:rFonts w:ascii="宋体" w:hAnsi="宋体"/>
      <w:sz w:val="24"/>
    </w:rPr>
  </w:style>
  <w:style w:type="paragraph" w:customStyle="1" w:styleId="119">
    <w:name w:val="表格标题"/>
    <w:basedOn w:val="1"/>
    <w:link w:val="118"/>
    <w:autoRedefine/>
    <w:qFormat/>
    <w:uiPriority w:val="0"/>
    <w:pPr>
      <w:adjustRightInd/>
      <w:snapToGrid/>
    </w:pPr>
    <w:rPr>
      <w:rFonts w:ascii="宋体" w:hAnsi="宋体" w:eastAsiaTheme="minorEastAsia"/>
    </w:rPr>
  </w:style>
  <w:style w:type="character" w:customStyle="1" w:styleId="120">
    <w:name w:val="标题 1 Char Char Char"/>
    <w:autoRedefine/>
    <w:qFormat/>
    <w:uiPriority w:val="0"/>
    <w:rPr>
      <w:rFonts w:ascii="Times New Roman" w:hAnsi="Times New Roman"/>
      <w:b/>
      <w:kern w:val="44"/>
      <w:sz w:val="44"/>
    </w:rPr>
  </w:style>
  <w:style w:type="character" w:customStyle="1" w:styleId="121">
    <w:name w:val="hover73"/>
    <w:autoRedefine/>
    <w:qFormat/>
    <w:uiPriority w:val="0"/>
    <w:rPr>
      <w:rFonts w:ascii="Times New Roman" w:hAnsi="Times New Roman"/>
      <w:color w:val="BA0000"/>
      <w:szCs w:val="20"/>
    </w:rPr>
  </w:style>
  <w:style w:type="character" w:customStyle="1" w:styleId="122">
    <w:name w:val="表文字居中 Char Char"/>
    <w:link w:val="123"/>
    <w:autoRedefine/>
    <w:qFormat/>
    <w:uiPriority w:val="0"/>
    <w:rPr>
      <w:rFonts w:ascii="Arial" w:hAnsi="Arial"/>
    </w:rPr>
  </w:style>
  <w:style w:type="paragraph" w:customStyle="1" w:styleId="123">
    <w:name w:val="表文字居中"/>
    <w:link w:val="122"/>
    <w:autoRedefine/>
    <w:qFormat/>
    <w:uiPriority w:val="0"/>
    <w:pPr>
      <w:adjustRightInd w:val="0"/>
      <w:spacing w:line="360" w:lineRule="auto"/>
      <w:jc w:val="center"/>
    </w:pPr>
    <w:rPr>
      <w:rFonts w:ascii="Arial" w:hAnsi="Arial" w:eastAsiaTheme="minorEastAsia" w:cstheme="minorBidi"/>
      <w:kern w:val="2"/>
      <w:sz w:val="21"/>
      <w:szCs w:val="22"/>
      <w:lang w:val="en-US" w:eastAsia="zh-CN" w:bidi="ar-SA"/>
    </w:rPr>
  </w:style>
  <w:style w:type="character" w:customStyle="1" w:styleId="124">
    <w:name w:val="标题 6 Char1"/>
    <w:autoRedefine/>
    <w:qFormat/>
    <w:uiPriority w:val="0"/>
    <w:rPr>
      <w:rFonts w:ascii="Cambria" w:hAnsi="Cambria" w:eastAsia="宋体" w:cs="Times New Roman"/>
      <w:b/>
      <w:bCs/>
      <w:kern w:val="2"/>
      <w:sz w:val="24"/>
      <w:szCs w:val="24"/>
    </w:rPr>
  </w:style>
  <w:style w:type="character" w:customStyle="1" w:styleId="125">
    <w:name w:val="font41"/>
    <w:basedOn w:val="49"/>
    <w:autoRedefine/>
    <w:qFormat/>
    <w:uiPriority w:val="0"/>
    <w:rPr>
      <w:rFonts w:hint="eastAsia" w:ascii="宋体" w:hAnsi="宋体" w:eastAsia="宋体" w:cs="宋体"/>
      <w:b/>
      <w:color w:val="000000"/>
      <w:sz w:val="20"/>
      <w:szCs w:val="20"/>
      <w:u w:val="none"/>
    </w:rPr>
  </w:style>
  <w:style w:type="character" w:customStyle="1" w:styleId="126">
    <w:name w:val="正文文本缩进 2 Char1"/>
    <w:autoRedefine/>
    <w:qFormat/>
    <w:uiPriority w:val="0"/>
    <w:rPr>
      <w:kern w:val="2"/>
      <w:sz w:val="21"/>
    </w:rPr>
  </w:style>
  <w:style w:type="character" w:customStyle="1" w:styleId="127">
    <w:name w:val="标题 2 Char Char"/>
    <w:autoRedefine/>
    <w:qFormat/>
    <w:uiPriority w:val="0"/>
    <w:rPr>
      <w:rFonts w:ascii="Cambria" w:hAnsi="Cambria" w:eastAsia="宋体" w:cs="Times New Roman"/>
      <w:b/>
      <w:bCs/>
      <w:kern w:val="2"/>
      <w:sz w:val="32"/>
      <w:szCs w:val="32"/>
    </w:rPr>
  </w:style>
  <w:style w:type="character" w:customStyle="1" w:styleId="128">
    <w:name w:val="highlight1"/>
    <w:autoRedefine/>
    <w:qFormat/>
    <w:uiPriority w:val="0"/>
    <w:rPr>
      <w:sz w:val="19"/>
    </w:rPr>
  </w:style>
  <w:style w:type="character" w:customStyle="1" w:styleId="129">
    <w:name w:val="正文文本缩进 3 Char1"/>
    <w:autoRedefine/>
    <w:qFormat/>
    <w:uiPriority w:val="0"/>
    <w:rPr>
      <w:kern w:val="2"/>
      <w:sz w:val="16"/>
      <w:szCs w:val="16"/>
    </w:rPr>
  </w:style>
  <w:style w:type="character" w:customStyle="1" w:styleId="130">
    <w:name w:val="ourfont2"/>
    <w:autoRedefine/>
    <w:qFormat/>
    <w:uiPriority w:val="0"/>
  </w:style>
  <w:style w:type="character" w:customStyle="1" w:styleId="131">
    <w:name w:val="页脚 Char1"/>
    <w:autoRedefine/>
    <w:qFormat/>
    <w:uiPriority w:val="0"/>
    <w:rPr>
      <w:kern w:val="2"/>
      <w:sz w:val="18"/>
      <w:szCs w:val="18"/>
    </w:rPr>
  </w:style>
  <w:style w:type="character" w:customStyle="1" w:styleId="132">
    <w:name w:val="l181"/>
    <w:autoRedefine/>
    <w:qFormat/>
    <w:uiPriority w:val="0"/>
  </w:style>
  <w:style w:type="character" w:customStyle="1" w:styleId="133">
    <w:name w:val="正文首行缩进 Char Char Char"/>
    <w:link w:val="134"/>
    <w:autoRedefine/>
    <w:qFormat/>
    <w:uiPriority w:val="0"/>
    <w:rPr>
      <w:rFonts w:ascii="Calibri" w:hAnsi="Calibri" w:eastAsia="宋体"/>
    </w:rPr>
  </w:style>
  <w:style w:type="paragraph" w:customStyle="1" w:styleId="134">
    <w:name w:val="正文首行缩进1"/>
    <w:basedOn w:val="8"/>
    <w:link w:val="133"/>
    <w:autoRedefine/>
    <w:qFormat/>
    <w:uiPriority w:val="0"/>
    <w:pPr>
      <w:adjustRightInd/>
      <w:snapToGrid/>
      <w:spacing w:before="78" w:beforeLines="25" w:after="78" w:afterLines="25"/>
      <w:ind w:firstLine="420" w:firstLineChars="100"/>
    </w:pPr>
    <w:rPr>
      <w:rFonts w:ascii="Calibri" w:hAnsi="Calibri"/>
      <w:sz w:val="21"/>
    </w:rPr>
  </w:style>
  <w:style w:type="character" w:customStyle="1" w:styleId="135">
    <w:name w:val="样式 正文缩进首行缩进两字identication表正文正文非缩进 + 段前: 0.25 行 段后: 0.25 行 Char Char Char Char Char"/>
    <w:link w:val="136"/>
    <w:autoRedefine/>
    <w:qFormat/>
    <w:uiPriority w:val="0"/>
    <w:rPr>
      <w:rFonts w:ascii="宋体" w:hAnsi="Courier New" w:cs="宋体"/>
      <w:spacing w:val="-2"/>
      <w:kern w:val="10"/>
      <w:sz w:val="24"/>
    </w:rPr>
  </w:style>
  <w:style w:type="paragraph" w:customStyle="1" w:styleId="136">
    <w:name w:val="样式 正文缩进首行缩进两字identication表正文正文非缩进 + 段前: 0.25 行 段后: 0.25 行"/>
    <w:basedOn w:val="7"/>
    <w:link w:val="135"/>
    <w:autoRedefine/>
    <w:qFormat/>
    <w:uiPriority w:val="0"/>
    <w:pPr>
      <w:overflowPunct w:val="0"/>
      <w:autoSpaceDN w:val="0"/>
      <w:adjustRightInd w:val="0"/>
      <w:snapToGrid w:val="0"/>
      <w:spacing w:before="78" w:beforeLines="25" w:after="78" w:afterLines="25" w:line="360" w:lineRule="auto"/>
      <w:ind w:firstLine="482" w:firstLineChars="0"/>
      <w:jc w:val="left"/>
    </w:pPr>
    <w:rPr>
      <w:rFonts w:ascii="宋体" w:hAnsi="Courier New" w:cs="宋体"/>
      <w:spacing w:val="-2"/>
      <w:kern w:val="10"/>
      <w:sz w:val="24"/>
    </w:rPr>
  </w:style>
  <w:style w:type="character" w:customStyle="1" w:styleId="137">
    <w:name w:val="p141"/>
    <w:autoRedefine/>
    <w:qFormat/>
    <w:uiPriority w:val="0"/>
    <w:rPr>
      <w:color w:val="333333"/>
      <w:sz w:val="20"/>
    </w:rPr>
  </w:style>
  <w:style w:type="character" w:customStyle="1" w:styleId="138">
    <w:name w:val="表体 Char Char"/>
    <w:autoRedefine/>
    <w:qFormat/>
    <w:uiPriority w:val="0"/>
    <w:rPr>
      <w:rFonts w:eastAsia="仿宋_GB2312"/>
      <w:sz w:val="24"/>
      <w:lang w:val="en-US" w:eastAsia="zh-CN"/>
    </w:rPr>
  </w:style>
  <w:style w:type="character" w:customStyle="1" w:styleId="139">
    <w:name w:val="章节标题 Char1"/>
    <w:autoRedefine/>
    <w:qFormat/>
    <w:uiPriority w:val="0"/>
    <w:rPr>
      <w:b/>
      <w:bCs/>
      <w:kern w:val="44"/>
      <w:sz w:val="44"/>
      <w:szCs w:val="44"/>
    </w:rPr>
  </w:style>
  <w:style w:type="character" w:customStyle="1" w:styleId="140">
    <w:name w:val="道路正文 Char"/>
    <w:link w:val="141"/>
    <w:autoRedefine/>
    <w:qFormat/>
    <w:uiPriority w:val="0"/>
    <w:rPr>
      <w:rFonts w:ascii="Times New Roman" w:hAnsi="Times New Roman"/>
      <w:sz w:val="24"/>
      <w:szCs w:val="20"/>
    </w:rPr>
  </w:style>
  <w:style w:type="paragraph" w:customStyle="1" w:styleId="141">
    <w:name w:val="道路正文"/>
    <w:basedOn w:val="1"/>
    <w:link w:val="140"/>
    <w:autoRedefine/>
    <w:qFormat/>
    <w:uiPriority w:val="0"/>
    <w:pPr>
      <w:spacing w:line="500" w:lineRule="exact"/>
    </w:pPr>
    <w:rPr>
      <w:rFonts w:eastAsiaTheme="minorEastAsia"/>
      <w:szCs w:val="20"/>
    </w:rPr>
  </w:style>
  <w:style w:type="character" w:customStyle="1" w:styleId="142">
    <w:name w:val="日期 Char1"/>
    <w:autoRedefine/>
    <w:qFormat/>
    <w:uiPriority w:val="0"/>
    <w:rPr>
      <w:kern w:val="2"/>
      <w:sz w:val="21"/>
    </w:rPr>
  </w:style>
  <w:style w:type="character" w:customStyle="1" w:styleId="143">
    <w:name w:val="font11"/>
    <w:basedOn w:val="49"/>
    <w:autoRedefine/>
    <w:qFormat/>
    <w:uiPriority w:val="0"/>
    <w:rPr>
      <w:rFonts w:hint="eastAsia" w:ascii="宋体" w:hAnsi="宋体" w:eastAsia="宋体" w:cs="宋体"/>
      <w:b/>
      <w:color w:val="000000"/>
      <w:sz w:val="20"/>
      <w:szCs w:val="20"/>
      <w:u w:val="none"/>
    </w:rPr>
  </w:style>
  <w:style w:type="character" w:customStyle="1" w:styleId="144">
    <w:name w:val="正文(首行缩进) Char Char"/>
    <w:link w:val="145"/>
    <w:autoRedefine/>
    <w:qFormat/>
    <w:uiPriority w:val="0"/>
    <w:rPr>
      <w:sz w:val="24"/>
      <w:szCs w:val="24"/>
    </w:rPr>
  </w:style>
  <w:style w:type="paragraph" w:customStyle="1" w:styleId="145">
    <w:name w:val="正文(首行缩进)"/>
    <w:basedOn w:val="1"/>
    <w:link w:val="144"/>
    <w:autoRedefine/>
    <w:qFormat/>
    <w:uiPriority w:val="99"/>
    <w:pPr>
      <w:ind w:firstLine="200"/>
    </w:pPr>
    <w:rPr>
      <w:rFonts w:asciiTheme="minorHAnsi" w:hAnsiTheme="minorHAnsi" w:eastAsiaTheme="minorEastAsia"/>
      <w:szCs w:val="24"/>
    </w:rPr>
  </w:style>
  <w:style w:type="character" w:customStyle="1" w:styleId="146">
    <w:name w:val="正文文本 Char Char Char"/>
    <w:autoRedefine/>
    <w:qFormat/>
    <w:uiPriority w:val="0"/>
    <w:rPr>
      <w:rFonts w:ascii="Calibri" w:hAnsi="Calibri" w:eastAsia="宋体"/>
      <w:kern w:val="2"/>
      <w:sz w:val="21"/>
      <w:szCs w:val="22"/>
      <w:lang w:val="en-US" w:eastAsia="zh-CN" w:bidi="ar-SA"/>
    </w:rPr>
  </w:style>
  <w:style w:type="character" w:customStyle="1" w:styleId="147">
    <w:name w:val="纯文本 Char Char"/>
    <w:autoRedefine/>
    <w:qFormat/>
    <w:uiPriority w:val="0"/>
    <w:rPr>
      <w:rFonts w:ascii="宋体" w:hAnsi="Courier New" w:cs="Courier New"/>
      <w:kern w:val="2"/>
      <w:sz w:val="21"/>
      <w:szCs w:val="21"/>
    </w:rPr>
  </w:style>
  <w:style w:type="character" w:customStyle="1" w:styleId="148">
    <w:name w:val="页眉 Char1"/>
    <w:autoRedefine/>
    <w:qFormat/>
    <w:uiPriority w:val="0"/>
    <w:rPr>
      <w:kern w:val="2"/>
      <w:sz w:val="18"/>
      <w:szCs w:val="18"/>
    </w:rPr>
  </w:style>
  <w:style w:type="character" w:customStyle="1" w:styleId="149">
    <w:name w:val="Char Char1"/>
    <w:autoRedefine/>
    <w:qFormat/>
    <w:uiPriority w:val="0"/>
    <w:rPr>
      <w:rFonts w:hint="eastAsia" w:ascii="宋体" w:hAnsi="宋体" w:eastAsia="宋体"/>
      <w:kern w:val="2"/>
      <w:sz w:val="28"/>
      <w:lang w:val="en-US" w:eastAsia="zh-CN"/>
    </w:rPr>
  </w:style>
  <w:style w:type="character" w:customStyle="1" w:styleId="150">
    <w:name w:val="纯文本 Char Char Char"/>
    <w:autoRedefine/>
    <w:qFormat/>
    <w:uiPriority w:val="0"/>
    <w:rPr>
      <w:rFonts w:ascii="宋体" w:hAnsi="Courier New"/>
      <w:kern w:val="2"/>
      <w:sz w:val="21"/>
    </w:rPr>
  </w:style>
  <w:style w:type="character" w:customStyle="1" w:styleId="151">
    <w:name w:val="标题 6 Char Char"/>
    <w:autoRedefine/>
    <w:qFormat/>
    <w:uiPriority w:val="0"/>
    <w:rPr>
      <w:rFonts w:ascii="Arial" w:hAnsi="Arial" w:eastAsia="黑体"/>
      <w:b/>
      <w:kern w:val="2"/>
      <w:sz w:val="24"/>
    </w:rPr>
  </w:style>
  <w:style w:type="character" w:customStyle="1" w:styleId="152">
    <w:name w:val="Section Char"/>
    <w:autoRedefine/>
    <w:qFormat/>
    <w:uiPriority w:val="0"/>
    <w:rPr>
      <w:rFonts w:eastAsia="黑体"/>
      <w:b/>
      <w:kern w:val="2"/>
      <w:sz w:val="28"/>
      <w:lang w:val="en-US" w:eastAsia="zh-CN"/>
    </w:rPr>
  </w:style>
  <w:style w:type="character" w:customStyle="1" w:styleId="153">
    <w:name w:val="报告书正文 Char Char"/>
    <w:autoRedefine/>
    <w:qFormat/>
    <w:uiPriority w:val="0"/>
    <w:rPr>
      <w:rFonts w:eastAsia="宋体"/>
      <w:kern w:val="2"/>
      <w:sz w:val="24"/>
      <w:lang w:val="en-US" w:eastAsia="zh-CN"/>
    </w:rPr>
  </w:style>
  <w:style w:type="character" w:customStyle="1" w:styleId="154">
    <w:name w:val="正文道路 Char"/>
    <w:link w:val="155"/>
    <w:autoRedefine/>
    <w:qFormat/>
    <w:uiPriority w:val="0"/>
    <w:rPr>
      <w:rFonts w:ascii="宋体" w:hAnsi="Times New Roman"/>
      <w:color w:val="000000"/>
      <w:sz w:val="24"/>
      <w:szCs w:val="20"/>
    </w:rPr>
  </w:style>
  <w:style w:type="paragraph" w:customStyle="1" w:styleId="155">
    <w:name w:val="正文道路"/>
    <w:basedOn w:val="1"/>
    <w:link w:val="154"/>
    <w:autoRedefine/>
    <w:qFormat/>
    <w:uiPriority w:val="0"/>
    <w:pPr>
      <w:spacing w:line="500" w:lineRule="exact"/>
      <w:ind w:right="-25" w:firstLine="0" w:firstLineChars="0"/>
    </w:pPr>
    <w:rPr>
      <w:rFonts w:ascii="宋体" w:eastAsiaTheme="minorEastAsia"/>
      <w:color w:val="000000"/>
      <w:szCs w:val="20"/>
    </w:rPr>
  </w:style>
  <w:style w:type="character" w:customStyle="1" w:styleId="156">
    <w:name w:val="页眉 Char Char Char"/>
    <w:autoRedefine/>
    <w:qFormat/>
    <w:uiPriority w:val="0"/>
    <w:rPr>
      <w:rFonts w:ascii="Calibri" w:hAnsi="Calibri"/>
      <w:sz w:val="18"/>
      <w:szCs w:val="18"/>
    </w:rPr>
  </w:style>
  <w:style w:type="character" w:customStyle="1" w:styleId="157">
    <w:name w:val="标题 9 Char Char"/>
    <w:autoRedefine/>
    <w:qFormat/>
    <w:uiPriority w:val="0"/>
    <w:rPr>
      <w:rFonts w:ascii="Arial" w:hAnsi="Arial" w:eastAsia="黑体"/>
      <w:kern w:val="2"/>
      <w:sz w:val="21"/>
    </w:rPr>
  </w:style>
  <w:style w:type="character" w:customStyle="1" w:styleId="158">
    <w:name w:val="text_edit editable-title"/>
    <w:autoRedefine/>
    <w:qFormat/>
    <w:uiPriority w:val="0"/>
  </w:style>
  <w:style w:type="character" w:customStyle="1" w:styleId="159">
    <w:name w:val="正文文本 2 Char1"/>
    <w:autoRedefine/>
    <w:qFormat/>
    <w:uiPriority w:val="0"/>
    <w:rPr>
      <w:kern w:val="2"/>
      <w:sz w:val="21"/>
    </w:rPr>
  </w:style>
  <w:style w:type="character" w:customStyle="1" w:styleId="160">
    <w:name w:val="样式 正文缩进首行缩进两字identication表正文正文非缩进 + 段前: 0.25 行 段后: 0.25 行 Char Char Char Char"/>
    <w:link w:val="161"/>
    <w:autoRedefine/>
    <w:qFormat/>
    <w:uiPriority w:val="0"/>
    <w:rPr>
      <w:rFonts w:ascii="宋体" w:hAnsi="Courier New" w:cs="宋体"/>
      <w:spacing w:val="-2"/>
      <w:kern w:val="10"/>
      <w:sz w:val="24"/>
    </w:rPr>
  </w:style>
  <w:style w:type="paragraph" w:customStyle="1" w:styleId="161">
    <w:name w:val="样式 正文缩进首行缩进两字identication表正文正文非缩进 + 段前: 0.25 行 段后: 0.25 行 Char Char"/>
    <w:basedOn w:val="7"/>
    <w:link w:val="160"/>
    <w:autoRedefine/>
    <w:qFormat/>
    <w:uiPriority w:val="0"/>
    <w:pPr>
      <w:overflowPunct w:val="0"/>
      <w:autoSpaceDN w:val="0"/>
      <w:adjustRightInd w:val="0"/>
      <w:snapToGrid w:val="0"/>
      <w:spacing w:before="78" w:beforeLines="25" w:after="78" w:afterLines="25" w:line="360" w:lineRule="auto"/>
      <w:ind w:firstLine="482" w:firstLineChars="0"/>
      <w:jc w:val="left"/>
    </w:pPr>
    <w:rPr>
      <w:rFonts w:ascii="宋体" w:hAnsi="Courier New" w:cs="宋体"/>
      <w:spacing w:val="-2"/>
      <w:kern w:val="10"/>
      <w:sz w:val="24"/>
    </w:rPr>
  </w:style>
  <w:style w:type="character" w:customStyle="1" w:styleId="162">
    <w:name w:val="标题 7 Char1"/>
    <w:autoRedefine/>
    <w:qFormat/>
    <w:uiPriority w:val="0"/>
    <w:rPr>
      <w:b/>
      <w:bCs/>
      <w:kern w:val="2"/>
      <w:sz w:val="24"/>
      <w:szCs w:val="24"/>
    </w:rPr>
  </w:style>
  <w:style w:type="character" w:customStyle="1" w:styleId="163">
    <w:name w:val="表格标题采用 Char Char Char"/>
    <w:link w:val="164"/>
    <w:autoRedefine/>
    <w:qFormat/>
    <w:uiPriority w:val="0"/>
    <w:rPr>
      <w:rFonts w:ascii="黑体" w:hAnsi="Times New Roman" w:eastAsia="黑体"/>
      <w:szCs w:val="20"/>
    </w:rPr>
  </w:style>
  <w:style w:type="paragraph" w:customStyle="1" w:styleId="164">
    <w:name w:val="表格标题采用"/>
    <w:basedOn w:val="8"/>
    <w:link w:val="163"/>
    <w:autoRedefine/>
    <w:qFormat/>
    <w:uiPriority w:val="0"/>
    <w:pPr>
      <w:adjustRightInd/>
      <w:snapToGrid/>
      <w:spacing w:before="78" w:beforeLines="25" w:after="0" w:line="460" w:lineRule="exact"/>
      <w:ind w:firstLine="200"/>
      <w:jc w:val="center"/>
    </w:pPr>
    <w:rPr>
      <w:rFonts w:ascii="黑体" w:eastAsia="黑体"/>
      <w:sz w:val="21"/>
      <w:szCs w:val="20"/>
    </w:rPr>
  </w:style>
  <w:style w:type="character" w:customStyle="1" w:styleId="165">
    <w:name w:val="标题 1 Char Char"/>
    <w:autoRedefine/>
    <w:qFormat/>
    <w:uiPriority w:val="0"/>
    <w:rPr>
      <w:b/>
      <w:bCs/>
      <w:kern w:val="44"/>
      <w:sz w:val="44"/>
      <w:szCs w:val="44"/>
    </w:rPr>
  </w:style>
  <w:style w:type="character" w:customStyle="1" w:styleId="166">
    <w:name w:val="text11"/>
    <w:autoRedefine/>
    <w:qFormat/>
    <w:uiPriority w:val="0"/>
    <w:rPr>
      <w:sz w:val="20"/>
    </w:rPr>
  </w:style>
  <w:style w:type="character" w:customStyle="1" w:styleId="167">
    <w:name w:val="标题 7 Char Char"/>
    <w:autoRedefine/>
    <w:qFormat/>
    <w:uiPriority w:val="0"/>
    <w:rPr>
      <w:rFonts w:ascii="Times New Roman" w:hAnsi="Times New Roman"/>
      <w:b/>
      <w:kern w:val="2"/>
      <w:sz w:val="24"/>
    </w:rPr>
  </w:style>
  <w:style w:type="character" w:customStyle="1" w:styleId="168">
    <w:name w:val="四级标题 Char"/>
    <w:link w:val="169"/>
    <w:autoRedefine/>
    <w:qFormat/>
    <w:uiPriority w:val="0"/>
    <w:rPr>
      <w:rFonts w:ascii="Times New Roman" w:hAnsi="Times New Roman"/>
      <w:sz w:val="24"/>
      <w:szCs w:val="20"/>
    </w:rPr>
  </w:style>
  <w:style w:type="paragraph" w:customStyle="1" w:styleId="169">
    <w:name w:val="四级标题"/>
    <w:basedOn w:val="26"/>
    <w:next w:val="7"/>
    <w:link w:val="168"/>
    <w:autoRedefine/>
    <w:qFormat/>
    <w:uiPriority w:val="0"/>
    <w:pPr>
      <w:adjustRightInd/>
      <w:snapToGrid/>
      <w:spacing w:line="500" w:lineRule="exact"/>
      <w:ind w:firstLine="0" w:firstLineChars="0"/>
    </w:pPr>
    <w:rPr>
      <w:rFonts w:eastAsiaTheme="minorEastAsia"/>
      <w:szCs w:val="20"/>
    </w:rPr>
  </w:style>
  <w:style w:type="character" w:customStyle="1" w:styleId="170">
    <w:name w:val="页码1"/>
    <w:autoRedefine/>
    <w:qFormat/>
    <w:uiPriority w:val="0"/>
    <w:rPr>
      <w:rFonts w:ascii="Times New Roman" w:hAnsi="Times New Roman"/>
      <w:szCs w:val="20"/>
    </w:rPr>
  </w:style>
  <w:style w:type="character" w:customStyle="1" w:styleId="171">
    <w:name w:val="正文111 Char Char"/>
    <w:link w:val="172"/>
    <w:autoRedefine/>
    <w:qFormat/>
    <w:uiPriority w:val="0"/>
    <w:rPr>
      <w:rFonts w:ascii="Times New Roman" w:hAnsi="Times New Roman" w:eastAsia="黑体"/>
      <w:spacing w:val="6"/>
      <w:sz w:val="24"/>
      <w:szCs w:val="24"/>
    </w:rPr>
  </w:style>
  <w:style w:type="paragraph" w:customStyle="1" w:styleId="172">
    <w:name w:val="正文111"/>
    <w:basedOn w:val="1"/>
    <w:link w:val="171"/>
    <w:autoRedefine/>
    <w:qFormat/>
    <w:uiPriority w:val="0"/>
    <w:pPr>
      <w:adjustRightInd/>
      <w:snapToGrid/>
      <w:spacing w:line="500" w:lineRule="exact"/>
      <w:ind w:firstLine="0" w:firstLineChars="0"/>
      <w:jc w:val="center"/>
    </w:pPr>
    <w:rPr>
      <w:rFonts w:eastAsia="黑体"/>
      <w:spacing w:val="6"/>
      <w:szCs w:val="24"/>
    </w:rPr>
  </w:style>
  <w:style w:type="character" w:customStyle="1" w:styleId="173">
    <w:name w:val="标题 5 Char1"/>
    <w:autoRedefine/>
    <w:qFormat/>
    <w:uiPriority w:val="0"/>
    <w:rPr>
      <w:b/>
      <w:bCs/>
      <w:kern w:val="2"/>
      <w:sz w:val="28"/>
      <w:szCs w:val="28"/>
    </w:rPr>
  </w:style>
  <w:style w:type="character" w:customStyle="1" w:styleId="174">
    <w:name w:val="标题 8 Char1"/>
    <w:autoRedefine/>
    <w:qFormat/>
    <w:uiPriority w:val="0"/>
    <w:rPr>
      <w:rFonts w:ascii="Cambria" w:hAnsi="Cambria" w:eastAsia="宋体" w:cs="Times New Roman"/>
      <w:kern w:val="2"/>
      <w:sz w:val="24"/>
      <w:szCs w:val="24"/>
    </w:rPr>
  </w:style>
  <w:style w:type="character" w:customStyle="1" w:styleId="175">
    <w:name w:val="表 Char Char"/>
    <w:autoRedefine/>
    <w:qFormat/>
    <w:uiPriority w:val="0"/>
    <w:rPr>
      <w:rFonts w:eastAsia="宋体"/>
      <w:kern w:val="2"/>
      <w:sz w:val="21"/>
      <w:lang w:val="en-US" w:eastAsia="zh-CN"/>
    </w:rPr>
  </w:style>
  <w:style w:type="character" w:customStyle="1" w:styleId="176">
    <w:name w:val="标题 4 Char Char"/>
    <w:autoRedefine/>
    <w:qFormat/>
    <w:uiPriority w:val="0"/>
    <w:rPr>
      <w:rFonts w:ascii="Cambria" w:hAnsi="Cambria" w:eastAsia="宋体" w:cs="Times New Roman"/>
      <w:b/>
      <w:bCs/>
      <w:kern w:val="2"/>
      <w:sz w:val="28"/>
      <w:szCs w:val="28"/>
    </w:rPr>
  </w:style>
  <w:style w:type="character" w:customStyle="1" w:styleId="177">
    <w:name w:val="正文文本 字符"/>
    <w:autoRedefine/>
    <w:qFormat/>
    <w:uiPriority w:val="0"/>
    <w:rPr>
      <w:kern w:val="2"/>
      <w:sz w:val="21"/>
      <w:szCs w:val="22"/>
    </w:rPr>
  </w:style>
  <w:style w:type="character" w:customStyle="1" w:styleId="178">
    <w:name w:val="页脚 字符1"/>
    <w:autoRedefine/>
    <w:qFormat/>
    <w:uiPriority w:val="99"/>
    <w:rPr>
      <w:sz w:val="18"/>
      <w:szCs w:val="18"/>
    </w:rPr>
  </w:style>
  <w:style w:type="character" w:customStyle="1" w:styleId="179">
    <w:name w:val="正文缩进 Char Char"/>
    <w:autoRedefine/>
    <w:qFormat/>
    <w:uiPriority w:val="0"/>
    <w:rPr>
      <w:rFonts w:ascii="Times New Roman" w:hAnsi="Times New Roman"/>
      <w:kern w:val="2"/>
      <w:sz w:val="21"/>
    </w:rPr>
  </w:style>
  <w:style w:type="character" w:customStyle="1" w:styleId="180">
    <w:name w:val="不明显强调1"/>
    <w:autoRedefine/>
    <w:qFormat/>
    <w:uiPriority w:val="19"/>
    <w:rPr>
      <w:rFonts w:ascii="Times New Roman" w:hAnsi="Times New Roman"/>
      <w:i/>
      <w:iCs/>
      <w:color w:val="808080"/>
      <w:szCs w:val="20"/>
    </w:rPr>
  </w:style>
  <w:style w:type="character" w:customStyle="1" w:styleId="181">
    <w:name w:val="标题 5 Char Char"/>
    <w:autoRedefine/>
    <w:qFormat/>
    <w:uiPriority w:val="0"/>
    <w:rPr>
      <w:rFonts w:ascii="Times New Roman" w:hAnsi="Times New Roman"/>
      <w:b/>
      <w:kern w:val="2"/>
      <w:sz w:val="28"/>
    </w:rPr>
  </w:style>
  <w:style w:type="character" w:customStyle="1" w:styleId="182">
    <w:name w:val="常用标题 4 Char1"/>
    <w:autoRedefine/>
    <w:qFormat/>
    <w:uiPriority w:val="0"/>
    <w:rPr>
      <w:rFonts w:ascii="Cambria" w:hAnsi="Cambria" w:eastAsia="宋体" w:cs="Times New Roman"/>
      <w:b/>
      <w:bCs/>
      <w:kern w:val="2"/>
      <w:sz w:val="28"/>
      <w:szCs w:val="28"/>
    </w:rPr>
  </w:style>
  <w:style w:type="character" w:customStyle="1" w:styleId="183">
    <w:name w:val="正文文本 Char1"/>
    <w:autoRedefine/>
    <w:qFormat/>
    <w:uiPriority w:val="0"/>
    <w:rPr>
      <w:kern w:val="2"/>
      <w:sz w:val="21"/>
    </w:rPr>
  </w:style>
  <w:style w:type="character" w:customStyle="1" w:styleId="184">
    <w:name w:val="Char Char3"/>
    <w:autoRedefine/>
    <w:qFormat/>
    <w:uiPriority w:val="0"/>
    <w:rPr>
      <w:rFonts w:hint="default" w:ascii="Arial" w:hAnsi="Arial" w:eastAsia="黑体" w:cs="Arial"/>
      <w:b/>
      <w:kern w:val="2"/>
      <w:sz w:val="32"/>
      <w:lang w:val="en-US" w:eastAsia="zh-CN"/>
    </w:rPr>
  </w:style>
  <w:style w:type="character" w:customStyle="1" w:styleId="185">
    <w:name w:val="Char Char2"/>
    <w:autoRedefine/>
    <w:qFormat/>
    <w:uiPriority w:val="0"/>
    <w:rPr>
      <w:rFonts w:hint="eastAsia" w:ascii="宋体" w:hAnsi="宋体" w:eastAsia="宋体"/>
      <w:b/>
      <w:kern w:val="2"/>
      <w:sz w:val="32"/>
      <w:lang w:val="en-US" w:eastAsia="zh-CN"/>
    </w:rPr>
  </w:style>
  <w:style w:type="character" w:customStyle="1" w:styleId="186">
    <w:name w:val="三级标题道路 Char"/>
    <w:link w:val="187"/>
    <w:autoRedefine/>
    <w:qFormat/>
    <w:uiPriority w:val="0"/>
    <w:rPr>
      <w:rFonts w:ascii="黑体" w:hAnsi="黑体" w:eastAsia="黑体" w:cs="黑体"/>
      <w:color w:val="000000"/>
      <w:sz w:val="24"/>
    </w:rPr>
  </w:style>
  <w:style w:type="paragraph" w:customStyle="1" w:styleId="187">
    <w:name w:val="三级标题道路"/>
    <w:basedOn w:val="4"/>
    <w:link w:val="186"/>
    <w:autoRedefine/>
    <w:qFormat/>
    <w:uiPriority w:val="0"/>
    <w:pPr>
      <w:keepNext w:val="0"/>
      <w:keepLines w:val="0"/>
      <w:tabs>
        <w:tab w:val="left" w:pos="547"/>
      </w:tabs>
      <w:adjustRightInd/>
      <w:snapToGrid/>
      <w:jc w:val="both"/>
    </w:pPr>
    <w:rPr>
      <w:rFonts w:ascii="黑体" w:hAnsi="黑体" w:cs="黑体"/>
      <w:b/>
      <w:bCs w:val="0"/>
      <w:color w:val="000000"/>
      <w:szCs w:val="22"/>
    </w:rPr>
  </w:style>
  <w:style w:type="character" w:customStyle="1" w:styleId="188">
    <w:name w:val="表格内容 Char Char"/>
    <w:autoRedefine/>
    <w:qFormat/>
    <w:uiPriority w:val="0"/>
    <w:rPr>
      <w:rFonts w:ascii="黑体" w:hAnsi="宋体" w:eastAsia="黑体"/>
      <w:w w:val="90"/>
      <w:sz w:val="24"/>
      <w:lang w:val="en-US" w:eastAsia="zh-CN"/>
    </w:rPr>
  </w:style>
  <w:style w:type="character" w:customStyle="1" w:styleId="189">
    <w:name w:val="三级标题 Char"/>
    <w:link w:val="190"/>
    <w:autoRedefine/>
    <w:qFormat/>
    <w:uiPriority w:val="0"/>
    <w:rPr>
      <w:rFonts w:eastAsia="黑体" w:cs="黑体"/>
      <w:iCs/>
      <w:color w:val="000000"/>
      <w:sz w:val="24"/>
    </w:rPr>
  </w:style>
  <w:style w:type="paragraph" w:customStyle="1" w:styleId="190">
    <w:name w:val="三级标题"/>
    <w:basedOn w:val="4"/>
    <w:next w:val="1"/>
    <w:link w:val="189"/>
    <w:autoRedefine/>
    <w:qFormat/>
    <w:uiPriority w:val="0"/>
    <w:pPr>
      <w:keepNext w:val="0"/>
      <w:keepLines w:val="0"/>
      <w:tabs>
        <w:tab w:val="left" w:pos="547"/>
      </w:tabs>
      <w:adjustRightInd/>
      <w:snapToGrid/>
      <w:jc w:val="both"/>
    </w:pPr>
    <w:rPr>
      <w:rFonts w:cs="黑体" w:asciiTheme="minorHAnsi" w:hAnsiTheme="minorHAnsi"/>
      <w:b/>
      <w:bCs w:val="0"/>
      <w:iCs/>
      <w:color w:val="000000"/>
      <w:szCs w:val="22"/>
    </w:rPr>
  </w:style>
  <w:style w:type="character" w:customStyle="1" w:styleId="191">
    <w:name w:val="节标题 1.1 Char1"/>
    <w:autoRedefine/>
    <w:qFormat/>
    <w:uiPriority w:val="0"/>
    <w:rPr>
      <w:rFonts w:ascii="Cambria" w:hAnsi="Cambria" w:eastAsia="宋体" w:cs="Times New Roman"/>
      <w:b/>
      <w:bCs/>
      <w:kern w:val="2"/>
      <w:sz w:val="32"/>
      <w:szCs w:val="32"/>
    </w:rPr>
  </w:style>
  <w:style w:type="character" w:customStyle="1" w:styleId="192">
    <w:name w:val="正文文本 3 Char1"/>
    <w:autoRedefine/>
    <w:qFormat/>
    <w:uiPriority w:val="0"/>
    <w:rPr>
      <w:kern w:val="2"/>
      <w:sz w:val="16"/>
      <w:szCs w:val="16"/>
    </w:rPr>
  </w:style>
  <w:style w:type="character" w:customStyle="1" w:styleId="193">
    <w:name w:val="表头1 Char Char"/>
    <w:link w:val="194"/>
    <w:autoRedefine/>
    <w:qFormat/>
    <w:uiPriority w:val="0"/>
    <w:rPr>
      <w:rFonts w:ascii="Times New Roman" w:hAnsi="Times New Roman" w:eastAsia="黑体"/>
      <w:szCs w:val="28"/>
    </w:rPr>
  </w:style>
  <w:style w:type="paragraph" w:customStyle="1" w:styleId="194">
    <w:name w:val="表头1"/>
    <w:basedOn w:val="1"/>
    <w:link w:val="193"/>
    <w:autoRedefine/>
    <w:qFormat/>
    <w:uiPriority w:val="0"/>
    <w:pPr>
      <w:tabs>
        <w:tab w:val="left" w:pos="605"/>
      </w:tabs>
      <w:spacing w:line="240" w:lineRule="auto"/>
      <w:ind w:firstLine="0" w:firstLineChars="0"/>
      <w:jc w:val="center"/>
    </w:pPr>
    <w:rPr>
      <w:rFonts w:eastAsia="黑体"/>
      <w:sz w:val="21"/>
      <w:szCs w:val="28"/>
    </w:rPr>
  </w:style>
  <w:style w:type="character" w:customStyle="1" w:styleId="195">
    <w:name w:val="纯文本 Char Char Char1"/>
    <w:autoRedefine/>
    <w:qFormat/>
    <w:uiPriority w:val="0"/>
    <w:rPr>
      <w:rFonts w:ascii="宋体" w:hAnsi="Courier New" w:eastAsia="宋体"/>
      <w:kern w:val="2"/>
      <w:sz w:val="21"/>
      <w:lang w:val="en-US" w:eastAsia="zh-CN"/>
    </w:rPr>
  </w:style>
  <w:style w:type="character" w:customStyle="1" w:styleId="196">
    <w:name w:val="标题 3 Char Char Char1"/>
    <w:autoRedefine/>
    <w:qFormat/>
    <w:uiPriority w:val="0"/>
    <w:rPr>
      <w:rFonts w:eastAsia="宋体"/>
      <w:b/>
      <w:sz w:val="28"/>
      <w:lang w:val="en-US" w:eastAsia="zh-CN"/>
    </w:rPr>
  </w:style>
  <w:style w:type="character" w:customStyle="1" w:styleId="197">
    <w:name w:val="表文字 Char Char"/>
    <w:link w:val="198"/>
    <w:autoRedefine/>
    <w:qFormat/>
    <w:uiPriority w:val="0"/>
    <w:rPr>
      <w:rFonts w:ascii="Times New Roman" w:hAnsi="Times New Roman"/>
      <w:sz w:val="24"/>
    </w:rPr>
  </w:style>
  <w:style w:type="paragraph" w:customStyle="1" w:styleId="198">
    <w:name w:val="表文字"/>
    <w:basedOn w:val="1"/>
    <w:link w:val="197"/>
    <w:autoRedefine/>
    <w:qFormat/>
    <w:uiPriority w:val="0"/>
    <w:pPr>
      <w:overflowPunct w:val="0"/>
      <w:autoSpaceDE w:val="0"/>
      <w:autoSpaceDN w:val="0"/>
      <w:snapToGrid/>
      <w:spacing w:line="240" w:lineRule="atLeast"/>
      <w:ind w:firstLine="0" w:firstLineChars="0"/>
      <w:jc w:val="center"/>
      <w:textAlignment w:val="baseline"/>
    </w:pPr>
    <w:rPr>
      <w:rFonts w:eastAsiaTheme="minorEastAsia"/>
    </w:rPr>
  </w:style>
  <w:style w:type="character" w:customStyle="1" w:styleId="199">
    <w:name w:val="标题 3 Char Char"/>
    <w:autoRedefine/>
    <w:qFormat/>
    <w:uiPriority w:val="0"/>
    <w:rPr>
      <w:b/>
      <w:bCs/>
      <w:kern w:val="2"/>
      <w:sz w:val="32"/>
      <w:szCs w:val="32"/>
    </w:rPr>
  </w:style>
  <w:style w:type="character" w:customStyle="1" w:styleId="200">
    <w:name w:val="表头 道路 Char"/>
    <w:link w:val="201"/>
    <w:autoRedefine/>
    <w:qFormat/>
    <w:uiPriority w:val="0"/>
    <w:rPr>
      <w:rFonts w:ascii="黑体" w:hAnsi="黑体" w:eastAsia="黑体" w:cs="黑体"/>
      <w:color w:val="000000"/>
      <w:sz w:val="24"/>
      <w:szCs w:val="20"/>
    </w:rPr>
  </w:style>
  <w:style w:type="paragraph" w:customStyle="1" w:styleId="201">
    <w:name w:val="表头 道路"/>
    <w:basedOn w:val="1"/>
    <w:link w:val="200"/>
    <w:autoRedefine/>
    <w:qFormat/>
    <w:uiPriority w:val="0"/>
    <w:pPr>
      <w:adjustRightInd/>
      <w:snapToGrid/>
      <w:spacing w:line="500" w:lineRule="exact"/>
      <w:jc w:val="center"/>
    </w:pPr>
    <w:rPr>
      <w:rFonts w:ascii="黑体" w:hAnsi="黑体" w:eastAsia="黑体" w:cs="黑体"/>
      <w:color w:val="000000"/>
      <w:szCs w:val="20"/>
    </w:rPr>
  </w:style>
  <w:style w:type="character" w:customStyle="1" w:styleId="202">
    <w:name w:val="正文首行缩进 Char1"/>
    <w:autoRedefine/>
    <w:qFormat/>
    <w:uiPriority w:val="0"/>
  </w:style>
  <w:style w:type="character" w:customStyle="1" w:styleId="203">
    <w:name w:val="二级标题 Char"/>
    <w:link w:val="204"/>
    <w:autoRedefine/>
    <w:qFormat/>
    <w:uiPriority w:val="0"/>
    <w:rPr>
      <w:rFonts w:ascii="Arial" w:hAnsi="Arial" w:eastAsia="黑体" w:cs="黑体"/>
      <w:color w:val="000000"/>
      <w:sz w:val="28"/>
    </w:rPr>
  </w:style>
  <w:style w:type="paragraph" w:customStyle="1" w:styleId="204">
    <w:name w:val="二级标题"/>
    <w:basedOn w:val="3"/>
    <w:next w:val="1"/>
    <w:link w:val="203"/>
    <w:autoRedefine/>
    <w:qFormat/>
    <w:uiPriority w:val="0"/>
    <w:pPr>
      <w:adjustRightInd/>
      <w:snapToGrid/>
      <w:spacing w:before="120" w:after="120"/>
      <w:jc w:val="both"/>
    </w:pPr>
    <w:rPr>
      <w:rFonts w:ascii="Arial" w:hAnsi="Arial" w:cs="黑体"/>
      <w:bCs w:val="0"/>
      <w:color w:val="000000"/>
      <w:szCs w:val="22"/>
    </w:rPr>
  </w:style>
  <w:style w:type="character" w:customStyle="1" w:styleId="205">
    <w:name w:val="普通文字 Char Char Char Char"/>
    <w:autoRedefine/>
    <w:qFormat/>
    <w:uiPriority w:val="0"/>
    <w:rPr>
      <w:rFonts w:ascii="宋体" w:hAnsi="Courier New" w:eastAsia="宋体"/>
      <w:kern w:val="2"/>
      <w:sz w:val="21"/>
      <w:lang w:val="en-US" w:eastAsia="zh-CN"/>
    </w:rPr>
  </w:style>
  <w:style w:type="character" w:customStyle="1" w:styleId="206">
    <w:name w:val="批注框文本 Char1"/>
    <w:autoRedefine/>
    <w:qFormat/>
    <w:uiPriority w:val="0"/>
    <w:rPr>
      <w:kern w:val="2"/>
      <w:sz w:val="18"/>
      <w:szCs w:val="18"/>
    </w:rPr>
  </w:style>
  <w:style w:type="character" w:customStyle="1" w:styleId="207">
    <w:name w:val="标题 9 Char1"/>
    <w:autoRedefine/>
    <w:qFormat/>
    <w:uiPriority w:val="0"/>
    <w:rPr>
      <w:rFonts w:ascii="Cambria" w:hAnsi="Cambria" w:eastAsia="宋体" w:cs="Times New Roman"/>
      <w:kern w:val="2"/>
      <w:sz w:val="21"/>
      <w:szCs w:val="21"/>
    </w:rPr>
  </w:style>
  <w:style w:type="character" w:customStyle="1" w:styleId="208">
    <w:name w:val="表格标题采用 Char Char"/>
    <w:autoRedefine/>
    <w:qFormat/>
    <w:uiPriority w:val="0"/>
    <w:rPr>
      <w:rFonts w:ascii="黑体" w:hAnsi="宋体" w:eastAsia="黑体"/>
      <w:kern w:val="2"/>
      <w:sz w:val="24"/>
      <w:lang w:val="en-US" w:eastAsia="zh-CN"/>
    </w:rPr>
  </w:style>
  <w:style w:type="character" w:customStyle="1" w:styleId="209">
    <w:name w:val="表头 Char Char Char"/>
    <w:link w:val="210"/>
    <w:autoRedefine/>
    <w:qFormat/>
    <w:uiPriority w:val="0"/>
    <w:rPr>
      <w:rFonts w:eastAsia="宋体"/>
      <w:sz w:val="28"/>
    </w:rPr>
  </w:style>
  <w:style w:type="paragraph" w:customStyle="1" w:styleId="210">
    <w:name w:val="表头2"/>
    <w:basedOn w:val="1"/>
    <w:link w:val="209"/>
    <w:autoRedefine/>
    <w:qFormat/>
    <w:uiPriority w:val="0"/>
    <w:pPr>
      <w:adjustRightInd/>
      <w:snapToGrid/>
      <w:spacing w:before="120" w:line="300" w:lineRule="auto"/>
      <w:ind w:firstLine="540" w:firstLineChars="0"/>
      <w:jc w:val="center"/>
    </w:pPr>
    <w:rPr>
      <w:rFonts w:asciiTheme="minorHAnsi" w:hAnsiTheme="minorHAnsi"/>
      <w:sz w:val="28"/>
    </w:rPr>
  </w:style>
  <w:style w:type="character" w:customStyle="1" w:styleId="211">
    <w:name w:val="正文文本缩进 2 Char Char"/>
    <w:autoRedefine/>
    <w:qFormat/>
    <w:uiPriority w:val="0"/>
    <w:rPr>
      <w:rFonts w:ascii="Times New Roman" w:hAnsi="Times New Roman"/>
      <w:kern w:val="2"/>
      <w:sz w:val="24"/>
    </w:rPr>
  </w:style>
  <w:style w:type="character" w:customStyle="1" w:styleId="212">
    <w:name w:val="标题 8 Char Char"/>
    <w:autoRedefine/>
    <w:qFormat/>
    <w:uiPriority w:val="0"/>
    <w:rPr>
      <w:rFonts w:ascii="Arial" w:hAnsi="Arial" w:eastAsia="黑体"/>
      <w:kern w:val="2"/>
      <w:sz w:val="24"/>
    </w:rPr>
  </w:style>
  <w:style w:type="character" w:customStyle="1" w:styleId="213">
    <w:name w:val="正文（首行缩进两字） Char2"/>
    <w:autoRedefine/>
    <w:qFormat/>
    <w:uiPriority w:val="0"/>
    <w:rPr>
      <w:rFonts w:eastAsia="宋体"/>
      <w:kern w:val="2"/>
      <w:sz w:val="28"/>
    </w:rPr>
  </w:style>
  <w:style w:type="character" w:customStyle="1" w:styleId="214">
    <w:name w:val="图名 Char Char"/>
    <w:autoRedefine/>
    <w:qFormat/>
    <w:uiPriority w:val="0"/>
    <w:rPr>
      <w:rFonts w:eastAsia="黑体"/>
      <w:b/>
      <w:snapToGrid w:val="0"/>
      <w:spacing w:val="12"/>
      <w:sz w:val="24"/>
      <w:lang w:val="en-US" w:eastAsia="zh-CN"/>
    </w:rPr>
  </w:style>
  <w:style w:type="character" w:customStyle="1" w:styleId="215">
    <w:name w:val="font01"/>
    <w:autoRedefine/>
    <w:qFormat/>
    <w:uiPriority w:val="0"/>
    <w:rPr>
      <w:rFonts w:hint="eastAsia" w:ascii="宋体" w:hAnsi="宋体" w:eastAsia="宋体" w:cs="宋体"/>
      <w:b/>
      <w:color w:val="000000"/>
      <w:sz w:val="20"/>
      <w:szCs w:val="20"/>
      <w:u w:val="none"/>
      <w:vertAlign w:val="superscript"/>
    </w:rPr>
  </w:style>
  <w:style w:type="character" w:customStyle="1" w:styleId="216">
    <w:name w:val="正文道路1 Char"/>
    <w:link w:val="217"/>
    <w:autoRedefine/>
    <w:qFormat/>
    <w:uiPriority w:val="0"/>
    <w:rPr>
      <w:rFonts w:ascii="宋体" w:hAnsi="Times New Roman"/>
      <w:color w:val="000000"/>
      <w:sz w:val="24"/>
      <w:szCs w:val="20"/>
    </w:rPr>
  </w:style>
  <w:style w:type="paragraph" w:customStyle="1" w:styleId="217">
    <w:name w:val="正文道路1"/>
    <w:basedOn w:val="1"/>
    <w:link w:val="216"/>
    <w:autoRedefine/>
    <w:qFormat/>
    <w:uiPriority w:val="0"/>
    <w:pPr>
      <w:spacing w:line="500" w:lineRule="exact"/>
    </w:pPr>
    <w:rPr>
      <w:rFonts w:ascii="宋体" w:eastAsiaTheme="minorEastAsia"/>
      <w:color w:val="000000"/>
      <w:szCs w:val="20"/>
    </w:rPr>
  </w:style>
  <w:style w:type="character" w:customStyle="1" w:styleId="218">
    <w:name w:val="headline-content2"/>
    <w:autoRedefine/>
    <w:qFormat/>
    <w:uiPriority w:val="0"/>
  </w:style>
  <w:style w:type="character" w:customStyle="1" w:styleId="219">
    <w:name w:val="文档结构图 Char1"/>
    <w:autoRedefine/>
    <w:qFormat/>
    <w:uiPriority w:val="0"/>
    <w:rPr>
      <w:rFonts w:ascii="宋体"/>
      <w:kern w:val="2"/>
      <w:sz w:val="18"/>
      <w:szCs w:val="18"/>
    </w:rPr>
  </w:style>
  <w:style w:type="character" w:customStyle="1" w:styleId="220">
    <w:name w:val="正文文本缩进 Char1"/>
    <w:autoRedefine/>
    <w:qFormat/>
    <w:uiPriority w:val="0"/>
    <w:rPr>
      <w:kern w:val="2"/>
      <w:sz w:val="21"/>
    </w:rPr>
  </w:style>
  <w:style w:type="character" w:customStyle="1" w:styleId="221">
    <w:name w:val="正文zoe Char Char"/>
    <w:autoRedefine/>
    <w:qFormat/>
    <w:uiPriority w:val="0"/>
    <w:rPr>
      <w:rFonts w:ascii="宋体" w:hAnsi="宋体" w:eastAsia="宋体"/>
      <w:sz w:val="24"/>
      <w:lang w:val="en-US" w:eastAsia="zh-CN"/>
    </w:rPr>
  </w:style>
  <w:style w:type="character" w:customStyle="1" w:styleId="222">
    <w:name w:val="font21"/>
    <w:basedOn w:val="49"/>
    <w:autoRedefine/>
    <w:qFormat/>
    <w:uiPriority w:val="0"/>
    <w:rPr>
      <w:rFonts w:hint="eastAsia" w:ascii="宋体" w:hAnsi="宋体" w:eastAsia="宋体" w:cs="宋体"/>
      <w:b/>
      <w:color w:val="000000"/>
      <w:sz w:val="20"/>
      <w:szCs w:val="20"/>
      <w:u w:val="none"/>
    </w:rPr>
  </w:style>
  <w:style w:type="character" w:customStyle="1" w:styleId="223">
    <w:name w:val="正文文本缩进 2 字符1"/>
    <w:basedOn w:val="49"/>
    <w:autoRedefine/>
    <w:semiHidden/>
    <w:qFormat/>
    <w:uiPriority w:val="99"/>
    <w:rPr>
      <w:rFonts w:ascii="Times New Roman" w:hAnsi="Times New Roman" w:eastAsia="宋体"/>
      <w:sz w:val="24"/>
    </w:rPr>
  </w:style>
  <w:style w:type="character" w:customStyle="1" w:styleId="224">
    <w:name w:val="纯文本 字符1"/>
    <w:basedOn w:val="49"/>
    <w:autoRedefine/>
    <w:semiHidden/>
    <w:qFormat/>
    <w:uiPriority w:val="0"/>
    <w:rPr>
      <w:rFonts w:hAnsi="Courier New" w:cs="Courier New" w:asciiTheme="minorEastAsia"/>
      <w:sz w:val="24"/>
    </w:rPr>
  </w:style>
  <w:style w:type="character" w:customStyle="1" w:styleId="225">
    <w:name w:val="文档结构图 字符1"/>
    <w:basedOn w:val="49"/>
    <w:autoRedefine/>
    <w:semiHidden/>
    <w:qFormat/>
    <w:uiPriority w:val="99"/>
    <w:rPr>
      <w:rFonts w:ascii="Microsoft YaHei UI" w:hAnsi="Times New Roman" w:eastAsia="Microsoft YaHei UI"/>
      <w:sz w:val="18"/>
      <w:szCs w:val="18"/>
    </w:rPr>
  </w:style>
  <w:style w:type="character" w:customStyle="1" w:styleId="226">
    <w:name w:val="HTML 预设格式 字符1"/>
    <w:basedOn w:val="49"/>
    <w:autoRedefine/>
    <w:semiHidden/>
    <w:qFormat/>
    <w:uiPriority w:val="99"/>
    <w:rPr>
      <w:rFonts w:ascii="Courier New" w:hAnsi="Courier New" w:eastAsia="宋体" w:cs="Courier New"/>
      <w:sz w:val="20"/>
      <w:szCs w:val="20"/>
    </w:rPr>
  </w:style>
  <w:style w:type="character" w:customStyle="1" w:styleId="227">
    <w:name w:val="正文文本 2 字符1"/>
    <w:basedOn w:val="49"/>
    <w:autoRedefine/>
    <w:semiHidden/>
    <w:qFormat/>
    <w:uiPriority w:val="99"/>
    <w:rPr>
      <w:rFonts w:ascii="Times New Roman" w:hAnsi="Times New Roman" w:eastAsia="宋体"/>
      <w:sz w:val="24"/>
    </w:rPr>
  </w:style>
  <w:style w:type="character" w:customStyle="1" w:styleId="228">
    <w:name w:val="正文首行缩进 字符1"/>
    <w:basedOn w:val="92"/>
    <w:autoRedefine/>
    <w:semiHidden/>
    <w:qFormat/>
    <w:uiPriority w:val="99"/>
    <w:rPr>
      <w:rFonts w:ascii="Times New Roman" w:hAnsi="Times New Roman" w:eastAsia="宋体"/>
      <w:sz w:val="24"/>
    </w:rPr>
  </w:style>
  <w:style w:type="character" w:customStyle="1" w:styleId="229">
    <w:name w:val="正文文本缩进 3 字符1"/>
    <w:basedOn w:val="49"/>
    <w:autoRedefine/>
    <w:semiHidden/>
    <w:qFormat/>
    <w:uiPriority w:val="99"/>
    <w:rPr>
      <w:rFonts w:ascii="Times New Roman" w:hAnsi="Times New Roman" w:eastAsia="宋体"/>
      <w:sz w:val="16"/>
      <w:szCs w:val="16"/>
    </w:rPr>
  </w:style>
  <w:style w:type="character" w:customStyle="1" w:styleId="230">
    <w:name w:val="正文文本 3 字符1"/>
    <w:basedOn w:val="49"/>
    <w:autoRedefine/>
    <w:semiHidden/>
    <w:qFormat/>
    <w:uiPriority w:val="99"/>
    <w:rPr>
      <w:rFonts w:ascii="Times New Roman" w:hAnsi="Times New Roman" w:eastAsia="宋体"/>
      <w:sz w:val="16"/>
      <w:szCs w:val="16"/>
    </w:rPr>
  </w:style>
  <w:style w:type="character" w:customStyle="1" w:styleId="231">
    <w:name w:val="批注框文本 字符1"/>
    <w:basedOn w:val="49"/>
    <w:autoRedefine/>
    <w:semiHidden/>
    <w:qFormat/>
    <w:uiPriority w:val="99"/>
    <w:rPr>
      <w:rFonts w:ascii="Times New Roman" w:hAnsi="Times New Roman" w:eastAsia="宋体"/>
      <w:sz w:val="18"/>
      <w:szCs w:val="18"/>
    </w:rPr>
  </w:style>
  <w:style w:type="character" w:customStyle="1" w:styleId="232">
    <w:name w:val="日期 字符1"/>
    <w:basedOn w:val="49"/>
    <w:autoRedefine/>
    <w:semiHidden/>
    <w:qFormat/>
    <w:uiPriority w:val="99"/>
    <w:rPr>
      <w:rFonts w:ascii="Times New Roman" w:hAnsi="Times New Roman" w:eastAsia="宋体"/>
      <w:sz w:val="24"/>
    </w:rPr>
  </w:style>
  <w:style w:type="paragraph" w:customStyle="1" w:styleId="233">
    <w:name w:val="Char Char Char Char Char Char Char Char Char Char"/>
    <w:basedOn w:val="1"/>
    <w:autoRedefine/>
    <w:qFormat/>
    <w:uiPriority w:val="0"/>
    <w:pPr>
      <w:adjustRightInd/>
      <w:snapToGrid/>
      <w:spacing w:line="240" w:lineRule="auto"/>
      <w:ind w:firstLine="0" w:firstLineChars="0"/>
    </w:pPr>
    <w:rPr>
      <w:rFonts w:cs="Times New Roman"/>
      <w:kern w:val="0"/>
      <w:szCs w:val="20"/>
    </w:rPr>
  </w:style>
  <w:style w:type="paragraph" w:customStyle="1" w:styleId="234">
    <w:name w:val="表头文字"/>
    <w:basedOn w:val="1"/>
    <w:autoRedefine/>
    <w:qFormat/>
    <w:uiPriority w:val="0"/>
    <w:pPr>
      <w:snapToGrid/>
      <w:ind w:firstLine="0" w:firstLineChars="0"/>
      <w:jc w:val="center"/>
    </w:pPr>
    <w:rPr>
      <w:rFonts w:cs="Times New Roman"/>
      <w:kern w:val="0"/>
      <w:sz w:val="28"/>
      <w:szCs w:val="20"/>
    </w:rPr>
  </w:style>
  <w:style w:type="paragraph" w:customStyle="1" w:styleId="235">
    <w:name w:val="表格内容左"/>
    <w:basedOn w:val="236"/>
    <w:autoRedefine/>
    <w:qFormat/>
    <w:uiPriority w:val="0"/>
    <w:pPr>
      <w:jc w:val="right"/>
      <w:outlineLvl w:val="9"/>
    </w:pPr>
    <w:rPr>
      <w:w w:val="100"/>
      <w:sz w:val="18"/>
    </w:rPr>
  </w:style>
  <w:style w:type="paragraph" w:customStyle="1" w:styleId="236">
    <w:name w:val="表格内容"/>
    <w:basedOn w:val="237"/>
    <w:next w:val="1"/>
    <w:autoRedefine/>
    <w:qFormat/>
    <w:uiPriority w:val="0"/>
    <w:pPr>
      <w:adjustRightInd/>
      <w:snapToGrid/>
      <w:ind w:firstLine="0" w:firstLineChars="0"/>
      <w:outlineLvl w:val="0"/>
    </w:pPr>
    <w:rPr>
      <w:rFonts w:ascii="黑体" w:hAnsi="宋体" w:cs="Times New Roman"/>
      <w:w w:val="90"/>
      <w:kern w:val="0"/>
      <w:szCs w:val="20"/>
    </w:rPr>
  </w:style>
  <w:style w:type="paragraph" w:customStyle="1" w:styleId="237">
    <w:name w:val="封皮-证书编号"/>
    <w:basedOn w:val="1"/>
    <w:autoRedefine/>
    <w:qFormat/>
    <w:uiPriority w:val="0"/>
    <w:pPr>
      <w:jc w:val="center"/>
    </w:pPr>
    <w:rPr>
      <w:rFonts w:eastAsia="黑体"/>
      <w:sz w:val="28"/>
    </w:rPr>
  </w:style>
  <w:style w:type="paragraph" w:customStyle="1" w:styleId="238">
    <w:name w:val="报告节标题"/>
    <w:basedOn w:val="3"/>
    <w:next w:val="1"/>
    <w:autoRedefine/>
    <w:qFormat/>
    <w:uiPriority w:val="0"/>
    <w:pPr>
      <w:numPr>
        <w:ilvl w:val="1"/>
        <w:numId w:val="2"/>
      </w:numPr>
      <w:snapToGrid/>
      <w:spacing w:before="240" w:after="240" w:line="400" w:lineRule="exact"/>
      <w:jc w:val="center"/>
    </w:pPr>
    <w:rPr>
      <w:rFonts w:cs="Times New Roman"/>
      <w:b/>
      <w:bCs w:val="0"/>
      <w:sz w:val="30"/>
      <w:szCs w:val="20"/>
      <w:lang w:val="zh-CN"/>
    </w:rPr>
  </w:style>
  <w:style w:type="paragraph" w:customStyle="1" w:styleId="239">
    <w:name w:val="刘昕正文"/>
    <w:basedOn w:val="1"/>
    <w:autoRedefine/>
    <w:qFormat/>
    <w:uiPriority w:val="0"/>
    <w:pPr>
      <w:adjustRightInd/>
      <w:snapToGrid/>
      <w:spacing w:line="500" w:lineRule="exact"/>
      <w:ind w:firstLine="200"/>
    </w:pPr>
    <w:rPr>
      <w:rFonts w:cs="Times New Roman"/>
      <w:kern w:val="0"/>
      <w:szCs w:val="20"/>
    </w:rPr>
  </w:style>
  <w:style w:type="paragraph" w:customStyle="1" w:styleId="240">
    <w:name w:val="表苡"/>
    <w:basedOn w:val="1"/>
    <w:autoRedefine/>
    <w:qFormat/>
    <w:uiPriority w:val="0"/>
    <w:pPr>
      <w:wordWrap w:val="0"/>
      <w:adjustRightInd/>
      <w:snapToGrid/>
      <w:spacing w:line="240" w:lineRule="exact"/>
      <w:ind w:firstLine="0" w:firstLineChars="0"/>
      <w:jc w:val="center"/>
    </w:pPr>
    <w:rPr>
      <w:rFonts w:ascii="宋体" w:hAnsi="宋体" w:cs="Times New Roman"/>
      <w:kern w:val="0"/>
      <w:sz w:val="18"/>
      <w:szCs w:val="21"/>
    </w:rPr>
  </w:style>
  <w:style w:type="paragraph" w:customStyle="1" w:styleId="241">
    <w:name w:val="样式 样式 样式 样式 正文首行缩进 2 Char + 首行缩进:  2 字符 段后: 0.5 行 + 首行缩进:  2 字符 ..."/>
    <w:basedOn w:val="1"/>
    <w:autoRedefine/>
    <w:qFormat/>
    <w:uiPriority w:val="0"/>
    <w:pPr>
      <w:widowControl/>
      <w:adjustRightInd/>
      <w:snapToGrid/>
      <w:spacing w:afterLines="50" w:line="440" w:lineRule="exact"/>
      <w:ind w:firstLine="0" w:firstLineChars="0"/>
    </w:pPr>
    <w:rPr>
      <w:rFonts w:ascii="宋体" w:hAnsi="宋体" w:cs="宋体"/>
      <w:kern w:val="0"/>
      <w:szCs w:val="20"/>
    </w:rPr>
  </w:style>
  <w:style w:type="paragraph" w:customStyle="1" w:styleId="242">
    <w:name w:val="文本条款"/>
    <w:basedOn w:val="1"/>
    <w:next w:val="1"/>
    <w:autoRedefine/>
    <w:qFormat/>
    <w:uiPriority w:val="0"/>
    <w:pPr>
      <w:adjustRightInd/>
      <w:snapToGrid/>
      <w:spacing w:line="480" w:lineRule="exact"/>
      <w:ind w:firstLine="560" w:firstLineChars="0"/>
    </w:pPr>
    <w:rPr>
      <w:rFonts w:ascii="宋体" w:cs="Times New Roman"/>
      <w:kern w:val="0"/>
      <w:sz w:val="28"/>
      <w:szCs w:val="20"/>
    </w:rPr>
  </w:style>
  <w:style w:type="paragraph" w:customStyle="1" w:styleId="243">
    <w:name w:val="图表文字"/>
    <w:autoRedefine/>
    <w:qFormat/>
    <w:uiPriority w:val="0"/>
    <w:pPr>
      <w:jc w:val="center"/>
    </w:pPr>
    <w:rPr>
      <w:rFonts w:ascii="Times New Roman" w:hAnsi="Times New Roman" w:eastAsia="仿宋_GB2312" w:cs="Times New Roman"/>
      <w:kern w:val="2"/>
      <w:sz w:val="21"/>
      <w:lang w:val="en-US" w:eastAsia="zh-CN" w:bidi="ar-SA"/>
    </w:rPr>
  </w:style>
  <w:style w:type="paragraph" w:customStyle="1" w:styleId="244">
    <w:name w:val="Char Char1 Char"/>
    <w:basedOn w:val="1"/>
    <w:next w:val="1"/>
    <w:autoRedefine/>
    <w:qFormat/>
    <w:uiPriority w:val="0"/>
    <w:pPr>
      <w:adjustRightInd/>
      <w:snapToGrid/>
      <w:ind w:firstLine="200"/>
    </w:pPr>
    <w:rPr>
      <w:rFonts w:ascii="宋体" w:hAnsi="宋体" w:cs="Times New Roman"/>
      <w:kern w:val="0"/>
      <w:szCs w:val="20"/>
    </w:rPr>
  </w:style>
  <w:style w:type="paragraph" w:customStyle="1" w:styleId="245">
    <w:name w:val="样式 正文文字 2 + Times New Roman 自动设置 左 行距: 最小值 25 磅"/>
    <w:basedOn w:val="1"/>
    <w:autoRedefine/>
    <w:qFormat/>
    <w:uiPriority w:val="0"/>
    <w:pPr>
      <w:adjustRightInd/>
      <w:snapToGrid/>
      <w:spacing w:line="500" w:lineRule="exact"/>
      <w:ind w:firstLine="200"/>
      <w:jc w:val="left"/>
    </w:pPr>
    <w:rPr>
      <w:rFonts w:cs="Times New Roman"/>
      <w:kern w:val="0"/>
      <w:sz w:val="28"/>
      <w:szCs w:val="20"/>
    </w:rPr>
  </w:style>
  <w:style w:type="paragraph" w:customStyle="1" w:styleId="246">
    <w:name w:val="报告章标题"/>
    <w:basedOn w:val="2"/>
    <w:next w:val="1"/>
    <w:autoRedefine/>
    <w:qFormat/>
    <w:uiPriority w:val="0"/>
    <w:pPr>
      <w:keepNext/>
      <w:keepLines/>
      <w:numPr>
        <w:ilvl w:val="0"/>
        <w:numId w:val="2"/>
      </w:numPr>
      <w:snapToGrid/>
      <w:spacing w:before="360" w:after="360" w:line="400" w:lineRule="exact"/>
      <w:jc w:val="center"/>
    </w:pPr>
    <w:rPr>
      <w:rFonts w:cs="Times New Roman"/>
      <w:b/>
      <w:kern w:val="44"/>
      <w:szCs w:val="20"/>
      <w:lang w:val="zh-CN"/>
    </w:rPr>
  </w:style>
  <w:style w:type="paragraph" w:customStyle="1" w:styleId="247">
    <w:name w:val="表格1"/>
    <w:basedOn w:val="1"/>
    <w:autoRedefine/>
    <w:qFormat/>
    <w:uiPriority w:val="0"/>
    <w:pPr>
      <w:snapToGrid/>
      <w:spacing w:line="20" w:lineRule="atLeast"/>
      <w:ind w:firstLine="0" w:firstLineChars="0"/>
      <w:jc w:val="center"/>
      <w:textAlignment w:val="center"/>
    </w:pPr>
    <w:rPr>
      <w:rFonts w:ascii="宋体" w:cs="Times New Roman"/>
      <w:kern w:val="0"/>
      <w:szCs w:val="20"/>
    </w:rPr>
  </w:style>
  <w:style w:type="paragraph" w:customStyle="1" w:styleId="248">
    <w:name w:val="样式 首行缩进:  2 字符"/>
    <w:basedOn w:val="1"/>
    <w:autoRedefine/>
    <w:qFormat/>
    <w:uiPriority w:val="0"/>
    <w:pPr>
      <w:widowControl/>
      <w:topLinePunct/>
      <w:autoSpaceDE w:val="0"/>
      <w:autoSpaceDN w:val="0"/>
      <w:snapToGrid/>
      <w:jc w:val="left"/>
    </w:pPr>
    <w:rPr>
      <w:rFonts w:ascii="宋体" w:cs="宋体"/>
      <w:snapToGrid w:val="0"/>
      <w:kern w:val="0"/>
      <w:szCs w:val="20"/>
      <w:lang w:eastAsia="en-US" w:bidi="en-US"/>
    </w:rPr>
  </w:style>
  <w:style w:type="paragraph" w:customStyle="1" w:styleId="249">
    <w:name w:val="Char Char Char Char Char Char Char Char Char Char Char Char"/>
    <w:basedOn w:val="1"/>
    <w:autoRedefine/>
    <w:qFormat/>
    <w:uiPriority w:val="0"/>
    <w:pPr>
      <w:adjustRightInd/>
      <w:snapToGrid/>
      <w:spacing w:line="240" w:lineRule="auto"/>
      <w:ind w:firstLine="0" w:firstLineChars="0"/>
    </w:pPr>
    <w:rPr>
      <w:rFonts w:cs="Times New Roman"/>
      <w:kern w:val="0"/>
      <w:szCs w:val="20"/>
    </w:rPr>
  </w:style>
  <w:style w:type="paragraph" w:customStyle="1" w:styleId="250">
    <w:name w:val="xl34"/>
    <w:basedOn w:val="1"/>
    <w:autoRedefine/>
    <w:qFormat/>
    <w:uiPriority w:val="0"/>
    <w:pPr>
      <w:widowControl/>
      <w:pBdr>
        <w:top w:val="single" w:color="auto" w:sz="4" w:space="0"/>
        <w:left w:val="single" w:color="auto" w:sz="4" w:space="0"/>
      </w:pBdr>
      <w:adjustRightInd/>
      <w:snapToGrid/>
      <w:spacing w:before="100" w:beforeAutospacing="1" w:after="100" w:afterAutospacing="1" w:line="240" w:lineRule="auto"/>
      <w:ind w:firstLine="0" w:firstLineChars="0"/>
      <w:jc w:val="center"/>
    </w:pPr>
    <w:rPr>
      <w:rFonts w:ascii="宋体" w:hAnsi="宋体" w:cs="Times New Roman"/>
      <w:kern w:val="0"/>
      <w:szCs w:val="20"/>
    </w:rPr>
  </w:style>
  <w:style w:type="paragraph" w:customStyle="1" w:styleId="251">
    <w:name w:val="Char1 Char Char Char Char Char Char"/>
    <w:basedOn w:val="1"/>
    <w:autoRedefine/>
    <w:qFormat/>
    <w:uiPriority w:val="0"/>
    <w:pPr>
      <w:adjustRightInd/>
      <w:ind w:firstLine="200"/>
    </w:pPr>
    <w:rPr>
      <w:rFonts w:eastAsia="仿宋_GB2312" w:cs="Times New Roman"/>
      <w:kern w:val="0"/>
      <w:szCs w:val="20"/>
    </w:rPr>
  </w:style>
  <w:style w:type="paragraph" w:customStyle="1" w:styleId="252">
    <w:name w:val="偶数页脚"/>
    <w:basedOn w:val="29"/>
    <w:autoRedefine/>
    <w:qFormat/>
    <w:uiPriority w:val="0"/>
    <w:pPr>
      <w:adjustRightInd/>
      <w:ind w:firstLine="0" w:firstLineChars="0"/>
      <w:jc w:val="both"/>
    </w:pPr>
    <w:rPr>
      <w:rFonts w:cs="Times New Roman"/>
      <w:kern w:val="0"/>
      <w:lang w:val="zh-CN"/>
    </w:rPr>
  </w:style>
  <w:style w:type="paragraph" w:customStyle="1" w:styleId="253">
    <w:name w:val="报告正文"/>
    <w:basedOn w:val="1"/>
    <w:next w:val="1"/>
    <w:link w:val="254"/>
    <w:autoRedefine/>
    <w:qFormat/>
    <w:uiPriority w:val="0"/>
    <w:pPr>
      <w:adjustRightInd/>
      <w:snapToGrid/>
      <w:spacing w:before="50"/>
      <w:ind w:firstLine="540" w:firstLineChars="0"/>
    </w:pPr>
    <w:rPr>
      <w:rFonts w:cs="Times New Roman"/>
      <w:kern w:val="0"/>
      <w:szCs w:val="20"/>
    </w:rPr>
  </w:style>
  <w:style w:type="character" w:customStyle="1" w:styleId="254">
    <w:name w:val="报告正文 Char"/>
    <w:link w:val="253"/>
    <w:autoRedefine/>
    <w:qFormat/>
    <w:uiPriority w:val="0"/>
    <w:rPr>
      <w:rFonts w:ascii="Times New Roman" w:hAnsi="Times New Roman" w:eastAsia="宋体" w:cs="Times New Roman"/>
      <w:kern w:val="0"/>
      <w:sz w:val="24"/>
      <w:szCs w:val="20"/>
    </w:rPr>
  </w:style>
  <w:style w:type="paragraph" w:customStyle="1" w:styleId="255">
    <w:name w:val="表格内容小"/>
    <w:basedOn w:val="236"/>
    <w:autoRedefine/>
    <w:qFormat/>
    <w:uiPriority w:val="0"/>
    <w:pPr>
      <w:outlineLvl w:val="9"/>
    </w:pPr>
    <w:rPr>
      <w:w w:val="100"/>
      <w:sz w:val="18"/>
    </w:rPr>
  </w:style>
  <w:style w:type="paragraph" w:customStyle="1" w:styleId="256">
    <w:name w:val="页脚1"/>
    <w:basedOn w:val="1"/>
    <w:autoRedefine/>
    <w:qFormat/>
    <w:uiPriority w:val="99"/>
    <w:pPr>
      <w:pBdr>
        <w:top w:val="single" w:color="auto" w:sz="4" w:space="1"/>
      </w:pBdr>
      <w:tabs>
        <w:tab w:val="center" w:pos="4153"/>
        <w:tab w:val="right" w:pos="8306"/>
      </w:tabs>
      <w:adjustRightInd/>
      <w:spacing w:line="240" w:lineRule="atLeast"/>
      <w:ind w:firstLine="0" w:firstLineChars="0"/>
    </w:pPr>
    <w:rPr>
      <w:rFonts w:ascii="Calibri" w:hAnsi="Calibri" w:cs="Times New Roman"/>
      <w:kern w:val="0"/>
      <w:sz w:val="18"/>
      <w:szCs w:val="20"/>
    </w:rPr>
  </w:style>
  <w:style w:type="paragraph" w:customStyle="1" w:styleId="257">
    <w:name w:val="公式"/>
    <w:basedOn w:val="1"/>
    <w:autoRedefine/>
    <w:qFormat/>
    <w:uiPriority w:val="0"/>
    <w:pPr>
      <w:snapToGrid/>
      <w:spacing w:before="60" w:line="394" w:lineRule="atLeast"/>
      <w:ind w:firstLine="0" w:firstLineChars="0"/>
      <w:jc w:val="center"/>
      <w:textAlignment w:val="baseline"/>
    </w:pPr>
    <w:rPr>
      <w:rFonts w:ascii="宋体" w:cs="Times New Roman"/>
      <w:kern w:val="0"/>
      <w:szCs w:val="20"/>
    </w:rPr>
  </w:style>
  <w:style w:type="paragraph" w:customStyle="1" w:styleId="258">
    <w:name w:val="样式3"/>
    <w:basedOn w:val="3"/>
    <w:autoRedefine/>
    <w:qFormat/>
    <w:uiPriority w:val="0"/>
    <w:pPr>
      <w:adjustRightInd/>
      <w:snapToGrid/>
      <w:spacing w:before="156" w:after="156"/>
      <w:jc w:val="both"/>
      <w:outlineLvl w:val="0"/>
    </w:pPr>
    <w:rPr>
      <w:rFonts w:ascii="黑体" w:hAnsi="宋体" w:cs="Times New Roman"/>
      <w:szCs w:val="28"/>
      <w:lang w:val="zh-CN"/>
    </w:rPr>
  </w:style>
  <w:style w:type="paragraph" w:customStyle="1" w:styleId="259">
    <w:name w:val="表尾"/>
    <w:basedOn w:val="236"/>
    <w:autoRedefine/>
    <w:qFormat/>
    <w:uiPriority w:val="0"/>
    <w:rPr>
      <w:rFonts w:hAnsi="Times New Roman" w:cs="宋体"/>
      <w:color w:val="000000"/>
      <w:szCs w:val="21"/>
    </w:rPr>
  </w:style>
  <w:style w:type="paragraph" w:customStyle="1" w:styleId="260">
    <w:name w:val="_Style 6"/>
    <w:basedOn w:val="1"/>
    <w:autoRedefine/>
    <w:qFormat/>
    <w:uiPriority w:val="0"/>
    <w:pPr>
      <w:adjustRightInd/>
      <w:snapToGrid/>
      <w:spacing w:line="240" w:lineRule="auto"/>
      <w:ind w:firstLine="420"/>
    </w:pPr>
    <w:rPr>
      <w:rFonts w:ascii="宋体" w:cs="Times New Roman"/>
      <w:kern w:val="0"/>
      <w:szCs w:val="20"/>
    </w:rPr>
  </w:style>
  <w:style w:type="paragraph" w:customStyle="1" w:styleId="261">
    <w:name w:val="默认段落字体 Para Char"/>
    <w:basedOn w:val="1"/>
    <w:autoRedefine/>
    <w:qFormat/>
    <w:uiPriority w:val="0"/>
    <w:pPr>
      <w:adjustRightInd/>
      <w:snapToGrid/>
      <w:spacing w:line="240" w:lineRule="auto"/>
      <w:ind w:firstLine="0" w:firstLineChars="0"/>
    </w:pPr>
    <w:rPr>
      <w:rFonts w:cs="Times New Roman"/>
      <w:kern w:val="0"/>
      <w:szCs w:val="20"/>
    </w:rPr>
  </w:style>
  <w:style w:type="paragraph" w:customStyle="1" w:styleId="262">
    <w:name w:val="报告小节标题"/>
    <w:basedOn w:val="4"/>
    <w:next w:val="1"/>
    <w:autoRedefine/>
    <w:qFormat/>
    <w:uiPriority w:val="0"/>
    <w:pPr>
      <w:numPr>
        <w:ilvl w:val="2"/>
        <w:numId w:val="2"/>
      </w:numPr>
      <w:tabs>
        <w:tab w:val="left" w:pos="645"/>
        <w:tab w:val="clear" w:pos="1680"/>
      </w:tabs>
      <w:adjustRightInd/>
      <w:snapToGrid/>
      <w:spacing w:before="240" w:after="120" w:line="400" w:lineRule="exact"/>
      <w:jc w:val="both"/>
    </w:pPr>
    <w:rPr>
      <w:rFonts w:cs="Times New Roman"/>
      <w:b/>
      <w:bCs w:val="0"/>
      <w:szCs w:val="20"/>
      <w:lang w:val="zh-CN"/>
    </w:rPr>
  </w:style>
  <w:style w:type="paragraph" w:customStyle="1" w:styleId="263">
    <w:name w:val="Char Char Char Char Char"/>
    <w:basedOn w:val="1"/>
    <w:autoRedefine/>
    <w:qFormat/>
    <w:uiPriority w:val="0"/>
    <w:pPr>
      <w:tabs>
        <w:tab w:val="left" w:pos="170"/>
      </w:tabs>
      <w:adjustRightInd/>
      <w:snapToGrid/>
      <w:spacing w:line="240" w:lineRule="auto"/>
      <w:ind w:left="170" w:hanging="170" w:firstLineChars="0"/>
    </w:pPr>
    <w:rPr>
      <w:rFonts w:cs="Times New Roman"/>
      <w:kern w:val="0"/>
      <w:szCs w:val="20"/>
    </w:rPr>
  </w:style>
  <w:style w:type="paragraph" w:customStyle="1" w:styleId="264">
    <w:name w:val="图名A"/>
    <w:basedOn w:val="1"/>
    <w:autoRedefine/>
    <w:qFormat/>
    <w:uiPriority w:val="0"/>
    <w:pPr>
      <w:widowControl/>
      <w:tabs>
        <w:tab w:val="left" w:pos="0"/>
      </w:tabs>
      <w:spacing w:before="62" w:after="249" w:line="240" w:lineRule="auto"/>
      <w:ind w:firstLine="0" w:firstLineChars="0"/>
      <w:jc w:val="center"/>
    </w:pPr>
    <w:rPr>
      <w:rFonts w:cs="Times New Roman"/>
      <w:b/>
      <w:snapToGrid w:val="0"/>
      <w:kern w:val="0"/>
      <w:szCs w:val="20"/>
    </w:rPr>
  </w:style>
  <w:style w:type="paragraph" w:customStyle="1" w:styleId="265">
    <w:name w:val="表格"/>
    <w:basedOn w:val="1"/>
    <w:autoRedefine/>
    <w:qFormat/>
    <w:uiPriority w:val="0"/>
    <w:pPr>
      <w:adjustRightInd/>
      <w:snapToGrid/>
      <w:spacing w:line="480" w:lineRule="exact"/>
      <w:ind w:firstLine="0" w:firstLineChars="0"/>
      <w:jc w:val="center"/>
    </w:pPr>
    <w:rPr>
      <w:rFonts w:ascii="宋体" w:cs="Times New Roman"/>
      <w:snapToGrid w:val="0"/>
      <w:kern w:val="0"/>
      <w:szCs w:val="20"/>
    </w:rPr>
  </w:style>
  <w:style w:type="paragraph" w:customStyle="1" w:styleId="266">
    <w:name w:val="表格 32"/>
    <w:basedOn w:val="1"/>
    <w:autoRedefine/>
    <w:qFormat/>
    <w:uiPriority w:val="0"/>
    <w:pPr>
      <w:autoSpaceDE w:val="0"/>
      <w:autoSpaceDN w:val="0"/>
      <w:spacing w:line="240" w:lineRule="auto"/>
      <w:ind w:firstLine="0" w:firstLineChars="0"/>
      <w:jc w:val="center"/>
      <w:textAlignment w:val="baseline"/>
    </w:pPr>
    <w:rPr>
      <w:rFonts w:cs="Times New Roman"/>
      <w:kern w:val="0"/>
      <w:szCs w:val="20"/>
    </w:rPr>
  </w:style>
  <w:style w:type="paragraph" w:customStyle="1" w:styleId="267">
    <w:name w:val="表文C"/>
    <w:basedOn w:val="1"/>
    <w:autoRedefine/>
    <w:qFormat/>
    <w:uiPriority w:val="0"/>
    <w:pPr>
      <w:widowControl/>
      <w:tabs>
        <w:tab w:val="left" w:pos="0"/>
      </w:tabs>
      <w:spacing w:line="240" w:lineRule="auto"/>
      <w:ind w:firstLine="0" w:firstLineChars="0"/>
      <w:jc w:val="center"/>
    </w:pPr>
    <w:rPr>
      <w:rFonts w:cs="Times New Roman"/>
      <w:snapToGrid w:val="0"/>
      <w:kern w:val="0"/>
      <w:szCs w:val="20"/>
    </w:rPr>
  </w:style>
  <w:style w:type="paragraph" w:customStyle="1" w:styleId="268">
    <w:name w:val="p0"/>
    <w:basedOn w:val="1"/>
    <w:autoRedefine/>
    <w:qFormat/>
    <w:uiPriority w:val="0"/>
    <w:pPr>
      <w:widowControl/>
      <w:adjustRightInd/>
      <w:snapToGrid/>
      <w:spacing w:line="240" w:lineRule="auto"/>
      <w:ind w:firstLine="0" w:firstLineChars="0"/>
    </w:pPr>
    <w:rPr>
      <w:rFonts w:cs="Times New Roman"/>
      <w:kern w:val="0"/>
      <w:sz w:val="21"/>
      <w:szCs w:val="21"/>
    </w:rPr>
  </w:style>
  <w:style w:type="paragraph" w:customStyle="1" w:styleId="269">
    <w:name w:val="xl31"/>
    <w:basedOn w:val="1"/>
    <w:autoRedefine/>
    <w:qFormat/>
    <w:uiPriority w:val="0"/>
    <w:pPr>
      <w:widowControl/>
      <w:adjustRightInd/>
      <w:snapToGrid/>
      <w:spacing w:before="100" w:beforeAutospacing="1" w:after="100" w:afterAutospacing="1" w:line="240" w:lineRule="auto"/>
      <w:ind w:firstLine="0" w:firstLineChars="0"/>
      <w:jc w:val="center"/>
    </w:pPr>
    <w:rPr>
      <w:rFonts w:ascii="Arial Unicode MS" w:hAnsi="Arial Unicode MS" w:eastAsia="Arial Unicode MS" w:cs="Times New Roman"/>
      <w:kern w:val="0"/>
      <w:szCs w:val="20"/>
    </w:rPr>
  </w:style>
  <w:style w:type="paragraph" w:customStyle="1" w:styleId="270">
    <w:name w:val="正文1"/>
    <w:link w:val="271"/>
    <w:autoRedefine/>
    <w:qFormat/>
    <w:uiPriority w:val="99"/>
    <w:pPr>
      <w:widowControl w:val="0"/>
      <w:adjustRightInd w:val="0"/>
      <w:spacing w:line="360" w:lineRule="atLeast"/>
      <w:textAlignment w:val="baseline"/>
    </w:pPr>
    <w:rPr>
      <w:rFonts w:ascii="宋体" w:hAnsi="Times New Roman" w:eastAsia="宋体" w:cs="Times New Roman"/>
      <w:sz w:val="24"/>
      <w:lang w:val="en-US" w:eastAsia="zh-CN" w:bidi="ar-SA"/>
    </w:rPr>
  </w:style>
  <w:style w:type="character" w:customStyle="1" w:styleId="271">
    <w:name w:val="Normal Char"/>
    <w:link w:val="270"/>
    <w:autoRedefine/>
    <w:qFormat/>
    <w:uiPriority w:val="99"/>
    <w:rPr>
      <w:rFonts w:ascii="宋体" w:hAnsi="Times New Roman" w:eastAsia="宋体" w:cs="Times New Roman"/>
      <w:kern w:val="0"/>
      <w:sz w:val="24"/>
      <w:szCs w:val="20"/>
    </w:rPr>
  </w:style>
  <w:style w:type="paragraph" w:customStyle="1" w:styleId="272">
    <w:name w:val="正文居中"/>
    <w:autoRedefine/>
    <w:qFormat/>
    <w:uiPriority w:val="0"/>
    <w:pPr>
      <w:keepNext/>
      <w:spacing w:before="80" w:after="80" w:line="240" w:lineRule="exact"/>
      <w:jc w:val="center"/>
    </w:pPr>
    <w:rPr>
      <w:rFonts w:ascii="宋体" w:hAnsi="宋体" w:eastAsia="宋体" w:cs="Times New Roman"/>
      <w:sz w:val="21"/>
      <w:szCs w:val="21"/>
      <w:lang w:val="en-US" w:eastAsia="zh-CN" w:bidi="ar-SA"/>
    </w:rPr>
  </w:style>
  <w:style w:type="paragraph" w:customStyle="1" w:styleId="273">
    <w:name w:val="正文zoe"/>
    <w:basedOn w:val="20"/>
    <w:autoRedefine/>
    <w:qFormat/>
    <w:uiPriority w:val="0"/>
    <w:pPr>
      <w:adjustRightInd w:val="0"/>
      <w:spacing w:line="360" w:lineRule="auto"/>
      <w:ind w:firstLine="480" w:firstLineChars="200"/>
      <w:textAlignment w:val="baseline"/>
    </w:pPr>
    <w:rPr>
      <w:kern w:val="0"/>
      <w:sz w:val="24"/>
    </w:rPr>
  </w:style>
  <w:style w:type="paragraph" w:customStyle="1" w:styleId="274">
    <w:name w:val="宋体首行缩进:  2 字符"/>
    <w:basedOn w:val="1"/>
    <w:autoRedefine/>
    <w:qFormat/>
    <w:uiPriority w:val="0"/>
    <w:pPr>
      <w:adjustRightInd/>
      <w:snapToGrid/>
      <w:ind w:firstLine="200"/>
    </w:pPr>
    <w:rPr>
      <w:rFonts w:cs="Times New Roman"/>
      <w:kern w:val="0"/>
      <w:szCs w:val="20"/>
    </w:rPr>
  </w:style>
  <w:style w:type="paragraph" w:customStyle="1" w:styleId="275">
    <w:name w:val="xl26"/>
    <w:basedOn w:val="1"/>
    <w:autoRedefine/>
    <w:qFormat/>
    <w:uiPriority w:val="0"/>
    <w:pPr>
      <w:widowControl/>
      <w:adjustRightInd/>
      <w:snapToGrid/>
      <w:spacing w:before="100" w:beforeAutospacing="1" w:after="100" w:afterAutospacing="1" w:line="240" w:lineRule="auto"/>
      <w:ind w:firstLine="0" w:firstLineChars="0"/>
      <w:textAlignment w:val="center"/>
    </w:pPr>
    <w:rPr>
      <w:rFonts w:ascii="宋体" w:hAnsi="宋体" w:cs="Times New Roman"/>
      <w:kern w:val="0"/>
      <w:szCs w:val="20"/>
    </w:rPr>
  </w:style>
  <w:style w:type="paragraph" w:customStyle="1" w:styleId="276">
    <w:name w:val="xl24"/>
    <w:basedOn w:val="1"/>
    <w:autoRedefine/>
    <w:qFormat/>
    <w:uiPriority w:val="0"/>
    <w:pPr>
      <w:widowControl/>
      <w:adjustRightInd/>
      <w:snapToGrid/>
      <w:spacing w:before="100" w:beforeAutospacing="1" w:after="100" w:afterAutospacing="1" w:line="240" w:lineRule="auto"/>
      <w:ind w:firstLine="0" w:firstLineChars="0"/>
      <w:jc w:val="center"/>
    </w:pPr>
    <w:rPr>
      <w:rFonts w:ascii="宋体" w:hAnsi="宋体" w:cs="Times New Roman"/>
      <w:kern w:val="0"/>
      <w:szCs w:val="20"/>
    </w:rPr>
  </w:style>
  <w:style w:type="paragraph" w:customStyle="1" w:styleId="277">
    <w:name w:val="样式7"/>
    <w:basedOn w:val="1"/>
    <w:autoRedefine/>
    <w:qFormat/>
    <w:uiPriority w:val="0"/>
    <w:pPr>
      <w:adjustRightInd/>
      <w:snapToGrid/>
      <w:ind w:firstLine="0" w:firstLineChars="0"/>
    </w:pPr>
    <w:rPr>
      <w:rFonts w:cs="Times New Roman"/>
      <w:kern w:val="0"/>
      <w:szCs w:val="20"/>
    </w:rPr>
  </w:style>
  <w:style w:type="paragraph" w:customStyle="1" w:styleId="278">
    <w:name w:val="样式 标题 1 + 自动设置"/>
    <w:basedOn w:val="2"/>
    <w:autoRedefine/>
    <w:qFormat/>
    <w:uiPriority w:val="0"/>
    <w:pPr>
      <w:keepNext/>
      <w:keepLines/>
      <w:tabs>
        <w:tab w:val="left" w:pos="700"/>
      </w:tabs>
      <w:autoSpaceDE w:val="0"/>
      <w:autoSpaceDN w:val="0"/>
      <w:snapToGrid/>
      <w:spacing w:before="120" w:after="60" w:line="240" w:lineRule="auto"/>
    </w:pPr>
    <w:rPr>
      <w:rFonts w:cs="Times New Roman"/>
      <w:kern w:val="44"/>
      <w:sz w:val="28"/>
      <w:szCs w:val="20"/>
      <w:lang w:val="zh-CN"/>
    </w:rPr>
  </w:style>
  <w:style w:type="paragraph" w:customStyle="1" w:styleId="279">
    <w:name w:val="正文（首行缩进两字） Char"/>
    <w:basedOn w:val="1"/>
    <w:autoRedefine/>
    <w:qFormat/>
    <w:uiPriority w:val="0"/>
    <w:pPr>
      <w:widowControl/>
      <w:adjustRightInd/>
      <w:snapToGrid/>
      <w:spacing w:line="500" w:lineRule="exact"/>
      <w:ind w:firstLine="420" w:firstLineChars="0"/>
      <w:jc w:val="left"/>
    </w:pPr>
    <w:rPr>
      <w:rFonts w:cs="Times New Roman"/>
      <w:kern w:val="0"/>
      <w:sz w:val="28"/>
      <w:szCs w:val="20"/>
    </w:rPr>
  </w:style>
  <w:style w:type="paragraph" w:customStyle="1" w:styleId="280">
    <w:name w:val="z-窗体顶端1"/>
    <w:basedOn w:val="1"/>
    <w:next w:val="1"/>
    <w:link w:val="281"/>
    <w:autoRedefine/>
    <w:qFormat/>
    <w:uiPriority w:val="0"/>
    <w:pPr>
      <w:pBdr>
        <w:bottom w:val="single" w:color="auto" w:sz="6" w:space="1"/>
      </w:pBdr>
      <w:adjustRightInd/>
      <w:snapToGrid/>
      <w:spacing w:line="240" w:lineRule="auto"/>
      <w:ind w:firstLine="0" w:firstLineChars="0"/>
      <w:jc w:val="center"/>
    </w:pPr>
    <w:rPr>
      <w:rFonts w:ascii="Arial" w:cs="Times New Roman"/>
      <w:vanish/>
      <w:kern w:val="0"/>
      <w:sz w:val="16"/>
      <w:szCs w:val="20"/>
    </w:rPr>
  </w:style>
  <w:style w:type="character" w:customStyle="1" w:styleId="281">
    <w:name w:val="z-窗体顶端 字符"/>
    <w:basedOn w:val="49"/>
    <w:link w:val="280"/>
    <w:autoRedefine/>
    <w:qFormat/>
    <w:uiPriority w:val="0"/>
    <w:rPr>
      <w:rFonts w:ascii="Arial" w:hAnsi="Times New Roman" w:eastAsia="宋体" w:cs="Times New Roman"/>
      <w:vanish/>
      <w:kern w:val="0"/>
      <w:sz w:val="16"/>
      <w:szCs w:val="20"/>
    </w:rPr>
  </w:style>
  <w:style w:type="paragraph" w:customStyle="1" w:styleId="282">
    <w:name w:val="样式 标题 1 + 紧缩量  1 磅"/>
    <w:basedOn w:val="2"/>
    <w:autoRedefine/>
    <w:qFormat/>
    <w:uiPriority w:val="0"/>
    <w:pPr>
      <w:keepNext/>
      <w:keepLines/>
      <w:adjustRightInd/>
      <w:snapToGrid/>
      <w:spacing w:line="578" w:lineRule="auto"/>
      <w:jc w:val="both"/>
    </w:pPr>
    <w:rPr>
      <w:rFonts w:hint="eastAsia" w:ascii="Calibri" w:hAnsi="Calibri" w:cs="Times New Roman"/>
      <w:bCs/>
      <w:iCs/>
      <w:kern w:val="44"/>
      <w:sz w:val="36"/>
      <w:szCs w:val="36"/>
      <w:lang w:val="zh-CN"/>
    </w:rPr>
  </w:style>
  <w:style w:type="paragraph" w:customStyle="1" w:styleId="283">
    <w:name w:val="xl46"/>
    <w:basedOn w:val="1"/>
    <w:autoRedefine/>
    <w:qFormat/>
    <w:uiPriority w:val="0"/>
    <w:pPr>
      <w:widowControl/>
      <w:pBdr>
        <w:right w:val="single" w:color="auto" w:sz="8" w:space="0"/>
      </w:pBdr>
      <w:adjustRightInd/>
      <w:snapToGrid/>
      <w:spacing w:before="100" w:beforeAutospacing="1" w:after="100" w:afterAutospacing="1" w:line="240" w:lineRule="auto"/>
      <w:ind w:firstLine="0" w:firstLineChars="0"/>
      <w:jc w:val="center"/>
    </w:pPr>
    <w:rPr>
      <w:rFonts w:cs="Times New Roman"/>
      <w:kern w:val="0"/>
      <w:szCs w:val="20"/>
    </w:rPr>
  </w:style>
  <w:style w:type="paragraph" w:customStyle="1" w:styleId="284">
    <w:name w:val="简单回函地址"/>
    <w:basedOn w:val="1"/>
    <w:autoRedefine/>
    <w:qFormat/>
    <w:uiPriority w:val="0"/>
    <w:pPr>
      <w:adjustRightInd/>
      <w:snapToGrid/>
      <w:spacing w:line="240" w:lineRule="auto"/>
      <w:ind w:firstLine="0" w:firstLineChars="0"/>
    </w:pPr>
    <w:rPr>
      <w:rFonts w:ascii="宋体" w:hAnsi="宋体" w:cs="Times New Roman"/>
      <w:kern w:val="0"/>
      <w:szCs w:val="20"/>
    </w:rPr>
  </w:style>
  <w:style w:type="paragraph" w:customStyle="1" w:styleId="285">
    <w:name w:val="图名"/>
    <w:basedOn w:val="1"/>
    <w:autoRedefine/>
    <w:qFormat/>
    <w:uiPriority w:val="0"/>
    <w:pPr>
      <w:ind w:left="-22" w:leftChars="-9" w:firstLine="0" w:firstLineChars="0"/>
      <w:jc w:val="center"/>
      <w:textAlignment w:val="baseline"/>
    </w:pPr>
    <w:rPr>
      <w:rFonts w:eastAsia="黑体" w:cs="Times New Roman"/>
      <w:b/>
      <w:snapToGrid w:val="0"/>
      <w:spacing w:val="12"/>
      <w:kern w:val="0"/>
      <w:szCs w:val="20"/>
    </w:rPr>
  </w:style>
  <w:style w:type="paragraph" w:customStyle="1" w:styleId="286">
    <w:name w:val="Char Char Char Char Char Char Char Char Char Char1 Char Char Char Char Char Char Char Char Char Char Char Char Char"/>
    <w:basedOn w:val="1"/>
    <w:autoRedefine/>
    <w:qFormat/>
    <w:uiPriority w:val="0"/>
    <w:pPr>
      <w:adjustRightInd/>
      <w:snapToGrid/>
      <w:spacing w:line="240" w:lineRule="auto"/>
      <w:ind w:firstLine="0" w:firstLineChars="0"/>
    </w:pPr>
    <w:rPr>
      <w:rFonts w:cs="Times New Roman"/>
      <w:kern w:val="0"/>
      <w:szCs w:val="20"/>
    </w:rPr>
  </w:style>
  <w:style w:type="paragraph" w:customStyle="1" w:styleId="287">
    <w:name w:val="密级编号"/>
    <w:basedOn w:val="1"/>
    <w:autoRedefine/>
    <w:qFormat/>
    <w:uiPriority w:val="0"/>
    <w:pPr>
      <w:snapToGrid/>
      <w:spacing w:line="240" w:lineRule="auto"/>
      <w:ind w:firstLine="0" w:firstLineChars="0"/>
      <w:jc w:val="center"/>
      <w:textAlignment w:val="baseline"/>
    </w:pPr>
    <w:rPr>
      <w:rFonts w:ascii="仿宋_GB2312" w:eastAsia="仿宋_GB2312" w:cs="Times New Roman"/>
      <w:kern w:val="0"/>
      <w:szCs w:val="20"/>
    </w:rPr>
  </w:style>
  <w:style w:type="paragraph" w:customStyle="1" w:styleId="288">
    <w:name w:val="【黑体表头】"/>
    <w:basedOn w:val="1"/>
    <w:autoRedefine/>
    <w:qFormat/>
    <w:uiPriority w:val="0"/>
    <w:pPr>
      <w:tabs>
        <w:tab w:val="left" w:leader="middleDot" w:pos="7371"/>
      </w:tabs>
      <w:ind w:firstLine="200"/>
      <w:jc w:val="center"/>
    </w:pPr>
    <w:rPr>
      <w:rFonts w:ascii="黑体" w:hAnsi="黑体" w:eastAsia="黑体" w:cs="Times New Roman"/>
      <w:kern w:val="0"/>
      <w:szCs w:val="20"/>
    </w:rPr>
  </w:style>
  <w:style w:type="paragraph" w:customStyle="1" w:styleId="289">
    <w:name w:val="表体"/>
    <w:basedOn w:val="1"/>
    <w:autoRedefine/>
    <w:qFormat/>
    <w:uiPriority w:val="0"/>
    <w:pPr>
      <w:widowControl/>
      <w:spacing w:line="240" w:lineRule="atLeast"/>
      <w:ind w:firstLine="0" w:firstLineChars="0"/>
      <w:jc w:val="center"/>
    </w:pPr>
    <w:rPr>
      <w:rFonts w:eastAsia="仿宋_GB2312" w:cs="Times New Roman"/>
      <w:kern w:val="0"/>
      <w:szCs w:val="20"/>
    </w:rPr>
  </w:style>
  <w:style w:type="paragraph" w:customStyle="1" w:styleId="290">
    <w:name w:val="Char1"/>
    <w:basedOn w:val="1"/>
    <w:autoRedefine/>
    <w:qFormat/>
    <w:uiPriority w:val="0"/>
    <w:pPr>
      <w:adjustRightInd/>
      <w:snapToGrid/>
      <w:ind w:firstLine="200"/>
    </w:pPr>
    <w:rPr>
      <w:rFonts w:ascii="宋体" w:hAnsi="宋体" w:cs="Times New Roman"/>
      <w:kern w:val="0"/>
      <w:szCs w:val="20"/>
    </w:rPr>
  </w:style>
  <w:style w:type="paragraph" w:customStyle="1" w:styleId="291">
    <w:name w:val="正文非缩进 Char"/>
    <w:basedOn w:val="1"/>
    <w:autoRedefine/>
    <w:qFormat/>
    <w:uiPriority w:val="0"/>
    <w:pPr>
      <w:widowControl/>
      <w:adjustRightInd/>
      <w:snapToGrid/>
      <w:spacing w:line="500" w:lineRule="exact"/>
      <w:ind w:firstLine="420" w:firstLineChars="0"/>
      <w:jc w:val="left"/>
    </w:pPr>
    <w:rPr>
      <w:rFonts w:cs="Times New Roman"/>
      <w:kern w:val="0"/>
      <w:sz w:val="28"/>
      <w:szCs w:val="20"/>
    </w:rPr>
  </w:style>
  <w:style w:type="paragraph" w:customStyle="1" w:styleId="292">
    <w:name w:val="图说表名"/>
    <w:next w:val="1"/>
    <w:autoRedefine/>
    <w:qFormat/>
    <w:uiPriority w:val="0"/>
    <w:pPr>
      <w:adjustRightInd w:val="0"/>
      <w:spacing w:before="25" w:after="25"/>
      <w:jc w:val="center"/>
    </w:pPr>
    <w:rPr>
      <w:rFonts w:ascii="Arial" w:hAnsi="Arial" w:eastAsia="黑体" w:cs="Times New Roman"/>
      <w:kern w:val="2"/>
      <w:sz w:val="24"/>
      <w:lang w:val="en-US" w:eastAsia="zh-CN" w:bidi="ar-SA"/>
    </w:rPr>
  </w:style>
  <w:style w:type="paragraph" w:customStyle="1" w:styleId="293">
    <w:name w:val="正文01"/>
    <w:basedOn w:val="1"/>
    <w:autoRedefine/>
    <w:qFormat/>
    <w:uiPriority w:val="0"/>
    <w:pPr>
      <w:adjustRightInd/>
      <w:snapToGrid/>
      <w:spacing w:before="60" w:line="460" w:lineRule="exact"/>
      <w:ind w:firstLine="200"/>
    </w:pPr>
    <w:rPr>
      <w:rFonts w:cs="Times New Roman"/>
      <w:kern w:val="0"/>
      <w:szCs w:val="20"/>
    </w:rPr>
  </w:style>
  <w:style w:type="paragraph" w:customStyle="1" w:styleId="294">
    <w:name w:val="【标题2】"/>
    <w:basedOn w:val="3"/>
    <w:autoRedefine/>
    <w:qFormat/>
    <w:uiPriority w:val="0"/>
    <w:pPr>
      <w:keepNext w:val="0"/>
      <w:adjustRightInd/>
      <w:snapToGrid/>
      <w:spacing w:line="700" w:lineRule="exact"/>
    </w:pPr>
    <w:rPr>
      <w:rFonts w:ascii="Calibri" w:hAnsi="Calibri" w:cs="Times New Roman"/>
      <w:bCs w:val="0"/>
      <w:szCs w:val="22"/>
      <w:lang w:val="zh-CN" w:eastAsia="en-US"/>
    </w:rPr>
  </w:style>
  <w:style w:type="paragraph" w:customStyle="1" w:styleId="295">
    <w:name w:val="主标题"/>
    <w:basedOn w:val="1"/>
    <w:autoRedefine/>
    <w:qFormat/>
    <w:uiPriority w:val="0"/>
    <w:pPr>
      <w:adjustRightInd/>
      <w:spacing w:before="60" w:after="60"/>
      <w:ind w:firstLine="0" w:firstLineChars="0"/>
      <w:jc w:val="center"/>
      <w:outlineLvl w:val="0"/>
    </w:pPr>
    <w:rPr>
      <w:rFonts w:ascii="黑体" w:eastAsia="黑体" w:cs="Times New Roman"/>
      <w:b/>
      <w:color w:val="000000"/>
      <w:kern w:val="0"/>
      <w:sz w:val="32"/>
      <w:szCs w:val="20"/>
    </w:rPr>
  </w:style>
  <w:style w:type="paragraph" w:customStyle="1" w:styleId="296">
    <w:name w:val="表正文 Char1 Char Char C"/>
    <w:basedOn w:val="1"/>
    <w:autoRedefine/>
    <w:qFormat/>
    <w:uiPriority w:val="0"/>
    <w:pPr>
      <w:widowControl/>
      <w:snapToGrid/>
      <w:spacing w:line="500" w:lineRule="exact"/>
      <w:ind w:firstLine="420" w:firstLineChars="0"/>
      <w:jc w:val="left"/>
      <w:textAlignment w:val="baseline"/>
    </w:pPr>
    <w:rPr>
      <w:rFonts w:cs="Times New Roman"/>
      <w:kern w:val="0"/>
      <w:sz w:val="28"/>
      <w:szCs w:val="20"/>
    </w:rPr>
  </w:style>
  <w:style w:type="paragraph" w:customStyle="1" w:styleId="297">
    <w:name w:val="正文7"/>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298">
    <w:name w:val="表号"/>
    <w:basedOn w:val="1"/>
    <w:autoRedefine/>
    <w:qFormat/>
    <w:uiPriority w:val="0"/>
    <w:pPr>
      <w:adjustRightInd/>
      <w:snapToGrid/>
      <w:spacing w:line="240" w:lineRule="auto"/>
      <w:ind w:firstLine="0" w:firstLineChars="0"/>
      <w:jc w:val="right"/>
    </w:pPr>
    <w:rPr>
      <w:rFonts w:ascii="宋体" w:hAnsi="宋体" w:cs="Times New Roman"/>
      <w:kern w:val="0"/>
      <w:szCs w:val="20"/>
    </w:rPr>
  </w:style>
  <w:style w:type="paragraph" w:customStyle="1" w:styleId="299">
    <w:name w:val="样式 标题 3标题 33 + 段前: 0.5 行"/>
    <w:basedOn w:val="4"/>
    <w:autoRedefine/>
    <w:qFormat/>
    <w:uiPriority w:val="0"/>
    <w:pPr>
      <w:adjustRightInd/>
      <w:snapToGrid/>
      <w:ind w:firstLine="480" w:firstLineChars="200"/>
      <w:jc w:val="both"/>
    </w:pPr>
    <w:rPr>
      <w:rFonts w:ascii="黑体" w:hAnsi="宋体" w:cs="Times New Roman"/>
      <w:b/>
      <w:bCs w:val="0"/>
      <w:snapToGrid w:val="0"/>
      <w:color w:val="000000"/>
      <w:kern w:val="0"/>
      <w:szCs w:val="20"/>
      <w:lang w:val="zh-CN"/>
    </w:rPr>
  </w:style>
  <w:style w:type="paragraph" w:customStyle="1" w:styleId="300">
    <w:name w:val="Char Char Char"/>
    <w:basedOn w:val="1"/>
    <w:autoRedefine/>
    <w:qFormat/>
    <w:uiPriority w:val="0"/>
    <w:pPr>
      <w:tabs>
        <w:tab w:val="left" w:pos="170"/>
      </w:tabs>
      <w:adjustRightInd/>
      <w:snapToGrid/>
      <w:spacing w:line="240" w:lineRule="auto"/>
      <w:ind w:left="170" w:hanging="170" w:firstLineChars="0"/>
    </w:pPr>
    <w:rPr>
      <w:rFonts w:cs="Times New Roman"/>
      <w:kern w:val="0"/>
      <w:szCs w:val="20"/>
    </w:rPr>
  </w:style>
  <w:style w:type="paragraph" w:customStyle="1" w:styleId="301">
    <w:name w:val="正文文本缩进 21"/>
    <w:basedOn w:val="1"/>
    <w:autoRedefine/>
    <w:qFormat/>
    <w:uiPriority w:val="0"/>
    <w:pPr>
      <w:snapToGrid/>
      <w:ind w:firstLine="510" w:firstLineChars="0"/>
      <w:textAlignment w:val="baseline"/>
    </w:pPr>
    <w:rPr>
      <w:rFonts w:ascii="宋体" w:hAnsi="宋体" w:cs="Times New Roman"/>
      <w:kern w:val="0"/>
      <w:sz w:val="28"/>
      <w:szCs w:val="20"/>
    </w:rPr>
  </w:style>
  <w:style w:type="paragraph" w:customStyle="1" w:styleId="302">
    <w:name w:val="正文格式"/>
    <w:basedOn w:val="1"/>
    <w:autoRedefine/>
    <w:qFormat/>
    <w:uiPriority w:val="0"/>
    <w:pPr>
      <w:adjustRightInd/>
      <w:snapToGrid/>
      <w:ind w:firstLine="544"/>
    </w:pPr>
    <w:rPr>
      <w:rFonts w:cs="Times New Roman"/>
      <w:kern w:val="0"/>
      <w:szCs w:val="20"/>
    </w:rPr>
  </w:style>
  <w:style w:type="paragraph" w:customStyle="1" w:styleId="303">
    <w:name w:val="表格正文"/>
    <w:basedOn w:val="1"/>
    <w:next w:val="304"/>
    <w:autoRedefine/>
    <w:qFormat/>
    <w:uiPriority w:val="0"/>
    <w:pPr>
      <w:adjustRightInd/>
      <w:snapToGrid/>
      <w:spacing w:line="360" w:lineRule="exact"/>
      <w:ind w:firstLine="0" w:firstLineChars="0"/>
      <w:jc w:val="center"/>
    </w:pPr>
    <w:rPr>
      <w:rFonts w:cs="Times New Roman"/>
      <w:kern w:val="0"/>
      <w:szCs w:val="20"/>
    </w:rPr>
  </w:style>
  <w:style w:type="paragraph" w:customStyle="1" w:styleId="304">
    <w:name w:val="正"/>
    <w:basedOn w:val="1"/>
    <w:link w:val="400"/>
    <w:autoRedefine/>
    <w:qFormat/>
    <w:uiPriority w:val="0"/>
    <w:pPr>
      <w:adjustRightInd/>
      <w:snapToGrid/>
      <w:spacing w:before="78" w:beforeLines="25" w:after="78" w:afterLines="25" w:line="440" w:lineRule="exact"/>
      <w:ind w:firstLine="200"/>
    </w:pPr>
    <w:rPr>
      <w:rFonts w:cs="宋体" w:asciiTheme="minorHAnsi" w:hAnsiTheme="minorHAnsi" w:eastAsiaTheme="minorEastAsia"/>
    </w:rPr>
  </w:style>
  <w:style w:type="paragraph" w:customStyle="1" w:styleId="305">
    <w:name w:val="标题B"/>
    <w:autoRedefine/>
    <w:qFormat/>
    <w:uiPriority w:val="0"/>
    <w:pPr>
      <w:adjustRightInd w:val="0"/>
      <w:snapToGrid w:val="0"/>
      <w:spacing w:before="400"/>
      <w:outlineLvl w:val="1"/>
    </w:pPr>
    <w:rPr>
      <w:rFonts w:ascii="Times New Roman" w:hAnsi="Times New Roman" w:eastAsia="宋体" w:cs="Times New Roman"/>
      <w:b/>
      <w:sz w:val="30"/>
      <w:lang w:val="en-US" w:eastAsia="zh-CN" w:bidi="ar-SA"/>
    </w:rPr>
  </w:style>
  <w:style w:type="paragraph" w:customStyle="1" w:styleId="306">
    <w:name w:val="Char Char Char Char Char Char Char"/>
    <w:basedOn w:val="1"/>
    <w:autoRedefine/>
    <w:qFormat/>
    <w:uiPriority w:val="0"/>
    <w:pPr>
      <w:adjustRightInd/>
      <w:snapToGrid/>
      <w:spacing w:line="240" w:lineRule="auto"/>
      <w:ind w:firstLine="0" w:firstLineChars="0"/>
    </w:pPr>
    <w:rPr>
      <w:rFonts w:cs="Times New Roman"/>
      <w:kern w:val="0"/>
      <w:szCs w:val="24"/>
    </w:rPr>
  </w:style>
  <w:style w:type="paragraph" w:customStyle="1" w:styleId="307">
    <w:name w:val="Char"/>
    <w:basedOn w:val="4"/>
    <w:autoRedefine/>
    <w:qFormat/>
    <w:uiPriority w:val="0"/>
    <w:pPr>
      <w:tabs>
        <w:tab w:val="left" w:pos="360"/>
        <w:tab w:val="left" w:pos="900"/>
      </w:tabs>
      <w:adjustRightInd/>
      <w:snapToGrid/>
      <w:spacing w:before="120" w:after="120"/>
      <w:ind w:left="542" w:leftChars="-12" w:firstLine="200" w:firstLineChars="200"/>
    </w:pPr>
    <w:rPr>
      <w:rFonts w:cs="Times New Roman"/>
      <w:b/>
      <w:bCs w:val="0"/>
      <w:snapToGrid w:val="0"/>
      <w:szCs w:val="20"/>
      <w:lang w:val="zh-CN"/>
    </w:rPr>
  </w:style>
  <w:style w:type="paragraph" w:customStyle="1" w:styleId="308">
    <w:name w:val="正缩1 Char"/>
    <w:basedOn w:val="1"/>
    <w:autoRedefine/>
    <w:qFormat/>
    <w:uiPriority w:val="0"/>
    <w:pPr>
      <w:spacing w:line="500" w:lineRule="exact"/>
      <w:ind w:firstLine="567" w:firstLineChars="0"/>
    </w:pPr>
    <w:rPr>
      <w:rFonts w:eastAsia="仿宋_GB2312" w:cs="Times New Roman"/>
      <w:snapToGrid w:val="0"/>
      <w:color w:val="000000"/>
      <w:kern w:val="0"/>
      <w:sz w:val="28"/>
      <w:szCs w:val="20"/>
    </w:rPr>
  </w:style>
  <w:style w:type="paragraph" w:customStyle="1" w:styleId="309">
    <w:name w:val="9"/>
    <w:basedOn w:val="1"/>
    <w:autoRedefine/>
    <w:qFormat/>
    <w:uiPriority w:val="0"/>
    <w:pPr>
      <w:adjustRightInd/>
      <w:snapToGrid/>
      <w:ind w:firstLine="200"/>
    </w:pPr>
    <w:rPr>
      <w:rFonts w:ascii="宋体" w:hAnsi="宋体" w:eastAsia="Times New Roman" w:cs="Times New Roman"/>
      <w:kern w:val="0"/>
      <w:szCs w:val="20"/>
    </w:rPr>
  </w:style>
  <w:style w:type="paragraph" w:customStyle="1" w:styleId="310">
    <w:name w:val="XCHG论文正文"/>
    <w:basedOn w:val="1"/>
    <w:autoRedefine/>
    <w:qFormat/>
    <w:uiPriority w:val="0"/>
    <w:pPr>
      <w:adjustRightInd/>
      <w:snapToGrid/>
      <w:spacing w:line="300" w:lineRule="auto"/>
    </w:pPr>
    <w:rPr>
      <w:rFonts w:cs="Times New Roman"/>
      <w:color w:val="000000"/>
      <w:kern w:val="0"/>
      <w:szCs w:val="20"/>
    </w:rPr>
  </w:style>
  <w:style w:type="paragraph" w:customStyle="1" w:styleId="311">
    <w:name w:val="流程图"/>
    <w:basedOn w:val="1"/>
    <w:autoRedefine/>
    <w:qFormat/>
    <w:uiPriority w:val="0"/>
    <w:pPr>
      <w:tabs>
        <w:tab w:val="left" w:pos="0"/>
      </w:tabs>
      <w:autoSpaceDE w:val="0"/>
      <w:autoSpaceDN w:val="0"/>
      <w:snapToGrid/>
      <w:spacing w:line="240" w:lineRule="atLeast"/>
      <w:ind w:firstLine="0" w:firstLineChars="0"/>
      <w:jc w:val="center"/>
      <w:textAlignment w:val="bottom"/>
    </w:pPr>
    <w:rPr>
      <w:rFonts w:ascii="宋体" w:cs="Times New Roman"/>
      <w:kern w:val="0"/>
      <w:szCs w:val="20"/>
    </w:rPr>
  </w:style>
  <w:style w:type="paragraph" w:customStyle="1" w:styleId="312">
    <w:name w:val="样式2"/>
    <w:basedOn w:val="3"/>
    <w:autoRedefine/>
    <w:qFormat/>
    <w:uiPriority w:val="0"/>
    <w:pPr>
      <w:adjustRightInd/>
      <w:snapToGrid/>
      <w:spacing w:line="800" w:lineRule="exact"/>
      <w:outlineLvl w:val="0"/>
    </w:pPr>
    <w:rPr>
      <w:rFonts w:ascii="黑体" w:hAnsi="宋体" w:cs="Times New Roman"/>
      <w:b/>
      <w:lang w:val="zh-CN"/>
    </w:rPr>
  </w:style>
  <w:style w:type="paragraph" w:customStyle="1" w:styleId="313">
    <w:name w:val="标题C"/>
    <w:autoRedefine/>
    <w:qFormat/>
    <w:uiPriority w:val="0"/>
    <w:pPr>
      <w:tabs>
        <w:tab w:val="left" w:pos="0"/>
      </w:tabs>
      <w:adjustRightInd w:val="0"/>
      <w:snapToGrid w:val="0"/>
      <w:spacing w:before="300"/>
      <w:outlineLvl w:val="2"/>
    </w:pPr>
    <w:rPr>
      <w:rFonts w:ascii="Times New Roman" w:hAnsi="Times New Roman" w:eastAsia="宋体" w:cs="Times New Roman"/>
      <w:b/>
      <w:snapToGrid w:val="0"/>
      <w:sz w:val="28"/>
      <w:lang w:val="en-US" w:eastAsia="zh-CN" w:bidi="ar-SA"/>
    </w:rPr>
  </w:style>
  <w:style w:type="paragraph" w:customStyle="1" w:styleId="314">
    <w:name w:val="样式 (中文) 黑体 加粗 行距: 固定值 25 磅"/>
    <w:basedOn w:val="1"/>
    <w:autoRedefine/>
    <w:qFormat/>
    <w:uiPriority w:val="0"/>
    <w:pPr>
      <w:snapToGrid/>
      <w:spacing w:line="500" w:lineRule="exact"/>
      <w:ind w:firstLine="424" w:firstLineChars="201"/>
      <w:textAlignment w:val="baseline"/>
    </w:pPr>
    <w:rPr>
      <w:rFonts w:cs="Times New Roman"/>
      <w:b/>
      <w:kern w:val="0"/>
      <w:sz w:val="28"/>
      <w:szCs w:val="20"/>
    </w:rPr>
  </w:style>
  <w:style w:type="paragraph" w:customStyle="1" w:styleId="315">
    <w:name w:val="中文"/>
    <w:basedOn w:val="23"/>
    <w:autoRedefine/>
    <w:qFormat/>
    <w:uiPriority w:val="0"/>
    <w:pPr>
      <w:ind w:firstLine="567"/>
    </w:pPr>
    <w:rPr>
      <w:rFonts w:eastAsia="方正美黑简体"/>
      <w:sz w:val="28"/>
      <w:szCs w:val="28"/>
    </w:rPr>
  </w:style>
  <w:style w:type="paragraph" w:customStyle="1" w:styleId="316">
    <w:name w:val="表格内容小左"/>
    <w:basedOn w:val="235"/>
    <w:autoRedefine/>
    <w:qFormat/>
    <w:uiPriority w:val="0"/>
    <w:pPr>
      <w:spacing w:line="240" w:lineRule="auto"/>
      <w:jc w:val="left"/>
    </w:pPr>
    <w:rPr>
      <w:snapToGrid w:val="0"/>
    </w:rPr>
  </w:style>
  <w:style w:type="paragraph" w:customStyle="1" w:styleId="317">
    <w:name w:val="正文文本最新 Char Char Char Char Char"/>
    <w:basedOn w:val="1"/>
    <w:autoRedefine/>
    <w:qFormat/>
    <w:uiPriority w:val="0"/>
    <w:pPr>
      <w:adjustRightInd/>
      <w:snapToGrid/>
      <w:ind w:firstLine="200"/>
    </w:pPr>
    <w:rPr>
      <w:rFonts w:cs="Times New Roman"/>
      <w:kern w:val="0"/>
      <w:sz w:val="28"/>
      <w:szCs w:val="20"/>
    </w:rPr>
  </w:style>
  <w:style w:type="paragraph" w:customStyle="1" w:styleId="318">
    <w:name w:val="_Style 1"/>
    <w:basedOn w:val="1"/>
    <w:autoRedefine/>
    <w:qFormat/>
    <w:uiPriority w:val="34"/>
    <w:pPr>
      <w:adjustRightInd/>
      <w:snapToGrid/>
      <w:spacing w:line="240" w:lineRule="auto"/>
      <w:ind w:firstLine="420" w:firstLineChars="0"/>
    </w:pPr>
    <w:rPr>
      <w:rFonts w:ascii="Calibri" w:hAnsi="Calibri" w:cs="Times New Roman"/>
      <w:kern w:val="0"/>
      <w:sz w:val="21"/>
    </w:rPr>
  </w:style>
  <w:style w:type="paragraph" w:customStyle="1" w:styleId="319">
    <w:name w:val="Char Char Char1 Char"/>
    <w:basedOn w:val="1"/>
    <w:autoRedefine/>
    <w:qFormat/>
    <w:uiPriority w:val="0"/>
    <w:pPr>
      <w:adjustRightInd/>
      <w:snapToGrid/>
      <w:spacing w:line="240" w:lineRule="auto"/>
      <w:ind w:firstLine="0" w:firstLineChars="0"/>
    </w:pPr>
    <w:rPr>
      <w:rFonts w:cs="Times New Roman"/>
      <w:kern w:val="0"/>
      <w:szCs w:val="20"/>
    </w:rPr>
  </w:style>
  <w:style w:type="paragraph" w:customStyle="1" w:styleId="320">
    <w:name w:val="3级标题"/>
    <w:basedOn w:val="1"/>
    <w:autoRedefine/>
    <w:qFormat/>
    <w:uiPriority w:val="0"/>
    <w:pPr>
      <w:adjustRightInd/>
      <w:snapToGrid/>
      <w:spacing w:before="300" w:line="460" w:lineRule="exact"/>
      <w:ind w:firstLine="0" w:firstLineChars="0"/>
      <w:outlineLvl w:val="2"/>
    </w:pPr>
    <w:rPr>
      <w:rFonts w:cs="Times New Roman"/>
      <w:b/>
      <w:kern w:val="0"/>
      <w:szCs w:val="20"/>
    </w:rPr>
  </w:style>
  <w:style w:type="paragraph" w:customStyle="1" w:styleId="321">
    <w:name w:val="z-窗体底端1"/>
    <w:basedOn w:val="1"/>
    <w:next w:val="1"/>
    <w:link w:val="322"/>
    <w:autoRedefine/>
    <w:qFormat/>
    <w:uiPriority w:val="0"/>
    <w:pPr>
      <w:pBdr>
        <w:top w:val="single" w:color="auto" w:sz="6" w:space="1"/>
      </w:pBdr>
      <w:adjustRightInd/>
      <w:snapToGrid/>
      <w:spacing w:line="240" w:lineRule="auto"/>
      <w:ind w:firstLine="0" w:firstLineChars="0"/>
      <w:jc w:val="center"/>
    </w:pPr>
    <w:rPr>
      <w:rFonts w:ascii="Arial" w:cs="Times New Roman"/>
      <w:vanish/>
      <w:kern w:val="0"/>
      <w:sz w:val="16"/>
      <w:szCs w:val="20"/>
    </w:rPr>
  </w:style>
  <w:style w:type="character" w:customStyle="1" w:styleId="322">
    <w:name w:val="z-窗体底端 字符"/>
    <w:basedOn w:val="49"/>
    <w:link w:val="321"/>
    <w:autoRedefine/>
    <w:qFormat/>
    <w:uiPriority w:val="0"/>
    <w:rPr>
      <w:rFonts w:ascii="Arial" w:hAnsi="Times New Roman" w:eastAsia="宋体" w:cs="Times New Roman"/>
      <w:vanish/>
      <w:kern w:val="0"/>
      <w:sz w:val="16"/>
      <w:szCs w:val="20"/>
    </w:rPr>
  </w:style>
  <w:style w:type="paragraph" w:customStyle="1" w:styleId="323">
    <w:name w:val="表标题"/>
    <w:basedOn w:val="1"/>
    <w:autoRedefine/>
    <w:qFormat/>
    <w:uiPriority w:val="0"/>
    <w:pPr>
      <w:autoSpaceDE w:val="0"/>
      <w:autoSpaceDN w:val="0"/>
      <w:spacing w:before="156" w:line="500" w:lineRule="exact"/>
      <w:ind w:firstLine="370" w:firstLineChars="147"/>
      <w:outlineLvl w:val="0"/>
    </w:pPr>
    <w:rPr>
      <w:rFonts w:ascii="宋体" w:hAnsi="宋体" w:cs="Times New Roman"/>
      <w:spacing w:val="6"/>
      <w:kern w:val="0"/>
      <w:szCs w:val="20"/>
    </w:rPr>
  </w:style>
  <w:style w:type="paragraph" w:customStyle="1" w:styleId="324">
    <w:name w:val="样式 标题 51 + 左"/>
    <w:basedOn w:val="6"/>
    <w:autoRedefine/>
    <w:qFormat/>
    <w:uiPriority w:val="0"/>
    <w:pPr>
      <w:keepNext w:val="0"/>
      <w:keepLines w:val="0"/>
      <w:adjustRightInd w:val="0"/>
      <w:spacing w:before="0" w:after="0" w:line="360" w:lineRule="auto"/>
      <w:ind w:left="-420" w:firstLine="284"/>
      <w:jc w:val="left"/>
      <w:textAlignment w:val="baseline"/>
    </w:pPr>
    <w:rPr>
      <w:rFonts w:ascii="楷体_GB2312" w:hAnsi="Arial" w:cs="宋体"/>
      <w:b w:val="0"/>
      <w:kern w:val="0"/>
    </w:rPr>
  </w:style>
  <w:style w:type="paragraph" w:customStyle="1" w:styleId="325">
    <w:name w:val="正文文字 2"/>
    <w:basedOn w:val="1"/>
    <w:autoRedefine/>
    <w:qFormat/>
    <w:uiPriority w:val="0"/>
    <w:pPr>
      <w:adjustRightInd/>
      <w:snapToGrid/>
      <w:spacing w:line="240" w:lineRule="auto"/>
      <w:ind w:firstLine="0" w:firstLineChars="0"/>
    </w:pPr>
    <w:rPr>
      <w:rFonts w:ascii="宋体" w:cs="Times New Roman"/>
      <w:color w:val="000000"/>
      <w:kern w:val="0"/>
      <w:sz w:val="28"/>
      <w:szCs w:val="20"/>
    </w:rPr>
  </w:style>
  <w:style w:type="paragraph" w:customStyle="1" w:styleId="326">
    <w:name w:val="一"/>
    <w:basedOn w:val="45"/>
    <w:autoRedefine/>
    <w:qFormat/>
    <w:uiPriority w:val="0"/>
    <w:pPr>
      <w:spacing w:after="0" w:afterLines="0" w:line="360" w:lineRule="auto"/>
      <w:ind w:firstLine="200" w:firstLineChars="200"/>
    </w:pPr>
    <w:rPr>
      <w:rFonts w:eastAsia="仿宋_GB2312"/>
      <w:sz w:val="28"/>
    </w:rPr>
  </w:style>
  <w:style w:type="paragraph" w:customStyle="1" w:styleId="327">
    <w:name w:val="表格内容紧"/>
    <w:basedOn w:val="1"/>
    <w:autoRedefine/>
    <w:qFormat/>
    <w:uiPriority w:val="0"/>
    <w:pPr>
      <w:adjustRightInd/>
      <w:snapToGrid/>
      <w:spacing w:line="240" w:lineRule="auto"/>
      <w:ind w:left="-105" w:leftChars="-50" w:right="-105" w:rightChars="-50" w:firstLine="0" w:firstLineChars="0"/>
      <w:jc w:val="center"/>
    </w:pPr>
    <w:rPr>
      <w:rFonts w:ascii="宋体" w:hAnsi="宋体" w:cs="Arial"/>
      <w:kern w:val="0"/>
      <w:sz w:val="18"/>
      <w:szCs w:val="18"/>
    </w:rPr>
  </w:style>
  <w:style w:type="paragraph" w:customStyle="1" w:styleId="328">
    <w:name w:val="样式 标题3"/>
    <w:basedOn w:val="4"/>
    <w:autoRedefine/>
    <w:qFormat/>
    <w:uiPriority w:val="0"/>
    <w:pPr>
      <w:adjustRightInd/>
      <w:snapToGrid/>
      <w:spacing w:before="156" w:after="156"/>
      <w:ind w:firstLine="200"/>
    </w:pPr>
    <w:rPr>
      <w:rFonts w:ascii="宋体" w:hAnsi="宋体" w:cs="Times New Roman"/>
      <w:bCs w:val="0"/>
      <w:szCs w:val="20"/>
      <w:lang w:val="zh-CN"/>
    </w:rPr>
  </w:style>
  <w:style w:type="paragraph" w:customStyle="1" w:styleId="329">
    <w:name w:val="1"/>
    <w:basedOn w:val="1"/>
    <w:next w:val="35"/>
    <w:autoRedefine/>
    <w:qFormat/>
    <w:uiPriority w:val="0"/>
    <w:pPr>
      <w:adjustRightInd/>
      <w:snapToGrid/>
      <w:spacing w:after="120" w:line="240" w:lineRule="auto"/>
      <w:ind w:left="420" w:leftChars="200" w:firstLine="0" w:firstLineChars="0"/>
    </w:pPr>
    <w:rPr>
      <w:rFonts w:cs="Times New Roman"/>
      <w:kern w:val="0"/>
      <w:sz w:val="16"/>
      <w:szCs w:val="20"/>
    </w:rPr>
  </w:style>
  <w:style w:type="paragraph" w:customStyle="1" w:styleId="330">
    <w:name w:val="表格内容右"/>
    <w:basedOn w:val="236"/>
    <w:autoRedefine/>
    <w:qFormat/>
    <w:uiPriority w:val="0"/>
    <w:pPr>
      <w:outlineLvl w:val="9"/>
    </w:pPr>
    <w:rPr>
      <w:w w:val="100"/>
      <w:sz w:val="21"/>
    </w:rPr>
  </w:style>
  <w:style w:type="paragraph" w:customStyle="1" w:styleId="331">
    <w:name w:val="Char Char Char Char Char Char Char Char"/>
    <w:basedOn w:val="1"/>
    <w:autoRedefine/>
    <w:qFormat/>
    <w:uiPriority w:val="0"/>
    <w:pPr>
      <w:adjustRightInd/>
      <w:snapToGrid/>
      <w:spacing w:line="240" w:lineRule="auto"/>
      <w:ind w:firstLine="0" w:firstLineChars="0"/>
    </w:pPr>
    <w:rPr>
      <w:rFonts w:cs="Times New Roman"/>
      <w:kern w:val="0"/>
      <w:szCs w:val="20"/>
    </w:rPr>
  </w:style>
  <w:style w:type="paragraph" w:customStyle="1" w:styleId="332">
    <w:name w:val="2级标题"/>
    <w:basedOn w:val="1"/>
    <w:autoRedefine/>
    <w:qFormat/>
    <w:uiPriority w:val="0"/>
    <w:pPr>
      <w:adjustRightInd/>
      <w:snapToGrid/>
      <w:spacing w:before="60" w:line="460" w:lineRule="exact"/>
      <w:ind w:firstLine="0" w:firstLineChars="0"/>
      <w:outlineLvl w:val="1"/>
    </w:pPr>
    <w:rPr>
      <w:rFonts w:cs="Times New Roman"/>
      <w:b/>
      <w:kern w:val="0"/>
      <w:sz w:val="28"/>
      <w:szCs w:val="20"/>
    </w:rPr>
  </w:style>
  <w:style w:type="paragraph" w:customStyle="1" w:styleId="333">
    <w:name w:val="样式 样式 标题 3标题 33 + 段前: 0.5 行 + 段前: 0.5 行"/>
    <w:basedOn w:val="299"/>
    <w:autoRedefine/>
    <w:qFormat/>
    <w:uiPriority w:val="0"/>
  </w:style>
  <w:style w:type="paragraph" w:customStyle="1" w:styleId="334">
    <w:name w:val="表内文字"/>
    <w:basedOn w:val="1"/>
    <w:next w:val="38"/>
    <w:autoRedefine/>
    <w:qFormat/>
    <w:uiPriority w:val="0"/>
    <w:pPr>
      <w:adjustRightInd/>
      <w:snapToGrid/>
      <w:spacing w:after="120" w:line="480" w:lineRule="auto"/>
      <w:ind w:firstLine="0" w:firstLineChars="0"/>
    </w:pPr>
    <w:rPr>
      <w:rFonts w:cs="Times New Roman"/>
      <w:kern w:val="0"/>
      <w:szCs w:val="20"/>
    </w:rPr>
  </w:style>
  <w:style w:type="paragraph" w:customStyle="1" w:styleId="335">
    <w:name w:val="正文文本缩进1"/>
    <w:basedOn w:val="1"/>
    <w:autoRedefine/>
    <w:qFormat/>
    <w:uiPriority w:val="0"/>
    <w:pPr>
      <w:adjustRightInd/>
      <w:snapToGrid/>
      <w:spacing w:after="120" w:line="240" w:lineRule="auto"/>
      <w:ind w:left="420" w:leftChars="200" w:firstLine="0" w:firstLineChars="0"/>
    </w:pPr>
    <w:rPr>
      <w:rFonts w:hint="eastAsia" w:cs="Times New Roman"/>
      <w:kern w:val="0"/>
      <w:szCs w:val="20"/>
    </w:rPr>
  </w:style>
  <w:style w:type="paragraph" w:customStyle="1" w:styleId="336">
    <w:name w:val="表芯"/>
    <w:basedOn w:val="1"/>
    <w:next w:val="1"/>
    <w:autoRedefine/>
    <w:qFormat/>
    <w:uiPriority w:val="0"/>
    <w:pPr>
      <w:keepNext/>
      <w:snapToGrid/>
      <w:spacing w:before="20" w:line="0" w:lineRule="atLeast"/>
      <w:ind w:firstLine="0" w:firstLineChars="0"/>
      <w:jc w:val="center"/>
      <w:textAlignment w:val="baseline"/>
    </w:pPr>
    <w:rPr>
      <w:rFonts w:cs="Times New Roman"/>
      <w:kern w:val="21"/>
      <w:szCs w:val="20"/>
    </w:rPr>
  </w:style>
  <w:style w:type="paragraph" w:customStyle="1" w:styleId="337">
    <w:name w:val="样式 标题2　自动设置"/>
    <w:basedOn w:val="3"/>
    <w:autoRedefine/>
    <w:qFormat/>
    <w:uiPriority w:val="0"/>
    <w:pPr>
      <w:adjustRightInd/>
      <w:snapToGrid/>
      <w:spacing w:before="120" w:after="60"/>
      <w:jc w:val="both"/>
    </w:pPr>
    <w:rPr>
      <w:rFonts w:ascii="宋体" w:hAnsi="宋体" w:eastAsia="宋体" w:cs="Times New Roman"/>
      <w:bCs w:val="0"/>
      <w:kern w:val="0"/>
      <w:szCs w:val="20"/>
      <w:lang w:val="zh-CN"/>
    </w:rPr>
  </w:style>
  <w:style w:type="paragraph" w:customStyle="1" w:styleId="338">
    <w:name w:val="序列样式1"/>
    <w:basedOn w:val="1"/>
    <w:autoRedefine/>
    <w:qFormat/>
    <w:uiPriority w:val="0"/>
    <w:pPr>
      <w:tabs>
        <w:tab w:val="left" w:pos="840"/>
      </w:tabs>
      <w:adjustRightInd/>
      <w:snapToGrid/>
      <w:spacing w:after="62" w:line="400" w:lineRule="exact"/>
      <w:ind w:firstLine="397" w:firstLineChars="0"/>
    </w:pPr>
    <w:rPr>
      <w:rFonts w:cs="Times New Roman"/>
      <w:kern w:val="0"/>
      <w:szCs w:val="20"/>
    </w:rPr>
  </w:style>
  <w:style w:type="paragraph" w:customStyle="1" w:styleId="339">
    <w:name w:val="正文文字一"/>
    <w:basedOn w:val="1"/>
    <w:autoRedefine/>
    <w:qFormat/>
    <w:uiPriority w:val="0"/>
    <w:pPr>
      <w:adjustRightInd/>
      <w:snapToGrid/>
      <w:spacing w:line="520" w:lineRule="exact"/>
      <w:ind w:firstLine="567" w:firstLineChars="0"/>
    </w:pPr>
    <w:rPr>
      <w:rFonts w:cs="Times New Roman"/>
      <w:kern w:val="0"/>
      <w:sz w:val="28"/>
      <w:szCs w:val="20"/>
    </w:rPr>
  </w:style>
  <w:style w:type="paragraph" w:customStyle="1" w:styleId="340">
    <w:name w:val="表文A"/>
    <w:autoRedefine/>
    <w:qFormat/>
    <w:uiPriority w:val="0"/>
    <w:pPr>
      <w:tabs>
        <w:tab w:val="left" w:pos="0"/>
      </w:tabs>
      <w:adjustRightInd w:val="0"/>
      <w:snapToGrid w:val="0"/>
      <w:spacing w:line="264" w:lineRule="auto"/>
      <w:jc w:val="center"/>
    </w:pPr>
    <w:rPr>
      <w:rFonts w:ascii="Times New Roman" w:hAnsi="Times New Roman" w:eastAsia="宋体" w:cs="Times New Roman"/>
      <w:snapToGrid w:val="0"/>
      <w:sz w:val="18"/>
      <w:lang w:val="en-US" w:eastAsia="zh-CN" w:bidi="ar-SA"/>
    </w:rPr>
  </w:style>
  <w:style w:type="paragraph" w:styleId="341">
    <w:name w:val="List Paragraph"/>
    <w:basedOn w:val="1"/>
    <w:autoRedefine/>
    <w:qFormat/>
    <w:uiPriority w:val="0"/>
    <w:pPr>
      <w:adjustRightInd/>
      <w:snapToGrid/>
      <w:spacing w:line="240" w:lineRule="auto"/>
      <w:ind w:firstLine="420"/>
    </w:pPr>
    <w:rPr>
      <w:rFonts w:ascii="宋体" w:cs="Times New Roman"/>
      <w:kern w:val="0"/>
      <w:szCs w:val="20"/>
    </w:rPr>
  </w:style>
  <w:style w:type="paragraph" w:customStyle="1" w:styleId="342">
    <w:name w:val="xyb自建表格名称"/>
    <w:basedOn w:val="1"/>
    <w:autoRedefine/>
    <w:qFormat/>
    <w:uiPriority w:val="0"/>
    <w:pPr>
      <w:adjustRightInd/>
      <w:snapToGrid/>
      <w:ind w:firstLine="0" w:firstLineChars="0"/>
      <w:jc w:val="center"/>
    </w:pPr>
    <w:rPr>
      <w:rFonts w:ascii="宋体" w:hAnsi="宋体" w:cs="Times New Roman"/>
      <w:kern w:val="0"/>
      <w:szCs w:val="20"/>
    </w:rPr>
  </w:style>
  <w:style w:type="paragraph" w:customStyle="1" w:styleId="343">
    <w:name w:val="普通文字 Char"/>
    <w:basedOn w:val="1"/>
    <w:next w:val="23"/>
    <w:autoRedefine/>
    <w:qFormat/>
    <w:uiPriority w:val="0"/>
    <w:pPr>
      <w:tabs>
        <w:tab w:val="left" w:pos="3800"/>
        <w:tab w:val="left" w:pos="5200"/>
      </w:tabs>
      <w:autoSpaceDE w:val="0"/>
      <w:autoSpaceDN w:val="0"/>
      <w:snapToGrid/>
      <w:spacing w:line="560" w:lineRule="exact"/>
      <w:ind w:firstLine="0" w:firstLineChars="0"/>
      <w:jc w:val="left"/>
    </w:pPr>
    <w:rPr>
      <w:rFonts w:hAnsi="Courier New" w:cs="Times New Roman"/>
      <w:color w:val="000000"/>
      <w:kern w:val="0"/>
      <w:szCs w:val="20"/>
    </w:rPr>
  </w:style>
  <w:style w:type="paragraph" w:customStyle="1" w:styleId="344">
    <w:name w:val="表格内容小紧"/>
    <w:basedOn w:val="255"/>
    <w:autoRedefine/>
    <w:qFormat/>
    <w:uiPriority w:val="0"/>
    <w:pPr>
      <w:ind w:left="-105" w:leftChars="-50" w:right="-50" w:rightChars="-50"/>
    </w:pPr>
  </w:style>
  <w:style w:type="paragraph" w:customStyle="1" w:styleId="345">
    <w:name w:val="样式 样式 样式 首行缩进:  2 字符 段后: 7.8 磅 Char + 首行缩进:  2 字符 + 左侧:  2 字符 首..."/>
    <w:basedOn w:val="1"/>
    <w:autoRedefine/>
    <w:qFormat/>
    <w:uiPriority w:val="0"/>
    <w:pPr>
      <w:widowControl/>
      <w:adjustRightInd/>
      <w:snapToGrid/>
      <w:ind w:left="200" w:leftChars="200" w:firstLine="200"/>
      <w:jc w:val="left"/>
    </w:pPr>
    <w:rPr>
      <w:rFonts w:ascii="宋体" w:hAnsi="宋体" w:cs="宋体"/>
      <w:color w:val="000000"/>
      <w:kern w:val="0"/>
      <w:szCs w:val="20"/>
    </w:rPr>
  </w:style>
  <w:style w:type="paragraph" w:customStyle="1" w:styleId="346">
    <w:name w:val="纯文本 Char Char Char Char"/>
    <w:basedOn w:val="1"/>
    <w:next w:val="23"/>
    <w:autoRedefine/>
    <w:qFormat/>
    <w:uiPriority w:val="0"/>
    <w:pPr>
      <w:adjustRightInd/>
      <w:snapToGrid/>
      <w:spacing w:line="240" w:lineRule="auto"/>
      <w:ind w:firstLine="0" w:firstLineChars="0"/>
    </w:pPr>
    <w:rPr>
      <w:rFonts w:ascii="宋体" w:hAnsi="Courier New" w:cs="Times New Roman"/>
      <w:kern w:val="0"/>
      <w:szCs w:val="20"/>
    </w:rPr>
  </w:style>
  <w:style w:type="paragraph" w:customStyle="1" w:styleId="347">
    <w:name w:val="纯文本 Char Char Char Char2"/>
    <w:basedOn w:val="1"/>
    <w:next w:val="23"/>
    <w:autoRedefine/>
    <w:qFormat/>
    <w:uiPriority w:val="0"/>
    <w:pPr>
      <w:adjustRightInd/>
      <w:snapToGrid/>
      <w:spacing w:line="240" w:lineRule="auto"/>
      <w:ind w:firstLine="0" w:firstLineChars="0"/>
    </w:pPr>
    <w:rPr>
      <w:rFonts w:ascii="宋体" w:hAnsi="Courier New" w:cs="Times New Roman"/>
      <w:kern w:val="0"/>
      <w:szCs w:val="20"/>
    </w:rPr>
  </w:style>
  <w:style w:type="paragraph" w:customStyle="1" w:styleId="348">
    <w:name w:val="xl58"/>
    <w:basedOn w:val="1"/>
    <w:autoRedefine/>
    <w:qFormat/>
    <w:uiPriority w:val="0"/>
    <w:pPr>
      <w:widowControl/>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Arial Unicode MS" w:hAnsi="Arial Unicode MS" w:cs="Times New Roman"/>
      <w:color w:val="000000"/>
      <w:kern w:val="0"/>
      <w:szCs w:val="20"/>
    </w:rPr>
  </w:style>
  <w:style w:type="paragraph" w:customStyle="1" w:styleId="349">
    <w:name w:val="中文报告书样式"/>
    <w:basedOn w:val="1"/>
    <w:autoRedefine/>
    <w:qFormat/>
    <w:uiPriority w:val="0"/>
    <w:pPr>
      <w:spacing w:line="500" w:lineRule="atLeast"/>
      <w:ind w:firstLine="0" w:firstLineChars="0"/>
      <w:textAlignment w:val="baseline"/>
    </w:pPr>
    <w:rPr>
      <w:rFonts w:eastAsia="汉仪仿宋简" w:cs="Times New Roman"/>
      <w:kern w:val="28"/>
      <w:szCs w:val="20"/>
    </w:rPr>
  </w:style>
  <w:style w:type="paragraph" w:customStyle="1" w:styleId="350">
    <w:name w:val="普通(网站)1"/>
    <w:basedOn w:val="1"/>
    <w:autoRedefine/>
    <w:qFormat/>
    <w:uiPriority w:val="0"/>
    <w:pPr>
      <w:widowControl/>
      <w:adjustRightInd/>
      <w:snapToGrid/>
      <w:spacing w:line="240" w:lineRule="auto"/>
      <w:ind w:firstLine="0" w:firstLineChars="0"/>
      <w:jc w:val="left"/>
    </w:pPr>
    <w:rPr>
      <w:rFonts w:ascii="宋体" w:hAnsi="宋体" w:cs="宋体"/>
      <w:kern w:val="0"/>
      <w:szCs w:val="24"/>
    </w:rPr>
  </w:style>
  <w:style w:type="paragraph" w:customStyle="1" w:styleId="351">
    <w:name w:val="样式 正文首行缩进 + 宋体"/>
    <w:basedOn w:val="134"/>
    <w:autoRedefine/>
    <w:qFormat/>
    <w:uiPriority w:val="0"/>
    <w:pPr>
      <w:spacing w:after="0" w:afterLines="0"/>
      <w:ind w:firstLine="498" w:firstLineChars="200"/>
    </w:pPr>
    <w:rPr>
      <w:szCs w:val="20"/>
    </w:rPr>
  </w:style>
  <w:style w:type="paragraph" w:customStyle="1" w:styleId="352">
    <w:name w:val="正文4"/>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353">
    <w:name w:val="标题四"/>
    <w:basedOn w:val="1"/>
    <w:autoRedefine/>
    <w:qFormat/>
    <w:uiPriority w:val="0"/>
    <w:pPr>
      <w:adjustRightInd/>
      <w:snapToGrid/>
      <w:spacing w:before="156" w:after="156"/>
    </w:pPr>
    <w:rPr>
      <w:rFonts w:ascii="宋体" w:hAnsi="宋体" w:cs="Times New Roman"/>
      <w:b/>
      <w:kern w:val="0"/>
      <w:szCs w:val="20"/>
    </w:rPr>
  </w:style>
  <w:style w:type="paragraph" w:customStyle="1" w:styleId="354">
    <w:name w:val="TOC 标题1"/>
    <w:basedOn w:val="2"/>
    <w:next w:val="1"/>
    <w:autoRedefine/>
    <w:qFormat/>
    <w:uiPriority w:val="39"/>
    <w:pPr>
      <w:keepNext/>
      <w:keepLines/>
      <w:widowControl/>
      <w:adjustRightInd/>
      <w:snapToGrid/>
      <w:spacing w:before="480" w:line="276" w:lineRule="auto"/>
      <w:outlineLvl w:val="9"/>
    </w:pPr>
    <w:rPr>
      <w:rFonts w:ascii="Cambria" w:hAnsi="Cambria" w:eastAsia="宋体" w:cs="Times New Roman"/>
      <w:b/>
      <w:bCs/>
      <w:color w:val="365F91"/>
      <w:kern w:val="0"/>
      <w:sz w:val="28"/>
      <w:szCs w:val="28"/>
      <w:lang w:val="zh-CN"/>
    </w:rPr>
  </w:style>
  <w:style w:type="paragraph" w:customStyle="1" w:styleId="355">
    <w:name w:val="_Style 5"/>
    <w:basedOn w:val="1"/>
    <w:next w:val="1"/>
    <w:autoRedefine/>
    <w:qFormat/>
    <w:uiPriority w:val="0"/>
    <w:pPr>
      <w:pBdr>
        <w:top w:val="single" w:color="auto" w:sz="6" w:space="1"/>
      </w:pBdr>
      <w:adjustRightInd/>
      <w:snapToGrid/>
      <w:spacing w:line="240" w:lineRule="auto"/>
      <w:ind w:firstLine="0" w:firstLineChars="0"/>
      <w:jc w:val="center"/>
    </w:pPr>
    <w:rPr>
      <w:rFonts w:ascii="Arial" w:cs="Times New Roman"/>
      <w:vanish/>
      <w:kern w:val="0"/>
      <w:sz w:val="16"/>
      <w:szCs w:val="20"/>
    </w:rPr>
  </w:style>
  <w:style w:type="paragraph" w:customStyle="1" w:styleId="356">
    <w:name w:val="标题D"/>
    <w:autoRedefine/>
    <w:qFormat/>
    <w:uiPriority w:val="0"/>
    <w:pPr>
      <w:adjustRightInd w:val="0"/>
      <w:snapToGrid w:val="0"/>
      <w:spacing w:before="240" w:line="360" w:lineRule="auto"/>
      <w:outlineLvl w:val="3"/>
    </w:pPr>
    <w:rPr>
      <w:rFonts w:ascii="Times New Roman" w:hAnsi="Times New Roman" w:eastAsia="宋体" w:cs="Times New Roman"/>
      <w:b/>
      <w:sz w:val="24"/>
      <w:lang w:val="en-US" w:eastAsia="zh-CN" w:bidi="ar-SA"/>
    </w:rPr>
  </w:style>
  <w:style w:type="paragraph" w:customStyle="1" w:styleId="357">
    <w:name w:val="表格内容 Char Char Char"/>
    <w:basedOn w:val="1"/>
    <w:autoRedefine/>
    <w:qFormat/>
    <w:uiPriority w:val="0"/>
    <w:pPr>
      <w:tabs>
        <w:tab w:val="left" w:pos="1535"/>
        <w:tab w:val="left" w:pos="3105"/>
        <w:tab w:val="left" w:pos="4676"/>
        <w:tab w:val="left" w:pos="6247"/>
        <w:tab w:val="left" w:pos="7740"/>
        <w:tab w:val="left" w:pos="9288"/>
      </w:tabs>
      <w:adjustRightInd/>
      <w:spacing w:line="240" w:lineRule="auto"/>
      <w:ind w:firstLine="67" w:firstLineChars="0"/>
      <w:jc w:val="center"/>
      <w:textAlignment w:val="baseline"/>
    </w:pPr>
    <w:rPr>
      <w:rFonts w:cs="Times New Roman"/>
      <w:kern w:val="0"/>
      <w:szCs w:val="20"/>
    </w:rPr>
  </w:style>
  <w:style w:type="paragraph" w:customStyle="1" w:styleId="358">
    <w:name w:val="正文001"/>
    <w:basedOn w:val="1"/>
    <w:autoRedefine/>
    <w:qFormat/>
    <w:uiPriority w:val="0"/>
    <w:pPr>
      <w:adjustRightInd/>
      <w:snapToGrid/>
      <w:spacing w:before="60" w:line="460" w:lineRule="exact"/>
      <w:ind w:firstLine="200"/>
    </w:pPr>
    <w:rPr>
      <w:rFonts w:cs="Times New Roman"/>
      <w:kern w:val="0"/>
      <w:szCs w:val="20"/>
    </w:rPr>
  </w:style>
  <w:style w:type="paragraph" w:customStyle="1" w:styleId="359">
    <w:name w:val="xl25"/>
    <w:basedOn w:val="1"/>
    <w:autoRedefine/>
    <w:qFormat/>
    <w:uiPriority w:val="0"/>
    <w:pPr>
      <w:widowControl/>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cs="Times New Roman"/>
      <w:kern w:val="0"/>
      <w:szCs w:val="20"/>
    </w:rPr>
  </w:style>
  <w:style w:type="paragraph" w:customStyle="1" w:styleId="360">
    <w:name w:val="表名A"/>
    <w:basedOn w:val="1"/>
    <w:autoRedefine/>
    <w:qFormat/>
    <w:uiPriority w:val="0"/>
    <w:pPr>
      <w:widowControl/>
      <w:tabs>
        <w:tab w:val="left" w:pos="0"/>
      </w:tabs>
      <w:spacing w:before="249" w:after="62" w:line="240" w:lineRule="auto"/>
      <w:ind w:firstLine="0" w:firstLineChars="0"/>
      <w:jc w:val="center"/>
    </w:pPr>
    <w:rPr>
      <w:rFonts w:cs="Times New Roman"/>
      <w:b/>
      <w:snapToGrid w:val="0"/>
      <w:kern w:val="0"/>
      <w:szCs w:val="20"/>
    </w:rPr>
  </w:style>
  <w:style w:type="paragraph" w:customStyle="1" w:styleId="361">
    <w:name w:val="样式 样式 样式 标题 3标题 33 + 段前: 0.5 行 + 段前: 0.5 行 + 段前: 6 磅 段后: 0.5 行"/>
    <w:basedOn w:val="333"/>
    <w:autoRedefine/>
    <w:qFormat/>
    <w:uiPriority w:val="0"/>
  </w:style>
  <w:style w:type="paragraph" w:customStyle="1" w:styleId="362">
    <w:name w:val="样式4"/>
    <w:basedOn w:val="5"/>
    <w:next w:val="7"/>
    <w:autoRedefine/>
    <w:qFormat/>
    <w:uiPriority w:val="0"/>
    <w:pPr>
      <w:tabs>
        <w:tab w:val="left" w:pos="720"/>
      </w:tabs>
      <w:spacing w:before="120" w:after="156" w:line="240" w:lineRule="auto"/>
      <w:jc w:val="center"/>
    </w:pPr>
    <w:rPr>
      <w:rFonts w:ascii="黑体" w:hAnsi="宋体"/>
    </w:rPr>
  </w:style>
  <w:style w:type="paragraph" w:customStyle="1" w:styleId="363">
    <w:name w:val="表格名称"/>
    <w:basedOn w:val="23"/>
    <w:autoRedefine/>
    <w:qFormat/>
    <w:uiPriority w:val="0"/>
    <w:pPr>
      <w:tabs>
        <w:tab w:val="left" w:pos="3800"/>
        <w:tab w:val="left" w:pos="5200"/>
      </w:tabs>
      <w:autoSpaceDE w:val="0"/>
      <w:autoSpaceDN w:val="0"/>
      <w:adjustRightInd w:val="0"/>
      <w:spacing w:line="500" w:lineRule="exact"/>
      <w:jc w:val="center"/>
    </w:pPr>
    <w:rPr>
      <w:rFonts w:ascii="黑体" w:hAnsi="宋体" w:eastAsia="黑体"/>
      <w:snapToGrid w:val="0"/>
      <w:color w:val="000000"/>
      <w:kern w:val="28"/>
      <w:sz w:val="24"/>
    </w:rPr>
  </w:style>
  <w:style w:type="paragraph" w:customStyle="1" w:styleId="364">
    <w:name w:val="样式5"/>
    <w:basedOn w:val="12"/>
    <w:autoRedefine/>
    <w:qFormat/>
    <w:uiPriority w:val="0"/>
  </w:style>
  <w:style w:type="paragraph" w:customStyle="1" w:styleId="365">
    <w:name w:val="表文"/>
    <w:basedOn w:val="1"/>
    <w:link w:val="366"/>
    <w:autoRedefine/>
    <w:qFormat/>
    <w:uiPriority w:val="0"/>
    <w:pPr>
      <w:adjustRightInd/>
      <w:snapToGrid/>
      <w:spacing w:line="240" w:lineRule="auto"/>
      <w:ind w:firstLine="0" w:firstLineChars="0"/>
      <w:jc w:val="center"/>
      <w:textAlignment w:val="center"/>
    </w:pPr>
    <w:rPr>
      <w:rFonts w:ascii="宋体" w:hAnsi="宋体" w:cs="宋体"/>
      <w:bCs/>
      <w:iCs/>
      <w:kern w:val="0"/>
      <w:szCs w:val="21"/>
    </w:rPr>
  </w:style>
  <w:style w:type="character" w:customStyle="1" w:styleId="366">
    <w:name w:val="表文 Char"/>
    <w:link w:val="365"/>
    <w:autoRedefine/>
    <w:qFormat/>
    <w:uiPriority w:val="0"/>
    <w:rPr>
      <w:rFonts w:ascii="宋体" w:hAnsi="宋体" w:eastAsia="宋体" w:cs="宋体"/>
      <w:bCs/>
      <w:iCs/>
      <w:kern w:val="0"/>
      <w:sz w:val="24"/>
      <w:szCs w:val="21"/>
    </w:rPr>
  </w:style>
  <w:style w:type="paragraph" w:customStyle="1" w:styleId="367">
    <w:name w:val="表"/>
    <w:basedOn w:val="1"/>
    <w:autoRedefine/>
    <w:qFormat/>
    <w:uiPriority w:val="0"/>
    <w:pPr>
      <w:adjustRightInd/>
      <w:snapToGrid/>
      <w:spacing w:line="240" w:lineRule="auto"/>
      <w:ind w:firstLine="0" w:firstLineChars="0"/>
      <w:jc w:val="center"/>
    </w:pPr>
    <w:rPr>
      <w:rFonts w:cs="Times New Roman"/>
      <w:kern w:val="0"/>
      <w:szCs w:val="20"/>
    </w:rPr>
  </w:style>
  <w:style w:type="paragraph" w:customStyle="1" w:styleId="368">
    <w:name w:val="默认段落字体 Para Char Char Char Char"/>
    <w:basedOn w:val="1"/>
    <w:autoRedefine/>
    <w:qFormat/>
    <w:uiPriority w:val="0"/>
    <w:pPr>
      <w:adjustRightInd/>
      <w:snapToGrid/>
      <w:spacing w:line="240" w:lineRule="auto"/>
      <w:ind w:firstLine="0" w:firstLineChars="0"/>
    </w:pPr>
    <w:rPr>
      <w:rFonts w:cs="Times New Roman"/>
      <w:kern w:val="0"/>
      <w:szCs w:val="24"/>
    </w:rPr>
  </w:style>
  <w:style w:type="paragraph" w:customStyle="1" w:styleId="369">
    <w:name w:val="正文21"/>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370">
    <w:name w:val="表格文字"/>
    <w:basedOn w:val="23"/>
    <w:next w:val="1"/>
    <w:link w:val="371"/>
    <w:autoRedefine/>
    <w:qFormat/>
    <w:uiPriority w:val="0"/>
    <w:pPr>
      <w:tabs>
        <w:tab w:val="left" w:pos="146"/>
      </w:tabs>
      <w:spacing w:line="240" w:lineRule="exact"/>
      <w:ind w:right="-55" w:rightChars="-55" w:firstLine="0" w:firstLineChars="0"/>
      <w:jc w:val="center"/>
    </w:pPr>
    <w:rPr>
      <w:rFonts w:ascii="宋体" w:hAnsi="宋体" w:cs="Times New Roman"/>
      <w:snapToGrid w:val="0"/>
      <w:spacing w:val="6"/>
      <w:kern w:val="0"/>
      <w:szCs w:val="20"/>
    </w:rPr>
  </w:style>
  <w:style w:type="character" w:customStyle="1" w:styleId="371">
    <w:name w:val="表格文字 Char"/>
    <w:link w:val="370"/>
    <w:autoRedefine/>
    <w:qFormat/>
    <w:uiPriority w:val="0"/>
    <w:rPr>
      <w:rFonts w:ascii="宋体" w:hAnsi="宋体" w:eastAsia="宋体" w:cs="Times New Roman"/>
      <w:snapToGrid w:val="0"/>
      <w:spacing w:val="6"/>
      <w:kern w:val="0"/>
      <w:sz w:val="24"/>
      <w:szCs w:val="20"/>
    </w:rPr>
  </w:style>
  <w:style w:type="paragraph" w:customStyle="1" w:styleId="372">
    <w:name w:val="表格内容1"/>
    <w:basedOn w:val="1"/>
    <w:autoRedefine/>
    <w:qFormat/>
    <w:uiPriority w:val="0"/>
    <w:pPr>
      <w:tabs>
        <w:tab w:val="left" w:pos="1535"/>
        <w:tab w:val="left" w:pos="3105"/>
        <w:tab w:val="left" w:pos="4676"/>
        <w:tab w:val="left" w:pos="6247"/>
        <w:tab w:val="left" w:pos="7740"/>
        <w:tab w:val="left" w:pos="9288"/>
      </w:tabs>
      <w:spacing w:line="300" w:lineRule="atLeast"/>
      <w:ind w:firstLine="0" w:firstLineChars="0"/>
      <w:jc w:val="center"/>
      <w:textAlignment w:val="baseline"/>
    </w:pPr>
    <w:rPr>
      <w:rFonts w:ascii="宋体" w:hAnsi="宋体" w:cs="Times New Roman"/>
      <w:kern w:val="0"/>
      <w:szCs w:val="20"/>
    </w:rPr>
  </w:style>
  <w:style w:type="paragraph" w:customStyle="1" w:styleId="373">
    <w:name w:val="样式 样式 (中文) 黑体 加粗 + 首行缩进:  1.98 字符"/>
    <w:basedOn w:val="1"/>
    <w:autoRedefine/>
    <w:qFormat/>
    <w:uiPriority w:val="0"/>
    <w:pPr>
      <w:snapToGrid/>
      <w:spacing w:line="500" w:lineRule="exact"/>
      <w:ind w:firstLine="557" w:firstLineChars="198"/>
      <w:textAlignment w:val="baseline"/>
    </w:pPr>
    <w:rPr>
      <w:rFonts w:eastAsia="新宋体" w:cs="Times New Roman"/>
      <w:b/>
      <w:kern w:val="0"/>
      <w:sz w:val="28"/>
      <w:szCs w:val="20"/>
    </w:rPr>
  </w:style>
  <w:style w:type="paragraph" w:customStyle="1" w:styleId="374">
    <w:name w:val="表格内容 Char"/>
    <w:basedOn w:val="1"/>
    <w:autoRedefine/>
    <w:qFormat/>
    <w:uiPriority w:val="0"/>
    <w:pPr>
      <w:adjustRightInd/>
      <w:snapToGrid/>
      <w:spacing w:line="240" w:lineRule="auto"/>
      <w:ind w:firstLine="0" w:firstLineChars="0"/>
      <w:jc w:val="center"/>
    </w:pPr>
    <w:rPr>
      <w:rFonts w:ascii="宋体" w:hAnsi="Arial" w:cs="Times New Roman"/>
      <w:bCs/>
      <w:kern w:val="0"/>
      <w:szCs w:val="21"/>
    </w:rPr>
  </w:style>
  <w:style w:type="paragraph" w:customStyle="1" w:styleId="375">
    <w:name w:val="正文A"/>
    <w:autoRedefine/>
    <w:qFormat/>
    <w:uiPriority w:val="0"/>
    <w:pPr>
      <w:tabs>
        <w:tab w:val="left" w:pos="0"/>
      </w:tabs>
      <w:adjustRightInd w:val="0"/>
      <w:spacing w:before="120" w:line="360" w:lineRule="auto"/>
      <w:ind w:firstLine="480"/>
      <w:jc w:val="both"/>
    </w:pPr>
    <w:rPr>
      <w:rFonts w:ascii="Times New Roman" w:hAnsi="Times New Roman" w:eastAsia="宋体" w:cs="Times New Roman"/>
      <w:snapToGrid w:val="0"/>
      <w:sz w:val="24"/>
      <w:lang w:val="en-US" w:eastAsia="zh-CN" w:bidi="ar-SA"/>
    </w:rPr>
  </w:style>
  <w:style w:type="paragraph" w:customStyle="1" w:styleId="376">
    <w:name w:val="标题1"/>
    <w:basedOn w:val="1"/>
    <w:autoRedefine/>
    <w:qFormat/>
    <w:uiPriority w:val="0"/>
    <w:pPr>
      <w:numPr>
        <w:ilvl w:val="0"/>
        <w:numId w:val="3"/>
      </w:numPr>
      <w:adjustRightInd/>
      <w:snapToGrid/>
      <w:spacing w:line="240" w:lineRule="auto"/>
      <w:ind w:firstLine="0" w:firstLineChars="0"/>
    </w:pPr>
    <w:rPr>
      <w:rFonts w:cs="Times New Roman"/>
      <w:kern w:val="0"/>
      <w:szCs w:val="20"/>
    </w:rPr>
  </w:style>
  <w:style w:type="paragraph" w:customStyle="1" w:styleId="377">
    <w:name w:val="3"/>
    <w:basedOn w:val="1"/>
    <w:next w:val="41"/>
    <w:autoRedefine/>
    <w:qFormat/>
    <w:uiPriority w:val="0"/>
    <w:pPr>
      <w:widowControl/>
      <w:adjustRightInd/>
      <w:snapToGrid/>
      <w:spacing w:before="100" w:beforeAutospacing="1" w:after="100" w:afterAutospacing="1" w:line="240" w:lineRule="auto"/>
      <w:ind w:firstLine="0" w:firstLineChars="0"/>
      <w:jc w:val="left"/>
    </w:pPr>
    <w:rPr>
      <w:rFonts w:ascii="宋体" w:hAnsi="宋体" w:cs="Times New Roman"/>
      <w:kern w:val="0"/>
      <w:szCs w:val="20"/>
    </w:rPr>
  </w:style>
  <w:style w:type="paragraph" w:customStyle="1" w:styleId="378">
    <w:name w:val="注"/>
    <w:basedOn w:val="1"/>
    <w:autoRedefine/>
    <w:qFormat/>
    <w:uiPriority w:val="0"/>
    <w:pPr>
      <w:adjustRightInd/>
      <w:snapToGrid/>
      <w:spacing w:line="240" w:lineRule="auto"/>
      <w:ind w:firstLine="0" w:firstLineChars="0"/>
    </w:pPr>
    <w:rPr>
      <w:rFonts w:ascii="宋体" w:hAnsi="宋体" w:cs="Times New Roman"/>
      <w:kern w:val="0"/>
      <w:szCs w:val="20"/>
    </w:rPr>
  </w:style>
  <w:style w:type="paragraph" w:customStyle="1" w:styleId="379">
    <w:name w:val="表格内容右小"/>
    <w:basedOn w:val="330"/>
    <w:autoRedefine/>
    <w:qFormat/>
    <w:uiPriority w:val="0"/>
    <w:rPr>
      <w:sz w:val="18"/>
    </w:rPr>
  </w:style>
  <w:style w:type="paragraph" w:customStyle="1" w:styleId="380">
    <w:name w:val="样式 标题 3样式　标题 3　自动设置标题 3 Char章 + Times New 表题3"/>
    <w:basedOn w:val="4"/>
    <w:autoRedefine/>
    <w:qFormat/>
    <w:uiPriority w:val="0"/>
    <w:pPr>
      <w:tabs>
        <w:tab w:val="left" w:pos="3800"/>
        <w:tab w:val="left" w:pos="5200"/>
      </w:tabs>
      <w:autoSpaceDE w:val="0"/>
      <w:autoSpaceDN w:val="0"/>
      <w:adjustRightInd/>
      <w:snapToGrid/>
      <w:spacing w:before="120" w:after="120" w:line="240" w:lineRule="auto"/>
      <w:jc w:val="both"/>
    </w:pPr>
    <w:rPr>
      <w:rFonts w:cs="Times New Roman"/>
      <w:bCs w:val="0"/>
      <w:szCs w:val="20"/>
      <w:lang w:val="zh-CN"/>
    </w:rPr>
  </w:style>
  <w:style w:type="paragraph" w:customStyle="1" w:styleId="381">
    <w:name w:val="post_content_p"/>
    <w:basedOn w:val="1"/>
    <w:autoRedefine/>
    <w:qFormat/>
    <w:uiPriority w:val="0"/>
    <w:pPr>
      <w:widowControl/>
      <w:wordWrap w:val="0"/>
      <w:adjustRightInd/>
      <w:snapToGrid/>
      <w:spacing w:before="100" w:beforeAutospacing="1" w:after="100" w:afterAutospacing="1" w:line="240" w:lineRule="auto"/>
      <w:ind w:firstLine="0" w:firstLineChars="0"/>
      <w:jc w:val="left"/>
    </w:pPr>
    <w:rPr>
      <w:rFonts w:ascii="宋体" w:hAnsi="宋体" w:cs="宋体"/>
      <w:b/>
      <w:kern w:val="0"/>
      <w:szCs w:val="24"/>
    </w:rPr>
  </w:style>
  <w:style w:type="paragraph" w:customStyle="1" w:styleId="382">
    <w:name w:val="样式 样式 标题 2节广2mystyle2style2H2(C+F2)(F3)Title22nd levelh2... + 段前..."/>
    <w:basedOn w:val="1"/>
    <w:autoRedefine/>
    <w:qFormat/>
    <w:uiPriority w:val="0"/>
    <w:pPr>
      <w:numPr>
        <w:ilvl w:val="1"/>
        <w:numId w:val="4"/>
      </w:numPr>
      <w:snapToGrid/>
      <w:spacing w:before="140"/>
      <w:ind w:firstLine="0" w:firstLineChars="0"/>
      <w:jc w:val="center"/>
      <w:outlineLvl w:val="1"/>
    </w:pPr>
    <w:rPr>
      <w:rFonts w:ascii="宋体" w:hAnsi="宋体" w:eastAsia="黑体" w:cs="宋体"/>
      <w:b/>
      <w:bCs/>
      <w:color w:val="000000"/>
      <w:kern w:val="0"/>
      <w:sz w:val="28"/>
      <w:szCs w:val="20"/>
    </w:rPr>
  </w:style>
  <w:style w:type="table" w:customStyle="1" w:styleId="383">
    <w:name w:val="网格型3"/>
    <w:basedOn w:val="47"/>
    <w:autoRedefine/>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84">
    <w:name w:val="表头 Char"/>
    <w:autoRedefine/>
    <w:qFormat/>
    <w:uiPriority w:val="0"/>
    <w:rPr>
      <w:rFonts w:ascii="Times New Roman" w:hAnsi="Times New Roman" w:eastAsia="宋体" w:cs="宋体"/>
      <w:b/>
      <w:bCs/>
      <w:color w:val="000000"/>
      <w:sz w:val="24"/>
      <w:szCs w:val="24"/>
    </w:rPr>
  </w:style>
  <w:style w:type="paragraph" w:customStyle="1" w:styleId="385">
    <w:name w:val="样式 表格标题 + 首行缩进:  0.61 字符"/>
    <w:basedOn w:val="1"/>
    <w:autoRedefine/>
    <w:qFormat/>
    <w:uiPriority w:val="0"/>
    <w:pPr>
      <w:wordWrap w:val="0"/>
      <w:spacing w:line="400" w:lineRule="exact"/>
      <w:ind w:left="-143" w:leftChars="-68" w:firstLine="128" w:firstLineChars="61"/>
      <w:jc w:val="center"/>
    </w:pPr>
    <w:rPr>
      <w:rFonts w:eastAsia="Times New Roman" w:cs="宋体"/>
      <w:sz w:val="21"/>
      <w:szCs w:val="20"/>
    </w:rPr>
  </w:style>
  <w:style w:type="character" w:customStyle="1" w:styleId="386">
    <w:name w:val="页眉 Char"/>
    <w:autoRedefine/>
    <w:qFormat/>
    <w:uiPriority w:val="0"/>
    <w:rPr>
      <w:sz w:val="18"/>
      <w:szCs w:val="18"/>
    </w:rPr>
  </w:style>
  <w:style w:type="paragraph" w:customStyle="1" w:styleId="387">
    <w:name w:val="正文00"/>
    <w:basedOn w:val="1"/>
    <w:link w:val="388"/>
    <w:autoRedefine/>
    <w:qFormat/>
    <w:uiPriority w:val="0"/>
    <w:pPr>
      <w:adjustRightInd/>
      <w:snapToGrid/>
    </w:pPr>
    <w:rPr>
      <w:rFonts w:cs="Times New Roman"/>
      <w:szCs w:val="24"/>
      <w:lang w:val="zh-CN"/>
    </w:rPr>
  </w:style>
  <w:style w:type="character" w:customStyle="1" w:styleId="388">
    <w:name w:val="正文00 Char"/>
    <w:link w:val="387"/>
    <w:autoRedefine/>
    <w:qFormat/>
    <w:uiPriority w:val="0"/>
    <w:rPr>
      <w:rFonts w:ascii="Times New Roman" w:hAnsi="Times New Roman" w:eastAsia="宋体" w:cs="Times New Roman"/>
      <w:sz w:val="24"/>
      <w:szCs w:val="24"/>
      <w:lang w:val="zh-CN" w:eastAsia="zh-CN"/>
    </w:rPr>
  </w:style>
  <w:style w:type="character" w:customStyle="1" w:styleId="389">
    <w:name w:val="正文(首行缩进) Char"/>
    <w:autoRedefine/>
    <w:qFormat/>
    <w:uiPriority w:val="99"/>
    <w:rPr>
      <w:rFonts w:ascii="Times New Roman" w:hAnsi="Times New Roman"/>
      <w:color w:val="000000"/>
      <w:sz w:val="24"/>
    </w:rPr>
  </w:style>
  <w:style w:type="character" w:customStyle="1" w:styleId="390">
    <w:name w:val="表头 Char1"/>
    <w:autoRedefine/>
    <w:qFormat/>
    <w:uiPriority w:val="0"/>
    <w:rPr>
      <w:rFonts w:ascii="Times New Roman" w:hAnsi="宋体" w:eastAsia="仿宋_GB2312" w:cs="Times New Roman"/>
      <w:b/>
      <w:kern w:val="0"/>
      <w:sz w:val="28"/>
      <w:szCs w:val="28"/>
    </w:rPr>
  </w:style>
  <w:style w:type="character" w:customStyle="1" w:styleId="391">
    <w:name w:val="正文缩进 Char"/>
    <w:autoRedefine/>
    <w:qFormat/>
    <w:uiPriority w:val="0"/>
    <w:rPr>
      <w:rFonts w:ascii="Times New Roman" w:hAnsi="Times New Roman" w:eastAsia="宋体" w:cs="Times New Roman"/>
      <w:szCs w:val="20"/>
    </w:rPr>
  </w:style>
  <w:style w:type="paragraph" w:customStyle="1" w:styleId="392">
    <w:name w:val="正文2"/>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character" w:customStyle="1" w:styleId="393">
    <w:name w:val="批注文字 Char"/>
    <w:autoRedefine/>
    <w:qFormat/>
    <w:uiPriority w:val="99"/>
    <w:rPr>
      <w:rFonts w:ascii="Times New Roman" w:hAnsi="Times New Roman" w:eastAsia="宋体" w:cs="Times New Roman"/>
      <w:szCs w:val="24"/>
    </w:rPr>
  </w:style>
  <w:style w:type="character" w:customStyle="1" w:styleId="394">
    <w:name w:val="纯文本 Char"/>
    <w:autoRedefine/>
    <w:qFormat/>
    <w:uiPriority w:val="0"/>
    <w:rPr>
      <w:rFonts w:ascii="宋体" w:hAnsi="Courier New" w:eastAsia="宋体" w:cs="Times New Roman"/>
      <w:szCs w:val="21"/>
    </w:rPr>
  </w:style>
  <w:style w:type="paragraph" w:customStyle="1" w:styleId="395">
    <w:name w:val="样式 正文文字-1 + 首行缩进:  2.1 字符1"/>
    <w:basedOn w:val="1"/>
    <w:autoRedefine/>
    <w:qFormat/>
    <w:uiPriority w:val="0"/>
    <w:pPr>
      <w:adjustRightInd/>
      <w:snapToGrid/>
      <w:spacing w:before="120" w:after="120" w:line="440" w:lineRule="exact"/>
      <w:ind w:firstLine="210" w:firstLineChars="210"/>
    </w:pPr>
    <w:rPr>
      <w:rFonts w:cs="宋体"/>
      <w:szCs w:val="20"/>
    </w:rPr>
  </w:style>
  <w:style w:type="paragraph" w:customStyle="1" w:styleId="396">
    <w:name w:val="纯文本4"/>
    <w:basedOn w:val="1"/>
    <w:autoRedefine/>
    <w:qFormat/>
    <w:uiPriority w:val="0"/>
    <w:pPr>
      <w:widowControl/>
      <w:adjustRightInd/>
      <w:snapToGrid/>
      <w:ind w:firstLine="0" w:firstLineChars="0"/>
      <w:jc w:val="left"/>
    </w:pPr>
    <w:rPr>
      <w:rFonts w:ascii="宋体" w:hAnsi="Courier New" w:eastAsia="Times New Roman" w:cs="Times New Roman"/>
      <w:kern w:val="0"/>
      <w:sz w:val="20"/>
      <w:szCs w:val="21"/>
    </w:rPr>
  </w:style>
  <w:style w:type="paragraph" w:customStyle="1" w:styleId="397">
    <w:name w:val="样式 样式 正文文字-1 + 首行缩进:  2.1 字符1 + 首行缩进:  2.1 字符"/>
    <w:basedOn w:val="1"/>
    <w:autoRedefine/>
    <w:qFormat/>
    <w:uiPriority w:val="0"/>
    <w:pPr>
      <w:adjustRightInd/>
      <w:snapToGrid/>
      <w:spacing w:before="120" w:after="120" w:line="400" w:lineRule="exact"/>
      <w:ind w:firstLine="210" w:firstLineChars="210"/>
    </w:pPr>
    <w:rPr>
      <w:rFonts w:cs="宋体"/>
      <w:szCs w:val="20"/>
    </w:rPr>
  </w:style>
  <w:style w:type="table" w:customStyle="1" w:styleId="398">
    <w:name w:val="[表格样式]"/>
    <w:basedOn w:val="47"/>
    <w:autoRedefine/>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399">
    <w:name w:val="reader-word-layer reader-word-s1-7"/>
    <w:basedOn w:val="1"/>
    <w:autoRedefine/>
    <w:qFormat/>
    <w:uiPriority w:val="0"/>
    <w:pPr>
      <w:widowControl/>
      <w:adjustRightInd/>
      <w:snapToGrid/>
      <w:spacing w:before="100" w:beforeAutospacing="1" w:after="100" w:afterAutospacing="1"/>
      <w:ind w:firstLine="0" w:firstLineChars="0"/>
      <w:jc w:val="left"/>
    </w:pPr>
    <w:rPr>
      <w:rFonts w:ascii="宋体" w:hAnsi="宋体" w:eastAsia="Times New Roman" w:cs="宋体"/>
      <w:kern w:val="0"/>
      <w:szCs w:val="24"/>
    </w:rPr>
  </w:style>
  <w:style w:type="character" w:customStyle="1" w:styleId="400">
    <w:name w:val="正 Char1"/>
    <w:link w:val="304"/>
    <w:autoRedefine/>
    <w:qFormat/>
    <w:uiPriority w:val="0"/>
    <w:rPr>
      <w:rFonts w:cs="宋体"/>
      <w:sz w:val="24"/>
    </w:rPr>
  </w:style>
  <w:style w:type="paragraph" w:customStyle="1" w:styleId="401">
    <w:name w:val="正文3"/>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402">
    <w:name w:val="正文5"/>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403">
    <w:name w:val="Char Char Char Char Char Char Char1"/>
    <w:basedOn w:val="1"/>
    <w:autoRedefine/>
    <w:qFormat/>
    <w:uiPriority w:val="0"/>
    <w:pPr>
      <w:adjustRightInd/>
      <w:snapToGrid/>
      <w:ind w:firstLine="200"/>
    </w:pPr>
    <w:rPr>
      <w:rFonts w:ascii="宋体" w:hAnsi="宋体" w:cs="宋体"/>
      <w:szCs w:val="21"/>
    </w:rPr>
  </w:style>
  <w:style w:type="paragraph" w:customStyle="1" w:styleId="404">
    <w:name w:val="正文文字-1"/>
    <w:autoRedefine/>
    <w:qFormat/>
    <w:uiPriority w:val="0"/>
    <w:pPr>
      <w:widowControl w:val="0"/>
      <w:spacing w:before="120" w:after="120" w:line="480" w:lineRule="exact"/>
      <w:ind w:firstLine="588" w:firstLineChars="210"/>
      <w:jc w:val="both"/>
    </w:pPr>
    <w:rPr>
      <w:rFonts w:ascii="Times New Roman" w:hAnsi="Times New Roman" w:eastAsia="宋体" w:cs="Times New Roman"/>
      <w:kern w:val="2"/>
      <w:sz w:val="24"/>
      <w:szCs w:val="24"/>
      <w:lang w:val="en-US" w:eastAsia="zh-CN" w:bidi="ar-SA"/>
    </w:rPr>
  </w:style>
  <w:style w:type="character" w:customStyle="1" w:styleId="405">
    <w:name w:val="表格内正文 Char"/>
    <w:link w:val="406"/>
    <w:autoRedefine/>
    <w:qFormat/>
    <w:uiPriority w:val="0"/>
    <w:rPr>
      <w:rFonts w:eastAsia="宋体"/>
      <w:szCs w:val="24"/>
    </w:rPr>
  </w:style>
  <w:style w:type="paragraph" w:customStyle="1" w:styleId="406">
    <w:name w:val="表格内正文"/>
    <w:basedOn w:val="1"/>
    <w:link w:val="405"/>
    <w:autoRedefine/>
    <w:qFormat/>
    <w:uiPriority w:val="0"/>
    <w:pPr>
      <w:adjustRightInd/>
      <w:snapToGrid/>
      <w:ind w:firstLine="0" w:firstLineChars="0"/>
      <w:jc w:val="center"/>
    </w:pPr>
    <w:rPr>
      <w:rFonts w:asciiTheme="minorHAnsi" w:hAnsiTheme="minorHAnsi"/>
      <w:sz w:val="21"/>
      <w:szCs w:val="24"/>
    </w:rPr>
  </w:style>
  <w:style w:type="paragraph" w:customStyle="1" w:styleId="407">
    <w:name w:val="正文文字-1 Char"/>
    <w:link w:val="408"/>
    <w:autoRedefine/>
    <w:qFormat/>
    <w:uiPriority w:val="0"/>
    <w:pPr>
      <w:widowControl w:val="0"/>
      <w:spacing w:before="120" w:after="120" w:line="480" w:lineRule="exact"/>
      <w:ind w:firstLine="588" w:firstLineChars="210"/>
      <w:jc w:val="both"/>
    </w:pPr>
    <w:rPr>
      <w:rFonts w:ascii="Times New Roman" w:hAnsi="Times New Roman" w:eastAsia="宋体" w:cs="Times New Roman"/>
      <w:kern w:val="2"/>
      <w:sz w:val="24"/>
      <w:szCs w:val="24"/>
      <w:lang w:val="en-US" w:eastAsia="zh-CN" w:bidi="ar-SA"/>
    </w:rPr>
  </w:style>
  <w:style w:type="character" w:customStyle="1" w:styleId="408">
    <w:name w:val="正文文字-1 Char Char"/>
    <w:link w:val="407"/>
    <w:autoRedefine/>
    <w:qFormat/>
    <w:uiPriority w:val="0"/>
    <w:rPr>
      <w:rFonts w:ascii="Times New Roman" w:hAnsi="Times New Roman" w:eastAsia="宋体" w:cs="Times New Roman"/>
      <w:sz w:val="24"/>
      <w:szCs w:val="24"/>
    </w:rPr>
  </w:style>
  <w:style w:type="character" w:customStyle="1" w:styleId="409">
    <w:name w:val="正文首行缩进 2 Char"/>
    <w:autoRedefine/>
    <w:qFormat/>
    <w:uiPriority w:val="0"/>
    <w:rPr>
      <w:kern w:val="2"/>
      <w:sz w:val="21"/>
      <w:szCs w:val="21"/>
    </w:rPr>
  </w:style>
  <w:style w:type="paragraph" w:customStyle="1" w:styleId="410">
    <w:name w:val="CM16"/>
    <w:basedOn w:val="1"/>
    <w:next w:val="1"/>
    <w:autoRedefine/>
    <w:qFormat/>
    <w:uiPriority w:val="99"/>
    <w:pPr>
      <w:autoSpaceDE w:val="0"/>
      <w:autoSpaceDN w:val="0"/>
      <w:snapToGrid/>
      <w:spacing w:line="468" w:lineRule="atLeast"/>
      <w:ind w:firstLine="0" w:firstLineChars="0"/>
    </w:pPr>
    <w:rPr>
      <w:rFonts w:ascii="宋体" w:hAnsi="Calibri" w:cs="宋体"/>
      <w:kern w:val="0"/>
      <w:szCs w:val="24"/>
    </w:rPr>
  </w:style>
  <w:style w:type="paragraph" w:customStyle="1" w:styleId="411">
    <w:name w:val="_Style 2"/>
    <w:basedOn w:val="1"/>
    <w:autoRedefine/>
    <w:qFormat/>
    <w:uiPriority w:val="0"/>
    <w:pPr>
      <w:adjustRightInd/>
      <w:snapToGrid/>
      <w:spacing w:line="240" w:lineRule="auto"/>
      <w:ind w:firstLine="420"/>
    </w:pPr>
    <w:rPr>
      <w:rFonts w:ascii="Verdana" w:hAnsi="Verdana" w:cs="宋体"/>
      <w:sz w:val="21"/>
      <w:szCs w:val="24"/>
    </w:rPr>
  </w:style>
  <w:style w:type="paragraph" w:customStyle="1" w:styleId="412">
    <w:name w:val="lily 正文"/>
    <w:basedOn w:val="1"/>
    <w:autoRedefine/>
    <w:qFormat/>
    <w:uiPriority w:val="0"/>
    <w:pPr>
      <w:adjustRightInd/>
      <w:snapToGrid/>
      <w:spacing w:line="440" w:lineRule="atLeast"/>
    </w:pPr>
    <w:rPr>
      <w:rFonts w:cs="Times New Roman"/>
      <w:szCs w:val="20"/>
    </w:rPr>
  </w:style>
  <w:style w:type="paragraph" w:customStyle="1" w:styleId="413">
    <w:name w:val="Table Paragraph"/>
    <w:basedOn w:val="1"/>
    <w:autoRedefine/>
    <w:qFormat/>
    <w:uiPriority w:val="1"/>
    <w:pPr>
      <w:adjustRightInd/>
      <w:snapToGrid/>
      <w:spacing w:line="240" w:lineRule="auto"/>
      <w:ind w:firstLine="0" w:firstLineChars="0"/>
      <w:jc w:val="left"/>
    </w:pPr>
    <w:rPr>
      <w:rFonts w:ascii="Calibri" w:hAnsi="Calibri" w:cs="Times New Roman"/>
      <w:kern w:val="0"/>
      <w:sz w:val="22"/>
      <w:lang w:eastAsia="en-US"/>
    </w:rPr>
  </w:style>
  <w:style w:type="paragraph" w:customStyle="1" w:styleId="414">
    <w:name w:val="正文6"/>
    <w:link w:val="415"/>
    <w:autoRedefine/>
    <w:qFormat/>
    <w:uiPriority w:val="0"/>
    <w:pPr>
      <w:jc w:val="both"/>
    </w:pPr>
    <w:rPr>
      <w:rFonts w:ascii="Times New Roman" w:hAnsi="Times New Roman" w:eastAsia="宋体" w:cs="Times New Roman"/>
      <w:kern w:val="2"/>
      <w:sz w:val="21"/>
      <w:szCs w:val="21"/>
      <w:lang w:val="en-US" w:eastAsia="zh-CN" w:bidi="ar-SA"/>
    </w:rPr>
  </w:style>
  <w:style w:type="character" w:customStyle="1" w:styleId="415">
    <w:name w:val="Normal Char Char"/>
    <w:link w:val="414"/>
    <w:autoRedefine/>
    <w:qFormat/>
    <w:uiPriority w:val="0"/>
    <w:rPr>
      <w:rFonts w:ascii="Times New Roman" w:hAnsi="Times New Roman" w:eastAsia="宋体" w:cs="Times New Roman"/>
      <w:szCs w:val="21"/>
    </w:rPr>
  </w:style>
  <w:style w:type="paragraph" w:customStyle="1" w:styleId="416">
    <w:name w:val="样式"/>
    <w:autoRedefine/>
    <w:qFormat/>
    <w:uiPriority w:val="0"/>
    <w:pPr>
      <w:widowControl w:val="0"/>
      <w:autoSpaceDE w:val="0"/>
      <w:autoSpaceDN w:val="0"/>
      <w:adjustRightInd w:val="0"/>
    </w:pPr>
    <w:rPr>
      <w:rFonts w:ascii="宋体" w:hAnsi="宋体" w:eastAsia="宋体" w:cs="Times New Roman"/>
      <w:sz w:val="24"/>
      <w:szCs w:val="24"/>
      <w:lang w:val="en-US" w:eastAsia="zh-CN" w:bidi="ar-SA"/>
    </w:rPr>
  </w:style>
  <w:style w:type="character" w:customStyle="1" w:styleId="417">
    <w:name w:val="标题 Char1"/>
    <w:autoRedefine/>
    <w:qFormat/>
    <w:uiPriority w:val="0"/>
    <w:rPr>
      <w:rFonts w:eastAsia="黑体"/>
      <w:kern w:val="2"/>
      <w:sz w:val="36"/>
      <w:szCs w:val="36"/>
    </w:rPr>
  </w:style>
  <w:style w:type="paragraph" w:customStyle="1" w:styleId="418">
    <w:name w:val="样式 正文文字-1 + 首行缩进:  2.1 字符"/>
    <w:basedOn w:val="1"/>
    <w:autoRedefine/>
    <w:qFormat/>
    <w:uiPriority w:val="0"/>
    <w:pPr>
      <w:adjustRightInd/>
      <w:snapToGrid/>
      <w:spacing w:before="60" w:after="60" w:line="440" w:lineRule="exact"/>
      <w:ind w:firstLine="210" w:firstLineChars="210"/>
    </w:pPr>
    <w:rPr>
      <w:rFonts w:cs="宋体"/>
      <w:szCs w:val="20"/>
    </w:rPr>
  </w:style>
  <w:style w:type="character" w:customStyle="1" w:styleId="419">
    <w:name w:val="样式 样式 四号 蓝色 + 自动设置"/>
    <w:autoRedefine/>
    <w:qFormat/>
    <w:uiPriority w:val="0"/>
    <w:rPr>
      <w:color w:val="auto"/>
      <w:sz w:val="24"/>
    </w:rPr>
  </w:style>
  <w:style w:type="character" w:customStyle="1" w:styleId="420">
    <w:name w:val="正文文本 Char"/>
    <w:autoRedefine/>
    <w:qFormat/>
    <w:uiPriority w:val="0"/>
    <w:rPr>
      <w:rFonts w:ascii="Times New Roman" w:hAnsi="Times New Roman" w:eastAsia="宋体" w:cs="Times New Roman"/>
      <w:szCs w:val="24"/>
    </w:rPr>
  </w:style>
  <w:style w:type="paragraph" w:customStyle="1" w:styleId="421">
    <w:name w:val="Char1 Char Char Char"/>
    <w:basedOn w:val="1"/>
    <w:autoRedefine/>
    <w:qFormat/>
    <w:uiPriority w:val="0"/>
    <w:pPr>
      <w:adjustRightInd/>
      <w:snapToGrid/>
      <w:spacing w:line="240" w:lineRule="auto"/>
    </w:pPr>
    <w:rPr>
      <w:rFonts w:ascii="宋体" w:cs="Times New Roman"/>
      <w:sz w:val="28"/>
      <w:szCs w:val="24"/>
    </w:rPr>
  </w:style>
  <w:style w:type="table" w:customStyle="1" w:styleId="422">
    <w:name w:val="网格型1"/>
    <w:basedOn w:val="47"/>
    <w:autoRedefine/>
    <w:qFormat/>
    <w:uiPriority w:val="59"/>
    <w:pPr>
      <w:adjustRightInd w:val="0"/>
      <w:snapToGrid w:val="0"/>
      <w:jc w:val="center"/>
    </w:pPr>
    <w:tblPr>
      <w:jc w:val="center"/>
      <w:tblBorders>
        <w:top w:val="single" w:color="auto" w:sz="4" w:space="0"/>
        <w:bottom w:val="single" w:color="auto" w:sz="4" w:space="0"/>
        <w:insideH w:val="single" w:color="auto" w:sz="4" w:space="0"/>
        <w:insideV w:val="single" w:color="auto" w:sz="4" w:space="0"/>
      </w:tblBorders>
    </w:tblPr>
    <w:trPr>
      <w:jc w:val="center"/>
    </w:trPr>
    <w:tcPr>
      <w:vAlign w:val="center"/>
    </w:tcPr>
  </w:style>
  <w:style w:type="table" w:customStyle="1" w:styleId="423">
    <w:name w:val="网格型31"/>
    <w:basedOn w:val="47"/>
    <w:autoRedefine/>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4">
    <w:name w:val="[表格样式]1"/>
    <w:basedOn w:val="47"/>
    <w:autoRedefine/>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5">
    <w:name w:val="[表格样式]2"/>
    <w:basedOn w:val="47"/>
    <w:autoRedefine/>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6">
    <w:name w:val="[表格样式]3"/>
    <w:basedOn w:val="47"/>
    <w:autoRedefine/>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7">
    <w:name w:val="[表格样式]4"/>
    <w:basedOn w:val="47"/>
    <w:autoRedefine/>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8">
    <w:name w:val="[表格样式]5"/>
    <w:basedOn w:val="47"/>
    <w:autoRedefine/>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character" w:customStyle="1" w:styleId="429">
    <w:name w:val="未处理的提及1"/>
    <w:basedOn w:val="49"/>
    <w:autoRedefine/>
    <w:semiHidden/>
    <w:unhideWhenUsed/>
    <w:qFormat/>
    <w:uiPriority w:val="99"/>
    <w:rPr>
      <w:color w:val="605E5C"/>
      <w:shd w:val="clear" w:color="auto" w:fill="E1DFDD"/>
    </w:rPr>
  </w:style>
  <w:style w:type="character" w:customStyle="1" w:styleId="430">
    <w:name w:val="页脚 Char"/>
    <w:basedOn w:val="49"/>
    <w:autoRedefine/>
    <w:qFormat/>
    <w:uiPriority w:val="99"/>
    <w:rPr>
      <w:kern w:val="2"/>
      <w:sz w:val="18"/>
      <w:szCs w:val="18"/>
    </w:rPr>
  </w:style>
  <w:style w:type="character" w:customStyle="1" w:styleId="431">
    <w:name w:val="font31"/>
    <w:basedOn w:val="49"/>
    <w:qFormat/>
    <w:uiPriority w:val="0"/>
    <w:rPr>
      <w:rFonts w:hint="eastAsia" w:ascii="宋体" w:hAnsi="宋体" w:eastAsia="宋体" w:cs="宋体"/>
      <w:color w:val="000000"/>
      <w:sz w:val="16"/>
      <w:szCs w:val="16"/>
      <w:u w:val="none"/>
    </w:rPr>
  </w:style>
  <w:style w:type="character" w:customStyle="1" w:styleId="432">
    <w:name w:val="批注框文本 Char"/>
    <w:autoRedefine/>
    <w:qFormat/>
    <w:uiPriority w:val="0"/>
    <w:rPr>
      <w:kern w:val="2"/>
      <w:sz w:val="18"/>
      <w:szCs w:val="18"/>
    </w:rPr>
  </w:style>
  <w:style w:type="character" w:customStyle="1" w:styleId="433">
    <w:name w:val="批注主题 Char"/>
    <w:basedOn w:val="393"/>
    <w:autoRedefine/>
    <w:qFormat/>
    <w:uiPriority w:val="0"/>
    <w:rPr>
      <w:rFonts w:ascii="Times New Roman" w:hAnsi="Times New Roman" w:eastAsia="宋体" w:cs="Times New Roman"/>
      <w:kern w:val="2"/>
      <w:sz w:val="21"/>
      <w:szCs w:val="24"/>
    </w:rPr>
  </w:style>
  <w:style w:type="character" w:customStyle="1" w:styleId="434">
    <w:name w:val="sub_title2"/>
    <w:autoRedefine/>
    <w:qFormat/>
    <w:uiPriority w:val="0"/>
    <w:rPr>
      <w:rFonts w:hint="default" w:ascii="Verdana" w:hAnsi="Verdana"/>
      <w:b/>
      <w:bCs/>
      <w:sz w:val="21"/>
      <w:szCs w:val="21"/>
    </w:rPr>
  </w:style>
  <w:style w:type="paragraph" w:customStyle="1" w:styleId="435">
    <w:name w:val="Char Char Char Char"/>
    <w:basedOn w:val="1"/>
    <w:autoRedefine/>
    <w:qFormat/>
    <w:uiPriority w:val="0"/>
    <w:pPr>
      <w:adjustRightInd/>
      <w:snapToGrid/>
      <w:spacing w:line="240" w:lineRule="auto"/>
      <w:ind w:firstLine="0" w:firstLineChars="0"/>
    </w:pPr>
    <w:rPr>
      <w:rFonts w:ascii="Calibri" w:hAnsi="Calibri" w:cs="Times New Roman"/>
      <w:sz w:val="21"/>
      <w:szCs w:val="24"/>
    </w:rPr>
  </w:style>
  <w:style w:type="paragraph" w:customStyle="1" w:styleId="436">
    <w:name w:val="Char Char Char Char1"/>
    <w:basedOn w:val="1"/>
    <w:autoRedefine/>
    <w:semiHidden/>
    <w:qFormat/>
    <w:uiPriority w:val="0"/>
    <w:pPr>
      <w:widowControl/>
      <w:adjustRightInd/>
      <w:snapToGrid/>
      <w:spacing w:after="160" w:line="240" w:lineRule="exact"/>
      <w:ind w:firstLine="0" w:firstLineChars="0"/>
      <w:jc w:val="left"/>
    </w:pPr>
    <w:rPr>
      <w:rFonts w:ascii="Verdana" w:hAnsi="Verdana" w:cs="Verdana"/>
      <w:kern w:val="0"/>
      <w:sz w:val="20"/>
      <w:szCs w:val="20"/>
      <w:lang w:eastAsia="en-US"/>
    </w:rPr>
  </w:style>
  <w:style w:type="character" w:customStyle="1" w:styleId="437">
    <w:name w:val="未处理的提及2"/>
    <w:basedOn w:val="49"/>
    <w:autoRedefine/>
    <w:semiHidden/>
    <w:unhideWhenUsed/>
    <w:qFormat/>
    <w:uiPriority w:val="99"/>
    <w:rPr>
      <w:color w:val="605E5C"/>
      <w:shd w:val="clear" w:color="auto" w:fill="E1DFDD"/>
    </w:rPr>
  </w:style>
  <w:style w:type="character" w:customStyle="1" w:styleId="438">
    <w:name w:val="不明显强调2"/>
    <w:autoRedefine/>
    <w:qFormat/>
    <w:uiPriority w:val="19"/>
    <w:rPr>
      <w:rFonts w:ascii="Times New Roman" w:hAnsi="Times New Roman"/>
      <w:i/>
      <w:iCs/>
      <w:color w:val="808080"/>
      <w:szCs w:val="20"/>
    </w:rPr>
  </w:style>
  <w:style w:type="character" w:customStyle="1" w:styleId="439">
    <w:name w:val="正文首行缩进 字符"/>
    <w:qFormat/>
    <w:uiPriority w:val="0"/>
    <w:rPr>
      <w:rFonts w:ascii="Times New Roman" w:hAnsi="Times New Roman"/>
    </w:rPr>
  </w:style>
  <w:style w:type="paragraph" w:customStyle="1" w:styleId="440">
    <w:name w:val="_Style 427"/>
    <w:basedOn w:val="20"/>
    <w:next w:val="46"/>
    <w:link w:val="441"/>
    <w:autoRedefine/>
    <w:unhideWhenUsed/>
    <w:qFormat/>
    <w:uiPriority w:val="99"/>
    <w:pPr>
      <w:adjustRightInd w:val="0"/>
      <w:snapToGrid w:val="0"/>
      <w:spacing w:after="120" w:line="360" w:lineRule="auto"/>
      <w:ind w:left="420" w:leftChars="200" w:firstLine="420" w:firstLineChars="200"/>
    </w:pPr>
    <w:rPr>
      <w:rFonts w:ascii="Times New Roman" w:hAnsi="Times New Roman" w:eastAsia="宋体"/>
      <w:kern w:val="0"/>
      <w:sz w:val="24"/>
      <w:szCs w:val="20"/>
    </w:rPr>
  </w:style>
  <w:style w:type="character" w:customStyle="1" w:styleId="441">
    <w:name w:val="正文首行缩进 2 字符"/>
    <w:link w:val="440"/>
    <w:autoRedefine/>
    <w:qFormat/>
    <w:uiPriority w:val="99"/>
    <w:rPr>
      <w:rFonts w:ascii="Times New Roman" w:hAnsi="Times New Roman" w:eastAsia="宋体"/>
      <w:sz w:val="24"/>
    </w:rPr>
  </w:style>
  <w:style w:type="paragraph" w:customStyle="1" w:styleId="442">
    <w:name w:val="z-窗体顶端2"/>
    <w:basedOn w:val="1"/>
    <w:next w:val="1"/>
    <w:autoRedefine/>
    <w:qFormat/>
    <w:uiPriority w:val="0"/>
    <w:pPr>
      <w:pBdr>
        <w:bottom w:val="single" w:color="auto" w:sz="6" w:space="1"/>
      </w:pBdr>
      <w:adjustRightInd/>
      <w:snapToGrid/>
      <w:spacing w:line="240" w:lineRule="auto"/>
      <w:ind w:firstLine="0" w:firstLineChars="0"/>
      <w:jc w:val="center"/>
    </w:pPr>
    <w:rPr>
      <w:rFonts w:ascii="Arial" w:cs="Times New Roman"/>
      <w:vanish/>
      <w:kern w:val="0"/>
      <w:sz w:val="16"/>
      <w:szCs w:val="20"/>
    </w:rPr>
  </w:style>
  <w:style w:type="character" w:customStyle="1" w:styleId="443">
    <w:name w:val="z-窗体顶端 字符1"/>
    <w:basedOn w:val="49"/>
    <w:autoRedefine/>
    <w:semiHidden/>
    <w:qFormat/>
    <w:uiPriority w:val="99"/>
    <w:rPr>
      <w:rFonts w:ascii="Arial" w:hAnsi="Arial" w:eastAsia="宋体" w:cs="Arial"/>
      <w:vanish/>
      <w:kern w:val="2"/>
      <w:sz w:val="16"/>
      <w:szCs w:val="16"/>
    </w:rPr>
  </w:style>
  <w:style w:type="paragraph" w:customStyle="1" w:styleId="444">
    <w:name w:val="z-窗体底端2"/>
    <w:basedOn w:val="1"/>
    <w:next w:val="1"/>
    <w:autoRedefine/>
    <w:qFormat/>
    <w:uiPriority w:val="0"/>
    <w:pPr>
      <w:pBdr>
        <w:top w:val="single" w:color="auto" w:sz="6" w:space="1"/>
      </w:pBdr>
      <w:adjustRightInd/>
      <w:snapToGrid/>
      <w:spacing w:line="240" w:lineRule="auto"/>
      <w:ind w:firstLine="0" w:firstLineChars="0"/>
      <w:jc w:val="center"/>
    </w:pPr>
    <w:rPr>
      <w:rFonts w:ascii="Arial" w:cs="Times New Roman"/>
      <w:vanish/>
      <w:kern w:val="0"/>
      <w:sz w:val="16"/>
      <w:szCs w:val="20"/>
    </w:rPr>
  </w:style>
  <w:style w:type="character" w:customStyle="1" w:styleId="445">
    <w:name w:val="z-窗体底端 字符1"/>
    <w:basedOn w:val="49"/>
    <w:autoRedefine/>
    <w:semiHidden/>
    <w:qFormat/>
    <w:uiPriority w:val="99"/>
    <w:rPr>
      <w:rFonts w:ascii="Arial" w:hAnsi="Arial" w:eastAsia="宋体" w:cs="Arial"/>
      <w:vanish/>
      <w:kern w:val="2"/>
      <w:sz w:val="16"/>
      <w:szCs w:val="16"/>
    </w:rPr>
  </w:style>
  <w:style w:type="paragraph" w:customStyle="1" w:styleId="446">
    <w:name w:val="TOC 标题2"/>
    <w:basedOn w:val="2"/>
    <w:next w:val="1"/>
    <w:autoRedefine/>
    <w:qFormat/>
    <w:uiPriority w:val="39"/>
    <w:pPr>
      <w:keepNext/>
      <w:keepLines/>
      <w:widowControl/>
      <w:adjustRightInd/>
      <w:snapToGrid/>
      <w:spacing w:before="480" w:line="276" w:lineRule="auto"/>
      <w:outlineLvl w:val="9"/>
    </w:pPr>
    <w:rPr>
      <w:rFonts w:ascii="Cambria" w:hAnsi="Cambria" w:eastAsia="宋体" w:cs="Times New Roman"/>
      <w:b/>
      <w:bCs/>
      <w:color w:val="365F91"/>
      <w:kern w:val="0"/>
      <w:sz w:val="28"/>
      <w:szCs w:val="28"/>
      <w:lang w:val="zh-CN"/>
    </w:rPr>
  </w:style>
  <w:style w:type="paragraph" w:customStyle="1" w:styleId="447">
    <w:name w:val="Char Char Char Char Char Char Char2"/>
    <w:basedOn w:val="1"/>
    <w:autoRedefine/>
    <w:qFormat/>
    <w:uiPriority w:val="0"/>
    <w:pPr>
      <w:adjustRightInd/>
      <w:snapToGrid/>
      <w:ind w:firstLine="200"/>
    </w:pPr>
    <w:rPr>
      <w:rFonts w:ascii="宋体" w:hAnsi="宋体" w:cs="宋体"/>
      <w:szCs w:val="24"/>
    </w:rPr>
  </w:style>
  <w:style w:type="paragraph" w:customStyle="1" w:styleId="448">
    <w:name w:val="xl33"/>
    <w:basedOn w:val="1"/>
    <w:autoRedefine/>
    <w:qFormat/>
    <w:uiPriority w:val="0"/>
    <w:pPr>
      <w:widowControl/>
      <w:pBdr>
        <w:left w:val="single" w:color="auto" w:sz="12" w:space="0"/>
        <w:right w:val="single" w:color="auto" w:sz="8" w:space="0"/>
      </w:pBdr>
      <w:adjustRightInd/>
      <w:snapToGrid/>
      <w:spacing w:before="100" w:beforeAutospacing="1" w:after="100" w:afterAutospacing="1" w:line="240" w:lineRule="auto"/>
      <w:ind w:firstLine="0" w:firstLineChars="0"/>
      <w:jc w:val="center"/>
    </w:pPr>
    <w:rPr>
      <w:rFonts w:cs="Times New Roman"/>
      <w:color w:val="000000"/>
      <w:kern w:val="0"/>
      <w:sz w:val="21"/>
      <w:szCs w:val="21"/>
    </w:rPr>
  </w:style>
  <w:style w:type="paragraph" w:customStyle="1" w:styleId="449">
    <w:name w:val="正文缩进1"/>
    <w:basedOn w:val="1"/>
    <w:autoRedefine/>
    <w:qFormat/>
    <w:uiPriority w:val="0"/>
    <w:pPr>
      <w:spacing w:line="520" w:lineRule="exact"/>
      <w:ind w:firstLine="624"/>
    </w:pPr>
    <w:rPr>
      <w:rFonts w:cs="Times New Roman"/>
      <w:sz w:val="28"/>
      <w:szCs w:val="24"/>
    </w:rPr>
  </w:style>
  <w:style w:type="paragraph" w:customStyle="1" w:styleId="450">
    <w:name w:val="样式 样式 标题 2 + (西文) Times New Roman (中文) 宋体 小四 黑色 首行缩进:  0.85 厘米....."/>
    <w:basedOn w:val="451"/>
    <w:autoRedefine/>
    <w:qFormat/>
    <w:uiPriority w:val="0"/>
    <w:rPr>
      <w:bCs w:val="0"/>
    </w:rPr>
  </w:style>
  <w:style w:type="paragraph" w:customStyle="1" w:styleId="451">
    <w:name w:val="样式 标题 2 + (西文) Times New Roman (中文) 宋体 小四 黑色 首行缩进:  0.85 厘米..."/>
    <w:basedOn w:val="3"/>
    <w:autoRedefine/>
    <w:qFormat/>
    <w:uiPriority w:val="0"/>
    <w:pPr>
      <w:spacing w:line="360" w:lineRule="auto"/>
    </w:pPr>
    <w:rPr>
      <w:rFonts w:cs="宋体"/>
      <w:color w:val="000000"/>
    </w:rPr>
  </w:style>
  <w:style w:type="paragraph" w:customStyle="1" w:styleId="452">
    <w:name w:val="样式 样式 样式 小四 黑色 首行缩进:  0.85 厘米 行距: 固定值 28 磅1 + 段前: 0.5 行 段后: 0.5 ..."/>
    <w:basedOn w:val="453"/>
    <w:autoRedefine/>
    <w:qFormat/>
    <w:uiPriority w:val="0"/>
    <w:pPr>
      <w:spacing w:before="120" w:after="120"/>
    </w:pPr>
    <w:rPr>
      <w:bCs w:val="0"/>
      <w:sz w:val="24"/>
    </w:rPr>
  </w:style>
  <w:style w:type="paragraph" w:customStyle="1" w:styleId="453">
    <w:name w:val="样式 样式 小四 黑色 首行缩进:  0.85 厘米 行距: 固定值 28 磅1 + 段前: 0.5 行 段后: 0.5 行"/>
    <w:basedOn w:val="454"/>
    <w:autoRedefine/>
    <w:qFormat/>
    <w:uiPriority w:val="0"/>
    <w:rPr>
      <w:sz w:val="28"/>
      <w:szCs w:val="20"/>
    </w:rPr>
  </w:style>
  <w:style w:type="paragraph" w:customStyle="1" w:styleId="454">
    <w:name w:val="样式 小四 黑色 首行缩进:  0.85 厘米 行距: 固定值 28 磅1"/>
    <w:basedOn w:val="4"/>
    <w:next w:val="4"/>
    <w:autoRedefine/>
    <w:qFormat/>
    <w:uiPriority w:val="0"/>
    <w:pPr>
      <w:spacing w:before="50" w:beforeLines="50" w:line="360" w:lineRule="auto"/>
    </w:pPr>
    <w:rPr>
      <w:rFonts w:cs="宋体"/>
      <w:color w:val="000000"/>
    </w:rPr>
  </w:style>
  <w:style w:type="paragraph" w:customStyle="1" w:styleId="455">
    <w:name w:val="样式 标题 1 + (中文) 宋体 小四 黑色 首行缩进:  0.85 厘米 行距: 固定值 28 磅"/>
    <w:basedOn w:val="2"/>
    <w:autoRedefine/>
    <w:qFormat/>
    <w:uiPriority w:val="0"/>
    <w:pPr>
      <w:spacing w:line="520" w:lineRule="exact"/>
    </w:pPr>
    <w:rPr>
      <w:rFonts w:cs="宋体"/>
      <w:color w:val="000000"/>
    </w:rPr>
  </w:style>
  <w:style w:type="paragraph" w:customStyle="1" w:styleId="456">
    <w:name w:val="!正文(alt+c)"/>
    <w:autoRedefine/>
    <w:qFormat/>
    <w:uiPriority w:val="0"/>
    <w:pPr>
      <w:spacing w:line="300" w:lineRule="auto"/>
      <w:ind w:firstLine="480" w:firstLineChars="200"/>
      <w:jc w:val="center"/>
    </w:pPr>
    <w:rPr>
      <w:rFonts w:ascii="宋体" w:hAnsi="宋体" w:eastAsia="宋体" w:cs="Times New Roman"/>
      <w:sz w:val="24"/>
      <w:szCs w:val="24"/>
      <w:lang w:val="en-US" w:eastAsia="zh-CN" w:bidi="ar-SA"/>
    </w:rPr>
  </w:style>
  <w:style w:type="character" w:customStyle="1" w:styleId="457">
    <w:name w:val="6666661"/>
    <w:autoRedefine/>
    <w:qFormat/>
    <w:uiPriority w:val="0"/>
    <w:rPr>
      <w:spacing w:val="330"/>
      <w:sz w:val="18"/>
      <w:szCs w:val="18"/>
    </w:rPr>
  </w:style>
  <w:style w:type="paragraph" w:customStyle="1" w:styleId="458">
    <w:name w:val="111111正文"/>
    <w:basedOn w:val="1"/>
    <w:autoRedefine/>
    <w:qFormat/>
    <w:uiPriority w:val="0"/>
  </w:style>
  <w:style w:type="paragraph" w:customStyle="1" w:styleId="459">
    <w:name w:val="表内式样"/>
    <w:autoRedefine/>
    <w:qFormat/>
    <w:uiPriority w:val="0"/>
    <w:pPr>
      <w:framePr w:hSpace="180" w:wrap="around" w:vAnchor="page" w:hAnchor="margin" w:x="-432" w:y="2266"/>
      <w:widowControl w:val="0"/>
      <w:spacing w:line="320" w:lineRule="exact"/>
      <w:jc w:val="center"/>
    </w:pPr>
    <w:rPr>
      <w:rFonts w:ascii="Calibri" w:hAnsi="Calibri" w:eastAsia="宋体" w:cs="Times New Roman"/>
      <w:sz w:val="18"/>
      <w:szCs w:val="24"/>
      <w:lang w:val="en-US" w:eastAsia="zh-CN" w:bidi="ar-SA"/>
    </w:rPr>
  </w:style>
  <w:style w:type="paragraph" w:customStyle="1" w:styleId="460">
    <w:name w:val="表题"/>
    <w:autoRedefine/>
    <w:qFormat/>
    <w:uiPriority w:val="0"/>
    <w:pPr>
      <w:widowControl w:val="0"/>
      <w:adjustRightInd w:val="0"/>
      <w:snapToGrid w:val="0"/>
      <w:spacing w:line="440" w:lineRule="exact"/>
      <w:jc w:val="center"/>
    </w:pPr>
    <w:rPr>
      <w:rFonts w:ascii="仿宋_GB2312" w:hAnsi="宋体" w:eastAsia="仿宋_GB2312" w:cs="Times New Roman"/>
      <w:sz w:val="24"/>
      <w:szCs w:val="24"/>
      <w:lang w:val="en-US" w:eastAsia="zh-CN" w:bidi="ar-SA"/>
    </w:rPr>
  </w:style>
  <w:style w:type="paragraph" w:customStyle="1" w:styleId="461">
    <w:name w:val="样式 标题 1 + 小三 加粗 非倾斜 黑色 两端对齐 行距: 1.5 倍行距"/>
    <w:basedOn w:val="2"/>
    <w:autoRedefine/>
    <w:qFormat/>
    <w:uiPriority w:val="0"/>
    <w:pPr>
      <w:adjustRightInd/>
      <w:spacing w:before="360" w:after="360" w:line="480" w:lineRule="auto"/>
    </w:pPr>
    <w:rPr>
      <w:rFonts w:eastAsia="宋体"/>
      <w:b/>
    </w:rPr>
  </w:style>
  <w:style w:type="paragraph" w:customStyle="1" w:styleId="462">
    <w:name w:val="报告表正文"/>
    <w:basedOn w:val="1"/>
    <w:autoRedefine/>
    <w:qFormat/>
    <w:uiPriority w:val="0"/>
    <w:pPr>
      <w:spacing w:line="300" w:lineRule="auto"/>
      <w:ind w:left="113" w:right="113"/>
      <w:textAlignment w:val="baseline"/>
    </w:pPr>
    <w:rPr>
      <w:kern w:val="0"/>
    </w:rPr>
  </w:style>
  <w:style w:type="paragraph" w:customStyle="1" w:styleId="463">
    <w:name w:val="正文张 小四 黑色 行距: 固定值 22 磅"/>
    <w:basedOn w:val="1"/>
    <w:autoRedefine/>
    <w:qFormat/>
    <w:uiPriority w:val="0"/>
    <w:pPr>
      <w:spacing w:line="440" w:lineRule="exact"/>
    </w:pPr>
    <w:rPr>
      <w:rFonts w:cs="宋体"/>
      <w:color w:val="000000"/>
    </w:rPr>
  </w:style>
  <w:style w:type="paragraph" w:customStyle="1" w:styleId="464">
    <w:name w:val="[表中文字]"/>
    <w:basedOn w:val="1"/>
    <w:autoRedefine/>
    <w:qFormat/>
    <w:uiPriority w:val="0"/>
    <w:pPr>
      <w:spacing w:before="60" w:after="60"/>
      <w:jc w:val="center"/>
    </w:pPr>
    <w:rPr>
      <w:rFonts w:eastAsia="仿宋_GB2312"/>
      <w:szCs w:val="20"/>
    </w:rPr>
  </w:style>
  <w:style w:type="paragraph" w:customStyle="1" w:styleId="465">
    <w:name w:val="样式 标题3 + Times New Roman 黑色"/>
    <w:basedOn w:val="466"/>
    <w:autoRedefine/>
    <w:qFormat/>
    <w:uiPriority w:val="0"/>
    <w:pPr>
      <w:adjustRightInd w:val="0"/>
      <w:snapToGrid w:val="0"/>
      <w:ind w:left="0"/>
    </w:pPr>
    <w:rPr>
      <w:rFonts w:ascii="Times New Roman" w:eastAsia="宋体"/>
      <w:b/>
      <w:color w:val="000000"/>
      <w:szCs w:val="24"/>
    </w:rPr>
  </w:style>
  <w:style w:type="paragraph" w:customStyle="1" w:styleId="466">
    <w:name w:val="标题3"/>
    <w:next w:val="1"/>
    <w:autoRedefine/>
    <w:qFormat/>
    <w:uiPriority w:val="0"/>
    <w:pPr>
      <w:keepNext/>
      <w:keepLines/>
      <w:spacing w:before="80" w:line="360" w:lineRule="auto"/>
      <w:ind w:left="1440"/>
      <w:jc w:val="center"/>
      <w:outlineLvl w:val="2"/>
    </w:pPr>
    <w:rPr>
      <w:rFonts w:ascii="黑体" w:hAnsi="Times New Roman" w:eastAsia="黑体" w:cs="Times New Roman"/>
      <w:bCs/>
      <w:kern w:val="2"/>
      <w:sz w:val="24"/>
      <w:lang w:val="zh-CN" w:eastAsia="zh-CN" w:bidi="ar-SA"/>
    </w:rPr>
  </w:style>
  <w:style w:type="paragraph" w:customStyle="1" w:styleId="467">
    <w:name w:val="内容"/>
    <w:basedOn w:val="1"/>
    <w:autoRedefine/>
    <w:qFormat/>
    <w:uiPriority w:val="0"/>
    <w:pPr>
      <w:spacing w:beforeLines="50"/>
      <w:ind w:firstLine="200"/>
    </w:pPr>
    <w:rPr>
      <w:rFonts w:ascii="Calibri" w:hAnsi="Calibri"/>
      <w:color w:val="000000"/>
      <w:kern w:val="0"/>
    </w:rPr>
  </w:style>
  <w:style w:type="character" w:customStyle="1" w:styleId="468">
    <w:name w:val="font61"/>
    <w:basedOn w:val="49"/>
    <w:autoRedefine/>
    <w:qFormat/>
    <w:uiPriority w:val="0"/>
    <w:rPr>
      <w:rFonts w:hint="eastAsia" w:ascii="宋体" w:hAnsi="宋体" w:eastAsia="宋体" w:cs="宋体"/>
      <w:color w:val="000000"/>
      <w:sz w:val="24"/>
      <w:szCs w:val="24"/>
      <w:u w:val="none"/>
    </w:rPr>
  </w:style>
  <w:style w:type="character" w:customStyle="1" w:styleId="469">
    <w:name w:val="font131"/>
    <w:basedOn w:val="49"/>
    <w:autoRedefine/>
    <w:qFormat/>
    <w:uiPriority w:val="0"/>
    <w:rPr>
      <w:rFonts w:hint="default" w:ascii="Times New Roman" w:hAnsi="Times New Roman" w:cs="Times New Roman"/>
      <w:color w:val="000000"/>
      <w:sz w:val="24"/>
      <w:szCs w:val="24"/>
      <w:u w:val="none"/>
    </w:rPr>
  </w:style>
  <w:style w:type="character" w:customStyle="1" w:styleId="470">
    <w:name w:val="font121"/>
    <w:basedOn w:val="49"/>
    <w:autoRedefine/>
    <w:qFormat/>
    <w:uiPriority w:val="0"/>
    <w:rPr>
      <w:rFonts w:hint="eastAsia" w:ascii="宋体" w:hAnsi="宋体" w:eastAsia="宋体" w:cs="宋体"/>
      <w:color w:val="FF0000"/>
      <w:sz w:val="24"/>
      <w:szCs w:val="24"/>
      <w:u w:val="none"/>
    </w:rPr>
  </w:style>
  <w:style w:type="paragraph" w:customStyle="1" w:styleId="471">
    <w:name w:val="样式 样式 标题 3条标题头标题3H3h33rd level第二层条标题 3 Char小标题小节标题标题 3 C...3 + 自..."/>
    <w:basedOn w:val="1"/>
    <w:autoRedefine/>
    <w:qFormat/>
    <w:uiPriority w:val="0"/>
    <w:pPr>
      <w:keepNext/>
      <w:keepLines/>
      <w:spacing w:line="720" w:lineRule="auto"/>
      <w:ind w:firstLine="0" w:firstLineChars="0"/>
      <w:outlineLvl w:val="2"/>
    </w:pPr>
    <w:rPr>
      <w:rFonts w:ascii="黑体" w:hAnsi="黑体" w:eastAsia="黑体"/>
      <w:bCs/>
    </w:rPr>
  </w:style>
  <w:style w:type="paragraph" w:customStyle="1" w:styleId="472">
    <w:name w:val="vsbcontent_start"/>
    <w:basedOn w:val="1"/>
    <w:autoRedefine/>
    <w:qFormat/>
    <w:uiPriority w:val="0"/>
    <w:pPr>
      <w:widowControl/>
      <w:spacing w:before="100" w:beforeAutospacing="1" w:after="100" w:afterAutospacing="1"/>
      <w:jc w:val="left"/>
    </w:pPr>
    <w:rPr>
      <w:rFonts w:ascii="宋体" w:hAnsi="宋体" w:cs="宋体"/>
      <w:kern w:val="0"/>
      <w:szCs w:val="24"/>
    </w:rPr>
  </w:style>
  <w:style w:type="paragraph" w:customStyle="1" w:styleId="473">
    <w:name w:val="正文正文"/>
    <w:basedOn w:val="46"/>
    <w:autoRedefine/>
    <w:qFormat/>
    <w:uiPriority w:val="0"/>
    <w:rPr>
      <w:szCs w:val="20"/>
    </w:rPr>
  </w:style>
  <w:style w:type="paragraph" w:customStyle="1" w:styleId="474">
    <w:name w:val="Body text|1"/>
    <w:basedOn w:val="1"/>
    <w:autoRedefine/>
    <w:qFormat/>
    <w:uiPriority w:val="0"/>
    <w:pPr>
      <w:spacing w:line="427" w:lineRule="auto"/>
      <w:ind w:firstLine="400"/>
    </w:pPr>
    <w:rPr>
      <w:rFonts w:ascii="宋体" w:hAnsi="宋体" w:cs="宋体"/>
      <w:sz w:val="22"/>
      <w:lang w:val="zh-TW" w:eastAsia="zh-TW" w:bidi="zh-TW"/>
    </w:rPr>
  </w:style>
  <w:style w:type="table" w:customStyle="1" w:styleId="475">
    <w:name w:val="环评表格"/>
    <w:basedOn w:val="47"/>
    <w:autoRedefine/>
    <w:qFormat/>
    <w:uiPriority w:val="0"/>
    <w:pPr>
      <w:snapToGrid w:val="0"/>
      <w:spacing w:line="500" w:lineRule="atLeast"/>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476">
    <w:name w:val="正文文本缩进A"/>
    <w:basedOn w:val="1"/>
    <w:autoRedefine/>
    <w:qFormat/>
    <w:uiPriority w:val="0"/>
    <w:pPr>
      <w:spacing w:line="360" w:lineRule="auto"/>
      <w:ind w:firstLine="480" w:firstLineChars="200"/>
    </w:pPr>
    <w:rPr>
      <w:sz w:val="24"/>
    </w:rPr>
  </w:style>
  <w:style w:type="paragraph" w:customStyle="1" w:styleId="477">
    <w:name w:val="11111"/>
    <w:basedOn w:val="1"/>
    <w:next w:val="1"/>
    <w:autoRedefine/>
    <w:qFormat/>
    <w:uiPriority w:val="0"/>
    <w:pPr>
      <w:spacing w:line="360" w:lineRule="auto"/>
      <w:ind w:firstLine="200" w:firstLineChars="200"/>
    </w:pPr>
    <w:rPr>
      <w:rFonts w:hAnsi="宋体" w:cs="宋体"/>
      <w:kern w:val="2"/>
      <w:szCs w:val="24"/>
    </w:rPr>
  </w:style>
  <w:style w:type="paragraph" w:customStyle="1" w:styleId="478">
    <w:name w:val="表格中文字"/>
    <w:basedOn w:val="479"/>
    <w:autoRedefine/>
    <w:qFormat/>
    <w:uiPriority w:val="0"/>
    <w:pPr>
      <w:spacing w:line="360" w:lineRule="exact"/>
      <w:ind w:firstLine="0" w:firstLineChars="0"/>
      <w:jc w:val="center"/>
    </w:pPr>
    <w:rPr>
      <w:rFonts w:ascii="Times New Roman" w:hAnsi="Times New Roman"/>
      <w:color w:val="auto"/>
      <w:kern w:val="0"/>
      <w:sz w:val="21"/>
      <w:szCs w:val="21"/>
    </w:rPr>
  </w:style>
  <w:style w:type="paragraph" w:customStyle="1" w:styleId="479">
    <w:name w:val="填表正文"/>
    <w:basedOn w:val="1"/>
    <w:autoRedefine/>
    <w:qFormat/>
    <w:uiPriority w:val="0"/>
    <w:pPr>
      <w:adjustRightInd w:val="0"/>
      <w:snapToGrid w:val="0"/>
      <w:jc w:val="center"/>
    </w:pPr>
    <w:rPr>
      <w:rFonts w:ascii="宋体" w:hAnsi="Calibri"/>
      <w:color w:val="000000"/>
      <w:kern w:val="0"/>
      <w:szCs w:val="44"/>
    </w:rPr>
  </w:style>
  <w:style w:type="paragraph" w:customStyle="1" w:styleId="480">
    <w:name w:val="f【正文】"/>
    <w:basedOn w:val="1"/>
    <w:qFormat/>
    <w:uiPriority w:val="0"/>
    <w:pPr>
      <w:widowControl/>
      <w:adjustRightInd w:val="0"/>
      <w:snapToGrid w:val="0"/>
      <w:spacing w:line="360" w:lineRule="auto"/>
      <w:ind w:firstLine="200" w:firstLineChars="200"/>
    </w:pPr>
    <w:rPr>
      <w:rFonts w:cs="Times New Roman"/>
    </w:rPr>
  </w:style>
  <w:style w:type="paragraph" w:customStyle="1" w:styleId="481">
    <w:name w:val="Table Text"/>
    <w:basedOn w:val="1"/>
    <w:semiHidden/>
    <w:qFormat/>
    <w:uiPriority w:val="0"/>
    <w:rPr>
      <w:rFonts w:ascii="宋体" w:hAnsi="宋体" w:eastAsia="宋体" w:cs="宋体"/>
      <w:sz w:val="24"/>
      <w:szCs w:val="24"/>
      <w:lang w:val="en-US" w:eastAsia="en-US" w:bidi="ar-SA"/>
    </w:rPr>
  </w:style>
  <w:style w:type="table" w:customStyle="1" w:styleId="482">
    <w:name w:val="Table Normal"/>
    <w:semiHidden/>
    <w:unhideWhenUsed/>
    <w:qFormat/>
    <w:uiPriority w:val="0"/>
    <w:tblPr>
      <w:tblCellMar>
        <w:top w:w="0" w:type="dxa"/>
        <w:left w:w="0" w:type="dxa"/>
        <w:bottom w:w="0" w:type="dxa"/>
        <w:right w:w="0" w:type="dxa"/>
      </w:tblCellMar>
    </w:tblPr>
  </w:style>
  <w:style w:type="character" w:customStyle="1" w:styleId="483">
    <w:name w:val="10"/>
    <w:basedOn w:val="49"/>
    <w:qFormat/>
    <w:uiPriority w:val="0"/>
    <w:rPr>
      <w:rFonts w:hint="default" w:ascii="Calibri" w:hAnsi="Calibri" w:cs="Calibri"/>
    </w:rPr>
  </w:style>
  <w:style w:type="character" w:customStyle="1" w:styleId="484">
    <w:name w:val="15"/>
    <w:basedOn w:val="49"/>
    <w:qFormat/>
    <w:uiPriority w:val="0"/>
    <w:rPr>
      <w:rFonts w:hint="default" w:ascii="Calibri" w:hAnsi="Calibri" w:cs="Calibri"/>
    </w:rPr>
  </w:style>
  <w:style w:type="paragraph" w:customStyle="1" w:styleId="485">
    <w:name w:val="样式 Times New Roman 五号 居中"/>
    <w:basedOn w:val="1"/>
    <w:qFormat/>
    <w:uiPriority w:val="0"/>
    <w:pPr>
      <w:jc w:val="center"/>
    </w:pPr>
    <w:rPr>
      <w:rFonts w:ascii="Times New Roman" w:cs="宋体"/>
      <w:kern w:val="2"/>
      <w:sz w:val="21"/>
    </w:rPr>
  </w:style>
  <w:style w:type="paragraph" w:customStyle="1" w:styleId="486">
    <w:name w:val="表头、图名"/>
    <w:basedOn w:val="1"/>
    <w:next w:val="370"/>
    <w:qFormat/>
    <w:uiPriority w:val="0"/>
    <w:pPr>
      <w:spacing w:line="240" w:lineRule="auto"/>
      <w:ind w:firstLine="0" w:firstLineChars="0"/>
      <w:jc w:val="center"/>
      <w:outlineLvl w:val="9"/>
    </w:pPr>
    <w:rPr>
      <w:rFonts w:eastAsia="黑体" w:cs="黑体"/>
      <w:spacing w:val="-1"/>
    </w:rPr>
  </w:style>
  <w:style w:type="paragraph" w:customStyle="1" w:styleId="487">
    <w:name w:val="图表内容"/>
    <w:next w:val="8"/>
    <w:qFormat/>
    <w:uiPriority w:val="0"/>
    <w:pPr>
      <w:jc w:val="center"/>
    </w:pPr>
    <w:rPr>
      <w:rFonts w:asciiTheme="minorHAnsi" w:hAnsiTheme="minorHAnsi" w:eastAsiaTheme="minorEastAsia" w:cstheme="minorBidi"/>
      <w:kern w:val="2"/>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78.png"/><Relationship Id="rId98" Type="http://schemas.openxmlformats.org/officeDocument/2006/relationships/image" Target="media/image77.png"/><Relationship Id="rId97" Type="http://schemas.openxmlformats.org/officeDocument/2006/relationships/image" Target="media/image76.png"/><Relationship Id="rId96" Type="http://schemas.openxmlformats.org/officeDocument/2006/relationships/image" Target="media/image75.png"/><Relationship Id="rId95" Type="http://schemas.openxmlformats.org/officeDocument/2006/relationships/image" Target="media/image74.png"/><Relationship Id="rId94" Type="http://schemas.openxmlformats.org/officeDocument/2006/relationships/image" Target="media/image73.png"/><Relationship Id="rId93" Type="http://schemas.openxmlformats.org/officeDocument/2006/relationships/image" Target="media/image72.png"/><Relationship Id="rId92" Type="http://schemas.openxmlformats.org/officeDocument/2006/relationships/image" Target="media/image71.png"/><Relationship Id="rId91" Type="http://schemas.openxmlformats.org/officeDocument/2006/relationships/image" Target="media/image70.png"/><Relationship Id="rId90" Type="http://schemas.openxmlformats.org/officeDocument/2006/relationships/image" Target="media/image69.png"/><Relationship Id="rId9" Type="http://schemas.openxmlformats.org/officeDocument/2006/relationships/footer" Target="footer4.xml"/><Relationship Id="rId89" Type="http://schemas.openxmlformats.org/officeDocument/2006/relationships/image" Target="media/image68.png"/><Relationship Id="rId88" Type="http://schemas.openxmlformats.org/officeDocument/2006/relationships/image" Target="media/image67.png"/><Relationship Id="rId87" Type="http://schemas.openxmlformats.org/officeDocument/2006/relationships/image" Target="media/image66.png"/><Relationship Id="rId86" Type="http://schemas.openxmlformats.org/officeDocument/2006/relationships/image" Target="media/image65.png"/><Relationship Id="rId85" Type="http://schemas.openxmlformats.org/officeDocument/2006/relationships/image" Target="media/image64.png"/><Relationship Id="rId84" Type="http://schemas.openxmlformats.org/officeDocument/2006/relationships/image" Target="media/image63.png"/><Relationship Id="rId83" Type="http://schemas.openxmlformats.org/officeDocument/2006/relationships/image" Target="media/image62.png"/><Relationship Id="rId82" Type="http://schemas.openxmlformats.org/officeDocument/2006/relationships/image" Target="media/image61.png"/><Relationship Id="rId81" Type="http://schemas.openxmlformats.org/officeDocument/2006/relationships/image" Target="media/image60.png"/><Relationship Id="rId80" Type="http://schemas.openxmlformats.org/officeDocument/2006/relationships/image" Target="media/image59.jpeg"/><Relationship Id="rId8" Type="http://schemas.openxmlformats.org/officeDocument/2006/relationships/footer" Target="footer3.xml"/><Relationship Id="rId79" Type="http://schemas.openxmlformats.org/officeDocument/2006/relationships/image" Target="media/image58.png"/><Relationship Id="rId78" Type="http://schemas.openxmlformats.org/officeDocument/2006/relationships/image" Target="media/image57.png"/><Relationship Id="rId77" Type="http://schemas.openxmlformats.org/officeDocument/2006/relationships/image" Target="media/image56.png"/><Relationship Id="rId76" Type="http://schemas.openxmlformats.org/officeDocument/2006/relationships/image" Target="media/image55.png"/><Relationship Id="rId75" Type="http://schemas.openxmlformats.org/officeDocument/2006/relationships/image" Target="media/image54.jpeg"/><Relationship Id="rId74" Type="http://schemas.openxmlformats.org/officeDocument/2006/relationships/image" Target="media/image53.jpeg"/><Relationship Id="rId73" Type="http://schemas.openxmlformats.org/officeDocument/2006/relationships/image" Target="media/image52.jpeg"/><Relationship Id="rId72" Type="http://schemas.openxmlformats.org/officeDocument/2006/relationships/image" Target="media/image51.png"/><Relationship Id="rId71" Type="http://schemas.openxmlformats.org/officeDocument/2006/relationships/image" Target="media/image50.png"/><Relationship Id="rId70" Type="http://schemas.openxmlformats.org/officeDocument/2006/relationships/image" Target="media/image49.emf"/><Relationship Id="rId7" Type="http://schemas.openxmlformats.org/officeDocument/2006/relationships/footer" Target="footer2.xml"/><Relationship Id="rId69" Type="http://schemas.openxmlformats.org/officeDocument/2006/relationships/image" Target="media/image48.emf"/><Relationship Id="rId68" Type="http://schemas.openxmlformats.org/officeDocument/2006/relationships/image" Target="media/image47.emf"/><Relationship Id="rId67" Type="http://schemas.openxmlformats.org/officeDocument/2006/relationships/image" Target="media/image46.png"/><Relationship Id="rId66" Type="http://schemas.openxmlformats.org/officeDocument/2006/relationships/image" Target="media/image45.emf"/><Relationship Id="rId65" Type="http://schemas.openxmlformats.org/officeDocument/2006/relationships/image" Target="media/image44.png"/><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wmf"/><Relationship Id="rId61" Type="http://schemas.openxmlformats.org/officeDocument/2006/relationships/image" Target="media/image40.wmf"/><Relationship Id="rId60" Type="http://schemas.openxmlformats.org/officeDocument/2006/relationships/image" Target="media/image39.wmf"/><Relationship Id="rId6" Type="http://schemas.openxmlformats.org/officeDocument/2006/relationships/header" Target="header1.xml"/><Relationship Id="rId59" Type="http://schemas.openxmlformats.org/officeDocument/2006/relationships/image" Target="media/image38.wmf"/><Relationship Id="rId58" Type="http://schemas.openxmlformats.org/officeDocument/2006/relationships/image" Target="media/image37.wmf"/><Relationship Id="rId57" Type="http://schemas.openxmlformats.org/officeDocument/2006/relationships/image" Target="media/image36.wmf"/><Relationship Id="rId56" Type="http://schemas.openxmlformats.org/officeDocument/2006/relationships/image" Target="media/image35.wmf"/><Relationship Id="rId55" Type="http://schemas.openxmlformats.org/officeDocument/2006/relationships/image" Target="media/image34.wmf"/><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png"/><Relationship Id="rId50" Type="http://schemas.openxmlformats.org/officeDocument/2006/relationships/image" Target="media/image29.png"/><Relationship Id="rId5" Type="http://schemas.openxmlformats.org/officeDocument/2006/relationships/footer" Target="footer1.xml"/><Relationship Id="rId49" Type="http://schemas.openxmlformats.org/officeDocument/2006/relationships/image" Target="media/image28.png"/><Relationship Id="rId48" Type="http://schemas.openxmlformats.org/officeDocument/2006/relationships/image" Target="media/image27.jpeg"/><Relationship Id="rId47" Type="http://schemas.openxmlformats.org/officeDocument/2006/relationships/image" Target="media/image26.png"/><Relationship Id="rId46" Type="http://schemas.openxmlformats.org/officeDocument/2006/relationships/image" Target="media/image25.png"/><Relationship Id="rId45" Type="http://schemas.openxmlformats.org/officeDocument/2006/relationships/image" Target="media/image24.png"/><Relationship Id="rId44" Type="http://schemas.openxmlformats.org/officeDocument/2006/relationships/image" Target="media/image23.png"/><Relationship Id="rId43" Type="http://schemas.openxmlformats.org/officeDocument/2006/relationships/image" Target="media/image22.wmf"/><Relationship Id="rId42" Type="http://schemas.openxmlformats.org/officeDocument/2006/relationships/oleObject" Target="embeddings/oleObject1.bin"/><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endnotes" Target="endnotes.xml"/><Relationship Id="rId39" Type="http://schemas.openxmlformats.org/officeDocument/2006/relationships/image" Target="media/image19.png"/><Relationship Id="rId38" Type="http://schemas.openxmlformats.org/officeDocument/2006/relationships/image" Target="media/image18.jpeg"/><Relationship Id="rId37" Type="http://schemas.openxmlformats.org/officeDocument/2006/relationships/image" Target="media/image17.emf"/><Relationship Id="rId36" Type="http://schemas.openxmlformats.org/officeDocument/2006/relationships/chart" Target="charts/chart3.xml"/><Relationship Id="rId35" Type="http://schemas.openxmlformats.org/officeDocument/2006/relationships/chart" Target="charts/chart2.xml"/><Relationship Id="rId34" Type="http://schemas.openxmlformats.org/officeDocument/2006/relationships/chart" Target="charts/chart1.xml"/><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jpe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jpeg"/><Relationship Id="rId20" Type="http://schemas.openxmlformats.org/officeDocument/2006/relationships/image" Target="media/image3.jpe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header" Target="header5.xml"/><Relationship Id="rId15" Type="http://schemas.openxmlformats.org/officeDocument/2006/relationships/header" Target="header4.xml"/><Relationship Id="rId14" Type="http://schemas.openxmlformats.org/officeDocument/2006/relationships/footer" Target="footer7.xml"/><Relationship Id="rId137" Type="http://schemas.openxmlformats.org/officeDocument/2006/relationships/fontTable" Target="fontTable.xml"/><Relationship Id="rId136" Type="http://schemas.openxmlformats.org/officeDocument/2006/relationships/customXml" Target="../customXml/item2.xml"/><Relationship Id="rId135" Type="http://schemas.openxmlformats.org/officeDocument/2006/relationships/numbering" Target="numbering.xml"/><Relationship Id="rId134" Type="http://schemas.openxmlformats.org/officeDocument/2006/relationships/customXml" Target="../customXml/item1.xml"/><Relationship Id="rId133" Type="http://schemas.openxmlformats.org/officeDocument/2006/relationships/image" Target="media/image112.png"/><Relationship Id="rId132" Type="http://schemas.openxmlformats.org/officeDocument/2006/relationships/image" Target="media/image111.png"/><Relationship Id="rId131" Type="http://schemas.openxmlformats.org/officeDocument/2006/relationships/image" Target="media/image110.png"/><Relationship Id="rId130" Type="http://schemas.openxmlformats.org/officeDocument/2006/relationships/image" Target="media/image109.png"/><Relationship Id="rId13" Type="http://schemas.openxmlformats.org/officeDocument/2006/relationships/header" Target="header3.xml"/><Relationship Id="rId129" Type="http://schemas.openxmlformats.org/officeDocument/2006/relationships/image" Target="media/image108.png"/><Relationship Id="rId128" Type="http://schemas.openxmlformats.org/officeDocument/2006/relationships/image" Target="media/image107.png"/><Relationship Id="rId127" Type="http://schemas.openxmlformats.org/officeDocument/2006/relationships/image" Target="media/image106.png"/><Relationship Id="rId126" Type="http://schemas.openxmlformats.org/officeDocument/2006/relationships/image" Target="media/image105.png"/><Relationship Id="rId125" Type="http://schemas.openxmlformats.org/officeDocument/2006/relationships/image" Target="media/image104.png"/><Relationship Id="rId124" Type="http://schemas.openxmlformats.org/officeDocument/2006/relationships/image" Target="media/image103.png"/><Relationship Id="rId123" Type="http://schemas.openxmlformats.org/officeDocument/2006/relationships/image" Target="media/image102.png"/><Relationship Id="rId122" Type="http://schemas.openxmlformats.org/officeDocument/2006/relationships/image" Target="media/image101.png"/><Relationship Id="rId121" Type="http://schemas.openxmlformats.org/officeDocument/2006/relationships/image" Target="media/image100.png"/><Relationship Id="rId120" Type="http://schemas.openxmlformats.org/officeDocument/2006/relationships/image" Target="media/image99.png"/><Relationship Id="rId12" Type="http://schemas.openxmlformats.org/officeDocument/2006/relationships/footer" Target="footer6.xml"/><Relationship Id="rId119" Type="http://schemas.openxmlformats.org/officeDocument/2006/relationships/image" Target="media/image98.png"/><Relationship Id="rId118" Type="http://schemas.openxmlformats.org/officeDocument/2006/relationships/image" Target="media/image97.png"/><Relationship Id="rId117" Type="http://schemas.openxmlformats.org/officeDocument/2006/relationships/image" Target="media/image96.png"/><Relationship Id="rId116" Type="http://schemas.openxmlformats.org/officeDocument/2006/relationships/image" Target="media/image95.png"/><Relationship Id="rId115" Type="http://schemas.openxmlformats.org/officeDocument/2006/relationships/image" Target="media/image94.png"/><Relationship Id="rId114" Type="http://schemas.openxmlformats.org/officeDocument/2006/relationships/image" Target="media/image93.png"/><Relationship Id="rId113" Type="http://schemas.openxmlformats.org/officeDocument/2006/relationships/image" Target="media/image92.png"/><Relationship Id="rId112" Type="http://schemas.openxmlformats.org/officeDocument/2006/relationships/image" Target="media/image91.png"/><Relationship Id="rId111" Type="http://schemas.openxmlformats.org/officeDocument/2006/relationships/image" Target="media/image90.png"/><Relationship Id="rId110" Type="http://schemas.openxmlformats.org/officeDocument/2006/relationships/image" Target="media/image89.png"/><Relationship Id="rId11" Type="http://schemas.openxmlformats.org/officeDocument/2006/relationships/header" Target="header2.xml"/><Relationship Id="rId109" Type="http://schemas.openxmlformats.org/officeDocument/2006/relationships/image" Target="media/image88.png"/><Relationship Id="rId108" Type="http://schemas.openxmlformats.org/officeDocument/2006/relationships/image" Target="media/image87.png"/><Relationship Id="rId107" Type="http://schemas.openxmlformats.org/officeDocument/2006/relationships/image" Target="media/image86.png"/><Relationship Id="rId106" Type="http://schemas.openxmlformats.org/officeDocument/2006/relationships/image" Target="media/image85.png"/><Relationship Id="rId105" Type="http://schemas.openxmlformats.org/officeDocument/2006/relationships/image" Target="media/image84.png"/><Relationship Id="rId104" Type="http://schemas.openxmlformats.org/officeDocument/2006/relationships/image" Target="media/image83.png"/><Relationship Id="rId103" Type="http://schemas.openxmlformats.org/officeDocument/2006/relationships/image" Target="media/image82.png"/><Relationship Id="rId102" Type="http://schemas.openxmlformats.org/officeDocument/2006/relationships/image" Target="media/image81.png"/><Relationship Id="rId101" Type="http://schemas.openxmlformats.org/officeDocument/2006/relationships/image" Target="media/image80.png"/><Relationship Id="rId100" Type="http://schemas.openxmlformats.org/officeDocument/2006/relationships/image" Target="media/image79.png"/><Relationship Id="rId10" Type="http://schemas.openxmlformats.org/officeDocument/2006/relationships/footer" Target="footer5.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2025&#24180;\7-&#21452;&#40493;&#23665;&#30005;&#35299;&#28082;4.21\1-&#25104;&#26524;\5-&#22823;&#27668;&#39044;&#27979;\50884&#21452;&#40493;&#23665;_2024\6_&#27668;&#35937;&#31449;2024&#24180;&#25968;&#25454;&#32479;&#35745;&#20998;&#26512;\&#21452;&#40493;&#23665;&#19968;&#33324;&#31449;2024&#24180;&#27668;&#35937;&#32479;&#35745;&#20998;&#2651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2025&#24180;\7-&#21452;&#40493;&#23665;&#30005;&#35299;&#28082;4.21\1-&#25104;&#26524;\5-&#22823;&#27668;&#39044;&#27979;\50884&#21452;&#40493;&#23665;_2024\6_&#27668;&#35937;&#31449;2024&#24180;&#25968;&#25454;&#32479;&#35745;&#20998;&#26512;\&#21452;&#40493;&#23665;&#19968;&#33324;&#31449;2024&#24180;&#27668;&#35937;&#32479;&#35745;&#20998;&#2651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2025&#24180;\7-&#21452;&#40493;&#23665;&#30005;&#35299;&#28082;4.21\1-&#25104;&#26524;\5-&#22823;&#27668;&#39044;&#27979;\50884&#21452;&#40493;&#23665;_2024\6_&#27668;&#35937;&#31449;2024&#24180;&#25968;&#25454;&#32479;&#35745;&#20998;&#26512;\&#21452;&#40493;&#23665;&#19968;&#33324;&#31449;2024&#24180;&#27668;&#35937;&#32479;&#35745;&#20998;&#2651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344448194758"/>
          <c:y val="0.213523131672598"/>
          <c:w val="0.800547516099295"/>
          <c:h val="0.619217081850534"/>
        </c:manualLayout>
      </c:layout>
      <c:lineChart>
        <c:grouping val="standard"/>
        <c:varyColors val="0"/>
        <c:ser>
          <c:idx val="0"/>
          <c:order val="0"/>
          <c:tx>
            <c:strRef>
              <c:f>[双鸭山一般站2024年气象统计分析.XLS]数据!$A$3</c:f>
              <c:strCache>
                <c:ptCount val="1"/>
                <c:pt idx="0">
                  <c:v>  温度(℃)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cat>
            <c:strRef>
              <c:f>[双鸭山一般站2024年气象统计分析.XLS]数据!$B$2:$M$2</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[双鸭山一般站2024年气象统计分析.XLS]数据!$B$3:$M$3</c:f>
              <c:numCache>
                <c:formatCode>0.00_ </c:formatCode>
                <c:ptCount val="12"/>
                <c:pt idx="0">
                  <c:v>-15.4899997711182</c:v>
                </c:pt>
                <c:pt idx="1">
                  <c:v>-9.61999988555908</c:v>
                </c:pt>
                <c:pt idx="2">
                  <c:v>-2.51999998092651</c:v>
                </c:pt>
                <c:pt idx="3">
                  <c:v>10.539999961853</c:v>
                </c:pt>
                <c:pt idx="4">
                  <c:v>13.6499996185303</c:v>
                </c:pt>
                <c:pt idx="5">
                  <c:v>17.3999996185303</c:v>
                </c:pt>
                <c:pt idx="6">
                  <c:v>23.2600002288818</c:v>
                </c:pt>
                <c:pt idx="7">
                  <c:v>22.7700004577637</c:v>
                </c:pt>
                <c:pt idx="8">
                  <c:v>16</c:v>
                </c:pt>
                <c:pt idx="9">
                  <c:v>8.26000022888184</c:v>
                </c:pt>
                <c:pt idx="10">
                  <c:v>-2.79999995231628</c:v>
                </c:pt>
                <c:pt idx="11">
                  <c:v>-12.9899997711182</c:v>
                </c:pt>
              </c:numCache>
            </c:numRef>
          </c:val>
          <c:smooth val="0"/>
        </c:ser>
        <c:dLbls>
          <c:showLegendKey val="0"/>
          <c:showVal val="0"/>
          <c:showCatName val="0"/>
          <c:showSerName val="0"/>
          <c:showPercent val="0"/>
          <c:showBubbleSize val="0"/>
        </c:dLbls>
        <c:marker val="1"/>
        <c:smooth val="0"/>
        <c:axId val="954408841"/>
        <c:axId val="110945527"/>
      </c:lineChart>
      <c:catAx>
        <c:axId val="954408841"/>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110945527"/>
        <c:crosses val="autoZero"/>
        <c:auto val="1"/>
        <c:lblAlgn val="ctr"/>
        <c:lblOffset val="100"/>
        <c:tickLblSkip val="1"/>
        <c:noMultiLvlLbl val="0"/>
      </c:catAx>
      <c:valAx>
        <c:axId val="110945527"/>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sz="1200" b="0" i="0" u="none" strike="noStrike" baseline="0">
                    <a:solidFill>
                      <a:srgbClr val="000000"/>
                    </a:solidFill>
                    <a:latin typeface="宋体" panose="02010600030101010101" charset="-122"/>
                    <a:ea typeface="宋体" panose="02010600030101010101" charset="-122"/>
                    <a:cs typeface="宋体" panose="02010600030101010101" charset="-122"/>
                  </a:rPr>
                  <a:t>温度(℃) </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0300546448087432"/>
              <c:y val="0.334519572953737"/>
            </c:manualLayout>
          </c:layout>
          <c:overlay val="0"/>
        </c:title>
        <c:numFmt formatCode="0.00_ " sourceLinked="1"/>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954408841"/>
        <c:crosses val="autoZero"/>
        <c:crossBetween val="between"/>
      </c:valAx>
      <c:spPr>
        <a:solidFill>
          <a:srgbClr val="C0C0C0">
            <a:alpha val="100000"/>
          </a:srgbClr>
        </a:solidFill>
        <a:ln w="12700">
          <a:solidFill>
            <a:srgbClr val="808080">
              <a:alpha val="100000"/>
            </a:srgbClr>
          </a:solidFill>
          <a:prstDash val="solid"/>
        </a:ln>
      </c:spPr>
    </c:plotArea>
    <c:plotVisOnly val="1"/>
    <c:dispBlanksAs val="gap"/>
    <c:showDLblsOverMax val="0"/>
    <c:extLst>
      <c:ext uri="{0b15fc19-7d7d-44ad-8c2d-2c3a37ce22c3}">
        <chartProps xmlns="https://web.wps.cn/et/2018/main" chartId="{25cd811c-04d6-44f9-b363-6a39ab913bd9}"/>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397345487308"/>
          <c:y val="0.213523131672598"/>
          <c:w val="0.820548494052664"/>
          <c:h val="0.619217081850534"/>
        </c:manualLayout>
      </c:layout>
      <c:lineChart>
        <c:grouping val="standard"/>
        <c:varyColors val="0"/>
        <c:ser>
          <c:idx val="0"/>
          <c:order val="0"/>
          <c:tx>
            <c:strRef>
              <c:f>[双鸭山一般站2024年气象统计分析.XLS]数据!$A$7</c:f>
              <c:strCache>
                <c:ptCount val="1"/>
                <c:pt idx="0">
                  <c:v> 风速(m/s)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cat>
            <c:strRef>
              <c:f>[双鸭山一般站2024年气象统计分析.XLS]数据!$B$6:$M$6</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[双鸭山一般站2024年气象统计分析.XLS]数据!$B$7:$M$7</c:f>
              <c:numCache>
                <c:formatCode>0.00_ </c:formatCode>
                <c:ptCount val="12"/>
                <c:pt idx="0">
                  <c:v>1.74000000953674</c:v>
                </c:pt>
                <c:pt idx="1">
                  <c:v>2.0699999332428</c:v>
                </c:pt>
                <c:pt idx="2">
                  <c:v>2.02999997138977</c:v>
                </c:pt>
                <c:pt idx="3">
                  <c:v>2.3199999332428</c:v>
                </c:pt>
                <c:pt idx="4">
                  <c:v>1.96000003814697</c:v>
                </c:pt>
                <c:pt idx="5">
                  <c:v>1.5</c:v>
                </c:pt>
                <c:pt idx="6">
                  <c:v>1.46000003814697</c:v>
                </c:pt>
                <c:pt idx="7">
                  <c:v>1.42999994754791</c:v>
                </c:pt>
                <c:pt idx="8">
                  <c:v>2.00999999046326</c:v>
                </c:pt>
                <c:pt idx="9">
                  <c:v>2.19000005722046</c:v>
                </c:pt>
                <c:pt idx="10">
                  <c:v>1.75</c:v>
                </c:pt>
                <c:pt idx="11">
                  <c:v>2.19000005722046</c:v>
                </c:pt>
              </c:numCache>
            </c:numRef>
          </c:val>
          <c:smooth val="0"/>
        </c:ser>
        <c:dLbls>
          <c:showLegendKey val="0"/>
          <c:showVal val="0"/>
          <c:showCatName val="0"/>
          <c:showSerName val="0"/>
          <c:showPercent val="0"/>
          <c:showBubbleSize val="0"/>
        </c:dLbls>
        <c:marker val="1"/>
        <c:smooth val="0"/>
        <c:axId val="375315454"/>
        <c:axId val="633431074"/>
      </c:lineChart>
      <c:catAx>
        <c:axId val="375315454"/>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633431074"/>
        <c:crosses val="autoZero"/>
        <c:auto val="1"/>
        <c:lblAlgn val="ctr"/>
        <c:lblOffset val="100"/>
        <c:tickLblSkip val="1"/>
        <c:noMultiLvlLbl val="0"/>
      </c:catAx>
      <c:valAx>
        <c:axId val="633431074"/>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sz="1200" b="0" i="0" u="none" strike="noStrike" baseline="0">
                    <a:solidFill>
                      <a:srgbClr val="000000"/>
                    </a:solidFill>
                    <a:latin typeface="宋体" panose="02010600030101010101" charset="-122"/>
                    <a:ea typeface="宋体" panose="02010600030101010101" charset="-122"/>
                    <a:cs typeface="宋体" panose="02010600030101010101" charset="-122"/>
                  </a:rPr>
                  <a:t>风速(m/s) </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0178082191780822"/>
              <c:y val="0.284697508896797"/>
            </c:manualLayout>
          </c:layout>
          <c:overlay val="0"/>
        </c:title>
        <c:numFmt formatCode="0.00_ "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375315454"/>
        <c:crosses val="autoZero"/>
        <c:crossBetween val="between"/>
      </c:valAx>
      <c:spPr>
        <a:solidFill>
          <a:srgbClr val="C0C0C0">
            <a:alpha val="100000"/>
          </a:srgbClr>
        </a:solidFill>
        <a:ln w="12700">
          <a:solidFill>
            <a:srgbClr val="808080">
              <a:alpha val="100000"/>
            </a:srgbClr>
          </a:solidFill>
          <a:prstDash val="solid"/>
        </a:ln>
      </c:spPr>
    </c:plotArea>
    <c:plotVisOnly val="1"/>
    <c:dispBlanksAs val="gap"/>
    <c:showDLblsOverMax val="0"/>
    <c:extLst>
      <c:ext uri="{0b15fc19-7d7d-44ad-8c2d-2c3a37ce22c3}">
        <chartProps xmlns="https://web.wps.cn/et/2018/main" chartId="{e10c9dda-c359-4ecf-9151-5524825ba3b2}"/>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854993160055"/>
          <c:y val="0.154098360655738"/>
          <c:w val="0.719562243502052"/>
          <c:h val="0.691803278688525"/>
        </c:manualLayout>
      </c:layout>
      <c:lineChart>
        <c:grouping val="standard"/>
        <c:varyColors val="0"/>
        <c:ser>
          <c:idx val="0"/>
          <c:order val="0"/>
          <c:tx>
            <c:strRef>
              <c:f>[双鸭山一般站2024年气象统计分析.XLS]图形!$A$167</c:f>
              <c:strCache>
                <c:ptCount val="1"/>
                <c:pt idx="0">
                  <c:v>春季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val>
            <c:numRef>
              <c:f>[双鸭山一般站2024年气象统计分析.XLS]图形!$B$167:$Y$167</c:f>
              <c:numCache>
                <c:formatCode>General</c:formatCode>
                <c:ptCount val="24"/>
                <c:pt idx="0">
                  <c:v>1.73000001907349</c:v>
                </c:pt>
                <c:pt idx="1">
                  <c:v>1.70000004768372</c:v>
                </c:pt>
                <c:pt idx="2">
                  <c:v>1.86000001430511</c:v>
                </c:pt>
                <c:pt idx="3">
                  <c:v>1.83000004291534</c:v>
                </c:pt>
                <c:pt idx="4">
                  <c:v>1.88999998569489</c:v>
                </c:pt>
                <c:pt idx="5">
                  <c:v>1.97000002861023</c:v>
                </c:pt>
                <c:pt idx="6">
                  <c:v>1.98000001907349</c:v>
                </c:pt>
                <c:pt idx="7">
                  <c:v>2.21000003814697</c:v>
                </c:pt>
                <c:pt idx="8">
                  <c:v>2.38000011444092</c:v>
                </c:pt>
                <c:pt idx="9">
                  <c:v>2.54999995231628</c:v>
                </c:pt>
                <c:pt idx="10">
                  <c:v>2.63000011444092</c:v>
                </c:pt>
                <c:pt idx="11">
                  <c:v>2.69000005722046</c:v>
                </c:pt>
                <c:pt idx="12">
                  <c:v>2.65000009536743</c:v>
                </c:pt>
                <c:pt idx="13">
                  <c:v>2.73000001907349</c:v>
                </c:pt>
                <c:pt idx="14">
                  <c:v>2.64000010490417</c:v>
                </c:pt>
                <c:pt idx="15">
                  <c:v>2.47000002861023</c:v>
                </c:pt>
                <c:pt idx="16">
                  <c:v>2.28999996185303</c:v>
                </c:pt>
                <c:pt idx="17">
                  <c:v>1.91999995708466</c:v>
                </c:pt>
                <c:pt idx="18">
                  <c:v>1.79999995231628</c:v>
                </c:pt>
                <c:pt idx="19">
                  <c:v>1.71000003814697</c:v>
                </c:pt>
                <c:pt idx="20">
                  <c:v>1.75999999046326</c:v>
                </c:pt>
                <c:pt idx="21">
                  <c:v>1.66999995708466</c:v>
                </c:pt>
                <c:pt idx="22">
                  <c:v>1.72000002861023</c:v>
                </c:pt>
                <c:pt idx="23">
                  <c:v>1.69000005722046</c:v>
                </c:pt>
              </c:numCache>
            </c:numRef>
          </c:val>
          <c:smooth val="0"/>
        </c:ser>
        <c:ser>
          <c:idx val="1"/>
          <c:order val="1"/>
          <c:tx>
            <c:strRef>
              <c:f>[双鸭山一般站2024年气象统计分析.XLS]图形!$A$168</c:f>
              <c:strCache>
                <c:ptCount val="1"/>
                <c:pt idx="0">
                  <c:v>夏季                </c:v>
                </c:pt>
              </c:strCache>
            </c:strRef>
          </c:tx>
          <c:spPr>
            <a:ln w="12700" cap="rnd" cmpd="sng" algn="ctr">
              <a:solidFill>
                <a:srgbClr val="FF00FF">
                  <a:alpha val="100000"/>
                </a:srgbClr>
              </a:solidFill>
              <a:prstDash val="solid"/>
              <a:round/>
            </a:ln>
          </c:spPr>
          <c:marker>
            <c:symbol val="square"/>
            <c:size val="5"/>
            <c:spPr>
              <a:solidFill>
                <a:srgbClr val="FF00FF">
                  <a:alpha val="100000"/>
                </a:srgbClr>
              </a:solidFill>
              <a:ln w="6350" cap="flat" cmpd="sng" algn="ctr">
                <a:solidFill>
                  <a:srgbClr val="FF00FF">
                    <a:alpha val="100000"/>
                  </a:srgbClr>
                </a:solidFill>
                <a:prstDash val="solid"/>
                <a:round/>
              </a:ln>
            </c:spPr>
          </c:marker>
          <c:dLbls>
            <c:delete val="1"/>
          </c:dLbls>
          <c:val>
            <c:numRef>
              <c:f>[双鸭山一般站2024年气象统计分析.XLS]图形!$B$168:$Y$168</c:f>
              <c:numCache>
                <c:formatCode>General</c:formatCode>
                <c:ptCount val="24"/>
                <c:pt idx="0">
                  <c:v>1.25999999046326</c:v>
                </c:pt>
                <c:pt idx="1">
                  <c:v>1.29999995231628</c:v>
                </c:pt>
                <c:pt idx="2">
                  <c:v>1.3400000333786</c:v>
                </c:pt>
                <c:pt idx="3">
                  <c:v>1.33000004291534</c:v>
                </c:pt>
                <c:pt idx="4">
                  <c:v>1.35000002384186</c:v>
                </c:pt>
                <c:pt idx="5">
                  <c:v>1.38999998569489</c:v>
                </c:pt>
                <c:pt idx="6">
                  <c:v>1.48000001907349</c:v>
                </c:pt>
                <c:pt idx="7">
                  <c:v>1.54999995231628</c:v>
                </c:pt>
                <c:pt idx="8">
                  <c:v>1.62999999523163</c:v>
                </c:pt>
                <c:pt idx="9">
                  <c:v>1.67999994754791</c:v>
                </c:pt>
                <c:pt idx="10">
                  <c:v>1.80999994277954</c:v>
                </c:pt>
                <c:pt idx="11">
                  <c:v>1.80999994277954</c:v>
                </c:pt>
                <c:pt idx="12">
                  <c:v>1.8400000333786</c:v>
                </c:pt>
                <c:pt idx="13">
                  <c:v>1.79999995231628</c:v>
                </c:pt>
                <c:pt idx="14">
                  <c:v>1.75999999046326</c:v>
                </c:pt>
                <c:pt idx="15">
                  <c:v>1.61000001430511</c:v>
                </c:pt>
                <c:pt idx="16">
                  <c:v>1.48000001907349</c:v>
                </c:pt>
                <c:pt idx="17">
                  <c:v>1.29999995231628</c:v>
                </c:pt>
                <c:pt idx="18">
                  <c:v>1.13999998569489</c:v>
                </c:pt>
                <c:pt idx="19">
                  <c:v>1.14999997615814</c:v>
                </c:pt>
                <c:pt idx="20">
                  <c:v>1.23000001907349</c:v>
                </c:pt>
                <c:pt idx="21">
                  <c:v>1.33000004291534</c:v>
                </c:pt>
                <c:pt idx="22">
                  <c:v>1.33000004291534</c:v>
                </c:pt>
                <c:pt idx="23">
                  <c:v>1.25</c:v>
                </c:pt>
              </c:numCache>
            </c:numRef>
          </c:val>
          <c:smooth val="0"/>
        </c:ser>
        <c:ser>
          <c:idx val="2"/>
          <c:order val="2"/>
          <c:tx>
            <c:strRef>
              <c:f>[双鸭山一般站2024年气象统计分析.XLS]图形!$A$169</c:f>
              <c:strCache>
                <c:ptCount val="1"/>
                <c:pt idx="0">
                  <c:v>秋季                </c:v>
                </c:pt>
              </c:strCache>
            </c:strRef>
          </c:tx>
          <c:spPr>
            <a:ln w="12700" cap="rnd" cmpd="sng" algn="ctr">
              <a:solidFill>
                <a:srgbClr val="FFFF00">
                  <a:alpha val="100000"/>
                </a:srgbClr>
              </a:solidFill>
              <a:prstDash val="solid"/>
              <a:round/>
            </a:ln>
          </c:spPr>
          <c:marker>
            <c:symbol val="triangle"/>
            <c:size val="5"/>
            <c:spPr>
              <a:solidFill>
                <a:srgbClr val="FFFF00">
                  <a:alpha val="100000"/>
                </a:srgbClr>
              </a:solidFill>
              <a:ln w="6350" cap="flat" cmpd="sng" algn="ctr">
                <a:solidFill>
                  <a:srgbClr val="FFFF00">
                    <a:alpha val="100000"/>
                  </a:srgbClr>
                </a:solidFill>
                <a:prstDash val="solid"/>
                <a:round/>
              </a:ln>
            </c:spPr>
          </c:marker>
          <c:dLbls>
            <c:delete val="1"/>
          </c:dLbls>
          <c:val>
            <c:numRef>
              <c:f>[双鸭山一般站2024年气象统计分析.XLS]图形!$B$169:$Y$169</c:f>
              <c:numCache>
                <c:formatCode>General</c:formatCode>
                <c:ptCount val="24"/>
                <c:pt idx="0">
                  <c:v>1.74000000953674</c:v>
                </c:pt>
                <c:pt idx="1">
                  <c:v>1.75</c:v>
                </c:pt>
                <c:pt idx="2">
                  <c:v>1.86000001430511</c:v>
                </c:pt>
                <c:pt idx="3">
                  <c:v>1.78999996185303</c:v>
                </c:pt>
                <c:pt idx="4">
                  <c:v>1.91999995708466</c:v>
                </c:pt>
                <c:pt idx="5">
                  <c:v>1.94000005722046</c:v>
                </c:pt>
                <c:pt idx="6">
                  <c:v>2</c:v>
                </c:pt>
                <c:pt idx="7">
                  <c:v>2</c:v>
                </c:pt>
                <c:pt idx="8">
                  <c:v>2.20000004768372</c:v>
                </c:pt>
                <c:pt idx="9">
                  <c:v>2.44000005722046</c:v>
                </c:pt>
                <c:pt idx="10">
                  <c:v>2.45000004768372</c:v>
                </c:pt>
                <c:pt idx="11">
                  <c:v>2.45000004768372</c:v>
                </c:pt>
                <c:pt idx="12">
                  <c:v>2.48000001907349</c:v>
                </c:pt>
                <c:pt idx="13">
                  <c:v>2.32999992370605</c:v>
                </c:pt>
                <c:pt idx="14">
                  <c:v>2.29999995231628</c:v>
                </c:pt>
                <c:pt idx="15">
                  <c:v>2.08999991416931</c:v>
                </c:pt>
                <c:pt idx="16">
                  <c:v>1.72000002861023</c:v>
                </c:pt>
                <c:pt idx="17">
                  <c:v>1.67999994754791</c:v>
                </c:pt>
                <c:pt idx="18">
                  <c:v>1.70000004768372</c:v>
                </c:pt>
                <c:pt idx="19">
                  <c:v>1.82000005245209</c:v>
                </c:pt>
                <c:pt idx="20">
                  <c:v>1.73000001907349</c:v>
                </c:pt>
                <c:pt idx="21">
                  <c:v>1.75</c:v>
                </c:pt>
                <c:pt idx="22">
                  <c:v>1.75999999046326</c:v>
                </c:pt>
                <c:pt idx="23">
                  <c:v>1.75</c:v>
                </c:pt>
              </c:numCache>
            </c:numRef>
          </c:val>
          <c:smooth val="0"/>
        </c:ser>
        <c:ser>
          <c:idx val="3"/>
          <c:order val="3"/>
          <c:tx>
            <c:strRef>
              <c:f>[双鸭山一般站2024年气象统计分析.XLS]图形!$A$170</c:f>
              <c:strCache>
                <c:ptCount val="1"/>
                <c:pt idx="0">
                  <c:v>冬季                </c:v>
                </c:pt>
              </c:strCache>
            </c:strRef>
          </c:tx>
          <c:spPr>
            <a:ln w="12700" cap="rnd" cmpd="sng" algn="ctr">
              <a:solidFill>
                <a:srgbClr val="00FFFF">
                  <a:alpha val="100000"/>
                </a:srgbClr>
              </a:solidFill>
              <a:prstDash val="solid"/>
              <a:round/>
            </a:ln>
          </c:spPr>
          <c:marker>
            <c:symbol val="x"/>
            <c:size val="5"/>
            <c:spPr>
              <a:noFill/>
              <a:ln w="6350" cap="flat" cmpd="sng" algn="ctr">
                <a:solidFill>
                  <a:srgbClr val="00FFFF">
                    <a:alpha val="100000"/>
                  </a:srgbClr>
                </a:solidFill>
                <a:prstDash val="solid"/>
                <a:round/>
              </a:ln>
            </c:spPr>
          </c:marker>
          <c:dLbls>
            <c:delete val="1"/>
          </c:dLbls>
          <c:val>
            <c:numRef>
              <c:f>[双鸭山一般站2024年气象统计分析.XLS]图形!$B$170:$Y$170</c:f>
              <c:numCache>
                <c:formatCode>General</c:formatCode>
                <c:ptCount val="24"/>
                <c:pt idx="0">
                  <c:v>1.75999999046326</c:v>
                </c:pt>
                <c:pt idx="1">
                  <c:v>1.75999999046326</c:v>
                </c:pt>
                <c:pt idx="2">
                  <c:v>1.88999998569489</c:v>
                </c:pt>
                <c:pt idx="3">
                  <c:v>1.85000002384186</c:v>
                </c:pt>
                <c:pt idx="4">
                  <c:v>1.86000001430511</c:v>
                </c:pt>
                <c:pt idx="5">
                  <c:v>1.92999994754791</c:v>
                </c:pt>
                <c:pt idx="6">
                  <c:v>1.88999998569489</c:v>
                </c:pt>
                <c:pt idx="7">
                  <c:v>2</c:v>
                </c:pt>
                <c:pt idx="8">
                  <c:v>2.01999998092651</c:v>
                </c:pt>
                <c:pt idx="9">
                  <c:v>2.21000003814697</c:v>
                </c:pt>
                <c:pt idx="10">
                  <c:v>2.44000005722046</c:v>
                </c:pt>
                <c:pt idx="11">
                  <c:v>2.55999994277954</c:v>
                </c:pt>
                <c:pt idx="12">
                  <c:v>2.52999997138977</c:v>
                </c:pt>
                <c:pt idx="13">
                  <c:v>2.39000010490417</c:v>
                </c:pt>
                <c:pt idx="14">
                  <c:v>2.21000003814697</c:v>
                </c:pt>
                <c:pt idx="15">
                  <c:v>2.04999995231628</c:v>
                </c:pt>
                <c:pt idx="16">
                  <c:v>1.8400000333786</c:v>
                </c:pt>
                <c:pt idx="17">
                  <c:v>1.87999999523163</c:v>
                </c:pt>
                <c:pt idx="18">
                  <c:v>1.8400000333786</c:v>
                </c:pt>
                <c:pt idx="19">
                  <c:v>1.86000001430511</c:v>
                </c:pt>
                <c:pt idx="20">
                  <c:v>1.87999999523163</c:v>
                </c:pt>
                <c:pt idx="21">
                  <c:v>1.85000002384186</c:v>
                </c:pt>
                <c:pt idx="22">
                  <c:v>1.76999998092651</c:v>
                </c:pt>
                <c:pt idx="23">
                  <c:v>1.74000000953674</c:v>
                </c:pt>
              </c:numCache>
            </c:numRef>
          </c:val>
          <c:smooth val="0"/>
        </c:ser>
        <c:dLbls>
          <c:showLegendKey val="0"/>
          <c:showVal val="0"/>
          <c:showCatName val="0"/>
          <c:showSerName val="0"/>
          <c:showPercent val="0"/>
          <c:showBubbleSize val="0"/>
        </c:dLbls>
        <c:marker val="1"/>
        <c:smooth val="0"/>
        <c:axId val="986184706"/>
        <c:axId val="884998642"/>
      </c:lineChart>
      <c:catAx>
        <c:axId val="986184706"/>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884998642"/>
        <c:crosses val="autoZero"/>
        <c:auto val="1"/>
        <c:lblAlgn val="ctr"/>
        <c:lblOffset val="100"/>
        <c:tickLblSkip val="1"/>
        <c:noMultiLvlLbl val="0"/>
      </c:catAx>
      <c:valAx>
        <c:axId val="884998642"/>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sz="1200" b="0" i="0" u="none" strike="noStrike" baseline="0">
                    <a:solidFill>
                      <a:srgbClr val="000000"/>
                    </a:solidFill>
                    <a:latin typeface="宋体" panose="02010600030101010101" charset="-122"/>
                    <a:ea typeface="宋体" panose="02010600030101010101" charset="-122"/>
                    <a:cs typeface="宋体" panose="02010600030101010101" charset="-122"/>
                  </a:rPr>
                  <a:t>风速(m/s)</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0205198358413133"/>
              <c:y val="0.373770491803279"/>
            </c:manualLayout>
          </c:layout>
          <c:overlay val="0"/>
        </c:title>
        <c:numFmt formatCode="0.00_ "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986184706"/>
        <c:crosses val="autoZero"/>
        <c:crossBetween val="between"/>
      </c:valAx>
      <c:spPr>
        <a:solidFill>
          <a:srgbClr val="C0C0C0">
            <a:alpha val="100000"/>
          </a:srgbClr>
        </a:solidFill>
        <a:ln w="12700">
          <a:solidFill>
            <a:srgbClr val="808080">
              <a:alpha val="100000"/>
            </a:srgbClr>
          </a:solidFill>
          <a:prstDash val="solid"/>
        </a:ln>
      </c:spPr>
    </c:plotArea>
    <c:legend>
      <c:legendPos val="r"/>
      <c:layout>
        <c:manualLayout>
          <c:xMode val="edge"/>
          <c:yMode val="edge"/>
          <c:x val="0.856361149110807"/>
          <c:y val="0.19672131147541"/>
          <c:w val="0.1275"/>
          <c:h val="0.52375"/>
        </c:manualLayout>
      </c:layout>
      <c:overlay val="0"/>
      <c:spPr>
        <a:solidFill>
          <a:srgbClr val="FFFFFF">
            <a:alpha val="100000"/>
          </a:srgbClr>
        </a:solidFill>
        <a:ln w="3175">
          <a:solidFill>
            <a:srgbClr val="000000">
              <a:alpha val="100000"/>
            </a:srgbClr>
          </a:solidFill>
          <a:prstDash val="solid"/>
        </a:ln>
      </c:spPr>
      <c:txPr>
        <a:bodyPr rot="0" spcFirstLastPara="0" vertOverflow="ellipsis" vert="horz" wrap="square" anchor="ctr" anchorCtr="1"/>
        <a:lstStyle/>
        <a:p>
          <a:pPr>
            <a:defRPr lang="zh-CN" sz="110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legend>
    <c:plotVisOnly val="1"/>
    <c:dispBlanksAs val="gap"/>
    <c:showDLblsOverMax val="0"/>
    <c:extLst>
      <c:ext uri="{0b15fc19-7d7d-44ad-8c2d-2c3a37ce22c3}">
        <chartProps xmlns="https://web.wps.cn/et/2018/main" chartId="{0f247ac3-28a6-4fdf-b03b-017e6cca372b}"/>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lumMod val="90000"/>
            <a:alpha val="80000"/>
          </a:schemeClr>
        </a:solidFill>
        <a:ln w="3175">
          <a:solidFill>
            <a:schemeClr val="tx1"/>
          </a:solidFill>
        </a:ln>
      </a:spPr>
      <a:bodyPr rot="0" spcFirstLastPara="0" vertOverflow="overflow" horzOverflow="overflow" vert="horz" wrap="square" lIns="91440" tIns="45720" rIns="91440" bIns="45720" numCol="1" spcCol="0" rtlCol="0" fromWordArt="0" anchor="ctr" anchorCtr="0" forceAA="0" compatLnSpc="1">
        <a:noAutofit/>
      </a:bodyP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622C19-1D7A-4A1D-9D50-14E6CD857EAA}">
  <ds:schemaRefs/>
</ds:datastoreItem>
</file>

<file path=docProps/app.xml><?xml version="1.0" encoding="utf-8"?>
<Properties xmlns="http://schemas.openxmlformats.org/officeDocument/2006/extended-properties" xmlns:vt="http://schemas.openxmlformats.org/officeDocument/2006/docPropsVTypes">
  <Template>Normal.dotm</Template>
  <Pages>283</Pages>
  <Words>6267</Words>
  <Characters>7204</Characters>
  <Lines>908</Lines>
  <Paragraphs>255</Paragraphs>
  <TotalTime>55</TotalTime>
  <ScaleCrop>false</ScaleCrop>
  <LinksUpToDate>false</LinksUpToDate>
  <CharactersWithSpaces>7456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2018-08-03T02:16:00Z</dcterms:created>
  <dc:creator>Administrator</dc:creator>
  <cp:lastModifiedBy> Y树y菩¿提</cp:lastModifiedBy>
  <cp:lastPrinted>2019-09-06T07:16:00Z</cp:lastPrinted>
  <dcterms:modified xsi:type="dcterms:W3CDTF">2025-10-16T02:05:20Z</dcterms:modified>
  <cp:revision>149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77858314CCB94826AAE629E542614E9A_13</vt:lpwstr>
  </property>
  <property fmtid="{D5CDD505-2E9C-101B-9397-08002B2CF9AE}" pid="4" name="KSOTemplateDocerSaveRecord">
    <vt:lpwstr>eyJoZGlkIjoiZmFmZWE3ZDY3MDdhOWYwZGVkYzA2MTM2YTc0ZGE1ZGUiLCJ1c2VySWQiOiIzNDI2Njc5NjcifQ==</vt:lpwstr>
  </property>
</Properties>
</file>